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80539D">
      <w:pPr>
        <w:rPr>
          <w:rFonts w:ascii="仿宋_GB2312" w:hAnsi="仿宋_GB2312" w:eastAsia="仿宋_GB2312" w:cs="仿宋_GB2312"/>
          <w:color w:val="auto"/>
          <w:sz w:val="36"/>
          <w:szCs w:val="36"/>
        </w:rPr>
      </w:pPr>
    </w:p>
    <w:p w14:paraId="46723136">
      <w:pPr>
        <w:rPr>
          <w:rFonts w:ascii="仿宋_GB2312" w:hAnsi="仿宋_GB2312" w:eastAsia="仿宋_GB2312" w:cs="仿宋_GB2312"/>
          <w:color w:val="auto"/>
          <w:sz w:val="36"/>
          <w:szCs w:val="36"/>
        </w:rPr>
      </w:pPr>
    </w:p>
    <w:p w14:paraId="2FE976AD">
      <w:pPr>
        <w:rPr>
          <w:rFonts w:ascii="仿宋_GB2312" w:hAnsi="仿宋_GB2312" w:eastAsia="仿宋_GB2312" w:cs="仿宋_GB2312"/>
          <w:color w:val="auto"/>
          <w:sz w:val="36"/>
          <w:szCs w:val="36"/>
        </w:rPr>
      </w:pPr>
    </w:p>
    <w:p w14:paraId="7A7548B3">
      <w:pPr>
        <w:adjustRightInd w:val="0"/>
        <w:snapToGrid w:val="0"/>
        <w:jc w:val="center"/>
        <w:outlineLvl w:val="0"/>
        <w:rPr>
          <w:rFonts w:ascii="方正小标宋_GBK" w:eastAsia="方正小标宋_GBK"/>
          <w:bCs/>
          <w:color w:val="auto"/>
          <w:sz w:val="72"/>
          <w:szCs w:val="72"/>
        </w:rPr>
      </w:pPr>
      <w:r>
        <w:rPr>
          <w:rFonts w:hint="eastAsia" w:ascii="方正小标宋_GBK" w:eastAsia="方正小标宋_GBK"/>
          <w:bCs/>
          <w:color w:val="auto"/>
          <w:sz w:val="72"/>
          <w:szCs w:val="72"/>
        </w:rPr>
        <w:t>建设项目环境影响报告表</w:t>
      </w:r>
    </w:p>
    <w:p w14:paraId="5C768598">
      <w:pPr>
        <w:adjustRightInd w:val="0"/>
        <w:snapToGrid w:val="0"/>
        <w:spacing w:before="192" w:beforeLines="80"/>
        <w:jc w:val="center"/>
        <w:rPr>
          <w:rFonts w:ascii="楷体_GB2312" w:eastAsia="楷体_GB2312"/>
          <w:bCs/>
          <w:color w:val="auto"/>
          <w:sz w:val="48"/>
          <w:szCs w:val="48"/>
        </w:rPr>
      </w:pPr>
      <w:r>
        <w:rPr>
          <w:rFonts w:hint="eastAsia" w:ascii="楷体_GB2312" w:eastAsia="楷体_GB2312"/>
          <w:bCs/>
          <w:color w:val="auto"/>
          <w:sz w:val="48"/>
          <w:szCs w:val="48"/>
        </w:rPr>
        <w:t>（污染影响类）</w:t>
      </w:r>
    </w:p>
    <w:p w14:paraId="1D892C8A">
      <w:pPr>
        <w:adjustRightInd w:val="0"/>
        <w:snapToGrid w:val="0"/>
        <w:spacing w:line="288" w:lineRule="auto"/>
        <w:jc w:val="center"/>
        <w:outlineLvl w:val="0"/>
        <w:rPr>
          <w:rFonts w:ascii="华文仿宋" w:hAnsi="华文仿宋" w:eastAsia="华文仿宋" w:cs="华文仿宋"/>
          <w:color w:val="auto"/>
          <w:kern w:val="44"/>
          <w:sz w:val="44"/>
          <w:szCs w:val="44"/>
        </w:rPr>
      </w:pPr>
    </w:p>
    <w:p w14:paraId="3AA2102C">
      <w:pPr>
        <w:jc w:val="center"/>
        <w:rPr>
          <w:rFonts w:eastAsia="仿宋"/>
          <w:color w:val="auto"/>
          <w:sz w:val="52"/>
          <w:szCs w:val="52"/>
        </w:rPr>
      </w:pPr>
    </w:p>
    <w:p w14:paraId="7A4300D9">
      <w:pPr>
        <w:ind w:firstLine="1040"/>
        <w:rPr>
          <w:rFonts w:eastAsia="仿宋"/>
          <w:color w:val="auto"/>
          <w:sz w:val="44"/>
          <w:szCs w:val="44"/>
        </w:rPr>
      </w:pPr>
    </w:p>
    <w:p w14:paraId="01C12EC5">
      <w:pPr>
        <w:ind w:firstLine="1040"/>
        <w:rPr>
          <w:rFonts w:eastAsia="仿宋"/>
          <w:color w:val="auto"/>
          <w:sz w:val="44"/>
          <w:szCs w:val="44"/>
        </w:rPr>
      </w:pPr>
    </w:p>
    <w:p w14:paraId="7A5C5D5F">
      <w:pPr>
        <w:ind w:firstLine="1040"/>
        <w:rPr>
          <w:rFonts w:eastAsia="仿宋"/>
          <w:color w:val="auto"/>
          <w:sz w:val="44"/>
          <w:szCs w:val="44"/>
        </w:rPr>
      </w:pPr>
    </w:p>
    <w:p w14:paraId="7A78EBDE">
      <w:pPr>
        <w:ind w:firstLine="1040"/>
        <w:rPr>
          <w:rFonts w:eastAsia="仿宋"/>
          <w:color w:val="auto"/>
          <w:sz w:val="44"/>
          <w:szCs w:val="44"/>
        </w:rPr>
      </w:pPr>
    </w:p>
    <w:p w14:paraId="1D895D4D">
      <w:pPr>
        <w:adjustRightInd w:val="0"/>
        <w:snapToGrid w:val="0"/>
        <w:spacing w:line="288" w:lineRule="auto"/>
        <w:rPr>
          <w:rFonts w:ascii="仿宋_GB2312" w:eastAsia="仿宋_GB2312"/>
          <w:color w:val="auto"/>
          <w:sz w:val="36"/>
          <w:szCs w:val="36"/>
          <w:u w:val="single"/>
        </w:rPr>
      </w:pPr>
      <w:r>
        <w:rPr>
          <w:rFonts w:hint="eastAsia" w:ascii="仿宋_GB2312" w:eastAsia="仿宋_GB2312"/>
          <w:color w:val="auto"/>
          <w:sz w:val="36"/>
          <w:szCs w:val="36"/>
        </w:rPr>
        <w:t>项目名称：</w:t>
      </w:r>
      <w:r>
        <w:rPr>
          <w:rFonts w:hint="eastAsia" w:ascii="仿宋_GB2312" w:eastAsia="仿宋_GB2312"/>
          <w:color w:val="auto"/>
          <w:sz w:val="36"/>
          <w:szCs w:val="36"/>
          <w:u w:val="single"/>
        </w:rPr>
        <w:t xml:space="preserve">             包装桶生产项目            </w:t>
      </w:r>
    </w:p>
    <w:p w14:paraId="2284B7D7">
      <w:pPr>
        <w:adjustRightInd w:val="0"/>
        <w:snapToGrid w:val="0"/>
        <w:spacing w:line="288" w:lineRule="auto"/>
        <w:rPr>
          <w:rFonts w:ascii="仿宋_GB2312" w:eastAsia="仿宋_GB2312"/>
          <w:color w:val="auto"/>
          <w:sz w:val="36"/>
          <w:szCs w:val="36"/>
          <w:u w:val="single"/>
        </w:rPr>
      </w:pPr>
      <w:r>
        <w:rPr>
          <w:rFonts w:hint="eastAsia" w:ascii="仿宋_GB2312" w:eastAsia="仿宋_GB2312"/>
          <w:color w:val="auto"/>
          <w:sz w:val="36"/>
          <w:szCs w:val="36"/>
        </w:rPr>
        <w:t>建设单位（盖章）：</w:t>
      </w:r>
      <w:r>
        <w:rPr>
          <w:rFonts w:hint="eastAsia" w:ascii="仿宋_GB2312" w:eastAsia="仿宋_GB2312"/>
          <w:color w:val="auto"/>
          <w:sz w:val="36"/>
          <w:szCs w:val="36"/>
          <w:u w:val="single"/>
        </w:rPr>
        <w:t>陕西西咸新区吴氏兴隆包装有限公司</w:t>
      </w:r>
    </w:p>
    <w:p w14:paraId="4CDD1341">
      <w:pPr>
        <w:adjustRightInd w:val="0"/>
        <w:snapToGrid w:val="0"/>
        <w:spacing w:line="288" w:lineRule="auto"/>
        <w:rPr>
          <w:rFonts w:ascii="仿宋_GB2312" w:eastAsia="仿宋_GB2312"/>
          <w:color w:val="auto"/>
          <w:sz w:val="36"/>
          <w:szCs w:val="36"/>
          <w:u w:val="single"/>
        </w:rPr>
      </w:pPr>
      <w:r>
        <w:rPr>
          <w:rFonts w:hint="eastAsia" w:ascii="仿宋_GB2312" w:eastAsia="仿宋_GB2312"/>
          <w:color w:val="auto"/>
          <w:sz w:val="36"/>
          <w:szCs w:val="36"/>
        </w:rPr>
        <w:t>编制日期：</w:t>
      </w:r>
      <w:r>
        <w:rPr>
          <w:rFonts w:hint="eastAsia" w:ascii="仿宋_GB2312" w:eastAsia="仿宋_GB2312"/>
          <w:color w:val="auto"/>
          <w:sz w:val="36"/>
          <w:szCs w:val="36"/>
          <w:u w:val="single"/>
        </w:rPr>
        <w:t xml:space="preserve"> </w:t>
      </w:r>
      <w:r>
        <w:rPr>
          <w:rFonts w:ascii="仿宋_GB2312" w:eastAsia="仿宋_GB2312"/>
          <w:color w:val="auto"/>
          <w:sz w:val="36"/>
          <w:szCs w:val="36"/>
          <w:u w:val="single"/>
        </w:rPr>
        <w:t xml:space="preserve">  </w:t>
      </w:r>
      <w:r>
        <w:rPr>
          <w:rFonts w:hint="eastAsia" w:ascii="仿宋_GB2312" w:eastAsia="仿宋_GB2312"/>
          <w:color w:val="auto"/>
          <w:sz w:val="36"/>
          <w:szCs w:val="36"/>
          <w:u w:val="single"/>
        </w:rPr>
        <w:t xml:space="preserve">          二〇二五年</w:t>
      </w:r>
      <w:r>
        <w:rPr>
          <w:rFonts w:hint="eastAsia" w:ascii="仿宋_GB2312" w:eastAsia="仿宋_GB2312"/>
          <w:color w:val="auto"/>
          <w:sz w:val="36"/>
          <w:szCs w:val="36"/>
          <w:u w:val="single"/>
          <w:lang w:val="en-US" w:eastAsia="zh-CN"/>
        </w:rPr>
        <w:t>四</w:t>
      </w:r>
      <w:r>
        <w:rPr>
          <w:rFonts w:hint="eastAsia" w:ascii="仿宋_GB2312" w:eastAsia="仿宋_GB2312"/>
          <w:color w:val="auto"/>
          <w:sz w:val="36"/>
          <w:szCs w:val="36"/>
          <w:u w:val="single"/>
        </w:rPr>
        <w:t xml:space="preserve">月 </w:t>
      </w:r>
      <w:r>
        <w:rPr>
          <w:rFonts w:ascii="仿宋_GB2312" w:eastAsia="仿宋_GB2312"/>
          <w:color w:val="auto"/>
          <w:sz w:val="36"/>
          <w:szCs w:val="36"/>
          <w:u w:val="single"/>
        </w:rPr>
        <w:t xml:space="preserve">      </w:t>
      </w:r>
      <w:r>
        <w:rPr>
          <w:rFonts w:hint="eastAsia" w:ascii="仿宋_GB2312" w:eastAsia="仿宋_GB2312"/>
          <w:color w:val="auto"/>
          <w:sz w:val="36"/>
          <w:szCs w:val="36"/>
          <w:u w:val="single"/>
        </w:rPr>
        <w:t xml:space="preserve">     </w:t>
      </w:r>
    </w:p>
    <w:p w14:paraId="52384D85">
      <w:pPr>
        <w:adjustRightInd w:val="0"/>
        <w:snapToGrid w:val="0"/>
        <w:spacing w:line="288" w:lineRule="auto"/>
        <w:ind w:firstLine="1040"/>
        <w:rPr>
          <w:rFonts w:ascii="仿宋_GB2312" w:eastAsia="仿宋_GB2312"/>
          <w:color w:val="auto"/>
          <w:sz w:val="36"/>
          <w:szCs w:val="36"/>
          <w:u w:val="single"/>
        </w:rPr>
      </w:pPr>
      <w:bookmarkStart w:id="0" w:name="_Hlk57884087"/>
    </w:p>
    <w:p w14:paraId="142C6F95">
      <w:pPr>
        <w:adjustRightInd w:val="0"/>
        <w:snapToGrid w:val="0"/>
        <w:spacing w:line="288" w:lineRule="auto"/>
        <w:ind w:firstLine="1040"/>
        <w:rPr>
          <w:rFonts w:ascii="仿宋_GB2312" w:eastAsia="仿宋_GB2312"/>
          <w:color w:val="auto"/>
          <w:sz w:val="36"/>
          <w:szCs w:val="36"/>
        </w:rPr>
      </w:pPr>
    </w:p>
    <w:p w14:paraId="66690795">
      <w:pPr>
        <w:adjustRightInd w:val="0"/>
        <w:snapToGrid w:val="0"/>
        <w:spacing w:line="288" w:lineRule="auto"/>
        <w:ind w:firstLine="1040"/>
        <w:rPr>
          <w:rFonts w:ascii="仿宋_GB2312" w:eastAsia="仿宋_GB2312"/>
          <w:color w:val="auto"/>
          <w:sz w:val="36"/>
          <w:szCs w:val="36"/>
        </w:rPr>
      </w:pPr>
    </w:p>
    <w:p w14:paraId="5E2DF3A3">
      <w:pPr>
        <w:adjustRightInd w:val="0"/>
        <w:snapToGrid w:val="0"/>
        <w:spacing w:line="288" w:lineRule="auto"/>
        <w:ind w:firstLine="1040"/>
        <w:rPr>
          <w:rFonts w:ascii="仿宋_GB2312" w:eastAsia="仿宋_GB2312"/>
          <w:color w:val="auto"/>
          <w:sz w:val="36"/>
          <w:szCs w:val="36"/>
        </w:rPr>
      </w:pPr>
    </w:p>
    <w:p w14:paraId="5517323B">
      <w:pPr>
        <w:adjustRightInd w:val="0"/>
        <w:snapToGrid w:val="0"/>
        <w:spacing w:line="288" w:lineRule="auto"/>
        <w:ind w:firstLine="1040"/>
        <w:rPr>
          <w:rFonts w:ascii="仿宋_GB2312" w:eastAsia="仿宋_GB2312"/>
          <w:color w:val="auto"/>
          <w:sz w:val="36"/>
          <w:szCs w:val="36"/>
        </w:rPr>
      </w:pPr>
    </w:p>
    <w:p w14:paraId="54C59FEF">
      <w:pPr>
        <w:adjustRightInd w:val="0"/>
        <w:snapToGrid w:val="0"/>
        <w:spacing w:line="288" w:lineRule="auto"/>
        <w:ind w:firstLine="1040"/>
        <w:rPr>
          <w:rFonts w:ascii="仿宋_GB2312" w:eastAsia="仿宋_GB2312"/>
          <w:color w:val="auto"/>
          <w:sz w:val="36"/>
          <w:szCs w:val="36"/>
        </w:rPr>
      </w:pPr>
    </w:p>
    <w:bookmarkEnd w:id="0"/>
    <w:p w14:paraId="6A7EF7C6">
      <w:pPr>
        <w:adjustRightInd w:val="0"/>
        <w:snapToGrid w:val="0"/>
        <w:spacing w:line="288" w:lineRule="auto"/>
        <w:jc w:val="center"/>
        <w:rPr>
          <w:rFonts w:ascii="楷体_GB2312" w:eastAsia="楷体_GB2312"/>
          <w:color w:val="auto"/>
          <w:sz w:val="36"/>
          <w:szCs w:val="36"/>
        </w:rPr>
      </w:pPr>
      <w:r>
        <w:rPr>
          <w:rFonts w:hint="eastAsia" w:ascii="楷体_GB2312" w:eastAsia="楷体_GB2312"/>
          <w:color w:val="auto"/>
          <w:sz w:val="36"/>
          <w:szCs w:val="36"/>
        </w:rPr>
        <w:t>中华人民共和国生态环境部制</w:t>
      </w:r>
    </w:p>
    <w:p w14:paraId="2D94EF13">
      <w:pPr>
        <w:adjustRightInd w:val="0"/>
        <w:snapToGrid w:val="0"/>
        <w:spacing w:line="288" w:lineRule="auto"/>
        <w:rPr>
          <w:rFonts w:ascii="仿宋_GB2312" w:eastAsia="仿宋_GB2312"/>
          <w:color w:val="auto"/>
          <w:sz w:val="36"/>
          <w:szCs w:val="36"/>
        </w:rPr>
        <w:sectPr>
          <w:headerReference r:id="rId3" w:type="default"/>
          <w:footerReference r:id="rId4" w:type="default"/>
          <w:footerReference r:id="rId5" w:type="even"/>
          <w:pgSz w:w="11906" w:h="16838"/>
          <w:pgMar w:top="1701" w:right="1531" w:bottom="1701" w:left="1531" w:header="851" w:footer="1077" w:gutter="0"/>
          <w:pgNumType w:start="3"/>
          <w:cols w:space="720" w:num="1"/>
          <w:docGrid w:linePitch="312" w:charSpace="0"/>
        </w:sectPr>
      </w:pPr>
    </w:p>
    <w:p w14:paraId="54C24062">
      <w:pPr>
        <w:adjustRightInd w:val="0"/>
        <w:snapToGrid w:val="0"/>
        <w:spacing w:line="288" w:lineRule="auto"/>
        <w:rPr>
          <w:rFonts w:ascii="仿宋_GB2312" w:eastAsia="仿宋_GB2312"/>
          <w:color w:val="auto"/>
          <w:sz w:val="36"/>
          <w:szCs w:val="36"/>
        </w:rPr>
      </w:pPr>
    </w:p>
    <w:p w14:paraId="5F6E9E52">
      <w:pPr>
        <w:tabs>
          <w:tab w:val="left" w:pos="3690"/>
        </w:tabs>
        <w:rPr>
          <w:rFonts w:ascii="仿宋_GB2312" w:eastAsia="仿宋_GB2312"/>
          <w:color w:val="auto"/>
          <w:sz w:val="36"/>
          <w:szCs w:val="36"/>
        </w:rPr>
        <w:sectPr>
          <w:footerReference r:id="rId6" w:type="default"/>
          <w:pgSz w:w="11906" w:h="16838"/>
          <w:pgMar w:top="1701" w:right="1531" w:bottom="1701" w:left="1531" w:header="851" w:footer="1077" w:gutter="0"/>
          <w:pgNumType w:start="1"/>
          <w:cols w:space="720" w:num="1"/>
          <w:docGrid w:linePitch="312" w:charSpace="0"/>
        </w:sectPr>
      </w:pPr>
      <w:r>
        <w:rPr>
          <w:rFonts w:ascii="仿宋_GB2312" w:eastAsia="仿宋_GB2312"/>
          <w:color w:val="auto"/>
          <w:sz w:val="36"/>
          <w:szCs w:val="36"/>
        </w:rPr>
        <w:tab/>
      </w:r>
    </w:p>
    <w:p w14:paraId="59980A01">
      <w:pPr>
        <w:pStyle w:val="23"/>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一、建设项目基本情况</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475"/>
        <w:gridCol w:w="2598"/>
        <w:gridCol w:w="1916"/>
        <w:gridCol w:w="2881"/>
      </w:tblGrid>
      <w:tr w14:paraId="502019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tcMar>
              <w:top w:w="16" w:type="dxa"/>
              <w:left w:w="16" w:type="dxa"/>
              <w:right w:w="16" w:type="dxa"/>
            </w:tcMar>
            <w:vAlign w:val="center"/>
          </w:tcPr>
          <w:p w14:paraId="372D5754">
            <w:pPr>
              <w:adjustRightInd w:val="0"/>
              <w:snapToGrid w:val="0"/>
              <w:jc w:val="center"/>
              <w:rPr>
                <w:color w:val="auto"/>
                <w:sz w:val="24"/>
              </w:rPr>
            </w:pPr>
            <w:r>
              <w:rPr>
                <w:color w:val="auto"/>
                <w:sz w:val="24"/>
              </w:rPr>
              <w:t>建设项目名称</w:t>
            </w:r>
          </w:p>
        </w:tc>
        <w:tc>
          <w:tcPr>
            <w:tcW w:w="7395" w:type="dxa"/>
            <w:gridSpan w:val="3"/>
            <w:vAlign w:val="center"/>
          </w:tcPr>
          <w:p w14:paraId="0DD54A6D">
            <w:pPr>
              <w:adjustRightInd w:val="0"/>
              <w:snapToGrid w:val="0"/>
              <w:jc w:val="center"/>
              <w:rPr>
                <w:color w:val="auto"/>
                <w:sz w:val="24"/>
              </w:rPr>
            </w:pPr>
            <w:r>
              <w:rPr>
                <w:rFonts w:hint="eastAsia"/>
                <w:color w:val="auto"/>
                <w:sz w:val="24"/>
              </w:rPr>
              <w:t>包装桶生产项目</w:t>
            </w:r>
          </w:p>
        </w:tc>
      </w:tr>
      <w:tr w14:paraId="50B0AC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tcMar>
              <w:top w:w="16" w:type="dxa"/>
              <w:left w:w="16" w:type="dxa"/>
              <w:right w:w="16" w:type="dxa"/>
            </w:tcMar>
            <w:vAlign w:val="center"/>
          </w:tcPr>
          <w:p w14:paraId="2B390C7A">
            <w:pPr>
              <w:adjustRightInd w:val="0"/>
              <w:snapToGrid w:val="0"/>
              <w:jc w:val="center"/>
              <w:rPr>
                <w:color w:val="auto"/>
                <w:sz w:val="24"/>
              </w:rPr>
            </w:pPr>
            <w:r>
              <w:rPr>
                <w:color w:val="auto"/>
                <w:sz w:val="24"/>
              </w:rPr>
              <w:t>项目代码</w:t>
            </w:r>
          </w:p>
        </w:tc>
        <w:tc>
          <w:tcPr>
            <w:tcW w:w="7395" w:type="dxa"/>
            <w:gridSpan w:val="3"/>
            <w:vAlign w:val="center"/>
          </w:tcPr>
          <w:p w14:paraId="0831F341">
            <w:pPr>
              <w:adjustRightInd w:val="0"/>
              <w:snapToGrid w:val="0"/>
              <w:jc w:val="center"/>
              <w:rPr>
                <w:color w:val="auto"/>
                <w:sz w:val="24"/>
              </w:rPr>
            </w:pPr>
            <w:r>
              <w:rPr>
                <w:rFonts w:hint="eastAsia"/>
                <w:color w:val="auto"/>
                <w:sz w:val="24"/>
              </w:rPr>
              <w:t>/</w:t>
            </w:r>
          </w:p>
        </w:tc>
      </w:tr>
      <w:tr w14:paraId="6242C5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tcMar>
              <w:top w:w="16" w:type="dxa"/>
              <w:left w:w="16" w:type="dxa"/>
              <w:right w:w="16" w:type="dxa"/>
            </w:tcMar>
            <w:vAlign w:val="center"/>
          </w:tcPr>
          <w:p w14:paraId="58DE31EA">
            <w:pPr>
              <w:adjustRightInd w:val="0"/>
              <w:snapToGrid w:val="0"/>
              <w:jc w:val="center"/>
              <w:rPr>
                <w:color w:val="auto"/>
                <w:sz w:val="24"/>
              </w:rPr>
            </w:pPr>
            <w:r>
              <w:rPr>
                <w:color w:val="auto"/>
                <w:sz w:val="24"/>
              </w:rPr>
              <w:t>建设单位</w:t>
            </w:r>
          </w:p>
          <w:p w14:paraId="5E5815FC">
            <w:pPr>
              <w:adjustRightInd w:val="0"/>
              <w:snapToGrid w:val="0"/>
              <w:jc w:val="center"/>
              <w:rPr>
                <w:color w:val="auto"/>
                <w:sz w:val="24"/>
              </w:rPr>
            </w:pPr>
            <w:r>
              <w:rPr>
                <w:color w:val="auto"/>
                <w:sz w:val="24"/>
              </w:rPr>
              <w:t>联系人</w:t>
            </w:r>
          </w:p>
        </w:tc>
        <w:tc>
          <w:tcPr>
            <w:tcW w:w="2598" w:type="dxa"/>
            <w:vAlign w:val="center"/>
          </w:tcPr>
          <w:p w14:paraId="178BA806">
            <w:pPr>
              <w:adjustRightInd w:val="0"/>
              <w:snapToGrid w:val="0"/>
              <w:jc w:val="center"/>
              <w:rPr>
                <w:color w:val="auto"/>
                <w:sz w:val="24"/>
              </w:rPr>
            </w:pPr>
            <w:r>
              <w:rPr>
                <w:rFonts w:hint="eastAsia"/>
                <w:color w:val="auto"/>
                <w:sz w:val="24"/>
              </w:rPr>
              <w:t>吴骏</w:t>
            </w:r>
          </w:p>
        </w:tc>
        <w:tc>
          <w:tcPr>
            <w:tcW w:w="1916" w:type="dxa"/>
            <w:vAlign w:val="center"/>
          </w:tcPr>
          <w:p w14:paraId="2FE5E151">
            <w:pPr>
              <w:adjustRightInd w:val="0"/>
              <w:snapToGrid w:val="0"/>
              <w:jc w:val="center"/>
              <w:rPr>
                <w:color w:val="auto"/>
                <w:sz w:val="24"/>
              </w:rPr>
            </w:pPr>
            <w:r>
              <w:rPr>
                <w:color w:val="auto"/>
                <w:sz w:val="24"/>
              </w:rPr>
              <w:t>联系方式</w:t>
            </w:r>
          </w:p>
        </w:tc>
        <w:tc>
          <w:tcPr>
            <w:tcW w:w="2881" w:type="dxa"/>
            <w:vAlign w:val="center"/>
          </w:tcPr>
          <w:p w14:paraId="465E7A30">
            <w:pPr>
              <w:adjustRightInd w:val="0"/>
              <w:snapToGrid w:val="0"/>
              <w:jc w:val="center"/>
              <w:rPr>
                <w:color w:val="auto"/>
                <w:sz w:val="24"/>
              </w:rPr>
            </w:pPr>
            <w:r>
              <w:rPr>
                <w:rFonts w:hint="eastAsia"/>
                <w:color w:val="auto"/>
                <w:sz w:val="24"/>
              </w:rPr>
              <w:t>18109286665</w:t>
            </w:r>
          </w:p>
        </w:tc>
      </w:tr>
      <w:tr w14:paraId="7933F7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tcMar>
              <w:top w:w="16" w:type="dxa"/>
              <w:left w:w="16" w:type="dxa"/>
              <w:right w:w="16" w:type="dxa"/>
            </w:tcMar>
            <w:vAlign w:val="center"/>
          </w:tcPr>
          <w:p w14:paraId="57EF65E3">
            <w:pPr>
              <w:adjustRightInd w:val="0"/>
              <w:snapToGrid w:val="0"/>
              <w:jc w:val="center"/>
              <w:rPr>
                <w:color w:val="auto"/>
                <w:sz w:val="24"/>
              </w:rPr>
            </w:pPr>
            <w:r>
              <w:rPr>
                <w:color w:val="auto"/>
                <w:sz w:val="24"/>
              </w:rPr>
              <w:t>建设地点</w:t>
            </w:r>
          </w:p>
        </w:tc>
        <w:tc>
          <w:tcPr>
            <w:tcW w:w="7395" w:type="dxa"/>
            <w:gridSpan w:val="3"/>
            <w:vAlign w:val="center"/>
          </w:tcPr>
          <w:p w14:paraId="4CB4EB13">
            <w:pPr>
              <w:adjustRightInd w:val="0"/>
              <w:snapToGrid w:val="0"/>
              <w:jc w:val="center"/>
              <w:rPr>
                <w:color w:val="auto"/>
                <w:sz w:val="24"/>
              </w:rPr>
            </w:pPr>
            <w:r>
              <w:rPr>
                <w:rFonts w:hint="eastAsia"/>
                <w:color w:val="auto"/>
                <w:sz w:val="24"/>
              </w:rPr>
              <w:t>西咸新区沣东新城斗门街道花园村村东</w:t>
            </w:r>
          </w:p>
        </w:tc>
      </w:tr>
      <w:tr w14:paraId="663E1C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tcMar>
              <w:top w:w="16" w:type="dxa"/>
              <w:left w:w="16" w:type="dxa"/>
              <w:right w:w="16" w:type="dxa"/>
            </w:tcMar>
            <w:vAlign w:val="center"/>
          </w:tcPr>
          <w:p w14:paraId="4B1CF466">
            <w:pPr>
              <w:adjustRightInd w:val="0"/>
              <w:snapToGrid w:val="0"/>
              <w:jc w:val="center"/>
              <w:rPr>
                <w:color w:val="auto"/>
                <w:sz w:val="24"/>
              </w:rPr>
            </w:pPr>
            <w:r>
              <w:rPr>
                <w:color w:val="auto"/>
                <w:sz w:val="24"/>
              </w:rPr>
              <w:t>地理坐标</w:t>
            </w:r>
          </w:p>
        </w:tc>
        <w:tc>
          <w:tcPr>
            <w:tcW w:w="7395" w:type="dxa"/>
            <w:gridSpan w:val="3"/>
            <w:vAlign w:val="center"/>
          </w:tcPr>
          <w:p w14:paraId="739BF899">
            <w:pPr>
              <w:jc w:val="center"/>
              <w:rPr>
                <w:color w:val="auto"/>
                <w:sz w:val="24"/>
              </w:rPr>
            </w:pPr>
            <w:r>
              <w:rPr>
                <w:color w:val="auto"/>
                <w:sz w:val="24"/>
              </w:rPr>
              <w:t>（</w:t>
            </w:r>
            <w:r>
              <w:rPr>
                <w:rFonts w:hint="eastAsia"/>
                <w:color w:val="auto"/>
                <w:sz w:val="24"/>
              </w:rPr>
              <w:t>东经</w:t>
            </w:r>
            <w:r>
              <w:rPr>
                <w:color w:val="auto"/>
                <w:sz w:val="24"/>
              </w:rPr>
              <w:t>108度</w:t>
            </w:r>
            <w:r>
              <w:rPr>
                <w:rFonts w:hint="eastAsia"/>
                <w:color w:val="auto"/>
                <w:sz w:val="24"/>
              </w:rPr>
              <w:t>45</w:t>
            </w:r>
            <w:r>
              <w:rPr>
                <w:color w:val="auto"/>
                <w:sz w:val="24"/>
              </w:rPr>
              <w:t>分</w:t>
            </w:r>
            <w:r>
              <w:rPr>
                <w:rFonts w:hint="eastAsia"/>
                <w:color w:val="auto"/>
                <w:sz w:val="24"/>
              </w:rPr>
              <w:t>49.236</w:t>
            </w:r>
            <w:r>
              <w:rPr>
                <w:color w:val="auto"/>
                <w:sz w:val="24"/>
              </w:rPr>
              <w:t>秒，</w:t>
            </w:r>
            <w:r>
              <w:rPr>
                <w:rFonts w:hint="eastAsia"/>
                <w:color w:val="auto"/>
                <w:sz w:val="24"/>
              </w:rPr>
              <w:t>北纬34</w:t>
            </w:r>
            <w:r>
              <w:rPr>
                <w:color w:val="auto"/>
                <w:sz w:val="24"/>
              </w:rPr>
              <w:t>度</w:t>
            </w:r>
            <w:r>
              <w:rPr>
                <w:rFonts w:hint="eastAsia"/>
                <w:color w:val="auto"/>
                <w:sz w:val="24"/>
              </w:rPr>
              <w:t>13</w:t>
            </w:r>
            <w:r>
              <w:rPr>
                <w:color w:val="auto"/>
                <w:sz w:val="24"/>
              </w:rPr>
              <w:t>分</w:t>
            </w:r>
            <w:r>
              <w:rPr>
                <w:rFonts w:hint="eastAsia"/>
                <w:color w:val="auto"/>
                <w:sz w:val="24"/>
              </w:rPr>
              <w:t>33.490</w:t>
            </w:r>
            <w:r>
              <w:rPr>
                <w:color w:val="auto"/>
                <w:sz w:val="24"/>
              </w:rPr>
              <w:t>秒）</w:t>
            </w:r>
          </w:p>
        </w:tc>
      </w:tr>
      <w:tr w14:paraId="068335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475" w:type="dxa"/>
            <w:tcMar>
              <w:top w:w="16" w:type="dxa"/>
              <w:left w:w="16" w:type="dxa"/>
              <w:right w:w="16" w:type="dxa"/>
            </w:tcMar>
            <w:vAlign w:val="center"/>
          </w:tcPr>
          <w:p w14:paraId="30B34716">
            <w:pPr>
              <w:adjustRightInd w:val="0"/>
              <w:snapToGrid w:val="0"/>
              <w:jc w:val="center"/>
              <w:rPr>
                <w:color w:val="auto"/>
                <w:sz w:val="24"/>
              </w:rPr>
            </w:pPr>
            <w:r>
              <w:rPr>
                <w:color w:val="auto"/>
                <w:sz w:val="24"/>
              </w:rPr>
              <w:t>国民经济</w:t>
            </w:r>
          </w:p>
          <w:p w14:paraId="51A51860">
            <w:pPr>
              <w:adjustRightInd w:val="0"/>
              <w:snapToGrid w:val="0"/>
              <w:jc w:val="center"/>
              <w:rPr>
                <w:color w:val="auto"/>
                <w:sz w:val="24"/>
              </w:rPr>
            </w:pPr>
            <w:r>
              <w:rPr>
                <w:color w:val="auto"/>
                <w:sz w:val="24"/>
              </w:rPr>
              <w:t>行业类别</w:t>
            </w:r>
          </w:p>
        </w:tc>
        <w:tc>
          <w:tcPr>
            <w:tcW w:w="2598" w:type="dxa"/>
            <w:vAlign w:val="center"/>
          </w:tcPr>
          <w:p w14:paraId="60153AD7">
            <w:pPr>
              <w:adjustRightInd w:val="0"/>
              <w:snapToGrid w:val="0"/>
              <w:jc w:val="center"/>
              <w:rPr>
                <w:color w:val="auto"/>
                <w:sz w:val="24"/>
              </w:rPr>
            </w:pPr>
            <w:r>
              <w:rPr>
                <w:rFonts w:hint="eastAsia"/>
                <w:color w:val="auto"/>
                <w:sz w:val="24"/>
              </w:rPr>
              <w:t>C2926塑料包装箱及容器制造</w:t>
            </w:r>
          </w:p>
        </w:tc>
        <w:tc>
          <w:tcPr>
            <w:tcW w:w="1916" w:type="dxa"/>
            <w:vAlign w:val="center"/>
          </w:tcPr>
          <w:p w14:paraId="1457F8D1">
            <w:pPr>
              <w:adjustRightInd w:val="0"/>
              <w:snapToGrid w:val="0"/>
              <w:jc w:val="center"/>
              <w:rPr>
                <w:color w:val="auto"/>
                <w:sz w:val="24"/>
              </w:rPr>
            </w:pPr>
            <w:r>
              <w:rPr>
                <w:color w:val="auto"/>
                <w:sz w:val="24"/>
              </w:rPr>
              <w:t>建设项目</w:t>
            </w:r>
          </w:p>
          <w:p w14:paraId="2027BA96">
            <w:pPr>
              <w:adjustRightInd w:val="0"/>
              <w:snapToGrid w:val="0"/>
              <w:jc w:val="center"/>
              <w:rPr>
                <w:color w:val="auto"/>
                <w:sz w:val="24"/>
              </w:rPr>
            </w:pPr>
            <w:r>
              <w:rPr>
                <w:color w:val="auto"/>
                <w:sz w:val="24"/>
              </w:rPr>
              <w:t>行业类别</w:t>
            </w:r>
          </w:p>
        </w:tc>
        <w:tc>
          <w:tcPr>
            <w:tcW w:w="2881" w:type="dxa"/>
            <w:vAlign w:val="center"/>
          </w:tcPr>
          <w:p w14:paraId="39CCD9DD">
            <w:pPr>
              <w:adjustRightInd w:val="0"/>
              <w:snapToGrid w:val="0"/>
              <w:rPr>
                <w:color w:val="auto"/>
                <w:sz w:val="24"/>
              </w:rPr>
            </w:pPr>
            <w:r>
              <w:rPr>
                <w:rFonts w:hint="eastAsia"/>
                <w:color w:val="auto"/>
                <w:sz w:val="24"/>
              </w:rPr>
              <w:t>二十六、橡胶和塑料制品业 29-53.塑料制品业292-其他；</w:t>
            </w:r>
          </w:p>
        </w:tc>
      </w:tr>
      <w:tr w14:paraId="54DF7B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475" w:type="dxa"/>
            <w:tcMar>
              <w:top w:w="16" w:type="dxa"/>
              <w:left w:w="16" w:type="dxa"/>
              <w:right w:w="16" w:type="dxa"/>
            </w:tcMar>
            <w:vAlign w:val="center"/>
          </w:tcPr>
          <w:p w14:paraId="3A39659A">
            <w:pPr>
              <w:adjustRightInd w:val="0"/>
              <w:snapToGrid w:val="0"/>
              <w:jc w:val="center"/>
              <w:rPr>
                <w:color w:val="auto"/>
                <w:sz w:val="24"/>
              </w:rPr>
            </w:pPr>
            <w:r>
              <w:rPr>
                <w:color w:val="auto"/>
                <w:sz w:val="24"/>
              </w:rPr>
              <w:t>建设性质</w:t>
            </w:r>
          </w:p>
        </w:tc>
        <w:tc>
          <w:tcPr>
            <w:tcW w:w="2598" w:type="dxa"/>
            <w:vAlign w:val="center"/>
          </w:tcPr>
          <w:p w14:paraId="6035D69C">
            <w:pPr>
              <w:jc w:val="left"/>
              <w:rPr>
                <w:color w:val="auto"/>
                <w:sz w:val="24"/>
              </w:rPr>
            </w:pPr>
            <w:r>
              <w:rPr>
                <w:color w:val="auto"/>
                <w:sz w:val="24"/>
              </w:rPr>
              <w:sym w:font="Wingdings 2" w:char="00A3"/>
            </w:r>
            <w:r>
              <w:rPr>
                <w:color w:val="auto"/>
                <w:sz w:val="24"/>
              </w:rPr>
              <w:t>新建</w:t>
            </w:r>
          </w:p>
          <w:p w14:paraId="29881A08">
            <w:pPr>
              <w:jc w:val="left"/>
              <w:rPr>
                <w:color w:val="auto"/>
                <w:sz w:val="24"/>
              </w:rPr>
            </w:pPr>
            <w:r>
              <w:rPr>
                <w:color w:val="auto"/>
                <w:sz w:val="24"/>
              </w:rPr>
              <w:sym w:font="Wingdings 2" w:char="00A3"/>
            </w:r>
            <w:r>
              <w:rPr>
                <w:color w:val="auto"/>
                <w:sz w:val="24"/>
              </w:rPr>
              <w:t>改建</w:t>
            </w:r>
          </w:p>
          <w:p w14:paraId="3BB3A8D0">
            <w:pPr>
              <w:jc w:val="left"/>
              <w:rPr>
                <w:color w:val="auto"/>
                <w:sz w:val="24"/>
              </w:rPr>
            </w:pPr>
            <w:r>
              <w:rPr>
                <w:color w:val="auto"/>
                <w:sz w:val="24"/>
              </w:rPr>
              <w:sym w:font="Wingdings 2" w:char="0052"/>
            </w:r>
            <w:r>
              <w:rPr>
                <w:color w:val="auto"/>
                <w:sz w:val="24"/>
              </w:rPr>
              <w:t>扩建</w:t>
            </w:r>
          </w:p>
          <w:p w14:paraId="395A7681">
            <w:pPr>
              <w:jc w:val="left"/>
              <w:rPr>
                <w:color w:val="auto"/>
                <w:sz w:val="24"/>
              </w:rPr>
            </w:pPr>
            <w:r>
              <w:rPr>
                <w:color w:val="auto"/>
                <w:sz w:val="24"/>
              </w:rPr>
              <w:sym w:font="Wingdings 2" w:char="00A3"/>
            </w:r>
            <w:r>
              <w:rPr>
                <w:color w:val="auto"/>
                <w:sz w:val="24"/>
              </w:rPr>
              <w:t>技术改造</w:t>
            </w:r>
          </w:p>
        </w:tc>
        <w:tc>
          <w:tcPr>
            <w:tcW w:w="1916" w:type="dxa"/>
            <w:vAlign w:val="center"/>
          </w:tcPr>
          <w:p w14:paraId="102C55DC">
            <w:pPr>
              <w:adjustRightInd w:val="0"/>
              <w:snapToGrid w:val="0"/>
              <w:jc w:val="center"/>
              <w:rPr>
                <w:color w:val="auto"/>
                <w:sz w:val="24"/>
              </w:rPr>
            </w:pPr>
            <w:r>
              <w:rPr>
                <w:color w:val="auto"/>
                <w:sz w:val="24"/>
              </w:rPr>
              <w:t>建设项目</w:t>
            </w:r>
          </w:p>
          <w:p w14:paraId="1E5AA9B8">
            <w:pPr>
              <w:adjustRightInd w:val="0"/>
              <w:snapToGrid w:val="0"/>
              <w:jc w:val="center"/>
              <w:rPr>
                <w:color w:val="auto"/>
                <w:sz w:val="24"/>
              </w:rPr>
            </w:pPr>
            <w:r>
              <w:rPr>
                <w:color w:val="auto"/>
                <w:sz w:val="24"/>
              </w:rPr>
              <w:t>申报情形</w:t>
            </w:r>
          </w:p>
        </w:tc>
        <w:tc>
          <w:tcPr>
            <w:tcW w:w="2881" w:type="dxa"/>
            <w:vAlign w:val="center"/>
          </w:tcPr>
          <w:p w14:paraId="61E65D03">
            <w:pPr>
              <w:jc w:val="left"/>
              <w:rPr>
                <w:color w:val="auto"/>
                <w:sz w:val="24"/>
              </w:rPr>
            </w:pPr>
            <w:r>
              <w:rPr>
                <w:color w:val="auto"/>
                <w:sz w:val="24"/>
              </w:rPr>
              <w:sym w:font="Wingdings 2" w:char="0052"/>
            </w:r>
            <w:r>
              <w:rPr>
                <w:color w:val="auto"/>
                <w:sz w:val="24"/>
              </w:rPr>
              <w:t>首次申报项目</w:t>
            </w:r>
          </w:p>
          <w:p w14:paraId="4980DB1D">
            <w:pPr>
              <w:jc w:val="left"/>
              <w:rPr>
                <w:color w:val="auto"/>
                <w:sz w:val="24"/>
              </w:rPr>
            </w:pPr>
            <w:r>
              <w:rPr>
                <w:color w:val="auto"/>
                <w:sz w:val="24"/>
              </w:rPr>
              <w:sym w:font="Wingdings 2" w:char="00A3"/>
            </w:r>
            <w:r>
              <w:rPr>
                <w:color w:val="auto"/>
                <w:sz w:val="24"/>
              </w:rPr>
              <w:t>不予批准后再次申报项目</w:t>
            </w:r>
          </w:p>
          <w:p w14:paraId="29969134">
            <w:pPr>
              <w:jc w:val="left"/>
              <w:rPr>
                <w:color w:val="auto"/>
                <w:sz w:val="24"/>
              </w:rPr>
            </w:pPr>
            <w:r>
              <w:rPr>
                <w:color w:val="auto"/>
                <w:sz w:val="24"/>
              </w:rPr>
              <w:sym w:font="Wingdings 2" w:char="00A3"/>
            </w:r>
            <w:r>
              <w:rPr>
                <w:color w:val="auto"/>
                <w:sz w:val="24"/>
              </w:rPr>
              <w:t>超五年重新审核项目</w:t>
            </w:r>
          </w:p>
          <w:p w14:paraId="07FAA762">
            <w:pPr>
              <w:jc w:val="left"/>
              <w:rPr>
                <w:color w:val="auto"/>
                <w:sz w:val="24"/>
              </w:rPr>
            </w:pPr>
            <w:r>
              <w:rPr>
                <w:color w:val="auto"/>
                <w:sz w:val="24"/>
              </w:rPr>
              <w:sym w:font="Wingdings 2" w:char="00A3"/>
            </w:r>
            <w:r>
              <w:rPr>
                <w:color w:val="auto"/>
                <w:sz w:val="24"/>
              </w:rPr>
              <w:t>重大变动重新报批项目</w:t>
            </w:r>
          </w:p>
        </w:tc>
      </w:tr>
      <w:tr w14:paraId="420486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475" w:type="dxa"/>
            <w:tcMar>
              <w:top w:w="16" w:type="dxa"/>
              <w:left w:w="16" w:type="dxa"/>
              <w:right w:w="16" w:type="dxa"/>
            </w:tcMar>
            <w:vAlign w:val="center"/>
          </w:tcPr>
          <w:p w14:paraId="731F7BF1">
            <w:pPr>
              <w:adjustRightInd w:val="0"/>
              <w:snapToGrid w:val="0"/>
              <w:jc w:val="center"/>
              <w:rPr>
                <w:color w:val="auto"/>
                <w:sz w:val="24"/>
              </w:rPr>
            </w:pPr>
            <w:r>
              <w:rPr>
                <w:color w:val="auto"/>
                <w:sz w:val="24"/>
              </w:rPr>
              <w:t>项目审批（核准/备案）部门（选填）</w:t>
            </w:r>
          </w:p>
        </w:tc>
        <w:tc>
          <w:tcPr>
            <w:tcW w:w="2598" w:type="dxa"/>
            <w:vAlign w:val="center"/>
          </w:tcPr>
          <w:p w14:paraId="230071A8">
            <w:pPr>
              <w:adjustRightInd w:val="0"/>
              <w:snapToGrid w:val="0"/>
              <w:jc w:val="center"/>
              <w:rPr>
                <w:color w:val="auto"/>
                <w:sz w:val="24"/>
              </w:rPr>
            </w:pPr>
            <w:r>
              <w:rPr>
                <w:rFonts w:hint="eastAsia"/>
                <w:color w:val="auto"/>
                <w:sz w:val="24"/>
              </w:rPr>
              <w:t>/</w:t>
            </w:r>
          </w:p>
        </w:tc>
        <w:tc>
          <w:tcPr>
            <w:tcW w:w="1916" w:type="dxa"/>
            <w:vAlign w:val="center"/>
          </w:tcPr>
          <w:p w14:paraId="5FFB9427">
            <w:pPr>
              <w:adjustRightInd w:val="0"/>
              <w:snapToGrid w:val="0"/>
              <w:jc w:val="center"/>
              <w:rPr>
                <w:color w:val="auto"/>
                <w:sz w:val="24"/>
              </w:rPr>
            </w:pPr>
            <w:r>
              <w:rPr>
                <w:color w:val="auto"/>
                <w:sz w:val="24"/>
              </w:rPr>
              <w:t>项目审批（核准/</w:t>
            </w:r>
          </w:p>
          <w:p w14:paraId="36347760">
            <w:pPr>
              <w:adjustRightInd w:val="0"/>
              <w:snapToGrid w:val="0"/>
              <w:jc w:val="center"/>
              <w:rPr>
                <w:color w:val="auto"/>
                <w:sz w:val="24"/>
              </w:rPr>
            </w:pPr>
            <w:r>
              <w:rPr>
                <w:color w:val="auto"/>
                <w:sz w:val="24"/>
              </w:rPr>
              <w:t>备案）文号（选填）</w:t>
            </w:r>
          </w:p>
        </w:tc>
        <w:tc>
          <w:tcPr>
            <w:tcW w:w="2881" w:type="dxa"/>
            <w:vAlign w:val="center"/>
          </w:tcPr>
          <w:p w14:paraId="4C288339">
            <w:pPr>
              <w:adjustRightInd w:val="0"/>
              <w:snapToGrid w:val="0"/>
              <w:jc w:val="center"/>
              <w:rPr>
                <w:color w:val="auto"/>
                <w:sz w:val="24"/>
              </w:rPr>
            </w:pPr>
            <w:r>
              <w:rPr>
                <w:rFonts w:hint="eastAsia"/>
                <w:color w:val="auto"/>
                <w:sz w:val="24"/>
              </w:rPr>
              <w:t>/</w:t>
            </w:r>
          </w:p>
        </w:tc>
      </w:tr>
      <w:tr w14:paraId="41A7D8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tcMar>
              <w:top w:w="16" w:type="dxa"/>
              <w:left w:w="16" w:type="dxa"/>
              <w:right w:w="16" w:type="dxa"/>
            </w:tcMar>
            <w:vAlign w:val="center"/>
          </w:tcPr>
          <w:p w14:paraId="11965993">
            <w:pPr>
              <w:adjustRightInd w:val="0"/>
              <w:snapToGrid w:val="0"/>
              <w:jc w:val="center"/>
              <w:rPr>
                <w:color w:val="auto"/>
                <w:sz w:val="24"/>
              </w:rPr>
            </w:pPr>
            <w:r>
              <w:rPr>
                <w:color w:val="auto"/>
                <w:sz w:val="24"/>
              </w:rPr>
              <w:t>总投资（万元）</w:t>
            </w:r>
          </w:p>
        </w:tc>
        <w:tc>
          <w:tcPr>
            <w:tcW w:w="2598" w:type="dxa"/>
            <w:vAlign w:val="center"/>
          </w:tcPr>
          <w:p w14:paraId="11FE3C45">
            <w:pPr>
              <w:adjustRightInd w:val="0"/>
              <w:snapToGrid w:val="0"/>
              <w:jc w:val="center"/>
              <w:rPr>
                <w:color w:val="auto"/>
                <w:sz w:val="24"/>
              </w:rPr>
            </w:pPr>
            <w:r>
              <w:rPr>
                <w:rFonts w:hint="eastAsia"/>
                <w:color w:val="auto"/>
                <w:sz w:val="24"/>
              </w:rPr>
              <w:t>1000</w:t>
            </w:r>
          </w:p>
        </w:tc>
        <w:tc>
          <w:tcPr>
            <w:tcW w:w="1916" w:type="dxa"/>
            <w:tcMar>
              <w:top w:w="16" w:type="dxa"/>
              <w:left w:w="16" w:type="dxa"/>
              <w:right w:w="16" w:type="dxa"/>
            </w:tcMar>
            <w:vAlign w:val="center"/>
          </w:tcPr>
          <w:p w14:paraId="19BF7288">
            <w:pPr>
              <w:adjustRightInd w:val="0"/>
              <w:snapToGrid w:val="0"/>
              <w:jc w:val="center"/>
              <w:rPr>
                <w:color w:val="auto"/>
                <w:sz w:val="24"/>
              </w:rPr>
            </w:pPr>
            <w:r>
              <w:rPr>
                <w:color w:val="auto"/>
                <w:sz w:val="24"/>
              </w:rPr>
              <w:t>环保投资（万元）</w:t>
            </w:r>
          </w:p>
        </w:tc>
        <w:tc>
          <w:tcPr>
            <w:tcW w:w="2881" w:type="dxa"/>
            <w:vAlign w:val="center"/>
          </w:tcPr>
          <w:p w14:paraId="2843D47B">
            <w:pPr>
              <w:adjustRightInd w:val="0"/>
              <w:snapToGrid w:val="0"/>
              <w:jc w:val="center"/>
              <w:rPr>
                <w:rFonts w:hint="default" w:eastAsia="宋体"/>
                <w:color w:val="auto"/>
                <w:sz w:val="24"/>
                <w:lang w:val="en-US" w:eastAsia="zh-CN"/>
              </w:rPr>
            </w:pPr>
            <w:r>
              <w:rPr>
                <w:rFonts w:hint="eastAsia"/>
                <w:color w:val="auto"/>
                <w:sz w:val="24"/>
                <w:lang w:val="en-US" w:eastAsia="zh-CN"/>
              </w:rPr>
              <w:t>33</w:t>
            </w:r>
          </w:p>
        </w:tc>
      </w:tr>
      <w:tr w14:paraId="458328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tcMar>
              <w:top w:w="16" w:type="dxa"/>
              <w:left w:w="16" w:type="dxa"/>
              <w:right w:w="16" w:type="dxa"/>
            </w:tcMar>
            <w:vAlign w:val="center"/>
          </w:tcPr>
          <w:p w14:paraId="505BB67C">
            <w:pPr>
              <w:adjustRightInd w:val="0"/>
              <w:snapToGrid w:val="0"/>
              <w:jc w:val="center"/>
              <w:rPr>
                <w:color w:val="auto"/>
                <w:sz w:val="24"/>
              </w:rPr>
            </w:pPr>
            <w:r>
              <w:rPr>
                <w:color w:val="auto"/>
                <w:sz w:val="24"/>
              </w:rPr>
              <w:t>环保投资占比（%）</w:t>
            </w:r>
          </w:p>
        </w:tc>
        <w:tc>
          <w:tcPr>
            <w:tcW w:w="2598" w:type="dxa"/>
            <w:vAlign w:val="center"/>
          </w:tcPr>
          <w:p w14:paraId="63FA770B">
            <w:pPr>
              <w:adjustRightInd w:val="0"/>
              <w:snapToGrid w:val="0"/>
              <w:jc w:val="center"/>
              <w:rPr>
                <w:rFonts w:hint="eastAsia" w:eastAsia="宋体"/>
                <w:color w:val="auto"/>
                <w:sz w:val="24"/>
                <w:lang w:eastAsia="zh-CN"/>
              </w:rPr>
            </w:pPr>
            <w:r>
              <w:rPr>
                <w:rFonts w:hint="eastAsia"/>
                <w:color w:val="auto"/>
                <w:sz w:val="24"/>
              </w:rPr>
              <w:t>3.</w:t>
            </w:r>
            <w:r>
              <w:rPr>
                <w:rFonts w:hint="eastAsia"/>
                <w:color w:val="auto"/>
                <w:sz w:val="24"/>
                <w:lang w:val="en-US" w:eastAsia="zh-CN"/>
              </w:rPr>
              <w:t>3</w:t>
            </w:r>
          </w:p>
        </w:tc>
        <w:tc>
          <w:tcPr>
            <w:tcW w:w="1916" w:type="dxa"/>
            <w:tcMar>
              <w:top w:w="16" w:type="dxa"/>
              <w:left w:w="16" w:type="dxa"/>
              <w:right w:w="16" w:type="dxa"/>
            </w:tcMar>
            <w:vAlign w:val="center"/>
          </w:tcPr>
          <w:p w14:paraId="10E10F2E">
            <w:pPr>
              <w:adjustRightInd w:val="0"/>
              <w:snapToGrid w:val="0"/>
              <w:jc w:val="center"/>
              <w:rPr>
                <w:color w:val="auto"/>
                <w:sz w:val="24"/>
              </w:rPr>
            </w:pPr>
            <w:r>
              <w:rPr>
                <w:color w:val="auto"/>
                <w:sz w:val="24"/>
              </w:rPr>
              <w:t>施工工期</w:t>
            </w:r>
          </w:p>
        </w:tc>
        <w:tc>
          <w:tcPr>
            <w:tcW w:w="2881" w:type="dxa"/>
            <w:vAlign w:val="center"/>
          </w:tcPr>
          <w:p w14:paraId="6D2A796C">
            <w:pPr>
              <w:adjustRightInd w:val="0"/>
              <w:snapToGrid w:val="0"/>
              <w:jc w:val="center"/>
              <w:rPr>
                <w:color w:val="auto"/>
                <w:sz w:val="24"/>
              </w:rPr>
            </w:pPr>
            <w:r>
              <w:rPr>
                <w:rFonts w:hint="eastAsia"/>
                <w:color w:val="auto"/>
                <w:sz w:val="24"/>
              </w:rPr>
              <w:t>1个月（2</w:t>
            </w:r>
            <w:bookmarkStart w:id="41" w:name="_GoBack"/>
            <w:bookmarkEnd w:id="41"/>
            <w:r>
              <w:rPr>
                <w:rFonts w:hint="eastAsia"/>
                <w:color w:val="auto"/>
                <w:sz w:val="24"/>
              </w:rPr>
              <w:t>025.</w:t>
            </w:r>
            <w:r>
              <w:rPr>
                <w:rFonts w:hint="eastAsia"/>
                <w:color w:val="auto"/>
                <w:sz w:val="24"/>
                <w:lang w:val="en-US" w:eastAsia="zh-CN"/>
              </w:rPr>
              <w:t>5</w:t>
            </w:r>
            <w:r>
              <w:rPr>
                <w:rFonts w:hint="eastAsia"/>
                <w:color w:val="auto"/>
                <w:sz w:val="24"/>
              </w:rPr>
              <w:t>.1-2025.</w:t>
            </w:r>
            <w:r>
              <w:rPr>
                <w:rFonts w:hint="eastAsia"/>
                <w:color w:val="auto"/>
                <w:sz w:val="24"/>
                <w:lang w:val="en-US" w:eastAsia="zh-CN"/>
              </w:rPr>
              <w:t>5</w:t>
            </w:r>
            <w:r>
              <w:rPr>
                <w:rFonts w:hint="eastAsia"/>
                <w:color w:val="auto"/>
                <w:sz w:val="24"/>
              </w:rPr>
              <w:t>.31）</w:t>
            </w:r>
          </w:p>
        </w:tc>
      </w:tr>
      <w:tr w14:paraId="275604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tcMar>
              <w:top w:w="16" w:type="dxa"/>
              <w:left w:w="16" w:type="dxa"/>
              <w:right w:w="16" w:type="dxa"/>
            </w:tcMar>
            <w:vAlign w:val="center"/>
          </w:tcPr>
          <w:p w14:paraId="6CCCE65D">
            <w:pPr>
              <w:adjustRightInd w:val="0"/>
              <w:snapToGrid w:val="0"/>
              <w:jc w:val="center"/>
              <w:rPr>
                <w:color w:val="auto"/>
                <w:sz w:val="24"/>
              </w:rPr>
            </w:pPr>
            <w:r>
              <w:rPr>
                <w:color w:val="auto"/>
                <w:sz w:val="24"/>
              </w:rPr>
              <w:t>是否开工建设</w:t>
            </w:r>
          </w:p>
        </w:tc>
        <w:tc>
          <w:tcPr>
            <w:tcW w:w="2598" w:type="dxa"/>
            <w:vAlign w:val="center"/>
          </w:tcPr>
          <w:p w14:paraId="1BB75FAE">
            <w:pPr>
              <w:adjustRightInd w:val="0"/>
              <w:snapToGrid w:val="0"/>
              <w:rPr>
                <w:color w:val="auto"/>
                <w:sz w:val="24"/>
              </w:rPr>
            </w:pPr>
            <w:r>
              <w:rPr>
                <w:color w:val="auto"/>
                <w:sz w:val="24"/>
              </w:rPr>
              <w:sym w:font="Wingdings 2" w:char="0052"/>
            </w:r>
            <w:r>
              <w:rPr>
                <w:color w:val="auto"/>
                <w:sz w:val="24"/>
              </w:rPr>
              <w:t>否</w:t>
            </w:r>
          </w:p>
          <w:p w14:paraId="184616AA">
            <w:pPr>
              <w:adjustRightInd w:val="0"/>
              <w:snapToGrid w:val="0"/>
              <w:rPr>
                <w:color w:val="auto"/>
                <w:sz w:val="24"/>
              </w:rPr>
            </w:pPr>
            <w:r>
              <w:rPr>
                <w:color w:val="auto"/>
                <w:sz w:val="24"/>
              </w:rPr>
              <w:sym w:font="Wingdings 2" w:char="00A3"/>
            </w:r>
            <w:r>
              <w:rPr>
                <w:color w:val="auto"/>
                <w:sz w:val="24"/>
              </w:rPr>
              <w:t>是：</w:t>
            </w:r>
          </w:p>
        </w:tc>
        <w:tc>
          <w:tcPr>
            <w:tcW w:w="1916" w:type="dxa"/>
            <w:tcMar>
              <w:top w:w="16" w:type="dxa"/>
              <w:left w:w="16" w:type="dxa"/>
              <w:right w:w="16" w:type="dxa"/>
            </w:tcMar>
            <w:vAlign w:val="center"/>
          </w:tcPr>
          <w:p w14:paraId="0888CAC4">
            <w:pPr>
              <w:adjustRightInd w:val="0"/>
              <w:snapToGrid w:val="0"/>
              <w:jc w:val="center"/>
              <w:rPr>
                <w:color w:val="auto"/>
                <w:sz w:val="24"/>
              </w:rPr>
            </w:pPr>
            <w:r>
              <w:rPr>
                <w:color w:val="auto"/>
                <w:spacing w:val="-6"/>
                <w:sz w:val="24"/>
              </w:rPr>
              <w:t>用地面积（m</w:t>
            </w:r>
            <w:r>
              <w:rPr>
                <w:color w:val="auto"/>
                <w:spacing w:val="-6"/>
                <w:sz w:val="24"/>
                <w:vertAlign w:val="superscript"/>
              </w:rPr>
              <w:t>2</w:t>
            </w:r>
            <w:r>
              <w:rPr>
                <w:color w:val="auto"/>
                <w:spacing w:val="-6"/>
                <w:sz w:val="24"/>
              </w:rPr>
              <w:t>）</w:t>
            </w:r>
          </w:p>
        </w:tc>
        <w:tc>
          <w:tcPr>
            <w:tcW w:w="2881" w:type="dxa"/>
            <w:vAlign w:val="center"/>
          </w:tcPr>
          <w:p w14:paraId="68EEB06E">
            <w:pPr>
              <w:adjustRightInd w:val="0"/>
              <w:snapToGrid w:val="0"/>
              <w:jc w:val="center"/>
              <w:rPr>
                <w:rFonts w:hint="default" w:eastAsia="宋体"/>
                <w:color w:val="auto"/>
                <w:sz w:val="24"/>
                <w:lang w:val="en-US" w:eastAsia="zh-CN"/>
              </w:rPr>
            </w:pPr>
            <w:r>
              <w:rPr>
                <w:rFonts w:hint="eastAsia"/>
                <w:color w:val="auto"/>
                <w:sz w:val="24"/>
                <w:lang w:val="en-US" w:eastAsia="zh-CN"/>
              </w:rPr>
              <w:t>/</w:t>
            </w:r>
          </w:p>
        </w:tc>
      </w:tr>
      <w:tr w14:paraId="03A6BF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475" w:type="dxa"/>
            <w:vAlign w:val="center"/>
          </w:tcPr>
          <w:p w14:paraId="3948C093">
            <w:pPr>
              <w:autoSpaceDE w:val="0"/>
              <w:autoSpaceDN w:val="0"/>
              <w:adjustRightInd w:val="0"/>
              <w:snapToGrid w:val="0"/>
              <w:jc w:val="center"/>
              <w:rPr>
                <w:color w:val="auto"/>
                <w:kern w:val="0"/>
                <w:sz w:val="24"/>
              </w:rPr>
            </w:pPr>
            <w:r>
              <w:rPr>
                <w:color w:val="auto"/>
                <w:kern w:val="0"/>
                <w:sz w:val="24"/>
              </w:rPr>
              <w:t>专项评价设置情况</w:t>
            </w:r>
          </w:p>
        </w:tc>
        <w:tc>
          <w:tcPr>
            <w:tcW w:w="7395" w:type="dxa"/>
            <w:gridSpan w:val="3"/>
            <w:vAlign w:val="center"/>
          </w:tcPr>
          <w:p w14:paraId="43FD8702">
            <w:pPr>
              <w:spacing w:before="120" w:beforeLines="50"/>
              <w:ind w:firstLine="480" w:firstLineChars="200"/>
              <w:rPr>
                <w:rFonts w:eastAsiaTheme="minorEastAsia"/>
                <w:b/>
                <w:bCs/>
                <w:color w:val="auto"/>
                <w:sz w:val="32"/>
                <w:szCs w:val="32"/>
              </w:rPr>
            </w:pPr>
            <w:r>
              <w:rPr>
                <w:rFonts w:eastAsiaTheme="minorEastAsia"/>
                <w:color w:val="auto"/>
                <w:sz w:val="24"/>
                <w:szCs w:val="32"/>
              </w:rPr>
              <w:t>对照《建设项目环境影响报告表编制技术指南（污染影响类）（试行）》中表1-1，专项评价设置原则详见下表：</w:t>
            </w:r>
          </w:p>
          <w:p w14:paraId="1AD03761">
            <w:pPr>
              <w:jc w:val="center"/>
              <w:rPr>
                <w:rFonts w:eastAsiaTheme="minorEastAsia"/>
                <w:b/>
                <w:bCs/>
                <w:color w:val="auto"/>
                <w:szCs w:val="21"/>
              </w:rPr>
            </w:pPr>
            <w:r>
              <w:rPr>
                <w:rFonts w:eastAsiaTheme="minorEastAsia"/>
                <w:b/>
                <w:bCs/>
                <w:color w:val="auto"/>
                <w:sz w:val="24"/>
              </w:rPr>
              <w:t>表1-1</w:t>
            </w:r>
            <w:r>
              <w:rPr>
                <w:rFonts w:hint="eastAsia" w:eastAsiaTheme="minorEastAsia"/>
                <w:b/>
                <w:bCs/>
                <w:color w:val="auto"/>
                <w:sz w:val="24"/>
              </w:rPr>
              <w:t xml:space="preserve">  </w:t>
            </w:r>
            <w:r>
              <w:rPr>
                <w:rFonts w:eastAsiaTheme="minorEastAsia"/>
                <w:b/>
                <w:bCs/>
                <w:color w:val="auto"/>
                <w:sz w:val="24"/>
              </w:rPr>
              <w:t>专项评价设置原则表</w:t>
            </w:r>
          </w:p>
          <w:tbl>
            <w:tblPr>
              <w:tblStyle w:val="27"/>
              <w:tblW w:w="725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54"/>
              <w:gridCol w:w="3646"/>
              <w:gridCol w:w="2551"/>
            </w:tblGrid>
            <w:tr w14:paraId="18AF2E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054" w:type="dxa"/>
                  <w:tcBorders>
                    <w:tl2br w:val="nil"/>
                    <w:tr2bl w:val="nil"/>
                  </w:tcBorders>
                  <w:vAlign w:val="center"/>
                </w:tcPr>
                <w:p w14:paraId="1D34C599">
                  <w:pPr>
                    <w:jc w:val="center"/>
                    <w:rPr>
                      <w:rFonts w:eastAsiaTheme="minorEastAsia"/>
                      <w:b/>
                      <w:bCs/>
                      <w:color w:val="auto"/>
                    </w:rPr>
                  </w:pPr>
                  <w:r>
                    <w:rPr>
                      <w:rFonts w:eastAsiaTheme="minorEastAsia"/>
                      <w:b/>
                      <w:bCs/>
                      <w:color w:val="auto"/>
                    </w:rPr>
                    <w:t>专项评价类别</w:t>
                  </w:r>
                </w:p>
              </w:tc>
              <w:tc>
                <w:tcPr>
                  <w:tcW w:w="3646" w:type="dxa"/>
                  <w:tcBorders>
                    <w:tl2br w:val="nil"/>
                    <w:tr2bl w:val="nil"/>
                  </w:tcBorders>
                  <w:vAlign w:val="center"/>
                </w:tcPr>
                <w:p w14:paraId="5B280ABE">
                  <w:pPr>
                    <w:jc w:val="center"/>
                    <w:rPr>
                      <w:rFonts w:eastAsiaTheme="minorEastAsia"/>
                      <w:b/>
                      <w:bCs/>
                      <w:color w:val="auto"/>
                    </w:rPr>
                  </w:pPr>
                  <w:r>
                    <w:rPr>
                      <w:rFonts w:eastAsiaTheme="minorEastAsia"/>
                      <w:b/>
                      <w:bCs/>
                      <w:color w:val="auto"/>
                    </w:rPr>
                    <w:t>设置原则</w:t>
                  </w:r>
                </w:p>
              </w:tc>
              <w:tc>
                <w:tcPr>
                  <w:tcW w:w="2551" w:type="dxa"/>
                  <w:tcBorders>
                    <w:tl2br w:val="nil"/>
                    <w:tr2bl w:val="nil"/>
                  </w:tcBorders>
                  <w:vAlign w:val="center"/>
                </w:tcPr>
                <w:p w14:paraId="4B36D9FC">
                  <w:pPr>
                    <w:jc w:val="center"/>
                    <w:rPr>
                      <w:rFonts w:eastAsiaTheme="minorEastAsia"/>
                      <w:b/>
                      <w:bCs/>
                      <w:color w:val="auto"/>
                    </w:rPr>
                  </w:pPr>
                  <w:r>
                    <w:rPr>
                      <w:rFonts w:eastAsiaTheme="minorEastAsia"/>
                      <w:b/>
                      <w:bCs/>
                      <w:color w:val="auto"/>
                    </w:rPr>
                    <w:t>本项目情况</w:t>
                  </w:r>
                </w:p>
              </w:tc>
            </w:tr>
            <w:tr w14:paraId="047C9F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1054" w:type="dxa"/>
                  <w:tcBorders>
                    <w:tl2br w:val="nil"/>
                    <w:tr2bl w:val="nil"/>
                  </w:tcBorders>
                  <w:vAlign w:val="center"/>
                </w:tcPr>
                <w:p w14:paraId="731CE636">
                  <w:pPr>
                    <w:jc w:val="center"/>
                    <w:rPr>
                      <w:rFonts w:eastAsiaTheme="minorEastAsia"/>
                      <w:b/>
                      <w:bCs/>
                      <w:color w:val="auto"/>
                    </w:rPr>
                  </w:pPr>
                  <w:r>
                    <w:rPr>
                      <w:rFonts w:eastAsiaTheme="minorEastAsia"/>
                      <w:b/>
                      <w:bCs/>
                      <w:color w:val="auto"/>
                    </w:rPr>
                    <w:t>大气</w:t>
                  </w:r>
                </w:p>
              </w:tc>
              <w:tc>
                <w:tcPr>
                  <w:tcW w:w="3646" w:type="dxa"/>
                  <w:tcBorders>
                    <w:tl2br w:val="nil"/>
                    <w:tr2bl w:val="nil"/>
                  </w:tcBorders>
                  <w:vAlign w:val="center"/>
                </w:tcPr>
                <w:p w14:paraId="60E68091">
                  <w:pPr>
                    <w:jc w:val="center"/>
                    <w:rPr>
                      <w:rFonts w:eastAsiaTheme="minorEastAsia"/>
                      <w:color w:val="auto"/>
                      <w:sz w:val="19"/>
                      <w:szCs w:val="22"/>
                    </w:rPr>
                  </w:pPr>
                  <w:r>
                    <w:rPr>
                      <w:rFonts w:eastAsiaTheme="minorEastAsia"/>
                      <w:color w:val="auto"/>
                    </w:rPr>
                    <w:t>排放废气含有毒有害污染物</w:t>
                  </w:r>
                  <w:r>
                    <w:rPr>
                      <w:rFonts w:hint="eastAsia" w:eastAsiaTheme="minorEastAsia"/>
                      <w:color w:val="auto"/>
                      <w:vertAlign w:val="superscript"/>
                    </w:rPr>
                    <w:t>1</w:t>
                  </w:r>
                  <w:r>
                    <w:rPr>
                      <w:rFonts w:eastAsiaTheme="minorEastAsia"/>
                      <w:color w:val="auto"/>
                    </w:rPr>
                    <w:t>、二噁英、苯并[a]芘、氰化物、氯气且厂界外500米范围内有环境空气保护目标</w:t>
                  </w:r>
                  <w:r>
                    <w:rPr>
                      <w:rFonts w:hint="eastAsia" w:eastAsiaTheme="minorEastAsia"/>
                      <w:color w:val="auto"/>
                      <w:vertAlign w:val="superscript"/>
                    </w:rPr>
                    <w:t>2</w:t>
                  </w:r>
                  <w:r>
                    <w:rPr>
                      <w:rFonts w:eastAsiaTheme="minorEastAsia"/>
                      <w:color w:val="auto"/>
                    </w:rPr>
                    <w:t>的建设项目</w:t>
                  </w:r>
                </w:p>
              </w:tc>
              <w:tc>
                <w:tcPr>
                  <w:tcW w:w="2551" w:type="dxa"/>
                  <w:tcBorders>
                    <w:tl2br w:val="nil"/>
                    <w:tr2bl w:val="nil"/>
                  </w:tcBorders>
                  <w:vAlign w:val="center"/>
                </w:tcPr>
                <w:p w14:paraId="06E8B020">
                  <w:pPr>
                    <w:jc w:val="center"/>
                    <w:rPr>
                      <w:rFonts w:eastAsiaTheme="minorEastAsia"/>
                      <w:color w:val="auto"/>
                    </w:rPr>
                  </w:pPr>
                  <w:r>
                    <w:rPr>
                      <w:rFonts w:eastAsiaTheme="minorEastAsia"/>
                      <w:color w:val="auto"/>
                    </w:rPr>
                    <w:t>本项目不涉及有毒有害大气污染物、二噁英、苯并[a]芘、氰化物、氯气排放</w:t>
                  </w:r>
                </w:p>
              </w:tc>
            </w:tr>
            <w:tr w14:paraId="12A7FD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054" w:type="dxa"/>
                  <w:tcBorders>
                    <w:tl2br w:val="nil"/>
                    <w:tr2bl w:val="nil"/>
                  </w:tcBorders>
                  <w:vAlign w:val="center"/>
                </w:tcPr>
                <w:p w14:paraId="0CA6E92D">
                  <w:pPr>
                    <w:jc w:val="center"/>
                    <w:rPr>
                      <w:rFonts w:eastAsiaTheme="minorEastAsia"/>
                      <w:b/>
                      <w:bCs/>
                      <w:color w:val="auto"/>
                    </w:rPr>
                  </w:pPr>
                  <w:r>
                    <w:rPr>
                      <w:rFonts w:eastAsiaTheme="minorEastAsia"/>
                      <w:b/>
                      <w:bCs/>
                      <w:color w:val="auto"/>
                    </w:rPr>
                    <w:t>地表水</w:t>
                  </w:r>
                </w:p>
              </w:tc>
              <w:tc>
                <w:tcPr>
                  <w:tcW w:w="3646" w:type="dxa"/>
                  <w:tcBorders>
                    <w:tl2br w:val="nil"/>
                    <w:tr2bl w:val="nil"/>
                  </w:tcBorders>
                  <w:vAlign w:val="center"/>
                </w:tcPr>
                <w:p w14:paraId="33075DBF">
                  <w:pPr>
                    <w:jc w:val="center"/>
                    <w:rPr>
                      <w:rFonts w:eastAsiaTheme="minorEastAsia"/>
                      <w:color w:val="auto"/>
                    </w:rPr>
                  </w:pPr>
                  <w:r>
                    <w:rPr>
                      <w:rFonts w:eastAsiaTheme="minorEastAsia"/>
                      <w:color w:val="auto"/>
                    </w:rPr>
                    <w:t>新增工业废水直排建设项目（槽罐车外送污水处理厂的除外）；新增废水直排的污水集中处理厂</w:t>
                  </w:r>
                </w:p>
              </w:tc>
              <w:tc>
                <w:tcPr>
                  <w:tcW w:w="2551" w:type="dxa"/>
                  <w:tcBorders>
                    <w:tl2br w:val="nil"/>
                    <w:tr2bl w:val="nil"/>
                  </w:tcBorders>
                  <w:vAlign w:val="center"/>
                </w:tcPr>
                <w:p w14:paraId="20D00FB7">
                  <w:pPr>
                    <w:jc w:val="center"/>
                    <w:rPr>
                      <w:rFonts w:eastAsiaTheme="minorEastAsia"/>
                      <w:color w:val="auto"/>
                    </w:rPr>
                  </w:pPr>
                  <w:r>
                    <w:rPr>
                      <w:rFonts w:eastAsiaTheme="minorEastAsia"/>
                      <w:color w:val="auto"/>
                      <w:szCs w:val="21"/>
                    </w:rPr>
                    <w:t>本项目不涉及</w:t>
                  </w:r>
                </w:p>
              </w:tc>
            </w:tr>
            <w:tr w14:paraId="174D57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054" w:type="dxa"/>
                  <w:tcBorders>
                    <w:tl2br w:val="nil"/>
                    <w:tr2bl w:val="nil"/>
                  </w:tcBorders>
                  <w:vAlign w:val="center"/>
                </w:tcPr>
                <w:p w14:paraId="240018D0">
                  <w:pPr>
                    <w:jc w:val="center"/>
                    <w:rPr>
                      <w:rFonts w:eastAsiaTheme="minorEastAsia"/>
                      <w:b/>
                      <w:bCs/>
                      <w:color w:val="auto"/>
                    </w:rPr>
                  </w:pPr>
                  <w:r>
                    <w:rPr>
                      <w:rFonts w:eastAsiaTheme="minorEastAsia"/>
                      <w:b/>
                      <w:bCs/>
                      <w:color w:val="auto"/>
                    </w:rPr>
                    <w:t>环境风险</w:t>
                  </w:r>
                </w:p>
              </w:tc>
              <w:tc>
                <w:tcPr>
                  <w:tcW w:w="3646" w:type="dxa"/>
                  <w:tcBorders>
                    <w:tl2br w:val="nil"/>
                    <w:tr2bl w:val="nil"/>
                  </w:tcBorders>
                  <w:vAlign w:val="center"/>
                </w:tcPr>
                <w:p w14:paraId="202B5204">
                  <w:pPr>
                    <w:jc w:val="center"/>
                    <w:rPr>
                      <w:rFonts w:eastAsiaTheme="minorEastAsia"/>
                      <w:color w:val="auto"/>
                    </w:rPr>
                  </w:pPr>
                  <w:r>
                    <w:rPr>
                      <w:rFonts w:eastAsiaTheme="minorEastAsia"/>
                      <w:color w:val="auto"/>
                    </w:rPr>
                    <w:t>有毒有害和易燃易爆危险物质存储量超过临界量</w:t>
                  </w:r>
                  <w:r>
                    <w:rPr>
                      <w:rFonts w:hint="eastAsia" w:eastAsiaTheme="minorEastAsia"/>
                      <w:color w:val="auto"/>
                      <w:vertAlign w:val="superscript"/>
                    </w:rPr>
                    <w:t>3</w:t>
                  </w:r>
                  <w:r>
                    <w:rPr>
                      <w:rFonts w:eastAsiaTheme="minorEastAsia"/>
                      <w:color w:val="auto"/>
                    </w:rPr>
                    <w:t>的建设项目</w:t>
                  </w:r>
                </w:p>
              </w:tc>
              <w:tc>
                <w:tcPr>
                  <w:tcW w:w="2551" w:type="dxa"/>
                  <w:tcBorders>
                    <w:tl2br w:val="nil"/>
                    <w:tr2bl w:val="nil"/>
                  </w:tcBorders>
                  <w:vAlign w:val="center"/>
                </w:tcPr>
                <w:p w14:paraId="28F382A6">
                  <w:pPr>
                    <w:jc w:val="center"/>
                    <w:rPr>
                      <w:rFonts w:eastAsiaTheme="minorEastAsia"/>
                      <w:color w:val="auto"/>
                    </w:rPr>
                  </w:pPr>
                  <w:r>
                    <w:rPr>
                      <w:rFonts w:eastAsiaTheme="minorEastAsia"/>
                      <w:color w:val="auto"/>
                    </w:rPr>
                    <w:t>本项目有毒有害和易燃易爆危险物质存储量未超过临界量</w:t>
                  </w:r>
                </w:p>
              </w:tc>
            </w:tr>
            <w:tr w14:paraId="564D84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054" w:type="dxa"/>
                  <w:tcBorders>
                    <w:tl2br w:val="nil"/>
                    <w:tr2bl w:val="nil"/>
                  </w:tcBorders>
                  <w:vAlign w:val="center"/>
                </w:tcPr>
                <w:p w14:paraId="42C312C6">
                  <w:pPr>
                    <w:jc w:val="center"/>
                    <w:rPr>
                      <w:rFonts w:eastAsiaTheme="minorEastAsia"/>
                      <w:b/>
                      <w:bCs/>
                      <w:color w:val="auto"/>
                    </w:rPr>
                  </w:pPr>
                  <w:r>
                    <w:rPr>
                      <w:rFonts w:eastAsiaTheme="minorEastAsia"/>
                      <w:b/>
                      <w:bCs/>
                      <w:color w:val="auto"/>
                    </w:rPr>
                    <w:t>生态</w:t>
                  </w:r>
                </w:p>
              </w:tc>
              <w:tc>
                <w:tcPr>
                  <w:tcW w:w="3646" w:type="dxa"/>
                  <w:tcBorders>
                    <w:tl2br w:val="nil"/>
                    <w:tr2bl w:val="nil"/>
                  </w:tcBorders>
                  <w:vAlign w:val="center"/>
                </w:tcPr>
                <w:p w14:paraId="1EFB35D3">
                  <w:pPr>
                    <w:jc w:val="center"/>
                    <w:rPr>
                      <w:rFonts w:eastAsiaTheme="minorEastAsia"/>
                      <w:color w:val="auto"/>
                    </w:rPr>
                  </w:pPr>
                  <w:r>
                    <w:rPr>
                      <w:rFonts w:eastAsiaTheme="minorEastAsia"/>
                      <w:color w:val="auto"/>
                    </w:rPr>
                    <w:t>取水口下游500米范围内有重要水生生物的自然产卵场、索饵场、越冬场和洄游通道的新增河道取水的污染类建设项目</w:t>
                  </w:r>
                </w:p>
              </w:tc>
              <w:tc>
                <w:tcPr>
                  <w:tcW w:w="2551" w:type="dxa"/>
                  <w:tcBorders>
                    <w:tl2br w:val="nil"/>
                    <w:tr2bl w:val="nil"/>
                  </w:tcBorders>
                  <w:vAlign w:val="center"/>
                </w:tcPr>
                <w:p w14:paraId="2E910BBA">
                  <w:pPr>
                    <w:jc w:val="center"/>
                    <w:rPr>
                      <w:rFonts w:eastAsiaTheme="minorEastAsia"/>
                      <w:color w:val="auto"/>
                    </w:rPr>
                  </w:pPr>
                  <w:r>
                    <w:rPr>
                      <w:rFonts w:eastAsiaTheme="minorEastAsia"/>
                      <w:color w:val="auto"/>
                    </w:rPr>
                    <w:t>本项目不涉及</w:t>
                  </w:r>
                </w:p>
              </w:tc>
            </w:tr>
            <w:tr w14:paraId="1A1282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054" w:type="dxa"/>
                  <w:tcBorders>
                    <w:tl2br w:val="nil"/>
                    <w:tr2bl w:val="nil"/>
                  </w:tcBorders>
                  <w:vAlign w:val="center"/>
                </w:tcPr>
                <w:p w14:paraId="23389EAD">
                  <w:pPr>
                    <w:jc w:val="center"/>
                    <w:rPr>
                      <w:rFonts w:eastAsiaTheme="minorEastAsia"/>
                      <w:b/>
                      <w:bCs/>
                      <w:color w:val="auto"/>
                    </w:rPr>
                  </w:pPr>
                  <w:r>
                    <w:rPr>
                      <w:rFonts w:eastAsiaTheme="minorEastAsia"/>
                      <w:b/>
                      <w:bCs/>
                      <w:color w:val="auto"/>
                    </w:rPr>
                    <w:t>海洋</w:t>
                  </w:r>
                </w:p>
              </w:tc>
              <w:tc>
                <w:tcPr>
                  <w:tcW w:w="3646" w:type="dxa"/>
                  <w:tcBorders>
                    <w:tl2br w:val="nil"/>
                    <w:tr2bl w:val="nil"/>
                  </w:tcBorders>
                  <w:vAlign w:val="center"/>
                </w:tcPr>
                <w:p w14:paraId="0C530ADF">
                  <w:pPr>
                    <w:jc w:val="center"/>
                    <w:rPr>
                      <w:rFonts w:eastAsiaTheme="minorEastAsia"/>
                      <w:color w:val="auto"/>
                    </w:rPr>
                  </w:pPr>
                  <w:r>
                    <w:rPr>
                      <w:rFonts w:eastAsiaTheme="minorEastAsia"/>
                      <w:color w:val="auto"/>
                    </w:rPr>
                    <w:t>直接向海排放污染物的海洋工程建设项目</w:t>
                  </w:r>
                </w:p>
              </w:tc>
              <w:tc>
                <w:tcPr>
                  <w:tcW w:w="2551" w:type="dxa"/>
                  <w:tcBorders>
                    <w:tl2br w:val="nil"/>
                    <w:tr2bl w:val="nil"/>
                  </w:tcBorders>
                  <w:vAlign w:val="center"/>
                </w:tcPr>
                <w:p w14:paraId="3EF4A2EC">
                  <w:pPr>
                    <w:jc w:val="center"/>
                    <w:rPr>
                      <w:rFonts w:eastAsiaTheme="minorEastAsia"/>
                      <w:color w:val="auto"/>
                    </w:rPr>
                  </w:pPr>
                  <w:r>
                    <w:rPr>
                      <w:rFonts w:eastAsiaTheme="minorEastAsia"/>
                      <w:color w:val="auto"/>
                    </w:rPr>
                    <w:t>本项目不涉及</w:t>
                  </w:r>
                </w:p>
              </w:tc>
            </w:tr>
            <w:tr w14:paraId="402E43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7251" w:type="dxa"/>
                  <w:gridSpan w:val="3"/>
                  <w:tcBorders>
                    <w:tl2br w:val="nil"/>
                    <w:tr2bl w:val="nil"/>
                  </w:tcBorders>
                  <w:vAlign w:val="center"/>
                </w:tcPr>
                <w:p w14:paraId="5FE9C3A7">
                  <w:pPr>
                    <w:rPr>
                      <w:rFonts w:eastAsiaTheme="minorEastAsia"/>
                      <w:color w:val="auto"/>
                    </w:rPr>
                  </w:pPr>
                  <w:r>
                    <w:rPr>
                      <w:rFonts w:eastAsiaTheme="minorEastAsia"/>
                      <w:color w:val="auto"/>
                      <w:szCs w:val="21"/>
                    </w:rPr>
                    <w:t>注：</w:t>
                  </w:r>
                  <w:r>
                    <w:rPr>
                      <w:rFonts w:hint="eastAsia" w:eastAsiaTheme="minorEastAsia"/>
                      <w:color w:val="auto"/>
                      <w:szCs w:val="21"/>
                    </w:rPr>
                    <w:t>1.</w:t>
                  </w:r>
                  <w:r>
                    <w:rPr>
                      <w:rFonts w:eastAsiaTheme="minorEastAsia"/>
                      <w:color w:val="auto"/>
                      <w:szCs w:val="21"/>
                    </w:rPr>
                    <w:t>废气中有毒有害污染物指纳入《有毒有害大气污染物名录》的污染物（不包括无排放标准的污染物）；2环境空气保护目标指自然保护区、风景名胜区、居住区、文化区和农村地区中人群较集中的区域；3临界量及其计算方法可参考《建设项目环境风险评价技术导则》（HJ169）附录B、附录C。</w:t>
                  </w:r>
                </w:p>
              </w:tc>
            </w:tr>
          </w:tbl>
          <w:p w14:paraId="286D91E4">
            <w:pPr>
              <w:autoSpaceDE w:val="0"/>
              <w:autoSpaceDN w:val="0"/>
              <w:spacing w:before="120" w:beforeLines="50" w:line="360" w:lineRule="auto"/>
              <w:ind w:firstLine="480" w:firstLineChars="200"/>
              <w:rPr>
                <w:color w:val="auto"/>
                <w:kern w:val="0"/>
                <w:sz w:val="24"/>
              </w:rPr>
            </w:pPr>
            <w:r>
              <w:rPr>
                <w:rFonts w:eastAsiaTheme="minorEastAsia"/>
                <w:color w:val="auto"/>
                <w:sz w:val="24"/>
                <w:szCs w:val="32"/>
              </w:rPr>
              <w:t>由上表可知，本项目无须设置专项评价。</w:t>
            </w:r>
          </w:p>
        </w:tc>
      </w:tr>
      <w:tr w14:paraId="40F93E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5" w:type="dxa"/>
            <w:vAlign w:val="center"/>
          </w:tcPr>
          <w:p w14:paraId="199C3AC9">
            <w:pPr>
              <w:autoSpaceDE w:val="0"/>
              <w:autoSpaceDN w:val="0"/>
              <w:adjustRightInd w:val="0"/>
              <w:snapToGrid w:val="0"/>
              <w:jc w:val="center"/>
              <w:rPr>
                <w:color w:val="auto"/>
                <w:sz w:val="24"/>
              </w:rPr>
            </w:pPr>
            <w:r>
              <w:rPr>
                <w:color w:val="auto"/>
                <w:sz w:val="24"/>
              </w:rPr>
              <w:t>规划情况</w:t>
            </w:r>
          </w:p>
        </w:tc>
        <w:tc>
          <w:tcPr>
            <w:tcW w:w="7395" w:type="dxa"/>
            <w:gridSpan w:val="3"/>
            <w:vAlign w:val="center"/>
          </w:tcPr>
          <w:p w14:paraId="6D243605">
            <w:pPr>
              <w:autoSpaceDE w:val="0"/>
              <w:autoSpaceDN w:val="0"/>
              <w:adjustRightInd w:val="0"/>
              <w:snapToGrid w:val="0"/>
              <w:spacing w:before="120" w:beforeLines="50" w:line="360" w:lineRule="auto"/>
              <w:rPr>
                <w:color w:val="auto"/>
                <w:kern w:val="0"/>
                <w:sz w:val="24"/>
              </w:rPr>
            </w:pPr>
            <w:r>
              <w:rPr>
                <w:color w:val="auto"/>
                <w:kern w:val="0"/>
                <w:sz w:val="24"/>
              </w:rPr>
              <w:t>规划名称：《西咸新区—沣东新城分区规划</w:t>
            </w:r>
            <w:r>
              <w:rPr>
                <w:rFonts w:hint="eastAsia"/>
                <w:color w:val="auto"/>
                <w:kern w:val="0"/>
                <w:sz w:val="24"/>
              </w:rPr>
              <w:t>》</w:t>
            </w:r>
            <w:r>
              <w:rPr>
                <w:color w:val="auto"/>
                <w:kern w:val="0"/>
                <w:sz w:val="24"/>
              </w:rPr>
              <w:t>（2010-2020）</w:t>
            </w:r>
          </w:p>
          <w:p w14:paraId="529B2A9A">
            <w:pPr>
              <w:spacing w:line="360" w:lineRule="auto"/>
              <w:rPr>
                <w:color w:val="auto"/>
                <w:kern w:val="0"/>
                <w:sz w:val="24"/>
              </w:rPr>
            </w:pPr>
            <w:r>
              <w:rPr>
                <w:rFonts w:hint="eastAsia"/>
                <w:color w:val="auto"/>
                <w:kern w:val="0"/>
                <w:sz w:val="24"/>
              </w:rPr>
              <w:t>审查机关：陕西省人民政府</w:t>
            </w:r>
          </w:p>
          <w:p w14:paraId="7465491C">
            <w:pPr>
              <w:autoSpaceDE w:val="0"/>
              <w:autoSpaceDN w:val="0"/>
              <w:adjustRightInd w:val="0"/>
              <w:snapToGrid w:val="0"/>
              <w:spacing w:line="360" w:lineRule="auto"/>
              <w:rPr>
                <w:color w:val="auto"/>
                <w:sz w:val="28"/>
              </w:rPr>
            </w:pPr>
            <w:r>
              <w:rPr>
                <w:rFonts w:hint="eastAsia"/>
                <w:color w:val="auto"/>
                <w:sz w:val="24"/>
              </w:rPr>
              <w:t>审查文件名称及文号：</w:t>
            </w:r>
            <w:r>
              <w:rPr>
                <w:rFonts w:hint="eastAsia"/>
                <w:color w:val="auto"/>
                <w:kern w:val="0"/>
                <w:sz w:val="24"/>
              </w:rPr>
              <w:t>陕西省人民政府关于《西咸新区总体规划》的批复（</w:t>
            </w:r>
            <w:r>
              <w:rPr>
                <w:rFonts w:hint="eastAsia"/>
                <w:color w:val="auto"/>
                <w:sz w:val="24"/>
              </w:rPr>
              <w:t>陕政函〔2011〕110号</w:t>
            </w:r>
            <w:r>
              <w:rPr>
                <w:rFonts w:hint="eastAsia"/>
                <w:color w:val="auto"/>
                <w:kern w:val="0"/>
                <w:sz w:val="24"/>
              </w:rPr>
              <w:t>）</w:t>
            </w:r>
          </w:p>
        </w:tc>
      </w:tr>
      <w:tr w14:paraId="47A97B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475" w:type="dxa"/>
            <w:vAlign w:val="center"/>
          </w:tcPr>
          <w:p w14:paraId="5E26CDC9">
            <w:pPr>
              <w:adjustRightInd w:val="0"/>
              <w:snapToGrid w:val="0"/>
              <w:jc w:val="center"/>
              <w:rPr>
                <w:color w:val="auto"/>
                <w:kern w:val="0"/>
                <w:sz w:val="24"/>
              </w:rPr>
            </w:pPr>
            <w:r>
              <w:rPr>
                <w:color w:val="auto"/>
                <w:sz w:val="24"/>
              </w:rPr>
              <w:t>规划环境影响评价情况</w:t>
            </w:r>
          </w:p>
        </w:tc>
        <w:tc>
          <w:tcPr>
            <w:tcW w:w="7395" w:type="dxa"/>
            <w:gridSpan w:val="3"/>
            <w:vAlign w:val="center"/>
          </w:tcPr>
          <w:p w14:paraId="5CBF2F60">
            <w:pPr>
              <w:spacing w:before="120" w:beforeLines="50" w:line="360" w:lineRule="auto"/>
              <w:rPr>
                <w:color w:val="auto"/>
                <w:sz w:val="24"/>
              </w:rPr>
            </w:pPr>
            <w:r>
              <w:rPr>
                <w:rFonts w:hint="eastAsia"/>
                <w:color w:val="auto"/>
                <w:sz w:val="24"/>
              </w:rPr>
              <w:t>文件名称：《西咸新区—沣东新城分区规划（2010-2020）环境影响报告书》</w:t>
            </w:r>
          </w:p>
          <w:p w14:paraId="5DDAE0E3">
            <w:pPr>
              <w:spacing w:line="360" w:lineRule="auto"/>
              <w:rPr>
                <w:color w:val="auto"/>
                <w:sz w:val="24"/>
              </w:rPr>
            </w:pPr>
            <w:r>
              <w:rPr>
                <w:rFonts w:hint="eastAsia"/>
                <w:color w:val="auto"/>
                <w:sz w:val="24"/>
              </w:rPr>
              <w:t>审查机关：西安市环境保护局（2014年3月31日）</w:t>
            </w:r>
          </w:p>
          <w:p w14:paraId="6B81ECEE">
            <w:pPr>
              <w:spacing w:line="360" w:lineRule="auto"/>
              <w:rPr>
                <w:color w:val="auto"/>
                <w:sz w:val="24"/>
              </w:rPr>
            </w:pPr>
            <w:r>
              <w:rPr>
                <w:rFonts w:hint="eastAsia"/>
                <w:color w:val="auto"/>
                <w:sz w:val="24"/>
              </w:rPr>
              <w:t>审查文件名称及文号：西安市环境保护局关于《西咸新区—沣东新城分区规划（2010-2020）环境影响报告书》的审查意见（市环函〔2014〕20号）</w:t>
            </w:r>
          </w:p>
        </w:tc>
      </w:tr>
      <w:tr w14:paraId="4434C2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475" w:type="dxa"/>
            <w:vAlign w:val="center"/>
          </w:tcPr>
          <w:p w14:paraId="4654B7F2">
            <w:pPr>
              <w:autoSpaceDE w:val="0"/>
              <w:autoSpaceDN w:val="0"/>
              <w:adjustRightInd w:val="0"/>
              <w:snapToGrid w:val="0"/>
              <w:jc w:val="center"/>
              <w:rPr>
                <w:color w:val="auto"/>
                <w:kern w:val="0"/>
                <w:sz w:val="24"/>
              </w:rPr>
            </w:pPr>
            <w:r>
              <w:rPr>
                <w:color w:val="auto"/>
                <w:kern w:val="0"/>
                <w:sz w:val="24"/>
              </w:rPr>
              <w:t>规划及规划环境影响评价符合性分析</w:t>
            </w:r>
          </w:p>
        </w:tc>
        <w:tc>
          <w:tcPr>
            <w:tcW w:w="7395" w:type="dxa"/>
            <w:gridSpan w:val="3"/>
            <w:vAlign w:val="center"/>
          </w:tcPr>
          <w:p w14:paraId="77BD287C">
            <w:pPr>
              <w:pStyle w:val="66"/>
              <w:rPr>
                <w:rFonts w:ascii="Times New Roman" w:hAnsi="Times New Roman" w:eastAsia="宋体" w:cs="Times New Roman"/>
                <w:b/>
                <w:bCs/>
                <w:color w:val="auto"/>
                <w:szCs w:val="24"/>
              </w:rPr>
            </w:pPr>
            <w:r>
              <w:rPr>
                <w:rFonts w:hint="eastAsia" w:ascii="Times New Roman" w:hAnsi="Times New Roman" w:eastAsia="宋体" w:cs="Times New Roman"/>
                <w:b/>
                <w:bCs/>
                <w:color w:val="auto"/>
                <w:szCs w:val="24"/>
              </w:rPr>
              <w:t>表1-1  项目与规划及规划环评相符情况</w:t>
            </w:r>
          </w:p>
          <w:tbl>
            <w:tblPr>
              <w:tblStyle w:val="26"/>
              <w:tblW w:w="725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346"/>
              <w:gridCol w:w="3111"/>
              <w:gridCol w:w="2247"/>
              <w:gridCol w:w="547"/>
            </w:tblGrid>
            <w:tr w14:paraId="76DBE6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928" w:type="pct"/>
                  <w:vAlign w:val="center"/>
                </w:tcPr>
                <w:p w14:paraId="392B2675">
                  <w:pPr>
                    <w:adjustRightInd w:val="0"/>
                    <w:snapToGrid w:val="0"/>
                    <w:jc w:val="center"/>
                    <w:rPr>
                      <w:b/>
                      <w:bCs/>
                      <w:color w:val="auto"/>
                      <w:kern w:val="0"/>
                      <w:szCs w:val="21"/>
                    </w:rPr>
                  </w:pPr>
                  <w:r>
                    <w:rPr>
                      <w:rFonts w:hint="eastAsia"/>
                      <w:b/>
                      <w:bCs/>
                      <w:color w:val="auto"/>
                      <w:kern w:val="0"/>
                      <w:szCs w:val="21"/>
                    </w:rPr>
                    <w:t>类别</w:t>
                  </w:r>
                </w:p>
              </w:tc>
              <w:tc>
                <w:tcPr>
                  <w:tcW w:w="2145" w:type="pct"/>
                  <w:vAlign w:val="center"/>
                </w:tcPr>
                <w:p w14:paraId="6CD5A991">
                  <w:pPr>
                    <w:adjustRightInd w:val="0"/>
                    <w:snapToGrid w:val="0"/>
                    <w:jc w:val="center"/>
                    <w:rPr>
                      <w:b/>
                      <w:bCs/>
                      <w:color w:val="auto"/>
                      <w:kern w:val="0"/>
                      <w:szCs w:val="21"/>
                    </w:rPr>
                  </w:pPr>
                  <w:r>
                    <w:rPr>
                      <w:b/>
                      <w:bCs/>
                      <w:color w:val="auto"/>
                      <w:kern w:val="0"/>
                      <w:szCs w:val="21"/>
                    </w:rPr>
                    <w:t>主要要求</w:t>
                  </w:r>
                </w:p>
              </w:tc>
              <w:tc>
                <w:tcPr>
                  <w:tcW w:w="1549" w:type="pct"/>
                  <w:vAlign w:val="center"/>
                </w:tcPr>
                <w:p w14:paraId="77A727C6">
                  <w:pPr>
                    <w:adjustRightInd w:val="0"/>
                    <w:snapToGrid w:val="0"/>
                    <w:jc w:val="center"/>
                    <w:rPr>
                      <w:b/>
                      <w:bCs/>
                      <w:color w:val="auto"/>
                      <w:kern w:val="0"/>
                      <w:szCs w:val="21"/>
                    </w:rPr>
                  </w:pPr>
                  <w:r>
                    <w:rPr>
                      <w:b/>
                      <w:bCs/>
                      <w:color w:val="auto"/>
                      <w:kern w:val="0"/>
                      <w:szCs w:val="21"/>
                    </w:rPr>
                    <w:t>本项目情况</w:t>
                  </w:r>
                </w:p>
              </w:tc>
              <w:tc>
                <w:tcPr>
                  <w:tcW w:w="377" w:type="pct"/>
                  <w:vAlign w:val="center"/>
                </w:tcPr>
                <w:p w14:paraId="1DBD7D4C">
                  <w:pPr>
                    <w:adjustRightInd w:val="0"/>
                    <w:snapToGrid w:val="0"/>
                    <w:jc w:val="center"/>
                    <w:rPr>
                      <w:b/>
                      <w:bCs/>
                      <w:color w:val="auto"/>
                      <w:kern w:val="0"/>
                      <w:szCs w:val="21"/>
                    </w:rPr>
                  </w:pPr>
                  <w:r>
                    <w:rPr>
                      <w:b/>
                      <w:bCs/>
                      <w:color w:val="auto"/>
                      <w:kern w:val="0"/>
                      <w:szCs w:val="21"/>
                    </w:rPr>
                    <w:t>符合性</w:t>
                  </w:r>
                </w:p>
              </w:tc>
            </w:tr>
            <w:tr w14:paraId="698F2C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8" w:type="pct"/>
                  <w:vAlign w:val="center"/>
                </w:tcPr>
                <w:p w14:paraId="13C63B1C">
                  <w:pPr>
                    <w:wordWrap w:val="0"/>
                    <w:autoSpaceDE w:val="0"/>
                    <w:autoSpaceDN w:val="0"/>
                    <w:adjustRightInd w:val="0"/>
                    <w:snapToGrid w:val="0"/>
                    <w:spacing w:line="300" w:lineRule="atLeast"/>
                    <w:jc w:val="center"/>
                    <w:rPr>
                      <w:color w:val="auto"/>
                      <w:szCs w:val="21"/>
                    </w:rPr>
                  </w:pPr>
                  <w:r>
                    <w:rPr>
                      <w:rFonts w:hint="eastAsia"/>
                      <w:color w:val="auto"/>
                      <w:szCs w:val="21"/>
                    </w:rPr>
                    <w:t>《西咸新区—沣东新城分区规划（2010-2020）》</w:t>
                  </w:r>
                </w:p>
              </w:tc>
              <w:tc>
                <w:tcPr>
                  <w:tcW w:w="2145" w:type="pct"/>
                  <w:vAlign w:val="center"/>
                </w:tcPr>
                <w:p w14:paraId="6F2E71B5">
                  <w:pPr>
                    <w:adjustRightInd w:val="0"/>
                    <w:snapToGrid w:val="0"/>
                    <w:ind w:firstLine="420" w:firstLineChars="200"/>
                    <w:rPr>
                      <w:color w:val="auto"/>
                      <w:szCs w:val="21"/>
                    </w:rPr>
                  </w:pPr>
                  <w:r>
                    <w:rPr>
                      <w:rFonts w:hint="eastAsia"/>
                      <w:color w:val="auto"/>
                      <w:szCs w:val="21"/>
                    </w:rPr>
                    <w:t>沣东新城的定位为西部地区统筹科技资源示范基地，高新技术研发和会展中心，大西安未来将建设成为具有东方人文特色的生态化国际新城。</w:t>
                  </w:r>
                </w:p>
                <w:p w14:paraId="6B6F698C">
                  <w:pPr>
                    <w:adjustRightInd w:val="0"/>
                    <w:snapToGrid w:val="0"/>
                    <w:ind w:firstLine="420" w:firstLineChars="200"/>
                    <w:rPr>
                      <w:color w:val="auto"/>
                      <w:kern w:val="0"/>
                      <w:szCs w:val="21"/>
                    </w:rPr>
                  </w:pPr>
                  <w:r>
                    <w:rPr>
                      <w:color w:val="auto"/>
                      <w:kern w:val="21"/>
                      <w:szCs w:val="21"/>
                    </w:rPr>
                    <w:t>规划形成</w:t>
                  </w:r>
                  <w:r>
                    <w:rPr>
                      <w:rFonts w:hint="eastAsia"/>
                      <w:color w:val="auto"/>
                      <w:kern w:val="21"/>
                      <w:szCs w:val="21"/>
                    </w:rPr>
                    <w:t>“</w:t>
                  </w:r>
                  <w:r>
                    <w:rPr>
                      <w:color w:val="auto"/>
                      <w:kern w:val="21"/>
                      <w:szCs w:val="21"/>
                    </w:rPr>
                    <w:t>两带、七板块</w:t>
                  </w:r>
                  <w:r>
                    <w:rPr>
                      <w:rFonts w:hint="eastAsia"/>
                      <w:color w:val="auto"/>
                      <w:kern w:val="21"/>
                      <w:szCs w:val="21"/>
                    </w:rPr>
                    <w:t>”</w:t>
                  </w:r>
                  <w:r>
                    <w:rPr>
                      <w:color w:val="auto"/>
                      <w:kern w:val="21"/>
                      <w:szCs w:val="21"/>
                    </w:rPr>
                    <w:t>的空间格局，两带：周秦汉历史文化景观带、</w:t>
                  </w:r>
                  <w:r>
                    <w:rPr>
                      <w:rFonts w:hint="eastAsia"/>
                      <w:color w:val="auto"/>
                      <w:kern w:val="21"/>
                      <w:szCs w:val="21"/>
                    </w:rPr>
                    <w:t>沣河</w:t>
                  </w:r>
                  <w:r>
                    <w:rPr>
                      <w:color w:val="auto"/>
                      <w:kern w:val="21"/>
                      <w:szCs w:val="21"/>
                    </w:rPr>
                    <w:t>景观风貌带，七板块：</w:t>
                  </w:r>
                  <w:r>
                    <w:rPr>
                      <w:rFonts w:hint="eastAsia"/>
                      <w:color w:val="auto"/>
                      <w:kern w:val="21"/>
                      <w:szCs w:val="21"/>
                    </w:rPr>
                    <w:t>沣河</w:t>
                  </w:r>
                  <w:r>
                    <w:rPr>
                      <w:color w:val="auto"/>
                      <w:kern w:val="21"/>
                      <w:szCs w:val="21"/>
                    </w:rPr>
                    <w:t>田园</w:t>
                  </w:r>
                  <w:r>
                    <w:rPr>
                      <w:rFonts w:hint="eastAsia"/>
                      <w:color w:val="auto"/>
                      <w:kern w:val="21"/>
                      <w:szCs w:val="21"/>
                    </w:rPr>
                    <w:t>城市</w:t>
                  </w:r>
                  <w:r>
                    <w:rPr>
                      <w:color w:val="auto"/>
                      <w:kern w:val="21"/>
                      <w:szCs w:val="21"/>
                    </w:rPr>
                    <w:t>板块、六村堡现代产业板块、三桥</w:t>
                  </w:r>
                  <w:r>
                    <w:rPr>
                      <w:rFonts w:hint="eastAsia"/>
                      <w:color w:val="auto"/>
                      <w:kern w:val="21"/>
                      <w:szCs w:val="21"/>
                    </w:rPr>
                    <w:t>现代</w:t>
                  </w:r>
                  <w:r>
                    <w:rPr>
                      <w:color w:val="auto"/>
                      <w:kern w:val="21"/>
                      <w:szCs w:val="21"/>
                    </w:rPr>
                    <w:t>商贸板块、</w:t>
                  </w:r>
                  <w:r>
                    <w:rPr>
                      <w:rFonts w:hint="eastAsia"/>
                      <w:color w:val="auto"/>
                      <w:kern w:val="21"/>
                      <w:szCs w:val="21"/>
                    </w:rPr>
                    <w:t>科学城</w:t>
                  </w:r>
                  <w:r>
                    <w:rPr>
                      <w:color w:val="auto"/>
                      <w:kern w:val="21"/>
                      <w:szCs w:val="21"/>
                    </w:rPr>
                    <w:t>科技统筹板块、阿房宫人文旅游板块、镐京</w:t>
                  </w:r>
                  <w:r>
                    <w:rPr>
                      <w:rFonts w:hint="eastAsia"/>
                      <w:color w:val="auto"/>
                      <w:kern w:val="21"/>
                      <w:szCs w:val="21"/>
                    </w:rPr>
                    <w:t>立体城市</w:t>
                  </w:r>
                  <w:r>
                    <w:rPr>
                      <w:color w:val="auto"/>
                      <w:kern w:val="21"/>
                      <w:szCs w:val="21"/>
                    </w:rPr>
                    <w:t>板块、昆明池生态</w:t>
                  </w:r>
                  <w:r>
                    <w:rPr>
                      <w:rFonts w:hint="eastAsia"/>
                      <w:color w:val="auto"/>
                      <w:kern w:val="21"/>
                      <w:szCs w:val="21"/>
                    </w:rPr>
                    <w:t>文化</w:t>
                  </w:r>
                  <w:r>
                    <w:rPr>
                      <w:color w:val="auto"/>
                      <w:kern w:val="21"/>
                      <w:szCs w:val="21"/>
                    </w:rPr>
                    <w:t>板块。</w:t>
                  </w:r>
                </w:p>
              </w:tc>
              <w:tc>
                <w:tcPr>
                  <w:tcW w:w="1549" w:type="pct"/>
                  <w:vAlign w:val="center"/>
                </w:tcPr>
                <w:p w14:paraId="0B5B9D7B">
                  <w:pPr>
                    <w:adjustRightInd w:val="0"/>
                    <w:snapToGrid w:val="0"/>
                    <w:rPr>
                      <w:color w:val="auto"/>
                      <w:kern w:val="21"/>
                      <w:szCs w:val="21"/>
                    </w:rPr>
                  </w:pPr>
                  <w:r>
                    <w:rPr>
                      <w:rFonts w:hint="eastAsia"/>
                      <w:color w:val="auto"/>
                      <w:kern w:val="21"/>
                      <w:szCs w:val="21"/>
                    </w:rPr>
                    <w:t>本项目位于沣东新城斗门街道花园村村东，位于</w:t>
                  </w:r>
                  <w:r>
                    <w:rPr>
                      <w:color w:val="auto"/>
                      <w:kern w:val="21"/>
                      <w:szCs w:val="21"/>
                    </w:rPr>
                    <w:t>规划范围内</w:t>
                  </w:r>
                  <w:r>
                    <w:rPr>
                      <w:rFonts w:hint="eastAsia"/>
                      <w:color w:val="auto"/>
                      <w:kern w:val="21"/>
                      <w:szCs w:val="21"/>
                    </w:rPr>
                    <w:t>。</w:t>
                  </w:r>
                </w:p>
                <w:p w14:paraId="3E3D0D29">
                  <w:pPr>
                    <w:adjustRightInd w:val="0"/>
                    <w:snapToGrid w:val="0"/>
                    <w:rPr>
                      <w:rFonts w:hint="eastAsia" w:eastAsia="宋体"/>
                      <w:color w:val="auto"/>
                      <w:kern w:val="21"/>
                      <w:szCs w:val="21"/>
                      <w:lang w:eastAsia="zh-CN"/>
                    </w:rPr>
                  </w:pPr>
                  <w:r>
                    <w:rPr>
                      <w:rFonts w:hint="eastAsia"/>
                      <w:color w:val="auto"/>
                      <w:kern w:val="21"/>
                      <w:szCs w:val="21"/>
                    </w:rPr>
                    <w:t>根据西咸新区-沣东新城规划，本项目用地性质为文物古迹用地，项目租赁厂房于2007年建成，为规划之前建成厂房，</w:t>
                  </w:r>
                  <w:r>
                    <w:rPr>
                      <w:rFonts w:hint="eastAsia"/>
                      <w:color w:val="auto"/>
                      <w:kern w:val="21"/>
                      <w:szCs w:val="21"/>
                      <w:lang w:val="en-US" w:eastAsia="zh-CN"/>
                    </w:rPr>
                    <w:t>企业于2020年租用厂房进行项目建设，</w:t>
                  </w:r>
                  <w:r>
                    <w:rPr>
                      <w:rFonts w:hint="eastAsia"/>
                      <w:color w:val="auto"/>
                      <w:kern w:val="21"/>
                      <w:szCs w:val="21"/>
                    </w:rPr>
                    <w:t>租用之前为不锈钢生产</w:t>
                  </w:r>
                  <w:r>
                    <w:rPr>
                      <w:rFonts w:hint="eastAsia"/>
                      <w:color w:val="auto"/>
                      <w:kern w:val="21"/>
                      <w:szCs w:val="21"/>
                      <w:lang w:eastAsia="zh-CN"/>
                    </w:rPr>
                    <w:t>；</w:t>
                  </w:r>
                </w:p>
                <w:p w14:paraId="1D6816DC">
                  <w:pPr>
                    <w:adjustRightInd w:val="0"/>
                    <w:snapToGrid w:val="0"/>
                    <w:rPr>
                      <w:color w:val="auto"/>
                      <w:kern w:val="0"/>
                      <w:szCs w:val="21"/>
                    </w:rPr>
                  </w:pPr>
                  <w:r>
                    <w:rPr>
                      <w:rFonts w:hint="eastAsia"/>
                      <w:color w:val="auto"/>
                      <w:kern w:val="21"/>
                      <w:szCs w:val="21"/>
                    </w:rPr>
                    <w:t>本项目行业类别为塑料包装箱及容器制造，项目建设满足《西安市周丰镐、秦阿房宫、汉长安城和唐大明宫遗址保护管理条例》和《中华人民共和国文物保护法》中相关要求。</w:t>
                  </w:r>
                  <w:r>
                    <w:rPr>
                      <w:rFonts w:hint="eastAsia"/>
                      <w:color w:val="auto"/>
                      <w:szCs w:val="21"/>
                    </w:rPr>
                    <w:t>规划中未对重点保护区内的现有建筑物提出特别的要求。</w:t>
                  </w:r>
                </w:p>
              </w:tc>
              <w:tc>
                <w:tcPr>
                  <w:tcW w:w="377" w:type="pct"/>
                  <w:vAlign w:val="center"/>
                </w:tcPr>
                <w:p w14:paraId="22D8B9A1">
                  <w:pPr>
                    <w:adjustRightInd w:val="0"/>
                    <w:snapToGrid w:val="0"/>
                    <w:jc w:val="center"/>
                    <w:rPr>
                      <w:color w:val="auto"/>
                      <w:kern w:val="0"/>
                      <w:szCs w:val="21"/>
                    </w:rPr>
                  </w:pPr>
                  <w:r>
                    <w:rPr>
                      <w:rFonts w:hint="eastAsia"/>
                      <w:color w:val="auto"/>
                      <w:kern w:val="0"/>
                      <w:szCs w:val="21"/>
                    </w:rPr>
                    <w:t>符合</w:t>
                  </w:r>
                </w:p>
              </w:tc>
            </w:tr>
            <w:tr w14:paraId="15E433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928" w:type="pct"/>
                  <w:vMerge w:val="restart"/>
                  <w:vAlign w:val="center"/>
                </w:tcPr>
                <w:p w14:paraId="3267A633">
                  <w:pPr>
                    <w:autoSpaceDE w:val="0"/>
                    <w:autoSpaceDN w:val="0"/>
                    <w:adjustRightInd w:val="0"/>
                    <w:snapToGrid w:val="0"/>
                    <w:jc w:val="center"/>
                    <w:rPr>
                      <w:color w:val="auto"/>
                      <w:szCs w:val="21"/>
                    </w:rPr>
                  </w:pPr>
                  <w:r>
                    <w:rPr>
                      <w:rFonts w:hint="eastAsia"/>
                      <w:color w:val="auto"/>
                      <w:szCs w:val="21"/>
                    </w:rPr>
                    <w:t>《西咸新区－沣东新城分区规划（2010-2020）环境影响报告书》及审查意见</w:t>
                  </w:r>
                </w:p>
              </w:tc>
              <w:tc>
                <w:tcPr>
                  <w:tcW w:w="2145" w:type="pct"/>
                  <w:vAlign w:val="center"/>
                </w:tcPr>
                <w:p w14:paraId="0A1C2CEA">
                  <w:pPr>
                    <w:ind w:firstLine="420" w:firstLineChars="200"/>
                    <w:rPr>
                      <w:color w:val="auto"/>
                      <w:szCs w:val="21"/>
                    </w:rPr>
                  </w:pPr>
                  <w:r>
                    <w:rPr>
                      <w:rFonts w:hint="eastAsia"/>
                      <w:color w:val="auto"/>
                      <w:szCs w:val="21"/>
                    </w:rPr>
                    <w:t>1.推广清洁能源使用，建立可持续能源体系结构。鼓励使用天然气、风能、太阳能、地热能、生物质能等能源。大力发展城市集中供热，全面普及居民生活燃气，实现“以气代煤”、“以电代煤”。</w:t>
                  </w:r>
                </w:p>
                <w:p w14:paraId="52A9FCC9">
                  <w:pPr>
                    <w:ind w:firstLine="420" w:firstLineChars="200"/>
                    <w:rPr>
                      <w:color w:val="auto"/>
                      <w:szCs w:val="21"/>
                    </w:rPr>
                  </w:pPr>
                  <w:r>
                    <w:rPr>
                      <w:rFonts w:hint="eastAsia"/>
                      <w:color w:val="auto"/>
                      <w:szCs w:val="21"/>
                    </w:rPr>
                    <w:t>2.大气环境保护对策和措施：严格产业准入制度，控制企业污染排放。设置新城产业准入大气环境标准，对排污量大的行业进行限制，防止对新城产生影响。</w:t>
                  </w:r>
                </w:p>
              </w:tc>
              <w:tc>
                <w:tcPr>
                  <w:tcW w:w="1549" w:type="pct"/>
                  <w:vAlign w:val="center"/>
                </w:tcPr>
                <w:p w14:paraId="13D2AD32">
                  <w:pPr>
                    <w:adjustRightInd w:val="0"/>
                    <w:snapToGrid w:val="0"/>
                    <w:rPr>
                      <w:color w:val="auto"/>
                      <w:kern w:val="0"/>
                      <w:szCs w:val="21"/>
                    </w:rPr>
                  </w:pPr>
                  <w:r>
                    <w:rPr>
                      <w:rFonts w:hint="eastAsia"/>
                      <w:color w:val="auto"/>
                      <w:kern w:val="0"/>
                      <w:szCs w:val="21"/>
                    </w:rPr>
                    <w:t>1.本项目运营期所用能源主要为电能，属于清洁能源。</w:t>
                  </w:r>
                </w:p>
                <w:p w14:paraId="2A6A7E3F">
                  <w:pPr>
                    <w:adjustRightInd w:val="0"/>
                    <w:snapToGrid w:val="0"/>
                    <w:rPr>
                      <w:color w:val="auto"/>
                      <w:kern w:val="0"/>
                      <w:szCs w:val="21"/>
                    </w:rPr>
                  </w:pPr>
                  <w:r>
                    <w:rPr>
                      <w:rFonts w:hint="eastAsia"/>
                      <w:color w:val="auto"/>
                      <w:kern w:val="0"/>
                      <w:szCs w:val="21"/>
                    </w:rPr>
                    <w:t>2.本项目运营期非甲烷总烃排放执行《合成树脂工业污染物排放标准》（GB31572-2015）表5大气污染物特别排放限值，污染物排放均能达到国家控制标准。</w:t>
                  </w:r>
                </w:p>
              </w:tc>
              <w:tc>
                <w:tcPr>
                  <w:tcW w:w="377" w:type="pct"/>
                  <w:vAlign w:val="center"/>
                </w:tcPr>
                <w:p w14:paraId="36E11D03">
                  <w:pPr>
                    <w:adjustRightInd w:val="0"/>
                    <w:snapToGrid w:val="0"/>
                    <w:jc w:val="center"/>
                    <w:rPr>
                      <w:color w:val="auto"/>
                      <w:kern w:val="21"/>
                      <w:szCs w:val="21"/>
                    </w:rPr>
                  </w:pPr>
                  <w:r>
                    <w:rPr>
                      <w:rFonts w:hint="eastAsia"/>
                      <w:color w:val="auto"/>
                      <w:kern w:val="21"/>
                      <w:szCs w:val="21"/>
                    </w:rPr>
                    <w:t>符合</w:t>
                  </w:r>
                </w:p>
              </w:tc>
            </w:tr>
            <w:tr w14:paraId="2735D5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928" w:type="pct"/>
                  <w:vMerge w:val="continue"/>
                  <w:vAlign w:val="center"/>
                </w:tcPr>
                <w:p w14:paraId="7BCCEF80">
                  <w:pPr>
                    <w:autoSpaceDE w:val="0"/>
                    <w:autoSpaceDN w:val="0"/>
                    <w:adjustRightInd w:val="0"/>
                    <w:snapToGrid w:val="0"/>
                    <w:jc w:val="center"/>
                    <w:rPr>
                      <w:color w:val="auto"/>
                      <w:szCs w:val="21"/>
                    </w:rPr>
                  </w:pPr>
                </w:p>
              </w:tc>
              <w:tc>
                <w:tcPr>
                  <w:tcW w:w="2145" w:type="pct"/>
                  <w:vAlign w:val="center"/>
                </w:tcPr>
                <w:p w14:paraId="7B69200C">
                  <w:pPr>
                    <w:ind w:firstLine="420" w:firstLineChars="200"/>
                    <w:rPr>
                      <w:color w:val="auto"/>
                      <w:szCs w:val="21"/>
                    </w:rPr>
                  </w:pPr>
                  <w:r>
                    <w:rPr>
                      <w:rFonts w:hint="eastAsia"/>
                      <w:color w:val="auto"/>
                      <w:szCs w:val="21"/>
                    </w:rPr>
                    <w:t>1.实行污水集中处理，生产废水和生活污水必须经处理达到污水处理厂接纳标准后汇入污水管道，排入污水处理厂集中处理。</w:t>
                  </w:r>
                </w:p>
                <w:p w14:paraId="4166A1FA">
                  <w:pPr>
                    <w:ind w:firstLine="420" w:firstLineChars="200"/>
                    <w:rPr>
                      <w:color w:val="auto"/>
                      <w:szCs w:val="21"/>
                    </w:rPr>
                  </w:pPr>
                  <w:r>
                    <w:rPr>
                      <w:rFonts w:hint="eastAsia"/>
                      <w:color w:val="auto"/>
                      <w:szCs w:val="21"/>
                    </w:rPr>
                    <w:t>2.水环境保护对策和措施：严格环境准入制度，防治企业污染排放。在规划建设中，要设置相应的环保准入门槛，限制造纸、化工、食品饮料加工、皮革、电镀等高耗水、重污染行业进入。</w:t>
                  </w:r>
                </w:p>
              </w:tc>
              <w:tc>
                <w:tcPr>
                  <w:tcW w:w="1549" w:type="pct"/>
                  <w:vAlign w:val="center"/>
                </w:tcPr>
                <w:p w14:paraId="03B17FD1">
                  <w:pPr>
                    <w:adjustRightInd w:val="0"/>
                    <w:snapToGrid w:val="0"/>
                    <w:rPr>
                      <w:color w:val="auto"/>
                      <w:szCs w:val="21"/>
                    </w:rPr>
                  </w:pPr>
                  <w:r>
                    <w:rPr>
                      <w:rFonts w:hint="eastAsia"/>
                      <w:color w:val="auto"/>
                      <w:szCs w:val="21"/>
                    </w:rPr>
                    <w:t>1.</w:t>
                  </w:r>
                  <w:r>
                    <w:rPr>
                      <w:color w:val="auto"/>
                      <w:szCs w:val="21"/>
                    </w:rPr>
                    <w:t>项目运</w:t>
                  </w:r>
                  <w:r>
                    <w:rPr>
                      <w:rFonts w:hint="eastAsia"/>
                      <w:color w:val="auto"/>
                      <w:szCs w:val="21"/>
                    </w:rPr>
                    <w:t>行</w:t>
                  </w:r>
                  <w:r>
                    <w:rPr>
                      <w:color w:val="auto"/>
                      <w:szCs w:val="21"/>
                    </w:rPr>
                    <w:t>期，</w:t>
                  </w:r>
                  <w:r>
                    <w:rPr>
                      <w:rFonts w:hint="eastAsia"/>
                      <w:color w:val="auto"/>
                      <w:szCs w:val="21"/>
                    </w:rPr>
                    <w:t>冷却水循环使用不外排</w:t>
                  </w:r>
                  <w:r>
                    <w:rPr>
                      <w:color w:val="auto"/>
                      <w:szCs w:val="21"/>
                    </w:rPr>
                    <w:t>；</w:t>
                  </w:r>
                  <w:r>
                    <w:rPr>
                      <w:rFonts w:hint="eastAsia"/>
                      <w:color w:val="auto"/>
                      <w:szCs w:val="21"/>
                    </w:rPr>
                    <w:t>生活污水经租赁厂区</w:t>
                  </w:r>
                  <w:r>
                    <w:rPr>
                      <w:rFonts w:hint="eastAsia"/>
                      <w:color w:val="auto"/>
                      <w:szCs w:val="21"/>
                      <w:lang w:val="en-US" w:eastAsia="zh-CN"/>
                    </w:rPr>
                    <w:t>防渗</w:t>
                  </w:r>
                  <w:r>
                    <w:rPr>
                      <w:rFonts w:hint="eastAsia"/>
                      <w:color w:val="auto"/>
                      <w:szCs w:val="21"/>
                      <w:lang w:eastAsia="zh-CN"/>
                    </w:rPr>
                    <w:t>旱厕</w:t>
                  </w:r>
                  <w:r>
                    <w:rPr>
                      <w:rFonts w:hint="eastAsia"/>
                      <w:color w:val="auto"/>
                      <w:szCs w:val="21"/>
                    </w:rPr>
                    <w:t>处理后，定期清掏用于周边农地，不外排；</w:t>
                  </w:r>
                </w:p>
                <w:p w14:paraId="09F833E7">
                  <w:pPr>
                    <w:adjustRightInd w:val="0"/>
                    <w:snapToGrid w:val="0"/>
                    <w:rPr>
                      <w:color w:val="auto"/>
                      <w:kern w:val="0"/>
                      <w:szCs w:val="21"/>
                    </w:rPr>
                  </w:pPr>
                  <w:r>
                    <w:rPr>
                      <w:rFonts w:hint="eastAsia"/>
                      <w:color w:val="auto"/>
                      <w:szCs w:val="21"/>
                    </w:rPr>
                    <w:t>2.本项目属于塑料包装箱及容器制造，不属于造纸、化工、食品饮料加工、皮革、电镀等高耗水、重污染行业。</w:t>
                  </w:r>
                </w:p>
              </w:tc>
              <w:tc>
                <w:tcPr>
                  <w:tcW w:w="377" w:type="pct"/>
                  <w:vAlign w:val="center"/>
                </w:tcPr>
                <w:p w14:paraId="2FD5FDCC">
                  <w:pPr>
                    <w:adjustRightInd w:val="0"/>
                    <w:snapToGrid w:val="0"/>
                    <w:jc w:val="center"/>
                    <w:rPr>
                      <w:color w:val="auto"/>
                      <w:kern w:val="21"/>
                      <w:szCs w:val="21"/>
                    </w:rPr>
                  </w:pPr>
                  <w:r>
                    <w:rPr>
                      <w:rFonts w:hint="eastAsia"/>
                      <w:color w:val="auto"/>
                      <w:kern w:val="21"/>
                      <w:szCs w:val="21"/>
                    </w:rPr>
                    <w:t>符合</w:t>
                  </w:r>
                </w:p>
              </w:tc>
            </w:tr>
            <w:tr w14:paraId="06BFE3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jc w:val="center"/>
              </w:trPr>
              <w:tc>
                <w:tcPr>
                  <w:tcW w:w="928" w:type="pct"/>
                  <w:vMerge w:val="continue"/>
                  <w:vAlign w:val="center"/>
                </w:tcPr>
                <w:p w14:paraId="60EF2AD2">
                  <w:pPr>
                    <w:autoSpaceDE w:val="0"/>
                    <w:autoSpaceDN w:val="0"/>
                    <w:adjustRightInd w:val="0"/>
                    <w:snapToGrid w:val="0"/>
                    <w:jc w:val="left"/>
                    <w:rPr>
                      <w:color w:val="auto"/>
                      <w:szCs w:val="21"/>
                    </w:rPr>
                  </w:pPr>
                </w:p>
              </w:tc>
              <w:tc>
                <w:tcPr>
                  <w:tcW w:w="2145" w:type="pct"/>
                  <w:vAlign w:val="center"/>
                </w:tcPr>
                <w:p w14:paraId="065DBEC9">
                  <w:pPr>
                    <w:ind w:firstLine="420" w:firstLineChars="200"/>
                    <w:rPr>
                      <w:color w:val="auto"/>
                      <w:szCs w:val="21"/>
                    </w:rPr>
                  </w:pPr>
                  <w:r>
                    <w:rPr>
                      <w:rFonts w:hint="eastAsia"/>
                      <w:color w:val="auto"/>
                      <w:szCs w:val="21"/>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549" w:type="pct"/>
                  <w:vAlign w:val="center"/>
                </w:tcPr>
                <w:p w14:paraId="1623DFB6">
                  <w:pPr>
                    <w:adjustRightInd w:val="0"/>
                    <w:snapToGrid w:val="0"/>
                    <w:rPr>
                      <w:color w:val="auto"/>
                      <w:kern w:val="0"/>
                      <w:szCs w:val="21"/>
                    </w:rPr>
                  </w:pPr>
                  <w:r>
                    <w:rPr>
                      <w:color w:val="auto"/>
                      <w:kern w:val="0"/>
                      <w:szCs w:val="21"/>
                    </w:rPr>
                    <w:t>项目选用低噪声设备，运营期定期对生产设备进行检查维护，保证设备正常运转，厂房隔声，安装基座减振以此来降低项目生产过程噪声对周边环境的影响。</w:t>
                  </w:r>
                </w:p>
              </w:tc>
              <w:tc>
                <w:tcPr>
                  <w:tcW w:w="377" w:type="pct"/>
                  <w:vAlign w:val="center"/>
                </w:tcPr>
                <w:p w14:paraId="654A0F4C">
                  <w:pPr>
                    <w:adjustRightInd w:val="0"/>
                    <w:snapToGrid w:val="0"/>
                    <w:jc w:val="center"/>
                    <w:rPr>
                      <w:color w:val="auto"/>
                      <w:kern w:val="21"/>
                      <w:szCs w:val="21"/>
                    </w:rPr>
                  </w:pPr>
                  <w:r>
                    <w:rPr>
                      <w:rFonts w:hint="eastAsia"/>
                      <w:color w:val="auto"/>
                      <w:kern w:val="21"/>
                      <w:szCs w:val="21"/>
                    </w:rPr>
                    <w:t>符合</w:t>
                  </w:r>
                </w:p>
              </w:tc>
            </w:tr>
            <w:tr w14:paraId="719626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jc w:val="center"/>
              </w:trPr>
              <w:tc>
                <w:tcPr>
                  <w:tcW w:w="928" w:type="pct"/>
                  <w:vMerge w:val="continue"/>
                  <w:vAlign w:val="center"/>
                </w:tcPr>
                <w:p w14:paraId="7418C773">
                  <w:pPr>
                    <w:autoSpaceDE w:val="0"/>
                    <w:autoSpaceDN w:val="0"/>
                    <w:adjustRightInd w:val="0"/>
                    <w:snapToGrid w:val="0"/>
                    <w:jc w:val="left"/>
                    <w:rPr>
                      <w:color w:val="auto"/>
                      <w:szCs w:val="21"/>
                    </w:rPr>
                  </w:pPr>
                </w:p>
              </w:tc>
              <w:tc>
                <w:tcPr>
                  <w:tcW w:w="2145" w:type="pct"/>
                  <w:vAlign w:val="center"/>
                </w:tcPr>
                <w:p w14:paraId="25984D5E">
                  <w:pPr>
                    <w:ind w:firstLine="420" w:firstLineChars="200"/>
                    <w:rPr>
                      <w:color w:val="auto"/>
                      <w:szCs w:val="21"/>
                    </w:rPr>
                  </w:pPr>
                  <w:r>
                    <w:rPr>
                      <w:rFonts w:hint="eastAsia"/>
                      <w:color w:val="auto"/>
                      <w:szCs w:val="21"/>
                    </w:rPr>
                    <w:t>固体废物综合整治对策：提高全民的环境意识，提倡节约，减少城市生活垃圾产生量，推行生活垃圾分类收集，提高生活垃圾无害化处理率和固体废物的综合利用率。提高危险固废和医疗垃圾的安全处理、处置能力。</w:t>
                  </w:r>
                </w:p>
              </w:tc>
              <w:tc>
                <w:tcPr>
                  <w:tcW w:w="1549" w:type="pct"/>
                  <w:vAlign w:val="center"/>
                </w:tcPr>
                <w:p w14:paraId="73551780">
                  <w:pPr>
                    <w:adjustRightInd w:val="0"/>
                    <w:snapToGrid w:val="0"/>
                    <w:rPr>
                      <w:color w:val="auto"/>
                      <w:kern w:val="0"/>
                      <w:szCs w:val="21"/>
                    </w:rPr>
                  </w:pPr>
                  <w:r>
                    <w:rPr>
                      <w:rFonts w:hint="eastAsia"/>
                      <w:color w:val="auto"/>
                      <w:kern w:val="0"/>
                      <w:szCs w:val="21"/>
                    </w:rPr>
                    <w:t>本项目产生废机油、废抹布、废油桶和废</w:t>
                  </w:r>
                  <w:r>
                    <w:rPr>
                      <w:rFonts w:hint="eastAsia"/>
                      <w:color w:val="auto"/>
                      <w:kern w:val="0"/>
                      <w:szCs w:val="21"/>
                      <w:lang w:val="en-US" w:eastAsia="zh-CN"/>
                    </w:rPr>
                    <w:t>活性炭</w:t>
                  </w:r>
                  <w:r>
                    <w:rPr>
                      <w:rFonts w:hint="eastAsia"/>
                      <w:color w:val="auto"/>
                      <w:kern w:val="0"/>
                      <w:szCs w:val="21"/>
                    </w:rPr>
                    <w:t>，在危废贮存库暂存后交有资质单位处置。</w:t>
                  </w:r>
                </w:p>
              </w:tc>
              <w:tc>
                <w:tcPr>
                  <w:tcW w:w="377" w:type="pct"/>
                  <w:vAlign w:val="center"/>
                </w:tcPr>
                <w:p w14:paraId="614EB06D">
                  <w:pPr>
                    <w:adjustRightInd w:val="0"/>
                    <w:snapToGrid w:val="0"/>
                    <w:jc w:val="center"/>
                    <w:rPr>
                      <w:color w:val="auto"/>
                      <w:kern w:val="21"/>
                      <w:szCs w:val="21"/>
                    </w:rPr>
                  </w:pPr>
                  <w:r>
                    <w:rPr>
                      <w:rFonts w:hint="eastAsia"/>
                      <w:color w:val="auto"/>
                      <w:kern w:val="21"/>
                      <w:szCs w:val="21"/>
                    </w:rPr>
                    <w:t>符合</w:t>
                  </w:r>
                </w:p>
              </w:tc>
            </w:tr>
            <w:tr w14:paraId="4A55CF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jc w:val="center"/>
              </w:trPr>
              <w:tc>
                <w:tcPr>
                  <w:tcW w:w="928" w:type="pct"/>
                  <w:vMerge w:val="continue"/>
                  <w:vAlign w:val="center"/>
                </w:tcPr>
                <w:p w14:paraId="64434234">
                  <w:pPr>
                    <w:autoSpaceDE w:val="0"/>
                    <w:autoSpaceDN w:val="0"/>
                    <w:adjustRightInd w:val="0"/>
                    <w:snapToGrid w:val="0"/>
                    <w:jc w:val="left"/>
                    <w:rPr>
                      <w:color w:val="auto"/>
                      <w:szCs w:val="21"/>
                    </w:rPr>
                  </w:pPr>
                </w:p>
              </w:tc>
              <w:tc>
                <w:tcPr>
                  <w:tcW w:w="2145" w:type="pct"/>
                  <w:vAlign w:val="center"/>
                </w:tcPr>
                <w:p w14:paraId="272B827C">
                  <w:pPr>
                    <w:ind w:firstLine="420" w:firstLineChars="200"/>
                    <w:rPr>
                      <w:color w:val="auto"/>
                      <w:szCs w:val="21"/>
                    </w:rPr>
                  </w:pPr>
                  <w:r>
                    <w:rPr>
                      <w:rFonts w:hint="eastAsia"/>
                      <w:color w:val="auto"/>
                      <w:szCs w:val="21"/>
                    </w:rPr>
                    <w:t>沣东新城管理部门应结合本区域总体发展方向、定位；产业发展类型和行业限制；规划区域环境功能和环境保护目标提出：入区企业清洁生产必须达到国内先进水平、严禁“三高一低”企业入区、由总量指标限制企业类型和规模、污染物排放指标等工业企业的准入条件。</w:t>
                  </w:r>
                </w:p>
              </w:tc>
              <w:tc>
                <w:tcPr>
                  <w:tcW w:w="1549" w:type="pct"/>
                  <w:vAlign w:val="center"/>
                </w:tcPr>
                <w:p w14:paraId="34CE1D15">
                  <w:pPr>
                    <w:adjustRightInd w:val="0"/>
                    <w:snapToGrid w:val="0"/>
                    <w:rPr>
                      <w:color w:val="auto"/>
                      <w:kern w:val="0"/>
                      <w:szCs w:val="21"/>
                    </w:rPr>
                  </w:pPr>
                  <w:r>
                    <w:rPr>
                      <w:rFonts w:hint="eastAsia"/>
                      <w:color w:val="auto"/>
                      <w:kern w:val="0"/>
                      <w:szCs w:val="21"/>
                    </w:rPr>
                    <w:t>本项目属于塑料包装箱及容器制造，不属于“三高一低”企业。</w:t>
                  </w:r>
                </w:p>
              </w:tc>
              <w:tc>
                <w:tcPr>
                  <w:tcW w:w="377" w:type="pct"/>
                  <w:vAlign w:val="center"/>
                </w:tcPr>
                <w:p w14:paraId="301BA82A">
                  <w:pPr>
                    <w:adjustRightInd w:val="0"/>
                    <w:snapToGrid w:val="0"/>
                    <w:jc w:val="center"/>
                    <w:rPr>
                      <w:color w:val="auto"/>
                      <w:kern w:val="21"/>
                      <w:szCs w:val="21"/>
                    </w:rPr>
                  </w:pPr>
                  <w:r>
                    <w:rPr>
                      <w:rFonts w:hint="eastAsia"/>
                      <w:color w:val="auto"/>
                      <w:kern w:val="21"/>
                      <w:szCs w:val="21"/>
                    </w:rPr>
                    <w:t>符合</w:t>
                  </w:r>
                </w:p>
              </w:tc>
            </w:tr>
          </w:tbl>
          <w:p w14:paraId="7C8CDE96">
            <w:pPr>
              <w:autoSpaceDE w:val="0"/>
              <w:autoSpaceDN w:val="0"/>
              <w:adjustRightInd w:val="0"/>
              <w:snapToGrid w:val="0"/>
              <w:jc w:val="center"/>
              <w:rPr>
                <w:color w:val="auto"/>
                <w:sz w:val="24"/>
              </w:rPr>
            </w:pPr>
          </w:p>
        </w:tc>
      </w:tr>
      <w:tr w14:paraId="1A0B3A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5" w:type="dxa"/>
            <w:vAlign w:val="center"/>
          </w:tcPr>
          <w:p w14:paraId="586C2111">
            <w:pPr>
              <w:autoSpaceDE w:val="0"/>
              <w:autoSpaceDN w:val="0"/>
              <w:adjustRightInd w:val="0"/>
              <w:snapToGrid w:val="0"/>
              <w:jc w:val="center"/>
              <w:rPr>
                <w:color w:val="auto"/>
                <w:kern w:val="0"/>
                <w:sz w:val="24"/>
              </w:rPr>
            </w:pPr>
            <w:r>
              <w:rPr>
                <w:color w:val="auto"/>
                <w:kern w:val="0"/>
                <w:sz w:val="24"/>
              </w:rPr>
              <w:t>其他符合性分析</w:t>
            </w:r>
          </w:p>
        </w:tc>
        <w:tc>
          <w:tcPr>
            <w:tcW w:w="7395" w:type="dxa"/>
            <w:gridSpan w:val="3"/>
            <w:vAlign w:val="center"/>
          </w:tcPr>
          <w:p w14:paraId="54AC61BB">
            <w:pPr>
              <w:spacing w:before="120" w:beforeLines="50" w:line="360" w:lineRule="auto"/>
              <w:ind w:firstLine="482" w:firstLineChars="200"/>
              <w:rPr>
                <w:b/>
                <w:bCs/>
                <w:color w:val="auto"/>
                <w:sz w:val="24"/>
              </w:rPr>
            </w:pPr>
            <w:r>
              <w:rPr>
                <w:b/>
                <w:bCs/>
                <w:color w:val="auto"/>
                <w:sz w:val="24"/>
              </w:rPr>
              <w:t>1、产业政策符合性分析</w:t>
            </w:r>
          </w:p>
          <w:p w14:paraId="788C3A33">
            <w:pPr>
              <w:spacing w:line="360" w:lineRule="auto"/>
              <w:ind w:firstLine="480" w:firstLineChars="200"/>
              <w:rPr>
                <w:color w:val="auto"/>
                <w:sz w:val="24"/>
              </w:rPr>
            </w:pPr>
            <w:r>
              <w:rPr>
                <w:rFonts w:hint="eastAsia"/>
                <w:color w:val="auto"/>
                <w:sz w:val="24"/>
              </w:rPr>
              <w:t>本项目属于塑料包装箱及容器制造，根据《产业结构调整目录（2024年本）》，本项目不属于其中的鼓励类、限制类、淘汰类项目，视为允许类项目。项目不属于《市场准入负面清单（2022年版）》中禁止准入和许可准入类项目。</w:t>
            </w:r>
          </w:p>
          <w:p w14:paraId="067E708B">
            <w:pPr>
              <w:spacing w:line="360" w:lineRule="auto"/>
              <w:ind w:firstLine="480" w:firstLineChars="200"/>
              <w:rPr>
                <w:color w:val="auto"/>
                <w:sz w:val="24"/>
              </w:rPr>
            </w:pPr>
            <w:r>
              <w:rPr>
                <w:rFonts w:hint="eastAsia"/>
                <w:color w:val="auto"/>
                <w:sz w:val="24"/>
              </w:rPr>
              <w:t>根据陕西省生态环境厅关于印发《陕西省生态环境厅建设项目 环境管理规程》的通知中“除法律法规、国务院、省人民政府和生态环境部明确规定外，不得要求建设单位提供其他行政机构出具的行政许可文件作为前置（包括但不限于立项文件、土地预审、规划选址等）”，因此，立项文件不是项目环评的前置文件，环评阶段可不提供立项文件。</w:t>
            </w:r>
          </w:p>
          <w:p w14:paraId="33F62A31">
            <w:pPr>
              <w:spacing w:line="360" w:lineRule="auto"/>
              <w:ind w:firstLine="480" w:firstLineChars="200"/>
              <w:rPr>
                <w:color w:val="auto"/>
                <w:sz w:val="24"/>
              </w:rPr>
            </w:pPr>
            <w:r>
              <w:rPr>
                <w:color w:val="auto"/>
                <w:sz w:val="24"/>
              </w:rPr>
              <w:t>因此，</w:t>
            </w:r>
            <w:r>
              <w:rPr>
                <w:rFonts w:hint="eastAsia"/>
                <w:color w:val="auto"/>
                <w:sz w:val="24"/>
              </w:rPr>
              <w:t>本</w:t>
            </w:r>
            <w:r>
              <w:rPr>
                <w:color w:val="auto"/>
                <w:sz w:val="24"/>
              </w:rPr>
              <w:t>项目符合产业政策要求。</w:t>
            </w:r>
          </w:p>
          <w:p w14:paraId="45E8FE90">
            <w:pPr>
              <w:pStyle w:val="60"/>
              <w:spacing w:line="360" w:lineRule="auto"/>
              <w:ind w:firstLine="482"/>
              <w:rPr>
                <w:rFonts w:hAnsi="Times New Roman"/>
                <w:b/>
                <w:bCs/>
                <w:color w:val="auto"/>
                <w:kern w:val="0"/>
              </w:rPr>
            </w:pPr>
            <w:r>
              <w:rPr>
                <w:rFonts w:hint="eastAsia" w:hAnsi="Times New Roman"/>
                <w:b/>
                <w:bCs/>
                <w:color w:val="auto"/>
                <w:kern w:val="0"/>
              </w:rPr>
              <w:t>2</w:t>
            </w:r>
            <w:r>
              <w:rPr>
                <w:rFonts w:hAnsi="Times New Roman"/>
                <w:b/>
                <w:bCs/>
                <w:color w:val="auto"/>
                <w:kern w:val="0"/>
              </w:rPr>
              <w:t>、</w:t>
            </w:r>
            <w:r>
              <w:rPr>
                <w:rFonts w:hint="eastAsia" w:hAnsi="Times New Roman"/>
                <w:b/>
                <w:bCs/>
                <w:color w:val="auto"/>
                <w:kern w:val="0"/>
              </w:rPr>
              <w:t>“三线一单”符合性分析</w:t>
            </w:r>
          </w:p>
          <w:p w14:paraId="686D990F">
            <w:pPr>
              <w:spacing w:line="360" w:lineRule="auto"/>
              <w:ind w:firstLine="480" w:firstLineChars="200"/>
              <w:jc w:val="left"/>
              <w:rPr>
                <w:color w:val="auto"/>
                <w:sz w:val="24"/>
              </w:rPr>
            </w:pPr>
            <w:r>
              <w:rPr>
                <w:color w:val="auto"/>
                <w:sz w:val="24"/>
              </w:rPr>
              <w:t>根据《陕西省人民政府关于加快实施</w:t>
            </w:r>
            <w:r>
              <w:rPr>
                <w:rFonts w:hint="eastAsia"/>
                <w:color w:val="auto"/>
                <w:sz w:val="24"/>
              </w:rPr>
              <w:t>“</w:t>
            </w:r>
            <w:r>
              <w:rPr>
                <w:color w:val="auto"/>
                <w:sz w:val="24"/>
              </w:rPr>
              <w:t>三线一单</w:t>
            </w:r>
            <w:r>
              <w:rPr>
                <w:rFonts w:hint="eastAsia"/>
                <w:color w:val="auto"/>
                <w:sz w:val="24"/>
              </w:rPr>
              <w:t>”</w:t>
            </w:r>
            <w:r>
              <w:rPr>
                <w:color w:val="auto"/>
                <w:sz w:val="24"/>
              </w:rPr>
              <w:t>生态环境分区管控的意见》（陕政发〔202</w:t>
            </w:r>
            <w:r>
              <w:rPr>
                <w:rFonts w:hint="eastAsia"/>
                <w:color w:val="auto"/>
                <w:sz w:val="24"/>
              </w:rPr>
              <w:t>0</w:t>
            </w:r>
            <w:r>
              <w:rPr>
                <w:color w:val="auto"/>
                <w:sz w:val="24"/>
              </w:rPr>
              <w:t>〕11号）</w:t>
            </w:r>
            <w:r>
              <w:rPr>
                <w:rFonts w:hint="eastAsia"/>
                <w:color w:val="auto"/>
                <w:sz w:val="24"/>
              </w:rPr>
              <w:t>、《西安市人民政府关于印发“三线一单”生态环境分区管控方案的通知》（市政发〔2021〕22号）及《陕西省“</w:t>
            </w:r>
            <w:r>
              <w:rPr>
                <w:color w:val="auto"/>
                <w:sz w:val="24"/>
              </w:rPr>
              <w:t>三线一单</w:t>
            </w:r>
            <w:r>
              <w:rPr>
                <w:rFonts w:hint="eastAsia"/>
                <w:color w:val="auto"/>
                <w:sz w:val="24"/>
              </w:rPr>
              <w:t>”</w:t>
            </w:r>
            <w:r>
              <w:rPr>
                <w:color w:val="auto"/>
                <w:sz w:val="24"/>
              </w:rPr>
              <w:t>生态环境分区管控</w:t>
            </w:r>
            <w:r>
              <w:rPr>
                <w:rFonts w:hint="eastAsia"/>
                <w:color w:val="auto"/>
                <w:sz w:val="24"/>
              </w:rPr>
              <w:t>应用技术指南：环境影响评价（试行）》，环评文件涉及“三线一单”生态环境分区管控符合性分析应采取“一图一表一说明”的表达方式，本项目“三线一单”符合性分析如下：</w:t>
            </w:r>
          </w:p>
          <w:p w14:paraId="020092E9">
            <w:pPr>
              <w:spacing w:line="360" w:lineRule="auto"/>
              <w:ind w:firstLine="480" w:firstLineChars="200"/>
              <w:rPr>
                <w:color w:val="auto"/>
                <w:sz w:val="24"/>
              </w:rPr>
            </w:pPr>
            <w:r>
              <w:rPr>
                <w:rFonts w:hint="eastAsia"/>
                <w:color w:val="auto"/>
                <w:sz w:val="24"/>
              </w:rPr>
              <w:t>（1）</w:t>
            </w:r>
            <w:r>
              <w:rPr>
                <w:rFonts w:hint="eastAsia"/>
                <w:color w:val="auto"/>
                <w:spacing w:val="2"/>
                <w:sz w:val="24"/>
              </w:rPr>
              <w:t>“一图”</w:t>
            </w:r>
          </w:p>
          <w:p w14:paraId="7E0301F8">
            <w:pPr>
              <w:spacing w:line="360" w:lineRule="auto"/>
              <w:ind w:firstLine="480" w:firstLineChars="200"/>
              <w:jc w:val="left"/>
              <w:rPr>
                <w:color w:val="auto"/>
                <w:sz w:val="24"/>
              </w:rPr>
            </w:pPr>
            <w:r>
              <w:rPr>
                <w:rFonts w:hint="eastAsia"/>
                <w:color w:val="auto"/>
                <w:sz w:val="24"/>
              </w:rPr>
              <w:t>根据陕西省“三线一单”数据应用系统叠图分析</w:t>
            </w:r>
            <w:r>
              <w:rPr>
                <w:color w:val="auto"/>
                <w:sz w:val="24"/>
              </w:rPr>
              <w:t>可知，本项目属于重点管控单元</w:t>
            </w:r>
            <w:r>
              <w:rPr>
                <w:rFonts w:hint="eastAsia"/>
                <w:color w:val="auto"/>
                <w:sz w:val="24"/>
              </w:rPr>
              <w:t>，不涉及生态保护红线。项目与环境管控单位对照分析示意图如下图所示：</w:t>
            </w:r>
          </w:p>
          <w:p w14:paraId="715E16BB">
            <w:pPr>
              <w:widowControl/>
              <w:adjustRightInd w:val="0"/>
              <w:snapToGrid w:val="0"/>
              <w:spacing w:line="360" w:lineRule="auto"/>
              <w:jc w:val="center"/>
              <w:rPr>
                <w:color w:val="auto"/>
                <w:kern w:val="0"/>
                <w:sz w:val="24"/>
              </w:rPr>
            </w:pP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2459355</wp:posOffset>
                      </wp:positionH>
                      <wp:positionV relativeFrom="paragraph">
                        <wp:posOffset>1403350</wp:posOffset>
                      </wp:positionV>
                      <wp:extent cx="676275" cy="276860"/>
                      <wp:effectExtent l="421640" t="114935" r="6985" b="8255"/>
                      <wp:wrapNone/>
                      <wp:docPr id="1" name="自选图形 3"/>
                      <wp:cNvGraphicFramePr/>
                      <a:graphic xmlns:a="http://schemas.openxmlformats.org/drawingml/2006/main">
                        <a:graphicData uri="http://schemas.microsoft.com/office/word/2010/wordprocessingShape">
                          <wps:wsp>
                            <wps:cNvSpPr/>
                            <wps:spPr>
                              <a:xfrm>
                                <a:off x="0" y="0"/>
                                <a:ext cx="676275" cy="276860"/>
                              </a:xfrm>
                              <a:prstGeom prst="wedgeRectCallout">
                                <a:avLst>
                                  <a:gd name="adj1" fmla="val -107083"/>
                                  <a:gd name="adj2" fmla="val -85088"/>
                                </a:avLst>
                              </a:prstGeom>
                              <a:noFill/>
                              <a:ln w="9525" cap="flat" cmpd="sng">
                                <a:solidFill>
                                  <a:srgbClr val="FFFFFF"/>
                                </a:solidFill>
                                <a:prstDash val="solid"/>
                                <a:miter/>
                                <a:headEnd type="none" w="med" len="med"/>
                                <a:tailEnd type="none" w="med" len="med"/>
                              </a:ln>
                            </wps:spPr>
                            <wps:txbx>
                              <w:txbxContent>
                                <w:p w14:paraId="56709084">
                                  <w:pPr>
                                    <w:rPr>
                                      <w:b/>
                                      <w:bCs/>
                                    </w:rPr>
                                  </w:pPr>
                                  <w:r>
                                    <w:rPr>
                                      <w:rFonts w:hint="eastAsia"/>
                                      <w:b/>
                                      <w:bCs/>
                                    </w:rPr>
                                    <w:t>项目地</w:t>
                                  </w:r>
                                </w:p>
                              </w:txbxContent>
                            </wps:txbx>
                            <wps:bodyPr wrap="square" upright="1"/>
                          </wps:wsp>
                        </a:graphicData>
                      </a:graphic>
                    </wp:anchor>
                  </w:drawing>
                </mc:Choice>
                <mc:Fallback>
                  <w:pict>
                    <v:shape id="自选图形 3" o:spid="_x0000_s1026" o:spt="61" type="#_x0000_t61" style="position:absolute;left:0pt;margin-left:193.65pt;margin-top:110.5pt;height:21.8pt;width:53.25pt;z-index:251660288;mso-width-relative:page;mso-height-relative:page;" filled="f" stroked="t" coordsize="21600,21600" o:gfxdata="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HKsItfcAAAACwEAAA8AAAAAAAAAAQAgAAAA&#10;IgAAAGRycy9kb3ducmV2LnhtbFBLAQIUABQAAAAIAIdO4kAut40HQAIAAHMEAAAOAAAAAAAAAAEA&#10;IAAAACsBAABkcnMvZTJvRG9jLnhtbFBLBQYAAAAABgAGAFkBAADdBQAAAAA=&#10;" adj="-12330,-7579">
                      <v:fill on="f" focussize="0,0"/>
                      <v:stroke color="#FFFFFF" joinstyle="miter"/>
                      <v:imagedata o:title=""/>
                      <o:lock v:ext="edit" aspectratio="f"/>
                      <v:textbox>
                        <w:txbxContent>
                          <w:p w14:paraId="56709084">
                            <w:pPr>
                              <w:rPr>
                                <w:b/>
                                <w:bCs/>
                              </w:rPr>
                            </w:pPr>
                            <w:r>
                              <w:rPr>
                                <w:rFonts w:hint="eastAsia"/>
                                <w:b/>
                                <w:bCs/>
                              </w:rPr>
                              <w:t>项目地</w:t>
                            </w:r>
                          </w:p>
                        </w:txbxContent>
                      </v:textbox>
                    </v:shape>
                  </w:pict>
                </mc:Fallback>
              </mc:AlternateContent>
            </w:r>
            <w:r>
              <w:rPr>
                <w:rFonts w:hint="eastAsia"/>
                <w:color w:val="auto"/>
                <w:kern w:val="0"/>
                <w:sz w:val="24"/>
              </w:rPr>
              <w:drawing>
                <wp:inline distT="0" distB="0" distL="114300" distR="114300">
                  <wp:extent cx="4552315" cy="3825240"/>
                  <wp:effectExtent l="0" t="0" r="635" b="3810"/>
                  <wp:docPr id="11" name="图片 11" descr="三线一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三线一单"/>
                          <pic:cNvPicPr>
                            <a:picLocks noChangeAspect="1"/>
                          </pic:cNvPicPr>
                        </pic:nvPicPr>
                        <pic:blipFill>
                          <a:blip r:embed="rId10"/>
                          <a:stretch>
                            <a:fillRect/>
                          </a:stretch>
                        </pic:blipFill>
                        <pic:spPr>
                          <a:xfrm>
                            <a:off x="0" y="0"/>
                            <a:ext cx="4552315" cy="3825240"/>
                          </a:xfrm>
                          <a:prstGeom prst="rect">
                            <a:avLst/>
                          </a:prstGeom>
                        </pic:spPr>
                      </pic:pic>
                    </a:graphicData>
                  </a:graphic>
                </wp:inline>
              </w:drawing>
            </w:r>
          </w:p>
          <w:p w14:paraId="14B8A442">
            <w:pPr>
              <w:autoSpaceDE w:val="0"/>
              <w:autoSpaceDN w:val="0"/>
              <w:adjustRightInd w:val="0"/>
              <w:snapToGrid w:val="0"/>
              <w:spacing w:line="360" w:lineRule="auto"/>
              <w:jc w:val="center"/>
              <w:rPr>
                <w:color w:val="auto"/>
              </w:rPr>
            </w:pPr>
            <w:r>
              <w:rPr>
                <w:b/>
                <w:bCs/>
                <w:color w:val="auto"/>
                <w:kern w:val="0"/>
                <w:sz w:val="24"/>
              </w:rPr>
              <w:t>图1-1  本项目与环境管控单元对照分析示意图</w:t>
            </w:r>
          </w:p>
        </w:tc>
      </w:tr>
    </w:tbl>
    <w:p w14:paraId="07F23520">
      <w:pPr>
        <w:spacing w:line="360" w:lineRule="auto"/>
        <w:outlineLvl w:val="0"/>
        <w:rPr>
          <w:rFonts w:eastAsia="黑体"/>
          <w:color w:val="auto"/>
          <w:sz w:val="30"/>
        </w:rPr>
        <w:sectPr>
          <w:footerReference r:id="rId7" w:type="default"/>
          <w:pgSz w:w="11906" w:h="16838"/>
          <w:pgMar w:top="1701" w:right="1531" w:bottom="1701" w:left="1531" w:header="851" w:footer="1077" w:gutter="0"/>
          <w:pgNumType w:start="1"/>
          <w:cols w:space="720" w:num="1"/>
          <w:docGrid w:linePitch="312" w:charSpace="0"/>
        </w:sectPr>
      </w:pPr>
    </w:p>
    <w:tbl>
      <w:tblPr>
        <w:tblStyle w:val="26"/>
        <w:tblW w:w="505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71"/>
        <w:gridCol w:w="12418"/>
      </w:tblGrid>
      <w:tr w14:paraId="7ECC82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71" w:type="dxa"/>
            <w:vAlign w:val="center"/>
          </w:tcPr>
          <w:p w14:paraId="5B4C19D5">
            <w:pPr>
              <w:autoSpaceDE w:val="0"/>
              <w:autoSpaceDN w:val="0"/>
              <w:adjustRightInd w:val="0"/>
              <w:snapToGrid w:val="0"/>
              <w:jc w:val="center"/>
              <w:rPr>
                <w:color w:val="auto"/>
                <w:kern w:val="0"/>
                <w:sz w:val="24"/>
              </w:rPr>
            </w:pPr>
            <w:r>
              <w:rPr>
                <w:color w:val="auto"/>
                <w:kern w:val="0"/>
                <w:sz w:val="24"/>
              </w:rPr>
              <w:t>其他符合性分析</w:t>
            </w:r>
          </w:p>
        </w:tc>
        <w:tc>
          <w:tcPr>
            <w:tcW w:w="12418" w:type="dxa"/>
            <w:vAlign w:val="center"/>
          </w:tcPr>
          <w:p w14:paraId="69D9EE3B">
            <w:pPr>
              <w:adjustRightInd w:val="0"/>
              <w:snapToGrid w:val="0"/>
              <w:spacing w:line="360" w:lineRule="auto"/>
              <w:ind w:firstLine="480" w:firstLineChars="200"/>
              <w:rPr>
                <w:color w:val="auto"/>
                <w:sz w:val="24"/>
              </w:rPr>
            </w:pPr>
            <w:r>
              <w:rPr>
                <w:rFonts w:hint="eastAsia"/>
                <w:color w:val="auto"/>
                <w:sz w:val="24"/>
              </w:rPr>
              <w:t>（2）</w:t>
            </w:r>
            <w:r>
              <w:rPr>
                <w:rFonts w:hint="eastAsia"/>
                <w:color w:val="auto"/>
                <w:spacing w:val="2"/>
                <w:sz w:val="24"/>
              </w:rPr>
              <w:t>“一表”</w:t>
            </w:r>
          </w:p>
          <w:p w14:paraId="0F6B9EA2">
            <w:pPr>
              <w:adjustRightInd w:val="0"/>
              <w:snapToGrid w:val="0"/>
              <w:spacing w:line="360" w:lineRule="auto"/>
              <w:ind w:firstLine="480" w:firstLineChars="200"/>
              <w:jc w:val="left"/>
              <w:rPr>
                <w:color w:val="auto"/>
                <w:sz w:val="24"/>
              </w:rPr>
            </w:pPr>
            <w:r>
              <w:rPr>
                <w:rFonts w:hint="eastAsia"/>
                <w:color w:val="auto"/>
                <w:sz w:val="24"/>
              </w:rPr>
              <w:t>根据从陕西省“三线一单”数据应用系统（V1.0）中导出的分析文件（具体见附件6），本项目所涉及的生态环境管控单元符合性分析如下表所示：</w:t>
            </w:r>
          </w:p>
          <w:p w14:paraId="15EE6C87">
            <w:pPr>
              <w:pStyle w:val="6"/>
              <w:ind w:firstLine="0"/>
              <w:jc w:val="center"/>
              <w:rPr>
                <w:b/>
                <w:bCs/>
                <w:color w:val="auto"/>
                <w:kern w:val="0"/>
                <w:szCs w:val="24"/>
              </w:rPr>
            </w:pPr>
            <w:r>
              <w:rPr>
                <w:b/>
                <w:bCs/>
                <w:color w:val="auto"/>
                <w:kern w:val="0"/>
                <w:szCs w:val="24"/>
              </w:rPr>
              <w:t>表1-</w:t>
            </w:r>
            <w:r>
              <w:rPr>
                <w:rFonts w:hint="eastAsia"/>
                <w:b/>
                <w:bCs/>
                <w:color w:val="auto"/>
                <w:kern w:val="0"/>
                <w:szCs w:val="24"/>
              </w:rPr>
              <w:t xml:space="preserve">2 </w:t>
            </w:r>
            <w:r>
              <w:rPr>
                <w:b/>
                <w:bCs/>
                <w:color w:val="auto"/>
                <w:kern w:val="0"/>
                <w:szCs w:val="24"/>
              </w:rPr>
              <w:t xml:space="preserve"> </w:t>
            </w:r>
            <w:r>
              <w:rPr>
                <w:rFonts w:hint="eastAsia"/>
                <w:b/>
                <w:bCs/>
                <w:color w:val="auto"/>
                <w:kern w:val="0"/>
                <w:szCs w:val="24"/>
              </w:rPr>
              <w:t>与生态环境管控单元管控要求符合性分析一览表</w:t>
            </w:r>
          </w:p>
          <w:tbl>
            <w:tblPr>
              <w:tblStyle w:val="26"/>
              <w:tblW w:w="1232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80"/>
              <w:gridCol w:w="906"/>
              <w:gridCol w:w="568"/>
              <w:gridCol w:w="400"/>
              <w:gridCol w:w="667"/>
              <w:gridCol w:w="666"/>
              <w:gridCol w:w="3919"/>
              <w:gridCol w:w="966"/>
              <w:gridCol w:w="3108"/>
              <w:gridCol w:w="545"/>
            </w:tblGrid>
            <w:tr w14:paraId="2C5D67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235" w:type="pct"/>
                  <w:vAlign w:val="center"/>
                </w:tcPr>
                <w:p w14:paraId="70FBB79E">
                  <w:pPr>
                    <w:autoSpaceDE w:val="0"/>
                    <w:autoSpaceDN w:val="0"/>
                    <w:adjustRightInd w:val="0"/>
                    <w:snapToGrid w:val="0"/>
                    <w:spacing w:line="340" w:lineRule="atLeast"/>
                    <w:jc w:val="center"/>
                    <w:rPr>
                      <w:b/>
                      <w:bCs/>
                      <w:color w:val="auto"/>
                      <w:kern w:val="0"/>
                      <w:szCs w:val="21"/>
                    </w:rPr>
                  </w:pPr>
                  <w:r>
                    <w:rPr>
                      <w:rFonts w:hint="eastAsia"/>
                      <w:b/>
                      <w:bCs/>
                      <w:color w:val="auto"/>
                      <w:kern w:val="0"/>
                      <w:szCs w:val="21"/>
                    </w:rPr>
                    <w:t>序号</w:t>
                  </w:r>
                </w:p>
              </w:tc>
              <w:tc>
                <w:tcPr>
                  <w:tcW w:w="367" w:type="pct"/>
                  <w:vAlign w:val="center"/>
                </w:tcPr>
                <w:p w14:paraId="7DF4E091">
                  <w:pPr>
                    <w:autoSpaceDE w:val="0"/>
                    <w:autoSpaceDN w:val="0"/>
                    <w:adjustRightInd w:val="0"/>
                    <w:snapToGrid w:val="0"/>
                    <w:spacing w:line="340" w:lineRule="atLeast"/>
                    <w:jc w:val="center"/>
                    <w:rPr>
                      <w:b/>
                      <w:bCs/>
                      <w:color w:val="auto"/>
                      <w:kern w:val="0"/>
                      <w:szCs w:val="21"/>
                    </w:rPr>
                  </w:pPr>
                  <w:r>
                    <w:rPr>
                      <w:rFonts w:hint="eastAsia"/>
                      <w:b/>
                      <w:bCs/>
                      <w:color w:val="auto"/>
                      <w:kern w:val="0"/>
                      <w:szCs w:val="21"/>
                    </w:rPr>
                    <w:t>环境管控单元名称</w:t>
                  </w:r>
                </w:p>
              </w:tc>
              <w:tc>
                <w:tcPr>
                  <w:tcW w:w="230" w:type="pct"/>
                  <w:vAlign w:val="center"/>
                </w:tcPr>
                <w:p w14:paraId="224CACA6">
                  <w:pPr>
                    <w:autoSpaceDE w:val="0"/>
                    <w:autoSpaceDN w:val="0"/>
                    <w:adjustRightInd w:val="0"/>
                    <w:snapToGrid w:val="0"/>
                    <w:spacing w:line="340" w:lineRule="atLeast"/>
                    <w:jc w:val="center"/>
                    <w:rPr>
                      <w:b/>
                      <w:bCs/>
                      <w:color w:val="auto"/>
                      <w:kern w:val="0"/>
                      <w:szCs w:val="21"/>
                    </w:rPr>
                  </w:pPr>
                  <w:r>
                    <w:rPr>
                      <w:rFonts w:hint="eastAsia"/>
                      <w:b/>
                      <w:bCs/>
                      <w:color w:val="auto"/>
                      <w:kern w:val="0"/>
                      <w:szCs w:val="21"/>
                    </w:rPr>
                    <w:t>市(区)</w:t>
                  </w:r>
                </w:p>
              </w:tc>
              <w:tc>
                <w:tcPr>
                  <w:tcW w:w="162" w:type="pct"/>
                  <w:vAlign w:val="center"/>
                </w:tcPr>
                <w:p w14:paraId="04C577F7">
                  <w:pPr>
                    <w:autoSpaceDE w:val="0"/>
                    <w:autoSpaceDN w:val="0"/>
                    <w:adjustRightInd w:val="0"/>
                    <w:snapToGrid w:val="0"/>
                    <w:spacing w:line="340" w:lineRule="atLeast"/>
                    <w:jc w:val="center"/>
                    <w:rPr>
                      <w:b/>
                      <w:bCs/>
                      <w:color w:val="auto"/>
                      <w:kern w:val="0"/>
                      <w:szCs w:val="21"/>
                    </w:rPr>
                  </w:pPr>
                  <w:r>
                    <w:rPr>
                      <w:rFonts w:hint="eastAsia"/>
                      <w:b/>
                      <w:bCs/>
                      <w:color w:val="auto"/>
                      <w:kern w:val="0"/>
                      <w:szCs w:val="21"/>
                    </w:rPr>
                    <w:t>区县</w:t>
                  </w:r>
                </w:p>
              </w:tc>
              <w:tc>
                <w:tcPr>
                  <w:tcW w:w="270" w:type="pct"/>
                  <w:vAlign w:val="center"/>
                </w:tcPr>
                <w:p w14:paraId="55808C62">
                  <w:pPr>
                    <w:autoSpaceDE w:val="0"/>
                    <w:autoSpaceDN w:val="0"/>
                    <w:adjustRightInd w:val="0"/>
                    <w:snapToGrid w:val="0"/>
                    <w:spacing w:line="340" w:lineRule="atLeast"/>
                    <w:jc w:val="center"/>
                    <w:rPr>
                      <w:b/>
                      <w:bCs/>
                      <w:color w:val="auto"/>
                      <w:kern w:val="0"/>
                      <w:szCs w:val="21"/>
                    </w:rPr>
                  </w:pPr>
                  <w:r>
                    <w:rPr>
                      <w:rFonts w:hint="eastAsia"/>
                      <w:b/>
                      <w:bCs/>
                      <w:color w:val="auto"/>
                      <w:kern w:val="0"/>
                      <w:szCs w:val="21"/>
                    </w:rPr>
                    <w:t>单元要素属性</w:t>
                  </w:r>
                </w:p>
              </w:tc>
              <w:tc>
                <w:tcPr>
                  <w:tcW w:w="270" w:type="pct"/>
                  <w:vAlign w:val="center"/>
                </w:tcPr>
                <w:p w14:paraId="082D8163">
                  <w:pPr>
                    <w:autoSpaceDE w:val="0"/>
                    <w:autoSpaceDN w:val="0"/>
                    <w:adjustRightInd w:val="0"/>
                    <w:snapToGrid w:val="0"/>
                    <w:spacing w:line="340" w:lineRule="atLeast"/>
                    <w:jc w:val="center"/>
                    <w:rPr>
                      <w:b/>
                      <w:bCs/>
                      <w:color w:val="auto"/>
                      <w:kern w:val="0"/>
                      <w:szCs w:val="21"/>
                    </w:rPr>
                  </w:pPr>
                  <w:r>
                    <w:rPr>
                      <w:b/>
                      <w:bCs/>
                      <w:color w:val="auto"/>
                      <w:kern w:val="0"/>
                      <w:szCs w:val="21"/>
                    </w:rPr>
                    <w:t>管控</w:t>
                  </w:r>
                  <w:r>
                    <w:rPr>
                      <w:rFonts w:hint="eastAsia"/>
                      <w:b/>
                      <w:bCs/>
                      <w:color w:val="auto"/>
                      <w:kern w:val="0"/>
                      <w:szCs w:val="21"/>
                    </w:rPr>
                    <w:t>要求分类</w:t>
                  </w:r>
                </w:p>
              </w:tc>
              <w:tc>
                <w:tcPr>
                  <w:tcW w:w="1588" w:type="pct"/>
                  <w:vAlign w:val="center"/>
                </w:tcPr>
                <w:p w14:paraId="62C228E7">
                  <w:pPr>
                    <w:autoSpaceDE w:val="0"/>
                    <w:autoSpaceDN w:val="0"/>
                    <w:adjustRightInd w:val="0"/>
                    <w:snapToGrid w:val="0"/>
                    <w:spacing w:line="340" w:lineRule="atLeast"/>
                    <w:jc w:val="center"/>
                    <w:rPr>
                      <w:b/>
                      <w:bCs/>
                      <w:color w:val="auto"/>
                      <w:kern w:val="0"/>
                      <w:szCs w:val="21"/>
                    </w:rPr>
                  </w:pPr>
                  <w:r>
                    <w:rPr>
                      <w:b/>
                      <w:bCs/>
                      <w:color w:val="auto"/>
                      <w:kern w:val="0"/>
                      <w:szCs w:val="21"/>
                    </w:rPr>
                    <w:t>管控要求</w:t>
                  </w:r>
                </w:p>
              </w:tc>
              <w:tc>
                <w:tcPr>
                  <w:tcW w:w="392" w:type="pct"/>
                  <w:vAlign w:val="center"/>
                </w:tcPr>
                <w:p w14:paraId="680AA266">
                  <w:pPr>
                    <w:autoSpaceDE w:val="0"/>
                    <w:autoSpaceDN w:val="0"/>
                    <w:adjustRightInd w:val="0"/>
                    <w:snapToGrid w:val="0"/>
                    <w:spacing w:line="340" w:lineRule="atLeast"/>
                    <w:jc w:val="center"/>
                    <w:rPr>
                      <w:b/>
                      <w:bCs/>
                      <w:color w:val="auto"/>
                      <w:kern w:val="0"/>
                      <w:szCs w:val="21"/>
                    </w:rPr>
                  </w:pPr>
                  <w:r>
                    <w:rPr>
                      <w:rFonts w:hint="eastAsia"/>
                      <w:b/>
                      <w:bCs/>
                      <w:color w:val="auto"/>
                      <w:kern w:val="0"/>
                      <w:szCs w:val="21"/>
                    </w:rPr>
                    <w:t>面积/长度（平方米/米）</w:t>
                  </w:r>
                </w:p>
              </w:tc>
              <w:tc>
                <w:tcPr>
                  <w:tcW w:w="1260" w:type="pct"/>
                  <w:vAlign w:val="center"/>
                </w:tcPr>
                <w:p w14:paraId="4EF5FBC2">
                  <w:pPr>
                    <w:autoSpaceDE w:val="0"/>
                    <w:autoSpaceDN w:val="0"/>
                    <w:adjustRightInd w:val="0"/>
                    <w:snapToGrid w:val="0"/>
                    <w:spacing w:line="340" w:lineRule="atLeast"/>
                    <w:jc w:val="center"/>
                    <w:rPr>
                      <w:b/>
                      <w:bCs/>
                      <w:color w:val="auto"/>
                      <w:kern w:val="0"/>
                      <w:szCs w:val="21"/>
                    </w:rPr>
                  </w:pPr>
                  <w:r>
                    <w:rPr>
                      <w:b/>
                      <w:bCs/>
                      <w:color w:val="auto"/>
                      <w:kern w:val="0"/>
                      <w:szCs w:val="21"/>
                    </w:rPr>
                    <w:t>本项目情况</w:t>
                  </w:r>
                </w:p>
              </w:tc>
              <w:tc>
                <w:tcPr>
                  <w:tcW w:w="221" w:type="pct"/>
                  <w:vAlign w:val="center"/>
                </w:tcPr>
                <w:p w14:paraId="44132FC0">
                  <w:pPr>
                    <w:autoSpaceDE w:val="0"/>
                    <w:autoSpaceDN w:val="0"/>
                    <w:adjustRightInd w:val="0"/>
                    <w:snapToGrid w:val="0"/>
                    <w:spacing w:line="340" w:lineRule="atLeast"/>
                    <w:jc w:val="center"/>
                    <w:rPr>
                      <w:b/>
                      <w:bCs/>
                      <w:color w:val="auto"/>
                      <w:kern w:val="0"/>
                      <w:szCs w:val="21"/>
                    </w:rPr>
                  </w:pPr>
                  <w:r>
                    <w:rPr>
                      <w:b/>
                      <w:bCs/>
                      <w:color w:val="auto"/>
                      <w:kern w:val="0"/>
                      <w:szCs w:val="21"/>
                    </w:rPr>
                    <w:t>符合性</w:t>
                  </w:r>
                </w:p>
              </w:tc>
            </w:tr>
            <w:tr w14:paraId="40A720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235" w:type="pct"/>
                  <w:vMerge w:val="restart"/>
                  <w:vAlign w:val="center"/>
                </w:tcPr>
                <w:p w14:paraId="4709C45F">
                  <w:pPr>
                    <w:autoSpaceDE w:val="0"/>
                    <w:autoSpaceDN w:val="0"/>
                    <w:adjustRightInd w:val="0"/>
                    <w:snapToGrid w:val="0"/>
                    <w:spacing w:line="340" w:lineRule="atLeast"/>
                    <w:jc w:val="center"/>
                    <w:rPr>
                      <w:color w:val="auto"/>
                      <w:kern w:val="0"/>
                      <w:szCs w:val="21"/>
                    </w:rPr>
                  </w:pPr>
                  <w:r>
                    <w:rPr>
                      <w:rFonts w:hint="eastAsia"/>
                      <w:color w:val="auto"/>
                      <w:kern w:val="0"/>
                      <w:szCs w:val="21"/>
                    </w:rPr>
                    <w:t>1</w:t>
                  </w:r>
                </w:p>
              </w:tc>
              <w:tc>
                <w:tcPr>
                  <w:tcW w:w="367" w:type="pct"/>
                  <w:vMerge w:val="restart"/>
                  <w:vAlign w:val="center"/>
                </w:tcPr>
                <w:p w14:paraId="5AC87DB6">
                  <w:pPr>
                    <w:autoSpaceDE w:val="0"/>
                    <w:autoSpaceDN w:val="0"/>
                    <w:adjustRightInd w:val="0"/>
                    <w:snapToGrid w:val="0"/>
                    <w:spacing w:line="340" w:lineRule="atLeast"/>
                    <w:jc w:val="center"/>
                    <w:rPr>
                      <w:color w:val="auto"/>
                      <w:kern w:val="0"/>
                      <w:szCs w:val="21"/>
                    </w:rPr>
                  </w:pPr>
                  <w:r>
                    <w:rPr>
                      <w:rFonts w:hint="eastAsia"/>
                      <w:color w:val="auto"/>
                      <w:kern w:val="0"/>
                      <w:szCs w:val="21"/>
                    </w:rPr>
                    <w:t>陕西省西安市长安区重点管控单元4</w:t>
                  </w:r>
                </w:p>
              </w:tc>
              <w:tc>
                <w:tcPr>
                  <w:tcW w:w="230" w:type="pct"/>
                  <w:vMerge w:val="restart"/>
                  <w:vAlign w:val="center"/>
                </w:tcPr>
                <w:p w14:paraId="4F02359E">
                  <w:pPr>
                    <w:autoSpaceDE w:val="0"/>
                    <w:autoSpaceDN w:val="0"/>
                    <w:adjustRightInd w:val="0"/>
                    <w:snapToGrid w:val="0"/>
                    <w:spacing w:line="340" w:lineRule="atLeast"/>
                    <w:jc w:val="center"/>
                    <w:rPr>
                      <w:color w:val="auto"/>
                      <w:kern w:val="0"/>
                      <w:szCs w:val="21"/>
                    </w:rPr>
                  </w:pPr>
                  <w:r>
                    <w:rPr>
                      <w:rFonts w:hint="eastAsia"/>
                      <w:color w:val="auto"/>
                      <w:kern w:val="0"/>
                      <w:szCs w:val="21"/>
                    </w:rPr>
                    <w:t>西安市</w:t>
                  </w:r>
                </w:p>
              </w:tc>
              <w:tc>
                <w:tcPr>
                  <w:tcW w:w="162" w:type="pct"/>
                  <w:vMerge w:val="restart"/>
                  <w:vAlign w:val="center"/>
                </w:tcPr>
                <w:p w14:paraId="77FCA777">
                  <w:pPr>
                    <w:autoSpaceDE w:val="0"/>
                    <w:autoSpaceDN w:val="0"/>
                    <w:adjustRightInd w:val="0"/>
                    <w:snapToGrid w:val="0"/>
                    <w:spacing w:line="340" w:lineRule="atLeast"/>
                    <w:jc w:val="center"/>
                    <w:rPr>
                      <w:color w:val="auto"/>
                      <w:kern w:val="0"/>
                      <w:szCs w:val="21"/>
                    </w:rPr>
                  </w:pPr>
                  <w:r>
                    <w:rPr>
                      <w:rFonts w:hint="eastAsia"/>
                      <w:color w:val="auto"/>
                      <w:kern w:val="0"/>
                      <w:szCs w:val="21"/>
                    </w:rPr>
                    <w:t>长安区</w:t>
                  </w:r>
                </w:p>
              </w:tc>
              <w:tc>
                <w:tcPr>
                  <w:tcW w:w="270" w:type="pct"/>
                  <w:vMerge w:val="restart"/>
                  <w:vAlign w:val="center"/>
                </w:tcPr>
                <w:p w14:paraId="5DDBC16A">
                  <w:pPr>
                    <w:autoSpaceDE w:val="0"/>
                    <w:autoSpaceDN w:val="0"/>
                    <w:adjustRightInd w:val="0"/>
                    <w:snapToGrid w:val="0"/>
                    <w:spacing w:line="340" w:lineRule="atLeast"/>
                    <w:jc w:val="center"/>
                    <w:rPr>
                      <w:color w:val="auto"/>
                      <w:kern w:val="0"/>
                      <w:szCs w:val="21"/>
                    </w:rPr>
                  </w:pPr>
                  <w:r>
                    <w:rPr>
                      <w:rFonts w:hint="eastAsia"/>
                      <w:color w:val="auto"/>
                      <w:kern w:val="0"/>
                      <w:szCs w:val="21"/>
                    </w:rPr>
                    <w:t>大气环境布局敏感重点管控区</w:t>
                  </w:r>
                </w:p>
              </w:tc>
              <w:tc>
                <w:tcPr>
                  <w:tcW w:w="270" w:type="pct"/>
                  <w:vAlign w:val="center"/>
                </w:tcPr>
                <w:p w14:paraId="12129CEE">
                  <w:pPr>
                    <w:autoSpaceDE w:val="0"/>
                    <w:autoSpaceDN w:val="0"/>
                    <w:adjustRightInd w:val="0"/>
                    <w:snapToGrid w:val="0"/>
                    <w:spacing w:line="340" w:lineRule="atLeast"/>
                    <w:jc w:val="center"/>
                    <w:rPr>
                      <w:color w:val="auto"/>
                      <w:kern w:val="0"/>
                      <w:szCs w:val="21"/>
                    </w:rPr>
                  </w:pPr>
                  <w:r>
                    <w:rPr>
                      <w:rFonts w:hint="eastAsia"/>
                      <w:color w:val="auto"/>
                      <w:kern w:val="0"/>
                      <w:szCs w:val="21"/>
                    </w:rPr>
                    <w:t>空间布局约束</w:t>
                  </w:r>
                </w:p>
              </w:tc>
              <w:tc>
                <w:tcPr>
                  <w:tcW w:w="1588" w:type="pct"/>
                  <w:vAlign w:val="center"/>
                </w:tcPr>
                <w:p w14:paraId="577996C1">
                  <w:pPr>
                    <w:autoSpaceDE w:val="0"/>
                    <w:autoSpaceDN w:val="0"/>
                    <w:adjustRightInd w:val="0"/>
                    <w:snapToGrid w:val="0"/>
                    <w:spacing w:line="340" w:lineRule="atLeast"/>
                    <w:rPr>
                      <w:color w:val="auto"/>
                      <w:kern w:val="0"/>
                      <w:szCs w:val="21"/>
                    </w:rPr>
                  </w:pPr>
                  <w:r>
                    <w:rPr>
                      <w:rFonts w:hint="eastAsia"/>
                      <w:color w:val="auto"/>
                      <w:kern w:val="0"/>
                      <w:szCs w:val="21"/>
                    </w:rPr>
                    <w:t>大气环境受体敏感重点管控区：</w:t>
                  </w:r>
                </w:p>
                <w:p w14:paraId="1AB146A5">
                  <w:pPr>
                    <w:autoSpaceDE w:val="0"/>
                    <w:autoSpaceDN w:val="0"/>
                    <w:adjustRightInd w:val="0"/>
                    <w:snapToGrid w:val="0"/>
                    <w:spacing w:line="340" w:lineRule="atLeast"/>
                    <w:rPr>
                      <w:color w:val="auto"/>
                      <w:kern w:val="0"/>
                      <w:szCs w:val="21"/>
                    </w:rPr>
                  </w:pPr>
                  <w:r>
                    <w:rPr>
                      <w:rFonts w:hint="eastAsia"/>
                      <w:color w:val="auto"/>
                      <w:kern w:val="0"/>
                      <w:szCs w:val="21"/>
                    </w:rPr>
                    <w:t>1.严格控制新增《陕西省“两高”项目管理暂行目录》行业项目（民生等项目除外，后续对“两高”范围国家如有新规定的，从其规定）。</w:t>
                  </w:r>
                </w:p>
                <w:p w14:paraId="065653CC">
                  <w:pPr>
                    <w:autoSpaceDE w:val="0"/>
                    <w:autoSpaceDN w:val="0"/>
                    <w:adjustRightInd w:val="0"/>
                    <w:snapToGrid w:val="0"/>
                    <w:spacing w:line="340" w:lineRule="atLeast"/>
                    <w:rPr>
                      <w:color w:val="auto"/>
                      <w:kern w:val="0"/>
                      <w:szCs w:val="21"/>
                    </w:rPr>
                  </w:pPr>
                  <w:r>
                    <w:rPr>
                      <w:rFonts w:hint="eastAsia"/>
                      <w:color w:val="auto"/>
                      <w:kern w:val="0"/>
                      <w:szCs w:val="21"/>
                    </w:rPr>
                    <w:t>2.严禁新增钢铁、焦化、水泥熟料、平板玻璃、电解铝、氧化铝、煤化工产能。</w:t>
                  </w:r>
                </w:p>
                <w:p w14:paraId="73A5397A">
                  <w:pPr>
                    <w:autoSpaceDE w:val="0"/>
                    <w:autoSpaceDN w:val="0"/>
                    <w:adjustRightInd w:val="0"/>
                    <w:snapToGrid w:val="0"/>
                    <w:spacing w:line="340" w:lineRule="atLeast"/>
                    <w:rPr>
                      <w:color w:val="auto"/>
                      <w:kern w:val="0"/>
                      <w:szCs w:val="21"/>
                    </w:rPr>
                  </w:pPr>
                  <w:r>
                    <w:rPr>
                      <w:rFonts w:hint="eastAsia"/>
                      <w:color w:val="auto"/>
                      <w:kern w:val="0"/>
                      <w:szCs w:val="21"/>
                    </w:rPr>
                    <w:t>3.推动重污染企业搬迁入园或依法关闭。</w:t>
                  </w:r>
                </w:p>
              </w:tc>
              <w:tc>
                <w:tcPr>
                  <w:tcW w:w="392" w:type="pct"/>
                  <w:vMerge w:val="restart"/>
                  <w:vAlign w:val="center"/>
                </w:tcPr>
                <w:p w14:paraId="7E088A74">
                  <w:pPr>
                    <w:autoSpaceDE w:val="0"/>
                    <w:autoSpaceDN w:val="0"/>
                    <w:adjustRightInd w:val="0"/>
                    <w:snapToGrid w:val="0"/>
                    <w:spacing w:line="340" w:lineRule="atLeast"/>
                    <w:jc w:val="center"/>
                    <w:rPr>
                      <w:color w:val="auto"/>
                      <w:kern w:val="0"/>
                      <w:szCs w:val="21"/>
                    </w:rPr>
                  </w:pPr>
                  <w:r>
                    <w:rPr>
                      <w:rFonts w:hint="eastAsia"/>
                      <w:color w:val="auto"/>
                      <w:kern w:val="0"/>
                      <w:szCs w:val="21"/>
                    </w:rPr>
                    <w:t>9471.65</w:t>
                  </w:r>
                </w:p>
              </w:tc>
              <w:tc>
                <w:tcPr>
                  <w:tcW w:w="1260" w:type="pct"/>
                  <w:vAlign w:val="center"/>
                </w:tcPr>
                <w:p w14:paraId="6AA978FA">
                  <w:pPr>
                    <w:autoSpaceDE w:val="0"/>
                    <w:autoSpaceDN w:val="0"/>
                    <w:adjustRightInd w:val="0"/>
                    <w:snapToGrid w:val="0"/>
                    <w:spacing w:line="340" w:lineRule="atLeast"/>
                    <w:rPr>
                      <w:color w:val="auto"/>
                      <w:kern w:val="0"/>
                      <w:szCs w:val="21"/>
                    </w:rPr>
                  </w:pPr>
                  <w:r>
                    <w:rPr>
                      <w:rFonts w:hint="eastAsia"/>
                      <w:color w:val="auto"/>
                      <w:kern w:val="0"/>
                      <w:szCs w:val="21"/>
                    </w:rPr>
                    <w:t>1.本项目不属于《陕西省“两高”项目管理暂行目录》行业项目；</w:t>
                  </w:r>
                </w:p>
                <w:p w14:paraId="6A662038">
                  <w:pPr>
                    <w:autoSpaceDE w:val="0"/>
                    <w:autoSpaceDN w:val="0"/>
                    <w:adjustRightInd w:val="0"/>
                    <w:snapToGrid w:val="0"/>
                    <w:spacing w:line="340" w:lineRule="atLeast"/>
                    <w:rPr>
                      <w:color w:val="auto"/>
                      <w:kern w:val="0"/>
                      <w:szCs w:val="21"/>
                    </w:rPr>
                  </w:pPr>
                  <w:r>
                    <w:rPr>
                      <w:rFonts w:hint="eastAsia"/>
                      <w:color w:val="auto"/>
                      <w:kern w:val="0"/>
                      <w:szCs w:val="21"/>
                    </w:rPr>
                    <w:t>2.本项目不属于新增钢铁、焦化、水泥熟料、平板玻璃、电解铝、氧化铝、煤化工产能；</w:t>
                  </w:r>
                </w:p>
                <w:p w14:paraId="7C7CE4DA">
                  <w:pPr>
                    <w:autoSpaceDE w:val="0"/>
                    <w:autoSpaceDN w:val="0"/>
                    <w:adjustRightInd w:val="0"/>
                    <w:snapToGrid w:val="0"/>
                    <w:spacing w:line="340" w:lineRule="atLeast"/>
                    <w:rPr>
                      <w:color w:val="auto"/>
                      <w:kern w:val="0"/>
                      <w:szCs w:val="21"/>
                    </w:rPr>
                  </w:pPr>
                  <w:r>
                    <w:rPr>
                      <w:rFonts w:hint="eastAsia"/>
                      <w:color w:val="auto"/>
                      <w:kern w:val="0"/>
                      <w:szCs w:val="21"/>
                    </w:rPr>
                    <w:t>3.本项目运行过程中注塑产生的有机废气采用集气罩+软帘</w:t>
                  </w:r>
                  <w:r>
                    <w:rPr>
                      <w:rFonts w:hint="eastAsia"/>
                      <w:color w:val="auto"/>
                      <w:kern w:val="0"/>
                      <w:szCs w:val="21"/>
                      <w:lang w:val="en-US" w:eastAsia="zh-CN"/>
                    </w:rPr>
                    <w:t>+三</w:t>
                  </w:r>
                  <w:r>
                    <w:rPr>
                      <w:rFonts w:hint="eastAsia"/>
                      <w:color w:val="auto"/>
                      <w:kern w:val="0"/>
                      <w:szCs w:val="21"/>
                    </w:rPr>
                    <w:t>级活性炭处理后，尾气通过15m高排气筒排放；</w:t>
                  </w:r>
                  <w:r>
                    <w:rPr>
                      <w:rFonts w:hint="eastAsia"/>
                      <w:bCs/>
                      <w:color w:val="auto"/>
                      <w:szCs w:val="21"/>
                    </w:rPr>
                    <w:t>破碎粉尘采用集气罩+袋式除尘器处理后在密闭破碎间内无组织排放，</w:t>
                  </w:r>
                  <w:r>
                    <w:rPr>
                      <w:rFonts w:hint="eastAsia"/>
                      <w:color w:val="auto"/>
                      <w:kern w:val="0"/>
                      <w:szCs w:val="21"/>
                    </w:rPr>
                    <w:t>不属于重污染项目。</w:t>
                  </w:r>
                </w:p>
              </w:tc>
              <w:tc>
                <w:tcPr>
                  <w:tcW w:w="221" w:type="pct"/>
                  <w:vAlign w:val="center"/>
                </w:tcPr>
                <w:p w14:paraId="08531D92">
                  <w:pPr>
                    <w:autoSpaceDE w:val="0"/>
                    <w:autoSpaceDN w:val="0"/>
                    <w:adjustRightInd w:val="0"/>
                    <w:snapToGrid w:val="0"/>
                    <w:spacing w:line="340" w:lineRule="atLeast"/>
                    <w:jc w:val="center"/>
                    <w:rPr>
                      <w:color w:val="auto"/>
                      <w:kern w:val="0"/>
                      <w:szCs w:val="21"/>
                    </w:rPr>
                  </w:pPr>
                  <w:r>
                    <w:rPr>
                      <w:color w:val="auto"/>
                      <w:kern w:val="0"/>
                      <w:szCs w:val="21"/>
                    </w:rPr>
                    <w:t>符合</w:t>
                  </w:r>
                </w:p>
              </w:tc>
            </w:tr>
            <w:tr w14:paraId="633606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vAlign w:val="center"/>
                </w:tcPr>
                <w:p w14:paraId="79911B7F">
                  <w:pPr>
                    <w:autoSpaceDE w:val="0"/>
                    <w:autoSpaceDN w:val="0"/>
                    <w:adjustRightInd w:val="0"/>
                    <w:snapToGrid w:val="0"/>
                    <w:spacing w:line="340" w:lineRule="atLeast"/>
                    <w:jc w:val="center"/>
                    <w:rPr>
                      <w:color w:val="auto"/>
                      <w:kern w:val="0"/>
                      <w:szCs w:val="21"/>
                    </w:rPr>
                  </w:pPr>
                </w:p>
              </w:tc>
              <w:tc>
                <w:tcPr>
                  <w:tcW w:w="367" w:type="pct"/>
                  <w:vMerge w:val="continue"/>
                  <w:vAlign w:val="center"/>
                </w:tcPr>
                <w:p w14:paraId="7F6E3ABB">
                  <w:pPr>
                    <w:autoSpaceDE w:val="0"/>
                    <w:autoSpaceDN w:val="0"/>
                    <w:adjustRightInd w:val="0"/>
                    <w:snapToGrid w:val="0"/>
                    <w:spacing w:line="340" w:lineRule="atLeast"/>
                    <w:jc w:val="center"/>
                    <w:rPr>
                      <w:color w:val="auto"/>
                      <w:kern w:val="0"/>
                      <w:szCs w:val="21"/>
                    </w:rPr>
                  </w:pPr>
                </w:p>
              </w:tc>
              <w:tc>
                <w:tcPr>
                  <w:tcW w:w="230" w:type="pct"/>
                  <w:vMerge w:val="continue"/>
                  <w:vAlign w:val="center"/>
                </w:tcPr>
                <w:p w14:paraId="243E3C6E">
                  <w:pPr>
                    <w:autoSpaceDE w:val="0"/>
                    <w:autoSpaceDN w:val="0"/>
                    <w:adjustRightInd w:val="0"/>
                    <w:snapToGrid w:val="0"/>
                    <w:spacing w:line="340" w:lineRule="atLeast"/>
                    <w:jc w:val="center"/>
                    <w:rPr>
                      <w:color w:val="auto"/>
                      <w:kern w:val="0"/>
                      <w:szCs w:val="21"/>
                    </w:rPr>
                  </w:pPr>
                </w:p>
              </w:tc>
              <w:tc>
                <w:tcPr>
                  <w:tcW w:w="162" w:type="pct"/>
                  <w:vMerge w:val="continue"/>
                  <w:vAlign w:val="center"/>
                </w:tcPr>
                <w:p w14:paraId="4000277E">
                  <w:pPr>
                    <w:autoSpaceDE w:val="0"/>
                    <w:autoSpaceDN w:val="0"/>
                    <w:adjustRightInd w:val="0"/>
                    <w:snapToGrid w:val="0"/>
                    <w:spacing w:line="340" w:lineRule="atLeast"/>
                    <w:jc w:val="center"/>
                    <w:rPr>
                      <w:color w:val="auto"/>
                      <w:kern w:val="0"/>
                      <w:szCs w:val="21"/>
                    </w:rPr>
                  </w:pPr>
                </w:p>
              </w:tc>
              <w:tc>
                <w:tcPr>
                  <w:tcW w:w="270" w:type="pct"/>
                  <w:vMerge w:val="continue"/>
                  <w:vAlign w:val="center"/>
                </w:tcPr>
                <w:p w14:paraId="73EA1F35">
                  <w:pPr>
                    <w:autoSpaceDE w:val="0"/>
                    <w:autoSpaceDN w:val="0"/>
                    <w:adjustRightInd w:val="0"/>
                    <w:snapToGrid w:val="0"/>
                    <w:spacing w:line="340" w:lineRule="atLeast"/>
                    <w:jc w:val="center"/>
                    <w:rPr>
                      <w:color w:val="auto"/>
                      <w:kern w:val="0"/>
                      <w:szCs w:val="21"/>
                    </w:rPr>
                  </w:pPr>
                </w:p>
              </w:tc>
              <w:tc>
                <w:tcPr>
                  <w:tcW w:w="270" w:type="pct"/>
                  <w:vAlign w:val="center"/>
                </w:tcPr>
                <w:p w14:paraId="74FAF2AF">
                  <w:pPr>
                    <w:autoSpaceDE w:val="0"/>
                    <w:autoSpaceDN w:val="0"/>
                    <w:adjustRightInd w:val="0"/>
                    <w:snapToGrid w:val="0"/>
                    <w:spacing w:line="340" w:lineRule="atLeast"/>
                    <w:rPr>
                      <w:color w:val="auto"/>
                      <w:kern w:val="0"/>
                      <w:szCs w:val="21"/>
                    </w:rPr>
                  </w:pPr>
                  <w:r>
                    <w:rPr>
                      <w:color w:val="auto"/>
                      <w:kern w:val="0"/>
                      <w:szCs w:val="21"/>
                    </w:rPr>
                    <w:t>污染物排放管控</w:t>
                  </w:r>
                </w:p>
              </w:tc>
              <w:tc>
                <w:tcPr>
                  <w:tcW w:w="1588" w:type="pct"/>
                  <w:vAlign w:val="center"/>
                </w:tcPr>
                <w:p w14:paraId="6FDADD91">
                  <w:pPr>
                    <w:autoSpaceDE w:val="0"/>
                    <w:autoSpaceDN w:val="0"/>
                    <w:adjustRightInd w:val="0"/>
                    <w:snapToGrid w:val="0"/>
                    <w:spacing w:line="340" w:lineRule="atLeast"/>
                    <w:rPr>
                      <w:color w:val="auto"/>
                      <w:kern w:val="0"/>
                      <w:szCs w:val="21"/>
                    </w:rPr>
                  </w:pPr>
                  <w:r>
                    <w:rPr>
                      <w:rFonts w:hint="eastAsia"/>
                      <w:color w:val="auto"/>
                      <w:kern w:val="0"/>
                      <w:szCs w:val="21"/>
                    </w:rPr>
                    <w:t>大气环境受体敏感重点管控区：</w:t>
                  </w:r>
                </w:p>
                <w:p w14:paraId="596A5B2A">
                  <w:pPr>
                    <w:autoSpaceDE w:val="0"/>
                    <w:autoSpaceDN w:val="0"/>
                    <w:adjustRightInd w:val="0"/>
                    <w:snapToGrid w:val="0"/>
                    <w:spacing w:line="340" w:lineRule="atLeast"/>
                    <w:rPr>
                      <w:color w:val="auto"/>
                      <w:kern w:val="0"/>
                      <w:szCs w:val="21"/>
                    </w:rPr>
                  </w:pPr>
                  <w:r>
                    <w:rPr>
                      <w:rFonts w:hint="eastAsia"/>
                      <w:color w:val="auto"/>
                      <w:kern w:val="0"/>
                      <w:szCs w:val="21"/>
                    </w:rPr>
                    <w:t>1.城市建成区产生油烟的餐饮服务单位全部安装油烟净化装置并保持正常运行和定期维护。</w:t>
                  </w:r>
                </w:p>
                <w:p w14:paraId="5C18A730">
                  <w:pPr>
                    <w:autoSpaceDE w:val="0"/>
                    <w:autoSpaceDN w:val="0"/>
                    <w:adjustRightInd w:val="0"/>
                    <w:snapToGrid w:val="0"/>
                    <w:spacing w:line="340" w:lineRule="atLeast"/>
                    <w:rPr>
                      <w:color w:val="auto"/>
                      <w:kern w:val="0"/>
                      <w:szCs w:val="21"/>
                    </w:rPr>
                  </w:pPr>
                  <w:r>
                    <w:rPr>
                      <w:rFonts w:hint="eastAsia"/>
                      <w:color w:val="auto"/>
                      <w:kern w:val="0"/>
                      <w:szCs w:val="21"/>
                    </w:rPr>
                    <w:t>2.持续因地制宜实施“煤改气”、“油改气”、电能、地热、生物质等清洁能源取暖措施。</w:t>
                  </w:r>
                </w:p>
                <w:p w14:paraId="1BB316BD">
                  <w:pPr>
                    <w:autoSpaceDE w:val="0"/>
                    <w:autoSpaceDN w:val="0"/>
                    <w:adjustRightInd w:val="0"/>
                    <w:snapToGrid w:val="0"/>
                    <w:spacing w:line="340" w:lineRule="atLeast"/>
                    <w:rPr>
                      <w:color w:val="auto"/>
                      <w:kern w:val="0"/>
                      <w:szCs w:val="21"/>
                    </w:rPr>
                  </w:pPr>
                  <w:r>
                    <w:rPr>
                      <w:rFonts w:hint="eastAsia"/>
                      <w:color w:val="auto"/>
                      <w:kern w:val="0"/>
                      <w:szCs w:val="21"/>
                    </w:rPr>
                    <w:t>3.鼓励将老旧车辆和非道路移动机械替换为清洁能源车辆。推进新能源或清洁能源汽车使用。</w:t>
                  </w:r>
                </w:p>
              </w:tc>
              <w:tc>
                <w:tcPr>
                  <w:tcW w:w="392" w:type="pct"/>
                  <w:vMerge w:val="continue"/>
                  <w:vAlign w:val="center"/>
                </w:tcPr>
                <w:p w14:paraId="3875A572">
                  <w:pPr>
                    <w:autoSpaceDE w:val="0"/>
                    <w:autoSpaceDN w:val="0"/>
                    <w:adjustRightInd w:val="0"/>
                    <w:snapToGrid w:val="0"/>
                    <w:spacing w:line="340" w:lineRule="atLeast"/>
                    <w:rPr>
                      <w:color w:val="auto"/>
                      <w:kern w:val="0"/>
                      <w:szCs w:val="21"/>
                    </w:rPr>
                  </w:pPr>
                </w:p>
              </w:tc>
              <w:tc>
                <w:tcPr>
                  <w:tcW w:w="1260" w:type="pct"/>
                  <w:vAlign w:val="center"/>
                </w:tcPr>
                <w:p w14:paraId="60B57457">
                  <w:pPr>
                    <w:rPr>
                      <w:color w:val="auto"/>
                      <w:kern w:val="0"/>
                      <w:szCs w:val="21"/>
                    </w:rPr>
                  </w:pPr>
                  <w:r>
                    <w:rPr>
                      <w:rFonts w:hint="eastAsia"/>
                      <w:color w:val="auto"/>
                      <w:kern w:val="0"/>
                      <w:szCs w:val="21"/>
                    </w:rPr>
                    <w:t>1.本项目不属于产生油烟的餐饮单位；</w:t>
                  </w:r>
                </w:p>
                <w:p w14:paraId="77D9DAB6">
                  <w:pPr>
                    <w:rPr>
                      <w:color w:val="auto"/>
                      <w:kern w:val="0"/>
                      <w:szCs w:val="21"/>
                    </w:rPr>
                  </w:pPr>
                  <w:r>
                    <w:rPr>
                      <w:rFonts w:hint="eastAsia"/>
                      <w:color w:val="auto"/>
                      <w:kern w:val="0"/>
                      <w:szCs w:val="21"/>
                    </w:rPr>
                    <w:t>2.本项目办公室采暖为空调，使用电能，为清洁能源；</w:t>
                  </w:r>
                </w:p>
                <w:p w14:paraId="23BE4501">
                  <w:pPr>
                    <w:rPr>
                      <w:color w:val="auto"/>
                      <w:kern w:val="0"/>
                      <w:szCs w:val="21"/>
                    </w:rPr>
                  </w:pPr>
                  <w:r>
                    <w:rPr>
                      <w:rFonts w:hint="eastAsia"/>
                      <w:color w:val="auto"/>
                      <w:kern w:val="0"/>
                      <w:szCs w:val="21"/>
                    </w:rPr>
                    <w:t>3.本项目厂内不使用老旧车辆和非道路移动机械。</w:t>
                  </w:r>
                </w:p>
              </w:tc>
              <w:tc>
                <w:tcPr>
                  <w:tcW w:w="221" w:type="pct"/>
                  <w:vAlign w:val="center"/>
                </w:tcPr>
                <w:p w14:paraId="4401CFAA">
                  <w:pPr>
                    <w:autoSpaceDE w:val="0"/>
                    <w:autoSpaceDN w:val="0"/>
                    <w:adjustRightInd w:val="0"/>
                    <w:snapToGrid w:val="0"/>
                    <w:spacing w:line="340" w:lineRule="atLeast"/>
                    <w:rPr>
                      <w:color w:val="auto"/>
                      <w:kern w:val="0"/>
                      <w:szCs w:val="21"/>
                    </w:rPr>
                  </w:pPr>
                  <w:r>
                    <w:rPr>
                      <w:color w:val="auto"/>
                      <w:kern w:val="0"/>
                      <w:szCs w:val="21"/>
                    </w:rPr>
                    <w:t>符合</w:t>
                  </w:r>
                </w:p>
              </w:tc>
            </w:tr>
            <w:tr w14:paraId="52D2EF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vAlign w:val="center"/>
                </w:tcPr>
                <w:p w14:paraId="2455F6F9">
                  <w:pPr>
                    <w:autoSpaceDE w:val="0"/>
                    <w:autoSpaceDN w:val="0"/>
                    <w:adjustRightInd w:val="0"/>
                    <w:snapToGrid w:val="0"/>
                    <w:spacing w:line="340" w:lineRule="atLeast"/>
                    <w:rPr>
                      <w:color w:val="auto"/>
                      <w:kern w:val="0"/>
                      <w:szCs w:val="21"/>
                    </w:rPr>
                  </w:pPr>
                </w:p>
              </w:tc>
              <w:tc>
                <w:tcPr>
                  <w:tcW w:w="367" w:type="pct"/>
                  <w:vMerge w:val="continue"/>
                  <w:vAlign w:val="center"/>
                </w:tcPr>
                <w:p w14:paraId="24E5F9DD">
                  <w:pPr>
                    <w:autoSpaceDE w:val="0"/>
                    <w:autoSpaceDN w:val="0"/>
                    <w:adjustRightInd w:val="0"/>
                    <w:snapToGrid w:val="0"/>
                    <w:spacing w:line="340" w:lineRule="atLeast"/>
                    <w:rPr>
                      <w:color w:val="auto"/>
                      <w:kern w:val="0"/>
                      <w:szCs w:val="21"/>
                    </w:rPr>
                  </w:pPr>
                </w:p>
              </w:tc>
              <w:tc>
                <w:tcPr>
                  <w:tcW w:w="230" w:type="pct"/>
                  <w:vMerge w:val="continue"/>
                  <w:vAlign w:val="center"/>
                </w:tcPr>
                <w:p w14:paraId="3EEF3F8B">
                  <w:pPr>
                    <w:autoSpaceDE w:val="0"/>
                    <w:autoSpaceDN w:val="0"/>
                    <w:adjustRightInd w:val="0"/>
                    <w:snapToGrid w:val="0"/>
                    <w:spacing w:line="340" w:lineRule="atLeast"/>
                    <w:rPr>
                      <w:color w:val="auto"/>
                      <w:kern w:val="0"/>
                      <w:szCs w:val="21"/>
                    </w:rPr>
                  </w:pPr>
                </w:p>
              </w:tc>
              <w:tc>
                <w:tcPr>
                  <w:tcW w:w="162" w:type="pct"/>
                  <w:vMerge w:val="continue"/>
                  <w:vAlign w:val="center"/>
                </w:tcPr>
                <w:p w14:paraId="0AB4E06F">
                  <w:pPr>
                    <w:autoSpaceDE w:val="0"/>
                    <w:autoSpaceDN w:val="0"/>
                    <w:adjustRightInd w:val="0"/>
                    <w:snapToGrid w:val="0"/>
                    <w:spacing w:line="340" w:lineRule="atLeast"/>
                    <w:rPr>
                      <w:color w:val="auto"/>
                      <w:kern w:val="0"/>
                      <w:szCs w:val="21"/>
                    </w:rPr>
                  </w:pPr>
                </w:p>
              </w:tc>
              <w:tc>
                <w:tcPr>
                  <w:tcW w:w="270" w:type="pct"/>
                  <w:vMerge w:val="restart"/>
                  <w:vAlign w:val="center"/>
                </w:tcPr>
                <w:p w14:paraId="7C35ACF9">
                  <w:pPr>
                    <w:autoSpaceDE w:val="0"/>
                    <w:autoSpaceDN w:val="0"/>
                    <w:adjustRightInd w:val="0"/>
                    <w:snapToGrid w:val="0"/>
                    <w:spacing w:line="340" w:lineRule="atLeast"/>
                    <w:rPr>
                      <w:color w:val="auto"/>
                      <w:kern w:val="0"/>
                      <w:szCs w:val="21"/>
                    </w:rPr>
                  </w:pPr>
                  <w:r>
                    <w:rPr>
                      <w:rFonts w:hint="eastAsia"/>
                      <w:color w:val="auto"/>
                      <w:kern w:val="0"/>
                      <w:szCs w:val="21"/>
                    </w:rPr>
                    <w:t>水环境城镇生活污染重点管控区</w:t>
                  </w:r>
                </w:p>
              </w:tc>
              <w:tc>
                <w:tcPr>
                  <w:tcW w:w="270" w:type="pct"/>
                  <w:vAlign w:val="center"/>
                </w:tcPr>
                <w:p w14:paraId="00445064">
                  <w:pPr>
                    <w:autoSpaceDE w:val="0"/>
                    <w:autoSpaceDN w:val="0"/>
                    <w:adjustRightInd w:val="0"/>
                    <w:snapToGrid w:val="0"/>
                    <w:spacing w:line="340" w:lineRule="atLeast"/>
                    <w:jc w:val="center"/>
                    <w:rPr>
                      <w:color w:val="auto"/>
                      <w:kern w:val="0"/>
                      <w:szCs w:val="21"/>
                    </w:rPr>
                  </w:pPr>
                  <w:r>
                    <w:rPr>
                      <w:rFonts w:hint="eastAsia"/>
                      <w:color w:val="auto"/>
                      <w:kern w:val="0"/>
                      <w:szCs w:val="21"/>
                    </w:rPr>
                    <w:t>空间布局约束</w:t>
                  </w:r>
                </w:p>
              </w:tc>
              <w:tc>
                <w:tcPr>
                  <w:tcW w:w="1588" w:type="pct"/>
                  <w:vAlign w:val="center"/>
                </w:tcPr>
                <w:p w14:paraId="21CDD1FA">
                  <w:pPr>
                    <w:autoSpaceDE w:val="0"/>
                    <w:autoSpaceDN w:val="0"/>
                    <w:adjustRightInd w:val="0"/>
                    <w:snapToGrid w:val="0"/>
                    <w:spacing w:line="340" w:lineRule="atLeast"/>
                    <w:rPr>
                      <w:color w:val="auto"/>
                      <w:szCs w:val="21"/>
                    </w:rPr>
                  </w:pPr>
                  <w:r>
                    <w:rPr>
                      <w:rFonts w:hint="eastAsia"/>
                      <w:color w:val="auto"/>
                      <w:szCs w:val="21"/>
                    </w:rPr>
                    <w:t>水环境城镇生活污染重点管控区：</w:t>
                  </w:r>
                </w:p>
                <w:p w14:paraId="3110A5F6">
                  <w:pPr>
                    <w:autoSpaceDE w:val="0"/>
                    <w:autoSpaceDN w:val="0"/>
                    <w:adjustRightInd w:val="0"/>
                    <w:snapToGrid w:val="0"/>
                    <w:spacing w:line="340" w:lineRule="atLeast"/>
                    <w:rPr>
                      <w:color w:val="auto"/>
                      <w:szCs w:val="21"/>
                    </w:rPr>
                  </w:pPr>
                  <w:r>
                    <w:rPr>
                      <w:rFonts w:hint="eastAsia"/>
                      <w:color w:val="auto"/>
                      <w:szCs w:val="21"/>
                    </w:rPr>
                    <w:t>1.持续推进城中村、老旧城区、城乡结合部污水截流、收集和城市雨污管道新建、改建。</w:t>
                  </w:r>
                </w:p>
              </w:tc>
              <w:tc>
                <w:tcPr>
                  <w:tcW w:w="392" w:type="pct"/>
                  <w:vMerge w:val="continue"/>
                  <w:vAlign w:val="center"/>
                </w:tcPr>
                <w:p w14:paraId="3E02C4D6">
                  <w:pPr>
                    <w:autoSpaceDE w:val="0"/>
                    <w:autoSpaceDN w:val="0"/>
                    <w:adjustRightInd w:val="0"/>
                    <w:snapToGrid w:val="0"/>
                    <w:spacing w:line="340" w:lineRule="atLeast"/>
                    <w:rPr>
                      <w:color w:val="auto"/>
                      <w:kern w:val="0"/>
                      <w:szCs w:val="21"/>
                    </w:rPr>
                  </w:pPr>
                </w:p>
              </w:tc>
              <w:tc>
                <w:tcPr>
                  <w:tcW w:w="1260" w:type="pct"/>
                  <w:vMerge w:val="restart"/>
                  <w:vAlign w:val="center"/>
                </w:tcPr>
                <w:p w14:paraId="6B9BC622">
                  <w:pPr>
                    <w:rPr>
                      <w:color w:val="auto"/>
                      <w:szCs w:val="21"/>
                    </w:rPr>
                  </w:pPr>
                  <w:r>
                    <w:rPr>
                      <w:rFonts w:hint="eastAsia"/>
                      <w:color w:val="auto"/>
                      <w:kern w:val="21"/>
                      <w:szCs w:val="21"/>
                    </w:rPr>
                    <w:t>1.本项目产生的生活污水</w:t>
                  </w:r>
                  <w:r>
                    <w:rPr>
                      <w:rFonts w:hint="eastAsia"/>
                      <w:color w:val="auto"/>
                      <w:szCs w:val="21"/>
                    </w:rPr>
                    <w:t>经租赁厂区</w:t>
                  </w:r>
                  <w:r>
                    <w:rPr>
                      <w:rFonts w:hint="eastAsia"/>
                      <w:color w:val="auto"/>
                      <w:szCs w:val="21"/>
                      <w:lang w:val="en-US" w:eastAsia="zh-CN"/>
                    </w:rPr>
                    <w:t>防渗</w:t>
                  </w:r>
                  <w:r>
                    <w:rPr>
                      <w:rFonts w:hint="eastAsia"/>
                      <w:color w:val="auto"/>
                      <w:szCs w:val="21"/>
                      <w:lang w:eastAsia="zh-CN"/>
                    </w:rPr>
                    <w:t>旱厕</w:t>
                  </w:r>
                  <w:r>
                    <w:rPr>
                      <w:rFonts w:hint="eastAsia"/>
                      <w:color w:val="auto"/>
                      <w:szCs w:val="21"/>
                    </w:rPr>
                    <w:t>处理后，定期清掏用于周边农地，不外排；</w:t>
                  </w:r>
                </w:p>
                <w:p w14:paraId="0BDCBD4E">
                  <w:pPr>
                    <w:rPr>
                      <w:color w:val="auto"/>
                      <w:kern w:val="0"/>
                      <w:szCs w:val="21"/>
                    </w:rPr>
                  </w:pPr>
                  <w:r>
                    <w:rPr>
                      <w:rFonts w:hint="eastAsia"/>
                      <w:color w:val="auto"/>
                      <w:szCs w:val="21"/>
                    </w:rPr>
                    <w:t>2.本项目不属于污水处理厂项目。</w:t>
                  </w:r>
                </w:p>
              </w:tc>
              <w:tc>
                <w:tcPr>
                  <w:tcW w:w="221" w:type="pct"/>
                  <w:vAlign w:val="center"/>
                </w:tcPr>
                <w:p w14:paraId="485D95F4">
                  <w:pPr>
                    <w:autoSpaceDE w:val="0"/>
                    <w:autoSpaceDN w:val="0"/>
                    <w:adjustRightInd w:val="0"/>
                    <w:snapToGrid w:val="0"/>
                    <w:spacing w:line="340" w:lineRule="atLeast"/>
                    <w:rPr>
                      <w:color w:val="auto"/>
                      <w:kern w:val="0"/>
                      <w:szCs w:val="21"/>
                    </w:rPr>
                  </w:pPr>
                  <w:r>
                    <w:rPr>
                      <w:color w:val="auto"/>
                      <w:kern w:val="0"/>
                      <w:szCs w:val="21"/>
                    </w:rPr>
                    <w:t>符合</w:t>
                  </w:r>
                </w:p>
              </w:tc>
            </w:tr>
            <w:tr w14:paraId="36124A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vAlign w:val="center"/>
                </w:tcPr>
                <w:p w14:paraId="32A36EBB">
                  <w:pPr>
                    <w:autoSpaceDE w:val="0"/>
                    <w:autoSpaceDN w:val="0"/>
                    <w:adjustRightInd w:val="0"/>
                    <w:snapToGrid w:val="0"/>
                    <w:spacing w:line="340" w:lineRule="atLeast"/>
                    <w:rPr>
                      <w:color w:val="auto"/>
                      <w:kern w:val="0"/>
                      <w:szCs w:val="21"/>
                    </w:rPr>
                  </w:pPr>
                </w:p>
              </w:tc>
              <w:tc>
                <w:tcPr>
                  <w:tcW w:w="367" w:type="pct"/>
                  <w:vMerge w:val="continue"/>
                  <w:vAlign w:val="center"/>
                </w:tcPr>
                <w:p w14:paraId="0FD16B7E">
                  <w:pPr>
                    <w:autoSpaceDE w:val="0"/>
                    <w:autoSpaceDN w:val="0"/>
                    <w:adjustRightInd w:val="0"/>
                    <w:snapToGrid w:val="0"/>
                    <w:spacing w:line="340" w:lineRule="atLeast"/>
                    <w:rPr>
                      <w:color w:val="auto"/>
                      <w:kern w:val="0"/>
                      <w:szCs w:val="21"/>
                    </w:rPr>
                  </w:pPr>
                </w:p>
              </w:tc>
              <w:tc>
                <w:tcPr>
                  <w:tcW w:w="230" w:type="pct"/>
                  <w:vMerge w:val="continue"/>
                  <w:vAlign w:val="center"/>
                </w:tcPr>
                <w:p w14:paraId="16561146">
                  <w:pPr>
                    <w:autoSpaceDE w:val="0"/>
                    <w:autoSpaceDN w:val="0"/>
                    <w:adjustRightInd w:val="0"/>
                    <w:snapToGrid w:val="0"/>
                    <w:spacing w:line="340" w:lineRule="atLeast"/>
                    <w:rPr>
                      <w:color w:val="auto"/>
                      <w:kern w:val="0"/>
                      <w:szCs w:val="21"/>
                    </w:rPr>
                  </w:pPr>
                </w:p>
              </w:tc>
              <w:tc>
                <w:tcPr>
                  <w:tcW w:w="162" w:type="pct"/>
                  <w:vMerge w:val="continue"/>
                  <w:vAlign w:val="center"/>
                </w:tcPr>
                <w:p w14:paraId="12FEE8EB">
                  <w:pPr>
                    <w:autoSpaceDE w:val="0"/>
                    <w:autoSpaceDN w:val="0"/>
                    <w:adjustRightInd w:val="0"/>
                    <w:snapToGrid w:val="0"/>
                    <w:spacing w:line="340" w:lineRule="atLeast"/>
                    <w:rPr>
                      <w:color w:val="auto"/>
                      <w:kern w:val="0"/>
                      <w:szCs w:val="21"/>
                    </w:rPr>
                  </w:pPr>
                </w:p>
              </w:tc>
              <w:tc>
                <w:tcPr>
                  <w:tcW w:w="270" w:type="pct"/>
                  <w:vMerge w:val="continue"/>
                  <w:vAlign w:val="center"/>
                </w:tcPr>
                <w:p w14:paraId="48CC6995">
                  <w:pPr>
                    <w:autoSpaceDE w:val="0"/>
                    <w:autoSpaceDN w:val="0"/>
                    <w:adjustRightInd w:val="0"/>
                    <w:snapToGrid w:val="0"/>
                    <w:spacing w:line="340" w:lineRule="atLeast"/>
                    <w:rPr>
                      <w:color w:val="auto"/>
                      <w:kern w:val="0"/>
                      <w:szCs w:val="21"/>
                    </w:rPr>
                  </w:pPr>
                </w:p>
              </w:tc>
              <w:tc>
                <w:tcPr>
                  <w:tcW w:w="270" w:type="pct"/>
                  <w:vAlign w:val="center"/>
                </w:tcPr>
                <w:p w14:paraId="518A06D4">
                  <w:pPr>
                    <w:autoSpaceDE w:val="0"/>
                    <w:autoSpaceDN w:val="0"/>
                    <w:adjustRightInd w:val="0"/>
                    <w:snapToGrid w:val="0"/>
                    <w:spacing w:line="340" w:lineRule="atLeast"/>
                    <w:jc w:val="center"/>
                    <w:rPr>
                      <w:color w:val="auto"/>
                      <w:kern w:val="0"/>
                      <w:szCs w:val="21"/>
                    </w:rPr>
                  </w:pPr>
                  <w:r>
                    <w:rPr>
                      <w:color w:val="auto"/>
                      <w:kern w:val="0"/>
                      <w:szCs w:val="21"/>
                    </w:rPr>
                    <w:t>污染物排放管控</w:t>
                  </w:r>
                </w:p>
              </w:tc>
              <w:tc>
                <w:tcPr>
                  <w:tcW w:w="1588" w:type="pct"/>
                  <w:vAlign w:val="center"/>
                </w:tcPr>
                <w:p w14:paraId="4EB1C546">
                  <w:pPr>
                    <w:autoSpaceDE w:val="0"/>
                    <w:autoSpaceDN w:val="0"/>
                    <w:adjustRightInd w:val="0"/>
                    <w:snapToGrid w:val="0"/>
                    <w:spacing w:line="340" w:lineRule="atLeast"/>
                    <w:rPr>
                      <w:color w:val="auto"/>
                      <w:szCs w:val="21"/>
                    </w:rPr>
                  </w:pPr>
                  <w:r>
                    <w:rPr>
                      <w:rFonts w:hint="eastAsia"/>
                      <w:color w:val="auto"/>
                      <w:szCs w:val="21"/>
                    </w:rPr>
                    <w:t>水环境城镇生活污染重点管控区：</w:t>
                  </w:r>
                </w:p>
                <w:p w14:paraId="2D36C563">
                  <w:pPr>
                    <w:autoSpaceDE w:val="0"/>
                    <w:autoSpaceDN w:val="0"/>
                    <w:adjustRightInd w:val="0"/>
                    <w:snapToGrid w:val="0"/>
                    <w:spacing w:line="340" w:lineRule="atLeast"/>
                    <w:rPr>
                      <w:color w:val="auto"/>
                      <w:szCs w:val="21"/>
                    </w:rPr>
                  </w:pPr>
                  <w:r>
                    <w:rPr>
                      <w:rFonts w:hint="eastAsia"/>
                      <w:color w:val="auto"/>
                      <w:szCs w:val="21"/>
                    </w:rPr>
                    <w:t>1.加强城镇污水收集处理设施建设与提标改造。城镇生活污水处理达到《陕西省黄河流域污水综合排放标准》（DB61/224-2018）排放限值要求。</w:t>
                  </w:r>
                </w:p>
                <w:p w14:paraId="7F083DC9">
                  <w:pPr>
                    <w:autoSpaceDE w:val="0"/>
                    <w:autoSpaceDN w:val="0"/>
                    <w:adjustRightInd w:val="0"/>
                    <w:snapToGrid w:val="0"/>
                    <w:spacing w:line="340" w:lineRule="atLeast"/>
                    <w:rPr>
                      <w:color w:val="auto"/>
                      <w:szCs w:val="21"/>
                    </w:rPr>
                  </w:pPr>
                  <w:r>
                    <w:rPr>
                      <w:rFonts w:hint="eastAsia"/>
                      <w:color w:val="auto"/>
                      <w:szCs w:val="21"/>
                    </w:rPr>
                    <w:t>2.城镇新区管网建设及老旧城区管网升级改造中实行雨污分流，鼓励推进初期雨水收集、处理和资源化利用，建设人工湿地水质净化工程，对处理达标后的尾水进一步净化。</w:t>
                  </w:r>
                </w:p>
                <w:p w14:paraId="052D8959">
                  <w:pPr>
                    <w:autoSpaceDE w:val="0"/>
                    <w:autoSpaceDN w:val="0"/>
                    <w:adjustRightInd w:val="0"/>
                    <w:snapToGrid w:val="0"/>
                    <w:spacing w:line="340" w:lineRule="atLeast"/>
                    <w:rPr>
                      <w:color w:val="auto"/>
                      <w:szCs w:val="21"/>
                    </w:rPr>
                  </w:pPr>
                  <w:r>
                    <w:rPr>
                      <w:rFonts w:hint="eastAsia"/>
                      <w:color w:val="auto"/>
                      <w:szCs w:val="21"/>
                    </w:rPr>
                    <w:t>3.污水处理厂出水用于绿化、农灌等用途的，合理确定管控要求，确保达到相应污水再生利用标准。</w:t>
                  </w:r>
                </w:p>
              </w:tc>
              <w:tc>
                <w:tcPr>
                  <w:tcW w:w="392" w:type="pct"/>
                  <w:vMerge w:val="continue"/>
                  <w:vAlign w:val="center"/>
                </w:tcPr>
                <w:p w14:paraId="5E4D0360">
                  <w:pPr>
                    <w:autoSpaceDE w:val="0"/>
                    <w:autoSpaceDN w:val="0"/>
                    <w:adjustRightInd w:val="0"/>
                    <w:snapToGrid w:val="0"/>
                    <w:spacing w:line="340" w:lineRule="atLeast"/>
                    <w:rPr>
                      <w:color w:val="auto"/>
                      <w:kern w:val="0"/>
                      <w:szCs w:val="21"/>
                    </w:rPr>
                  </w:pPr>
                </w:p>
              </w:tc>
              <w:tc>
                <w:tcPr>
                  <w:tcW w:w="1260" w:type="pct"/>
                  <w:vMerge w:val="continue"/>
                  <w:vAlign w:val="center"/>
                </w:tcPr>
                <w:p w14:paraId="026D973F">
                  <w:pPr>
                    <w:rPr>
                      <w:color w:val="auto"/>
                      <w:kern w:val="0"/>
                      <w:szCs w:val="21"/>
                    </w:rPr>
                  </w:pPr>
                </w:p>
              </w:tc>
              <w:tc>
                <w:tcPr>
                  <w:tcW w:w="221" w:type="pct"/>
                  <w:vAlign w:val="center"/>
                </w:tcPr>
                <w:p w14:paraId="7B61CFC3">
                  <w:pPr>
                    <w:autoSpaceDE w:val="0"/>
                    <w:autoSpaceDN w:val="0"/>
                    <w:adjustRightInd w:val="0"/>
                    <w:snapToGrid w:val="0"/>
                    <w:spacing w:line="340" w:lineRule="atLeast"/>
                    <w:rPr>
                      <w:color w:val="auto"/>
                      <w:kern w:val="0"/>
                      <w:szCs w:val="21"/>
                    </w:rPr>
                  </w:pPr>
                  <w:r>
                    <w:rPr>
                      <w:rFonts w:hint="eastAsia"/>
                      <w:color w:val="auto"/>
                      <w:kern w:val="0"/>
                      <w:szCs w:val="21"/>
                    </w:rPr>
                    <w:t>符合</w:t>
                  </w:r>
                </w:p>
              </w:tc>
            </w:tr>
            <w:tr w14:paraId="4F04EA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vAlign w:val="center"/>
                </w:tcPr>
                <w:p w14:paraId="689A0B56">
                  <w:pPr>
                    <w:autoSpaceDE w:val="0"/>
                    <w:autoSpaceDN w:val="0"/>
                    <w:adjustRightInd w:val="0"/>
                    <w:snapToGrid w:val="0"/>
                    <w:spacing w:line="340" w:lineRule="atLeast"/>
                    <w:jc w:val="center"/>
                    <w:rPr>
                      <w:color w:val="auto"/>
                      <w:kern w:val="0"/>
                      <w:szCs w:val="21"/>
                    </w:rPr>
                  </w:pPr>
                </w:p>
              </w:tc>
              <w:tc>
                <w:tcPr>
                  <w:tcW w:w="367" w:type="pct"/>
                  <w:vMerge w:val="continue"/>
                  <w:vAlign w:val="center"/>
                </w:tcPr>
                <w:p w14:paraId="7CB1CA69">
                  <w:pPr>
                    <w:autoSpaceDE w:val="0"/>
                    <w:autoSpaceDN w:val="0"/>
                    <w:adjustRightInd w:val="0"/>
                    <w:snapToGrid w:val="0"/>
                    <w:spacing w:line="340" w:lineRule="atLeast"/>
                    <w:jc w:val="center"/>
                    <w:rPr>
                      <w:color w:val="auto"/>
                      <w:kern w:val="0"/>
                      <w:szCs w:val="21"/>
                    </w:rPr>
                  </w:pPr>
                </w:p>
              </w:tc>
              <w:tc>
                <w:tcPr>
                  <w:tcW w:w="230" w:type="pct"/>
                  <w:vMerge w:val="continue"/>
                  <w:vAlign w:val="center"/>
                </w:tcPr>
                <w:p w14:paraId="3BA109F0">
                  <w:pPr>
                    <w:autoSpaceDE w:val="0"/>
                    <w:autoSpaceDN w:val="0"/>
                    <w:adjustRightInd w:val="0"/>
                    <w:snapToGrid w:val="0"/>
                    <w:spacing w:line="340" w:lineRule="atLeast"/>
                    <w:jc w:val="center"/>
                    <w:rPr>
                      <w:color w:val="auto"/>
                      <w:kern w:val="0"/>
                      <w:szCs w:val="21"/>
                    </w:rPr>
                  </w:pPr>
                </w:p>
              </w:tc>
              <w:tc>
                <w:tcPr>
                  <w:tcW w:w="162" w:type="pct"/>
                  <w:vMerge w:val="continue"/>
                  <w:vAlign w:val="center"/>
                </w:tcPr>
                <w:p w14:paraId="2C526EE5">
                  <w:pPr>
                    <w:autoSpaceDE w:val="0"/>
                    <w:autoSpaceDN w:val="0"/>
                    <w:adjustRightInd w:val="0"/>
                    <w:snapToGrid w:val="0"/>
                    <w:spacing w:line="340" w:lineRule="atLeast"/>
                    <w:jc w:val="center"/>
                    <w:rPr>
                      <w:color w:val="auto"/>
                      <w:kern w:val="0"/>
                      <w:szCs w:val="21"/>
                    </w:rPr>
                  </w:pPr>
                </w:p>
              </w:tc>
              <w:tc>
                <w:tcPr>
                  <w:tcW w:w="270" w:type="pct"/>
                  <w:vAlign w:val="center"/>
                </w:tcPr>
                <w:p w14:paraId="331F196A">
                  <w:pPr>
                    <w:autoSpaceDE w:val="0"/>
                    <w:autoSpaceDN w:val="0"/>
                    <w:adjustRightInd w:val="0"/>
                    <w:snapToGrid w:val="0"/>
                    <w:spacing w:line="340" w:lineRule="atLeast"/>
                    <w:jc w:val="center"/>
                    <w:rPr>
                      <w:color w:val="auto"/>
                      <w:kern w:val="0"/>
                      <w:szCs w:val="21"/>
                    </w:rPr>
                  </w:pPr>
                  <w:r>
                    <w:rPr>
                      <w:rFonts w:hint="eastAsia"/>
                      <w:color w:val="auto"/>
                      <w:kern w:val="0"/>
                      <w:szCs w:val="21"/>
                    </w:rPr>
                    <w:t>高污染燃料禁燃区</w:t>
                  </w:r>
                </w:p>
              </w:tc>
              <w:tc>
                <w:tcPr>
                  <w:tcW w:w="270" w:type="pct"/>
                  <w:vAlign w:val="center"/>
                </w:tcPr>
                <w:p w14:paraId="62C5FC53">
                  <w:pPr>
                    <w:autoSpaceDE w:val="0"/>
                    <w:autoSpaceDN w:val="0"/>
                    <w:adjustRightInd w:val="0"/>
                    <w:snapToGrid w:val="0"/>
                    <w:spacing w:line="340" w:lineRule="atLeast"/>
                    <w:jc w:val="center"/>
                    <w:rPr>
                      <w:color w:val="auto"/>
                      <w:kern w:val="0"/>
                      <w:szCs w:val="21"/>
                    </w:rPr>
                  </w:pPr>
                  <w:r>
                    <w:rPr>
                      <w:rFonts w:hint="eastAsia"/>
                      <w:color w:val="auto"/>
                      <w:kern w:val="0"/>
                      <w:szCs w:val="21"/>
                    </w:rPr>
                    <w:t>资源开发效率要求</w:t>
                  </w:r>
                </w:p>
              </w:tc>
              <w:tc>
                <w:tcPr>
                  <w:tcW w:w="1588" w:type="pct"/>
                  <w:vAlign w:val="center"/>
                </w:tcPr>
                <w:p w14:paraId="415C997D">
                  <w:pPr>
                    <w:autoSpaceDE w:val="0"/>
                    <w:autoSpaceDN w:val="0"/>
                    <w:adjustRightInd w:val="0"/>
                    <w:snapToGrid w:val="0"/>
                    <w:spacing w:line="340" w:lineRule="atLeast"/>
                    <w:rPr>
                      <w:color w:val="auto"/>
                      <w:szCs w:val="21"/>
                    </w:rPr>
                  </w:pPr>
                  <w:r>
                    <w:rPr>
                      <w:rFonts w:hint="eastAsia"/>
                      <w:color w:val="auto"/>
                      <w:szCs w:val="21"/>
                    </w:rPr>
                    <w:t>高污染燃料禁燃区：</w:t>
                  </w:r>
                </w:p>
                <w:p w14:paraId="5D1A7F54">
                  <w:pPr>
                    <w:autoSpaceDE w:val="0"/>
                    <w:autoSpaceDN w:val="0"/>
                    <w:adjustRightInd w:val="0"/>
                    <w:snapToGrid w:val="0"/>
                    <w:spacing w:line="340" w:lineRule="atLeast"/>
                    <w:rPr>
                      <w:color w:val="auto"/>
                      <w:szCs w:val="21"/>
                    </w:rPr>
                  </w:pPr>
                  <w:r>
                    <w:rPr>
                      <w:rFonts w:hint="eastAsia"/>
                      <w:color w:val="auto"/>
                      <w:szCs w:val="21"/>
                    </w:rPr>
                    <w:t>1.禁止销售、使用高污染燃料。禁止新建、扩建燃用高污染燃料的设施。已建成的，应当在市人民政府规定的期限内停止使用或者改用天然气、页岩气、煤层气、液化石油气、干热岩、电、太阳能或者其他清洁能源。</w:t>
                  </w:r>
                </w:p>
                <w:p w14:paraId="6A6F04F8">
                  <w:pPr>
                    <w:autoSpaceDE w:val="0"/>
                    <w:autoSpaceDN w:val="0"/>
                    <w:adjustRightInd w:val="0"/>
                    <w:snapToGrid w:val="0"/>
                    <w:spacing w:line="340" w:lineRule="atLeast"/>
                    <w:rPr>
                      <w:color w:val="auto"/>
                      <w:szCs w:val="21"/>
                    </w:rPr>
                  </w:pPr>
                  <w:r>
                    <w:rPr>
                      <w:rFonts w:hint="eastAsia"/>
                      <w:color w:val="auto"/>
                      <w:szCs w:val="21"/>
                    </w:rPr>
                    <w:t>2.禁止燃放烟花爆竹。</w:t>
                  </w:r>
                </w:p>
              </w:tc>
              <w:tc>
                <w:tcPr>
                  <w:tcW w:w="392" w:type="pct"/>
                  <w:vMerge w:val="continue"/>
                  <w:vAlign w:val="center"/>
                </w:tcPr>
                <w:p w14:paraId="68C14072">
                  <w:pPr>
                    <w:autoSpaceDE w:val="0"/>
                    <w:autoSpaceDN w:val="0"/>
                    <w:adjustRightInd w:val="0"/>
                    <w:snapToGrid w:val="0"/>
                    <w:spacing w:line="340" w:lineRule="atLeast"/>
                    <w:rPr>
                      <w:color w:val="auto"/>
                      <w:szCs w:val="21"/>
                    </w:rPr>
                  </w:pPr>
                </w:p>
              </w:tc>
              <w:tc>
                <w:tcPr>
                  <w:tcW w:w="1260" w:type="pct"/>
                  <w:vAlign w:val="center"/>
                </w:tcPr>
                <w:p w14:paraId="4256F153">
                  <w:pPr>
                    <w:autoSpaceDE w:val="0"/>
                    <w:autoSpaceDN w:val="0"/>
                    <w:adjustRightInd w:val="0"/>
                    <w:snapToGrid w:val="0"/>
                    <w:rPr>
                      <w:color w:val="auto"/>
                      <w:kern w:val="0"/>
                      <w:szCs w:val="21"/>
                    </w:rPr>
                  </w:pPr>
                  <w:r>
                    <w:rPr>
                      <w:rFonts w:hint="eastAsia"/>
                      <w:color w:val="auto"/>
                      <w:kern w:val="21"/>
                      <w:szCs w:val="21"/>
                    </w:rPr>
                    <w:t>本项目不销售和</w:t>
                  </w:r>
                  <w:r>
                    <w:rPr>
                      <w:rFonts w:hint="eastAsia"/>
                      <w:color w:val="auto"/>
                      <w:szCs w:val="21"/>
                    </w:rPr>
                    <w:t>使用高污染燃料，无高污染燃料的设施。</w:t>
                  </w:r>
                </w:p>
              </w:tc>
              <w:tc>
                <w:tcPr>
                  <w:tcW w:w="221" w:type="pct"/>
                  <w:vAlign w:val="center"/>
                </w:tcPr>
                <w:p w14:paraId="059727DE">
                  <w:pPr>
                    <w:autoSpaceDE w:val="0"/>
                    <w:autoSpaceDN w:val="0"/>
                    <w:adjustRightInd w:val="0"/>
                    <w:snapToGrid w:val="0"/>
                    <w:spacing w:line="340" w:lineRule="atLeast"/>
                    <w:rPr>
                      <w:color w:val="auto"/>
                      <w:kern w:val="0"/>
                      <w:szCs w:val="21"/>
                    </w:rPr>
                  </w:pPr>
                  <w:r>
                    <w:rPr>
                      <w:rFonts w:hint="eastAsia"/>
                      <w:color w:val="auto"/>
                      <w:kern w:val="0"/>
                      <w:szCs w:val="21"/>
                    </w:rPr>
                    <w:t>符合</w:t>
                  </w:r>
                </w:p>
              </w:tc>
            </w:tr>
          </w:tbl>
          <w:p w14:paraId="55C55DA8">
            <w:pPr>
              <w:adjustRightInd w:val="0"/>
              <w:snapToGrid w:val="0"/>
              <w:spacing w:line="360" w:lineRule="auto"/>
              <w:ind w:firstLine="480" w:firstLineChars="200"/>
              <w:jc w:val="left"/>
              <w:rPr>
                <w:color w:val="auto"/>
                <w:sz w:val="24"/>
              </w:rPr>
            </w:pPr>
          </w:p>
          <w:p w14:paraId="3A49D828">
            <w:pPr>
              <w:adjustRightInd w:val="0"/>
              <w:snapToGrid w:val="0"/>
              <w:spacing w:line="360" w:lineRule="auto"/>
              <w:ind w:firstLine="480" w:firstLineChars="200"/>
              <w:jc w:val="left"/>
              <w:rPr>
                <w:color w:val="auto"/>
                <w:sz w:val="24"/>
              </w:rPr>
            </w:pPr>
          </w:p>
          <w:p w14:paraId="51C00932">
            <w:pPr>
              <w:adjustRightInd w:val="0"/>
              <w:snapToGrid w:val="0"/>
              <w:spacing w:line="360" w:lineRule="auto"/>
              <w:ind w:firstLine="480" w:firstLineChars="200"/>
              <w:jc w:val="left"/>
              <w:rPr>
                <w:color w:val="auto"/>
                <w:sz w:val="24"/>
              </w:rPr>
            </w:pPr>
          </w:p>
          <w:p w14:paraId="14A8345C">
            <w:pPr>
              <w:adjustRightInd w:val="0"/>
              <w:snapToGrid w:val="0"/>
              <w:spacing w:line="360" w:lineRule="auto"/>
              <w:ind w:firstLine="480" w:firstLineChars="200"/>
              <w:jc w:val="left"/>
              <w:rPr>
                <w:color w:val="auto"/>
                <w:sz w:val="24"/>
              </w:rPr>
            </w:pPr>
          </w:p>
          <w:p w14:paraId="47773115">
            <w:pPr>
              <w:adjustRightInd w:val="0"/>
              <w:snapToGrid w:val="0"/>
              <w:spacing w:line="360" w:lineRule="auto"/>
              <w:ind w:firstLine="480" w:firstLineChars="200"/>
              <w:jc w:val="left"/>
              <w:rPr>
                <w:color w:val="auto"/>
                <w:sz w:val="24"/>
              </w:rPr>
            </w:pPr>
          </w:p>
          <w:p w14:paraId="28316BE8">
            <w:pPr>
              <w:pStyle w:val="45"/>
              <w:rPr>
                <w:color w:val="auto"/>
              </w:rPr>
            </w:pPr>
          </w:p>
        </w:tc>
      </w:tr>
    </w:tbl>
    <w:p w14:paraId="31CDE27F">
      <w:pPr>
        <w:rPr>
          <w:color w:val="auto"/>
        </w:rPr>
        <w:sectPr>
          <w:pgSz w:w="16838" w:h="11906" w:orient="landscape"/>
          <w:pgMar w:top="1531" w:right="1701" w:bottom="1531" w:left="1701" w:header="851" w:footer="1077" w:gutter="0"/>
          <w:cols w:space="720" w:num="1"/>
          <w:docGrid w:linePitch="312" w:charSpace="0"/>
        </w:sectPr>
      </w:pP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75"/>
        <w:gridCol w:w="7395"/>
      </w:tblGrid>
      <w:tr w14:paraId="40D56D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5" w:type="dxa"/>
            <w:vAlign w:val="center"/>
          </w:tcPr>
          <w:p w14:paraId="314B7B0C">
            <w:pPr>
              <w:autoSpaceDE w:val="0"/>
              <w:autoSpaceDN w:val="0"/>
              <w:adjustRightInd w:val="0"/>
              <w:snapToGrid w:val="0"/>
              <w:jc w:val="center"/>
              <w:rPr>
                <w:color w:val="auto"/>
                <w:kern w:val="0"/>
                <w:sz w:val="24"/>
              </w:rPr>
            </w:pPr>
            <w:r>
              <w:rPr>
                <w:color w:val="auto"/>
                <w:kern w:val="0"/>
                <w:sz w:val="24"/>
              </w:rPr>
              <w:t>其他符合性分析</w:t>
            </w:r>
          </w:p>
        </w:tc>
        <w:tc>
          <w:tcPr>
            <w:tcW w:w="7395" w:type="dxa"/>
            <w:vAlign w:val="center"/>
          </w:tcPr>
          <w:p w14:paraId="35186EA1">
            <w:pPr>
              <w:adjustRightInd w:val="0"/>
              <w:snapToGrid w:val="0"/>
              <w:spacing w:before="120" w:beforeLines="50" w:line="360" w:lineRule="auto"/>
              <w:ind w:firstLine="488" w:firstLineChars="200"/>
              <w:rPr>
                <w:color w:val="auto"/>
                <w:sz w:val="24"/>
              </w:rPr>
            </w:pPr>
            <w:r>
              <w:rPr>
                <w:rFonts w:hint="eastAsia"/>
                <w:color w:val="auto"/>
                <w:spacing w:val="2"/>
                <w:sz w:val="24"/>
              </w:rPr>
              <w:t>（3）“</w:t>
            </w:r>
            <w:r>
              <w:rPr>
                <w:color w:val="auto"/>
                <w:spacing w:val="2"/>
                <w:sz w:val="24"/>
              </w:rPr>
              <w:t>一说明</w:t>
            </w:r>
            <w:r>
              <w:rPr>
                <w:rFonts w:hint="eastAsia"/>
                <w:color w:val="auto"/>
                <w:spacing w:val="2"/>
                <w:sz w:val="24"/>
              </w:rPr>
              <w:t>”</w:t>
            </w:r>
          </w:p>
          <w:p w14:paraId="6B95FCD9">
            <w:pPr>
              <w:adjustRightInd w:val="0"/>
              <w:snapToGrid w:val="0"/>
              <w:spacing w:line="360" w:lineRule="auto"/>
              <w:ind w:firstLine="480" w:firstLineChars="200"/>
              <w:rPr>
                <w:color w:val="auto"/>
                <w:sz w:val="24"/>
              </w:rPr>
            </w:pPr>
            <w:r>
              <w:rPr>
                <w:rFonts w:hint="eastAsia"/>
                <w:color w:val="auto"/>
                <w:sz w:val="24"/>
              </w:rPr>
              <w:t>本项目位于陕西省西咸新区沣东新城斗门街道花园村村东独院厂房，属于西安市生态环境管控单元分布示意图中的重点管控单元。</w:t>
            </w:r>
          </w:p>
          <w:p w14:paraId="0994B90A">
            <w:pPr>
              <w:spacing w:before="120" w:beforeLines="50" w:line="360" w:lineRule="auto"/>
              <w:ind w:firstLine="480" w:firstLineChars="200"/>
              <w:contextualSpacing/>
              <w:rPr>
                <w:color w:val="auto"/>
                <w:sz w:val="24"/>
              </w:rPr>
            </w:pPr>
            <w:r>
              <w:rPr>
                <w:rFonts w:hint="eastAsia"/>
                <w:color w:val="auto"/>
                <w:sz w:val="24"/>
              </w:rPr>
              <w:t>本项目满足重点管控单元在空间布局约束、污染物排放管控、环境风险防控、资源利用效率等管控要求，因此，本项目的建设符合《2023年陕西省生态环境分区管控成果动态更新实施方案》中生态环境分区管控准入清单管控要求。</w:t>
            </w:r>
          </w:p>
          <w:p w14:paraId="326D1803">
            <w:pPr>
              <w:spacing w:before="120" w:beforeLines="50" w:line="360" w:lineRule="auto"/>
              <w:ind w:firstLine="482" w:firstLineChars="200"/>
              <w:contextualSpacing/>
              <w:rPr>
                <w:b/>
                <w:bCs/>
                <w:color w:val="auto"/>
                <w:kern w:val="0"/>
                <w:sz w:val="24"/>
              </w:rPr>
            </w:pPr>
            <w:r>
              <w:rPr>
                <w:rFonts w:hint="eastAsia"/>
                <w:b/>
                <w:bCs/>
                <w:color w:val="auto"/>
                <w:kern w:val="0"/>
                <w:sz w:val="24"/>
              </w:rPr>
              <w:t>3、项目与文物保护相关政策符合性分析</w:t>
            </w:r>
          </w:p>
          <w:p w14:paraId="13551684">
            <w:pPr>
              <w:pStyle w:val="63"/>
              <w:adjustRightInd w:val="0"/>
              <w:spacing w:before="0" w:afterLines="0"/>
              <w:ind w:firstLine="0"/>
              <w:rPr>
                <w:rFonts w:ascii="Times New Roman" w:hAnsi="Times New Roman" w:eastAsia="宋体"/>
                <w:b/>
                <w:color w:val="auto"/>
                <w:sz w:val="24"/>
                <w:szCs w:val="24"/>
              </w:rPr>
            </w:pPr>
            <w:r>
              <w:rPr>
                <w:rFonts w:ascii="Times New Roman" w:hAnsi="Times New Roman" w:eastAsia="宋体"/>
                <w:b/>
                <w:color w:val="auto"/>
                <w:sz w:val="24"/>
                <w:szCs w:val="24"/>
              </w:rPr>
              <w:t>表</w:t>
            </w:r>
            <w:r>
              <w:rPr>
                <w:rFonts w:hint="eastAsia" w:ascii="Times New Roman" w:hAnsi="Times New Roman" w:eastAsia="宋体"/>
                <w:b/>
                <w:color w:val="auto"/>
                <w:sz w:val="24"/>
                <w:szCs w:val="24"/>
              </w:rPr>
              <w:t>1</w:t>
            </w:r>
            <w:r>
              <w:rPr>
                <w:rFonts w:ascii="Times New Roman" w:hAnsi="Times New Roman" w:eastAsia="宋体"/>
                <w:b/>
                <w:color w:val="auto"/>
                <w:sz w:val="24"/>
                <w:szCs w:val="24"/>
              </w:rPr>
              <w:t>-</w:t>
            </w:r>
            <w:r>
              <w:rPr>
                <w:rFonts w:hint="eastAsia" w:ascii="Times New Roman" w:hAnsi="Times New Roman" w:eastAsia="宋体"/>
                <w:b/>
                <w:color w:val="auto"/>
                <w:sz w:val="24"/>
                <w:szCs w:val="24"/>
              </w:rPr>
              <w:t>3  项目</w:t>
            </w:r>
            <w:r>
              <w:rPr>
                <w:rFonts w:ascii="Times New Roman" w:hAnsi="Times New Roman" w:eastAsia="宋体"/>
                <w:b/>
                <w:color w:val="auto"/>
                <w:sz w:val="24"/>
                <w:szCs w:val="24"/>
              </w:rPr>
              <w:t>与</w:t>
            </w:r>
            <w:r>
              <w:rPr>
                <w:rFonts w:hint="eastAsia" w:ascii="Times New Roman" w:hAnsi="Times New Roman" w:eastAsia="宋体"/>
                <w:b/>
                <w:color w:val="auto"/>
                <w:sz w:val="24"/>
                <w:szCs w:val="24"/>
              </w:rPr>
              <w:t>文物保护相关政策</w:t>
            </w:r>
            <w:r>
              <w:rPr>
                <w:rFonts w:ascii="Times New Roman" w:hAnsi="Times New Roman" w:eastAsia="宋体"/>
                <w:b/>
                <w:color w:val="auto"/>
                <w:sz w:val="24"/>
                <w:szCs w:val="24"/>
              </w:rPr>
              <w:t>相符性分析</w:t>
            </w:r>
          </w:p>
          <w:tbl>
            <w:tblPr>
              <w:tblStyle w:val="26"/>
              <w:tblW w:w="725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3122"/>
              <w:gridCol w:w="2457"/>
              <w:gridCol w:w="433"/>
            </w:tblGrid>
            <w:tr w14:paraId="7C5A68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Align w:val="center"/>
                </w:tcPr>
                <w:p w14:paraId="00D4C2C8">
                  <w:pPr>
                    <w:autoSpaceDE w:val="0"/>
                    <w:autoSpaceDN w:val="0"/>
                    <w:adjustRightInd w:val="0"/>
                    <w:snapToGrid w:val="0"/>
                    <w:jc w:val="center"/>
                    <w:rPr>
                      <w:b/>
                      <w:bCs/>
                      <w:color w:val="auto"/>
                      <w:szCs w:val="21"/>
                    </w:rPr>
                  </w:pPr>
                  <w:r>
                    <w:rPr>
                      <w:rFonts w:hint="eastAsia"/>
                      <w:b/>
                      <w:bCs/>
                      <w:color w:val="auto"/>
                      <w:szCs w:val="21"/>
                    </w:rPr>
                    <w:t>文件名称</w:t>
                  </w:r>
                </w:p>
              </w:tc>
              <w:tc>
                <w:tcPr>
                  <w:tcW w:w="3122" w:type="dxa"/>
                  <w:vAlign w:val="center"/>
                </w:tcPr>
                <w:p w14:paraId="7ECD16C5">
                  <w:pPr>
                    <w:autoSpaceDE w:val="0"/>
                    <w:autoSpaceDN w:val="0"/>
                    <w:adjustRightInd w:val="0"/>
                    <w:snapToGrid w:val="0"/>
                    <w:jc w:val="center"/>
                    <w:rPr>
                      <w:b/>
                      <w:bCs/>
                      <w:color w:val="auto"/>
                      <w:szCs w:val="21"/>
                    </w:rPr>
                  </w:pPr>
                  <w:r>
                    <w:rPr>
                      <w:rFonts w:hint="eastAsia"/>
                      <w:b/>
                      <w:bCs/>
                      <w:color w:val="auto"/>
                      <w:szCs w:val="21"/>
                    </w:rPr>
                    <w:t>政策要求</w:t>
                  </w:r>
                </w:p>
              </w:tc>
              <w:tc>
                <w:tcPr>
                  <w:tcW w:w="2457" w:type="dxa"/>
                  <w:vAlign w:val="center"/>
                </w:tcPr>
                <w:p w14:paraId="35DABBAB">
                  <w:pPr>
                    <w:autoSpaceDE w:val="0"/>
                    <w:autoSpaceDN w:val="0"/>
                    <w:adjustRightInd w:val="0"/>
                    <w:snapToGrid w:val="0"/>
                    <w:jc w:val="center"/>
                    <w:rPr>
                      <w:b/>
                      <w:bCs/>
                      <w:color w:val="auto"/>
                      <w:szCs w:val="21"/>
                    </w:rPr>
                  </w:pPr>
                  <w:r>
                    <w:rPr>
                      <w:rFonts w:hint="eastAsia"/>
                      <w:b/>
                      <w:bCs/>
                      <w:color w:val="auto"/>
                      <w:szCs w:val="21"/>
                    </w:rPr>
                    <w:t>本项目情况</w:t>
                  </w:r>
                </w:p>
              </w:tc>
              <w:tc>
                <w:tcPr>
                  <w:tcW w:w="433" w:type="dxa"/>
                  <w:vAlign w:val="center"/>
                </w:tcPr>
                <w:p w14:paraId="0CD018E8">
                  <w:pPr>
                    <w:autoSpaceDE w:val="0"/>
                    <w:autoSpaceDN w:val="0"/>
                    <w:adjustRightInd w:val="0"/>
                    <w:snapToGrid w:val="0"/>
                    <w:jc w:val="center"/>
                    <w:rPr>
                      <w:b/>
                      <w:bCs/>
                      <w:color w:val="auto"/>
                      <w:szCs w:val="21"/>
                    </w:rPr>
                  </w:pPr>
                  <w:r>
                    <w:rPr>
                      <w:rFonts w:hint="eastAsia"/>
                      <w:b/>
                      <w:bCs/>
                      <w:color w:val="auto"/>
                      <w:szCs w:val="21"/>
                    </w:rPr>
                    <w:t>相符性</w:t>
                  </w:r>
                </w:p>
              </w:tc>
            </w:tr>
            <w:tr w14:paraId="6C9FA6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restart"/>
                  <w:shd w:val="clear" w:color="auto" w:fill="auto"/>
                  <w:vAlign w:val="center"/>
                </w:tcPr>
                <w:p w14:paraId="7047F4E0">
                  <w:pPr>
                    <w:autoSpaceDE w:val="0"/>
                    <w:autoSpaceDN w:val="0"/>
                    <w:adjustRightInd w:val="0"/>
                    <w:snapToGrid w:val="0"/>
                    <w:jc w:val="center"/>
                    <w:rPr>
                      <w:color w:val="auto"/>
                      <w:szCs w:val="21"/>
                    </w:rPr>
                  </w:pPr>
                  <w:r>
                    <w:rPr>
                      <w:rFonts w:hint="eastAsia"/>
                      <w:color w:val="auto"/>
                      <w:szCs w:val="21"/>
                    </w:rPr>
                    <w:t>《中华人民共和国文物保护法》</w:t>
                  </w:r>
                </w:p>
              </w:tc>
              <w:tc>
                <w:tcPr>
                  <w:tcW w:w="3122" w:type="dxa"/>
                  <w:shd w:val="clear" w:color="auto" w:fill="auto"/>
                  <w:vAlign w:val="center"/>
                </w:tcPr>
                <w:p w14:paraId="58AD7FAB">
                  <w:pPr>
                    <w:autoSpaceDE w:val="0"/>
                    <w:adjustRightInd w:val="0"/>
                    <w:snapToGrid w:val="0"/>
                    <w:ind w:firstLine="420" w:firstLineChars="200"/>
                    <w:rPr>
                      <w:color w:val="auto"/>
                      <w:szCs w:val="21"/>
                    </w:rPr>
                  </w:pPr>
                  <w:r>
                    <w:rPr>
                      <w:rFonts w:hint="eastAsia"/>
                      <w:color w:val="auto"/>
                      <w:szCs w:val="21"/>
                    </w:rPr>
                    <w:t>第十一条 文物是不可再生的文化资源。各级人民政府应当重视文物保护，正确处理经济建设、社会发展与文物保护的关系，确保文物安全。基本建设、旅游发展必须把文物保护放在第一位，严格落实文物保护与安全管理规定，防止建设性破坏和过度商业化。</w:t>
                  </w:r>
                </w:p>
              </w:tc>
              <w:tc>
                <w:tcPr>
                  <w:tcW w:w="2457" w:type="dxa"/>
                  <w:shd w:val="clear" w:color="auto" w:fill="auto"/>
                  <w:vAlign w:val="center"/>
                </w:tcPr>
                <w:p w14:paraId="2213BCCA">
                  <w:pPr>
                    <w:autoSpaceDE w:val="0"/>
                    <w:adjustRightInd w:val="0"/>
                    <w:snapToGrid w:val="0"/>
                    <w:rPr>
                      <w:color w:val="auto"/>
                      <w:szCs w:val="21"/>
                    </w:rPr>
                  </w:pPr>
                  <w:r>
                    <w:rPr>
                      <w:rFonts w:hint="eastAsia"/>
                      <w:color w:val="auto"/>
                      <w:szCs w:val="21"/>
                    </w:rPr>
                    <w:t>本项目在现有已建建筑基础上增加生产设备，未新增占地，无土建工程，无挖沙、取土、挖建池塘等活动，项目产生的污染物在采取本次环评提出的各项环保措施的前提下，项目污染物均能做到达标排放，对外环境影响较小。</w:t>
                  </w:r>
                </w:p>
              </w:tc>
              <w:tc>
                <w:tcPr>
                  <w:tcW w:w="433" w:type="dxa"/>
                  <w:shd w:val="clear" w:color="auto" w:fill="auto"/>
                  <w:vAlign w:val="center"/>
                </w:tcPr>
                <w:p w14:paraId="55942120">
                  <w:pPr>
                    <w:autoSpaceDE w:val="0"/>
                    <w:autoSpaceDN w:val="0"/>
                    <w:adjustRightInd w:val="0"/>
                    <w:snapToGrid w:val="0"/>
                    <w:jc w:val="center"/>
                    <w:rPr>
                      <w:color w:val="auto"/>
                      <w:szCs w:val="21"/>
                    </w:rPr>
                  </w:pPr>
                  <w:r>
                    <w:rPr>
                      <w:rFonts w:hint="eastAsia"/>
                      <w:color w:val="auto"/>
                      <w:szCs w:val="21"/>
                    </w:rPr>
                    <w:t>符合</w:t>
                  </w:r>
                </w:p>
              </w:tc>
            </w:tr>
            <w:tr w14:paraId="7E7335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638CDB8D">
                  <w:pPr>
                    <w:autoSpaceDE w:val="0"/>
                    <w:autoSpaceDN w:val="0"/>
                    <w:adjustRightInd w:val="0"/>
                    <w:snapToGrid w:val="0"/>
                    <w:jc w:val="center"/>
                    <w:rPr>
                      <w:color w:val="auto"/>
                      <w:szCs w:val="21"/>
                    </w:rPr>
                  </w:pPr>
                </w:p>
              </w:tc>
              <w:tc>
                <w:tcPr>
                  <w:tcW w:w="3122" w:type="dxa"/>
                  <w:shd w:val="clear" w:color="auto" w:fill="auto"/>
                  <w:vAlign w:val="center"/>
                </w:tcPr>
                <w:p w14:paraId="6D62C791">
                  <w:pPr>
                    <w:autoSpaceDE w:val="0"/>
                    <w:adjustRightInd w:val="0"/>
                    <w:snapToGrid w:val="0"/>
                    <w:ind w:firstLine="420" w:firstLineChars="200"/>
                    <w:rPr>
                      <w:color w:val="auto"/>
                      <w:szCs w:val="21"/>
                    </w:rPr>
                  </w:pPr>
                  <w:r>
                    <w:rPr>
                      <w:rFonts w:hint="eastAsia"/>
                      <w:color w:val="auto"/>
                      <w:szCs w:val="21"/>
                    </w:rPr>
                    <w:t>第二十四条 在旧城区改建、土地成片开发中，县级以上人民政府应当事先组织进行相关区域内不可移动文物调查，及时开展核定、登记、公布工作，并依法采取保护措施。未经调查，任何单位不得开工建设，防止建设性破坏。</w:t>
                  </w:r>
                </w:p>
              </w:tc>
              <w:tc>
                <w:tcPr>
                  <w:tcW w:w="2457" w:type="dxa"/>
                  <w:vMerge w:val="restart"/>
                  <w:shd w:val="clear" w:color="auto" w:fill="auto"/>
                  <w:vAlign w:val="center"/>
                </w:tcPr>
                <w:p w14:paraId="5A6728C7">
                  <w:pPr>
                    <w:autoSpaceDE w:val="0"/>
                    <w:adjustRightInd w:val="0"/>
                    <w:snapToGrid w:val="0"/>
                    <w:rPr>
                      <w:color w:val="auto"/>
                      <w:szCs w:val="21"/>
                    </w:rPr>
                  </w:pPr>
                  <w:r>
                    <w:rPr>
                      <w:rFonts w:hint="eastAsia"/>
                      <w:color w:val="auto"/>
                      <w:szCs w:val="21"/>
                    </w:rPr>
                    <w:t>本项目在现有已建建筑基础上增加生产设备，未新增占地，无土建工程，项目不涉工程建设，无挖沙、取土、挖建池塘等活动。</w:t>
                  </w:r>
                </w:p>
              </w:tc>
              <w:tc>
                <w:tcPr>
                  <w:tcW w:w="433" w:type="dxa"/>
                  <w:shd w:val="clear" w:color="auto" w:fill="auto"/>
                  <w:vAlign w:val="center"/>
                </w:tcPr>
                <w:p w14:paraId="56DC8521">
                  <w:pPr>
                    <w:autoSpaceDE w:val="0"/>
                    <w:autoSpaceDN w:val="0"/>
                    <w:adjustRightInd w:val="0"/>
                    <w:snapToGrid w:val="0"/>
                    <w:jc w:val="center"/>
                    <w:rPr>
                      <w:color w:val="auto"/>
                      <w:szCs w:val="21"/>
                    </w:rPr>
                  </w:pPr>
                  <w:r>
                    <w:rPr>
                      <w:rFonts w:hint="eastAsia"/>
                      <w:color w:val="auto"/>
                      <w:szCs w:val="21"/>
                    </w:rPr>
                    <w:t>符合</w:t>
                  </w:r>
                </w:p>
              </w:tc>
            </w:tr>
            <w:tr w14:paraId="55E453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745229A0">
                  <w:pPr>
                    <w:autoSpaceDE w:val="0"/>
                    <w:autoSpaceDN w:val="0"/>
                    <w:adjustRightInd w:val="0"/>
                    <w:snapToGrid w:val="0"/>
                    <w:jc w:val="center"/>
                    <w:rPr>
                      <w:color w:val="auto"/>
                      <w:szCs w:val="21"/>
                    </w:rPr>
                  </w:pPr>
                </w:p>
              </w:tc>
              <w:tc>
                <w:tcPr>
                  <w:tcW w:w="3122" w:type="dxa"/>
                  <w:shd w:val="clear" w:color="auto" w:fill="auto"/>
                  <w:vAlign w:val="center"/>
                </w:tcPr>
                <w:p w14:paraId="68712461">
                  <w:pPr>
                    <w:autoSpaceDE w:val="0"/>
                    <w:adjustRightInd w:val="0"/>
                    <w:snapToGrid w:val="0"/>
                    <w:ind w:firstLine="420" w:firstLineChars="200"/>
                    <w:rPr>
                      <w:color w:val="auto"/>
                      <w:szCs w:val="21"/>
                    </w:rPr>
                  </w:pPr>
                  <w:r>
                    <w:rPr>
                      <w:rFonts w:hint="eastAsia"/>
                      <w:color w:val="auto"/>
                      <w:szCs w:val="21"/>
                    </w:rPr>
                    <w:t>第三十一条 建设工程选址，应当尽可能避开不可移动文物；因特殊情况不能避开的，应当尽可能实施原址保护。</w:t>
                  </w:r>
                </w:p>
              </w:tc>
              <w:tc>
                <w:tcPr>
                  <w:tcW w:w="2457" w:type="dxa"/>
                  <w:vMerge w:val="continue"/>
                  <w:vAlign w:val="center"/>
                </w:tcPr>
                <w:p w14:paraId="34CDE08E">
                  <w:pPr>
                    <w:autoSpaceDE w:val="0"/>
                    <w:adjustRightInd w:val="0"/>
                    <w:snapToGrid w:val="0"/>
                    <w:rPr>
                      <w:color w:val="auto"/>
                      <w:szCs w:val="21"/>
                    </w:rPr>
                  </w:pPr>
                </w:p>
              </w:tc>
              <w:tc>
                <w:tcPr>
                  <w:tcW w:w="433" w:type="dxa"/>
                  <w:shd w:val="clear" w:color="auto" w:fill="auto"/>
                  <w:vAlign w:val="center"/>
                </w:tcPr>
                <w:p w14:paraId="79689B31">
                  <w:pPr>
                    <w:autoSpaceDE w:val="0"/>
                    <w:autoSpaceDN w:val="0"/>
                    <w:adjustRightInd w:val="0"/>
                    <w:snapToGrid w:val="0"/>
                    <w:jc w:val="center"/>
                    <w:rPr>
                      <w:color w:val="auto"/>
                      <w:szCs w:val="21"/>
                    </w:rPr>
                  </w:pPr>
                  <w:r>
                    <w:rPr>
                      <w:rFonts w:hint="eastAsia"/>
                      <w:color w:val="auto"/>
                      <w:szCs w:val="21"/>
                    </w:rPr>
                    <w:t>符合</w:t>
                  </w:r>
                </w:p>
              </w:tc>
            </w:tr>
            <w:tr w14:paraId="662D84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Align w:val="center"/>
                </w:tcPr>
                <w:p w14:paraId="5B12B8DE">
                  <w:pPr>
                    <w:autoSpaceDE w:val="0"/>
                    <w:autoSpaceDN w:val="0"/>
                    <w:adjustRightInd w:val="0"/>
                    <w:snapToGrid w:val="0"/>
                    <w:jc w:val="center"/>
                    <w:rPr>
                      <w:color w:val="auto"/>
                      <w:szCs w:val="21"/>
                    </w:rPr>
                  </w:pPr>
                  <w:r>
                    <w:rPr>
                      <w:rFonts w:hint="eastAsia"/>
                      <w:color w:val="auto"/>
                      <w:szCs w:val="21"/>
                    </w:rPr>
                    <w:t>陕西省文物保护管理条例</w:t>
                  </w:r>
                </w:p>
              </w:tc>
              <w:tc>
                <w:tcPr>
                  <w:tcW w:w="3122" w:type="dxa"/>
                  <w:vAlign w:val="center"/>
                </w:tcPr>
                <w:p w14:paraId="1BDE2246">
                  <w:pPr>
                    <w:autoSpaceDE w:val="0"/>
                    <w:adjustRightInd w:val="0"/>
                    <w:snapToGrid w:val="0"/>
                    <w:ind w:firstLine="420" w:firstLineChars="200"/>
                    <w:rPr>
                      <w:color w:val="auto"/>
                      <w:szCs w:val="21"/>
                    </w:rPr>
                  </w:pPr>
                  <w:r>
                    <w:rPr>
                      <w:rFonts w:hint="eastAsia"/>
                      <w:color w:val="auto"/>
                      <w:szCs w:val="21"/>
                    </w:rPr>
                    <w:t>第十三条 除法律、法规另有规定外，在文物保护单位保护范围内禁止下列行为：</w:t>
                  </w:r>
                </w:p>
                <w:p w14:paraId="1DDE4DFA">
                  <w:pPr>
                    <w:autoSpaceDE w:val="0"/>
                    <w:adjustRightInd w:val="0"/>
                    <w:snapToGrid w:val="0"/>
                    <w:ind w:firstLine="420" w:firstLineChars="200"/>
                    <w:rPr>
                      <w:color w:val="auto"/>
                      <w:szCs w:val="21"/>
                    </w:rPr>
                  </w:pPr>
                  <w:r>
                    <w:rPr>
                      <w:rFonts w:hint="eastAsia"/>
                      <w:color w:val="auto"/>
                      <w:szCs w:val="21"/>
                    </w:rPr>
                    <w:t>（二）排放污水、挖砂取土取石、修建坟墓、堆放垃圾和其他可能损害文物安全的行为</w:t>
                  </w:r>
                </w:p>
              </w:tc>
              <w:tc>
                <w:tcPr>
                  <w:tcW w:w="2457" w:type="dxa"/>
                  <w:vAlign w:val="center"/>
                </w:tcPr>
                <w:p w14:paraId="594B43AE">
                  <w:pPr>
                    <w:autoSpaceDE w:val="0"/>
                    <w:adjustRightInd w:val="0"/>
                    <w:snapToGrid w:val="0"/>
                    <w:rPr>
                      <w:color w:val="auto"/>
                      <w:szCs w:val="21"/>
                    </w:rPr>
                  </w:pPr>
                  <w:r>
                    <w:rPr>
                      <w:rFonts w:hint="eastAsia"/>
                      <w:color w:val="auto"/>
                      <w:szCs w:val="21"/>
                    </w:rPr>
                    <w:t>本项目在现有已建建筑基础上增加生产设备，未新增占地，无土建工程，项目不涉工程建设，运行行中无废水排放，无挖砂取土取石、修建坟墓、堆放垃圾和其他可能损害文物安全的行为</w:t>
                  </w:r>
                </w:p>
              </w:tc>
              <w:tc>
                <w:tcPr>
                  <w:tcW w:w="433" w:type="dxa"/>
                  <w:vAlign w:val="center"/>
                </w:tcPr>
                <w:p w14:paraId="79650FE1">
                  <w:pPr>
                    <w:autoSpaceDE w:val="0"/>
                    <w:autoSpaceDN w:val="0"/>
                    <w:adjustRightInd w:val="0"/>
                    <w:snapToGrid w:val="0"/>
                    <w:jc w:val="center"/>
                    <w:rPr>
                      <w:color w:val="auto"/>
                      <w:szCs w:val="21"/>
                    </w:rPr>
                  </w:pPr>
                  <w:r>
                    <w:rPr>
                      <w:rFonts w:hint="eastAsia"/>
                      <w:color w:val="auto"/>
                      <w:szCs w:val="21"/>
                    </w:rPr>
                    <w:t>符合</w:t>
                  </w:r>
                </w:p>
              </w:tc>
            </w:tr>
            <w:tr w14:paraId="4F3559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restart"/>
                  <w:vAlign w:val="center"/>
                </w:tcPr>
                <w:p w14:paraId="0548AE27">
                  <w:pPr>
                    <w:autoSpaceDE w:val="0"/>
                    <w:autoSpaceDN w:val="0"/>
                    <w:adjustRightInd w:val="0"/>
                    <w:snapToGrid w:val="0"/>
                    <w:jc w:val="center"/>
                    <w:rPr>
                      <w:color w:val="auto"/>
                      <w:szCs w:val="21"/>
                    </w:rPr>
                  </w:pPr>
                  <w:r>
                    <w:rPr>
                      <w:rFonts w:hint="eastAsia"/>
                      <w:color w:val="auto"/>
                      <w:szCs w:val="21"/>
                    </w:rPr>
                    <w:t>《西安市周丰镐、秦阿房宫、汉长安城和唐大明宫遗址保护管理条例》</w:t>
                  </w:r>
                </w:p>
              </w:tc>
              <w:tc>
                <w:tcPr>
                  <w:tcW w:w="3122" w:type="dxa"/>
                  <w:vAlign w:val="center"/>
                </w:tcPr>
                <w:p w14:paraId="4C100BBF">
                  <w:pPr>
                    <w:autoSpaceDE w:val="0"/>
                    <w:adjustRightInd w:val="0"/>
                    <w:snapToGrid w:val="0"/>
                    <w:ind w:firstLine="420" w:firstLineChars="200"/>
                    <w:rPr>
                      <w:color w:val="auto"/>
                      <w:szCs w:val="21"/>
                      <w:highlight w:val="none"/>
                    </w:rPr>
                  </w:pPr>
                  <w:r>
                    <w:rPr>
                      <w:rFonts w:hint="eastAsia"/>
                      <w:color w:val="auto"/>
                      <w:szCs w:val="21"/>
                    </w:rPr>
                    <w:t>第十三条 在遗址重点保护区内，不得进行与遗址保护无关的建设工程，禁止挖沙、取土、挖建池塘</w:t>
                  </w:r>
                  <w:r>
                    <w:rPr>
                      <w:rFonts w:hint="eastAsia"/>
                      <w:color w:val="auto"/>
                      <w:szCs w:val="21"/>
                      <w:highlight w:val="none"/>
                    </w:rPr>
                    <w:t>或者从事其他有损于遗址保护的活动。</w:t>
                  </w:r>
                </w:p>
                <w:p w14:paraId="3B68C24B">
                  <w:pPr>
                    <w:autoSpaceDE w:val="0"/>
                    <w:adjustRightInd w:val="0"/>
                    <w:snapToGrid w:val="0"/>
                    <w:ind w:firstLine="420" w:firstLineChars="200"/>
                    <w:rPr>
                      <w:color w:val="auto"/>
                      <w:szCs w:val="21"/>
                    </w:rPr>
                  </w:pPr>
                  <w:r>
                    <w:rPr>
                      <w:rFonts w:hint="eastAsia"/>
                      <w:color w:val="auto"/>
                      <w:szCs w:val="21"/>
                      <w:highlight w:val="none"/>
                    </w:rPr>
                    <w:t>重点保护区内的单位和个人因生产、生活确需少量取土或者修建简易设施的，必须经市文物行政管理部门同意并</w:t>
                  </w:r>
                  <w:r>
                    <w:rPr>
                      <w:rFonts w:hint="eastAsia"/>
                      <w:color w:val="auto"/>
                      <w:szCs w:val="21"/>
                    </w:rPr>
                    <w:t>报省文物行政管理部门备案，在指定的地点进行。</w:t>
                  </w:r>
                </w:p>
              </w:tc>
              <w:tc>
                <w:tcPr>
                  <w:tcW w:w="2457" w:type="dxa"/>
                  <w:vAlign w:val="center"/>
                </w:tcPr>
                <w:p w14:paraId="1E04ED89">
                  <w:pPr>
                    <w:autoSpaceDE w:val="0"/>
                    <w:adjustRightInd w:val="0"/>
                    <w:snapToGrid w:val="0"/>
                    <w:rPr>
                      <w:color w:val="auto"/>
                      <w:szCs w:val="21"/>
                    </w:rPr>
                  </w:pPr>
                  <w:r>
                    <w:rPr>
                      <w:rFonts w:hint="eastAsia"/>
                      <w:color w:val="auto"/>
                      <w:szCs w:val="21"/>
                    </w:rPr>
                    <w:t>本</w:t>
                  </w:r>
                  <w:r>
                    <w:rPr>
                      <w:rFonts w:hint="eastAsia"/>
                      <w:color w:val="auto"/>
                      <w:szCs w:val="21"/>
                      <w:highlight w:val="none"/>
                    </w:rPr>
                    <w:t>项目位于丰镐遗址保护区重点保护区内，</w:t>
                  </w:r>
                  <w:r>
                    <w:rPr>
                      <w:rFonts w:hint="eastAsia"/>
                      <w:color w:val="auto"/>
                      <w:kern w:val="21"/>
                      <w:szCs w:val="21"/>
                      <w:highlight w:val="none"/>
                    </w:rPr>
                    <w:t>见附图7。项目扩建</w:t>
                  </w:r>
                  <w:r>
                    <w:rPr>
                      <w:rFonts w:hint="eastAsia"/>
                      <w:color w:val="auto"/>
                      <w:szCs w:val="21"/>
                      <w:highlight w:val="none"/>
                    </w:rPr>
                    <w:t>在现有已建建筑基础上增加生产设备，未新</w:t>
                  </w:r>
                  <w:r>
                    <w:rPr>
                      <w:rFonts w:hint="eastAsia"/>
                      <w:color w:val="auto"/>
                      <w:szCs w:val="21"/>
                    </w:rPr>
                    <w:t>增占地</w:t>
                  </w:r>
                  <w:r>
                    <w:rPr>
                      <w:rFonts w:hint="eastAsia"/>
                      <w:color w:val="auto"/>
                      <w:szCs w:val="21"/>
                      <w:lang w:eastAsia="zh-CN"/>
                    </w:rPr>
                    <w:t>，增加环保设施和冷却塔</w:t>
                  </w:r>
                  <w:r>
                    <w:rPr>
                      <w:rFonts w:hint="eastAsia"/>
                      <w:color w:val="auto"/>
                      <w:szCs w:val="21"/>
                      <w:lang w:val="en-US" w:eastAsia="zh-CN"/>
                    </w:rPr>
                    <w:t>安装</w:t>
                  </w:r>
                  <w:r>
                    <w:rPr>
                      <w:rFonts w:hint="eastAsia"/>
                      <w:color w:val="auto"/>
                      <w:szCs w:val="21"/>
                    </w:rPr>
                    <w:t>无土建工程，</w:t>
                  </w:r>
                  <w:r>
                    <w:rPr>
                      <w:rFonts w:hint="eastAsia"/>
                      <w:color w:val="auto"/>
                      <w:szCs w:val="21"/>
                      <w:lang w:val="en-US" w:eastAsia="zh-CN"/>
                    </w:rPr>
                    <w:t>施工过程要求项目建设不得涉及</w:t>
                  </w:r>
                  <w:r>
                    <w:rPr>
                      <w:rFonts w:hint="eastAsia"/>
                      <w:color w:val="auto"/>
                      <w:szCs w:val="21"/>
                    </w:rPr>
                    <w:t>挖沙、取土、挖建池塘等活动，</w:t>
                  </w:r>
                  <w:r>
                    <w:rPr>
                      <w:rFonts w:hint="eastAsia"/>
                      <w:color w:val="auto"/>
                      <w:szCs w:val="21"/>
                      <w:lang w:val="en-US" w:eastAsia="zh-CN"/>
                    </w:rPr>
                    <w:t>不得</w:t>
                  </w:r>
                  <w:r>
                    <w:rPr>
                      <w:rFonts w:hint="eastAsia"/>
                      <w:color w:val="auto"/>
                      <w:szCs w:val="21"/>
                    </w:rPr>
                    <w:t>进行少量取土或者修建简易设施。待规划实施至本项目用地范围时，企业配合无条件搬迁（附件7）。</w:t>
                  </w:r>
                </w:p>
                <w:p w14:paraId="3E4E3911">
                  <w:pPr>
                    <w:autoSpaceDE w:val="0"/>
                    <w:adjustRightInd w:val="0"/>
                    <w:snapToGrid w:val="0"/>
                    <w:rPr>
                      <w:color w:val="auto"/>
                      <w:szCs w:val="21"/>
                    </w:rPr>
                  </w:pPr>
                  <w:r>
                    <w:rPr>
                      <w:rFonts w:hint="eastAsia"/>
                      <w:color w:val="auto"/>
                      <w:szCs w:val="21"/>
                      <w:lang w:val="en-US" w:eastAsia="zh-CN"/>
                    </w:rPr>
                    <w:t>本次环评提出建设单位</w:t>
                  </w:r>
                  <w:r>
                    <w:rPr>
                      <w:rFonts w:hint="eastAsia"/>
                      <w:color w:val="auto"/>
                      <w:szCs w:val="21"/>
                    </w:rPr>
                    <w:t>不得进行与遗址保护无关的建设工程，禁止挖沙、取土、挖建池塘</w:t>
                  </w:r>
                  <w:r>
                    <w:rPr>
                      <w:rFonts w:hint="eastAsia"/>
                      <w:color w:val="auto"/>
                      <w:szCs w:val="21"/>
                      <w:highlight w:val="none"/>
                    </w:rPr>
                    <w:t>或者从事其他有损于遗址保护的活动</w:t>
                  </w:r>
                  <w:r>
                    <w:rPr>
                      <w:rFonts w:hint="eastAsia"/>
                      <w:color w:val="auto"/>
                      <w:szCs w:val="21"/>
                    </w:rPr>
                    <w:t>。</w:t>
                  </w:r>
                </w:p>
              </w:tc>
              <w:tc>
                <w:tcPr>
                  <w:tcW w:w="433" w:type="dxa"/>
                  <w:vAlign w:val="center"/>
                </w:tcPr>
                <w:p w14:paraId="00721F69">
                  <w:pPr>
                    <w:autoSpaceDE w:val="0"/>
                    <w:autoSpaceDN w:val="0"/>
                    <w:adjustRightInd w:val="0"/>
                    <w:snapToGrid w:val="0"/>
                    <w:jc w:val="center"/>
                    <w:rPr>
                      <w:color w:val="auto"/>
                      <w:szCs w:val="21"/>
                    </w:rPr>
                  </w:pPr>
                  <w:r>
                    <w:rPr>
                      <w:rFonts w:hint="eastAsia"/>
                      <w:color w:val="auto"/>
                      <w:szCs w:val="21"/>
                    </w:rPr>
                    <w:t>符合</w:t>
                  </w:r>
                </w:p>
              </w:tc>
            </w:tr>
            <w:tr w14:paraId="69CB3B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182122DF">
                  <w:pPr>
                    <w:autoSpaceDE w:val="0"/>
                    <w:autoSpaceDN w:val="0"/>
                    <w:adjustRightInd w:val="0"/>
                    <w:snapToGrid w:val="0"/>
                    <w:jc w:val="center"/>
                    <w:rPr>
                      <w:color w:val="auto"/>
                      <w:szCs w:val="21"/>
                    </w:rPr>
                  </w:pPr>
                </w:p>
              </w:tc>
              <w:tc>
                <w:tcPr>
                  <w:tcW w:w="3122" w:type="dxa"/>
                  <w:vAlign w:val="center"/>
                </w:tcPr>
                <w:p w14:paraId="0BBE7E8E">
                  <w:pPr>
                    <w:autoSpaceDE w:val="0"/>
                    <w:adjustRightInd w:val="0"/>
                    <w:snapToGrid w:val="0"/>
                    <w:ind w:firstLine="420" w:firstLineChars="200"/>
                    <w:rPr>
                      <w:color w:val="auto"/>
                      <w:szCs w:val="21"/>
                    </w:rPr>
                  </w:pPr>
                  <w:r>
                    <w:rPr>
                      <w:rFonts w:hint="eastAsia"/>
                      <w:color w:val="auto"/>
                      <w:szCs w:val="21"/>
                    </w:rPr>
                    <w:t>第十五条 在遗址保护范围内不得进行其他建设工程或者爆破、钻探、挖掘等作业。因特殊情况需要在保护范围内进行其他工程建设或者爆破、钻探、挖掘等作业的，必须保证遗址的安全，并经省人民政府批准，在批准前应当征得国家文物行政部门的同意。</w:t>
                  </w:r>
                </w:p>
              </w:tc>
              <w:tc>
                <w:tcPr>
                  <w:tcW w:w="2457" w:type="dxa"/>
                  <w:vAlign w:val="center"/>
                </w:tcPr>
                <w:p w14:paraId="5F26C239">
                  <w:pPr>
                    <w:autoSpaceDE w:val="0"/>
                    <w:adjustRightInd w:val="0"/>
                    <w:snapToGrid w:val="0"/>
                    <w:rPr>
                      <w:color w:val="auto"/>
                      <w:szCs w:val="21"/>
                    </w:rPr>
                  </w:pPr>
                  <w:r>
                    <w:rPr>
                      <w:rFonts w:hint="eastAsia"/>
                      <w:color w:val="auto"/>
                      <w:szCs w:val="21"/>
                    </w:rPr>
                    <w:t>本项目不属于其他建设工程，</w:t>
                  </w:r>
                  <w:r>
                    <w:rPr>
                      <w:rFonts w:hint="eastAsia"/>
                      <w:color w:val="auto"/>
                      <w:kern w:val="21"/>
                      <w:szCs w:val="21"/>
                    </w:rPr>
                    <w:t>扩建</w:t>
                  </w:r>
                  <w:r>
                    <w:rPr>
                      <w:rFonts w:hint="eastAsia"/>
                      <w:color w:val="auto"/>
                      <w:szCs w:val="21"/>
                    </w:rPr>
                    <w:t>在现有已建建筑基础上增加生产设备，未新增占地，</w:t>
                  </w:r>
                  <w:r>
                    <w:rPr>
                      <w:rFonts w:hint="eastAsia"/>
                      <w:color w:val="auto"/>
                      <w:szCs w:val="21"/>
                      <w:lang w:val="en-US" w:eastAsia="zh-CN"/>
                    </w:rPr>
                    <w:t>增加环保设施及冷却塔安装</w:t>
                  </w:r>
                  <w:r>
                    <w:rPr>
                      <w:rFonts w:hint="eastAsia"/>
                      <w:color w:val="auto"/>
                      <w:szCs w:val="21"/>
                    </w:rPr>
                    <w:t>无土建工程，</w:t>
                  </w:r>
                  <w:r>
                    <w:rPr>
                      <w:rFonts w:hint="eastAsia"/>
                      <w:color w:val="auto"/>
                      <w:szCs w:val="21"/>
                      <w:lang w:val="en-US" w:eastAsia="zh-CN"/>
                    </w:rPr>
                    <w:t>施工过程</w:t>
                  </w:r>
                  <w:r>
                    <w:rPr>
                      <w:rFonts w:hint="eastAsia"/>
                      <w:color w:val="auto"/>
                      <w:szCs w:val="21"/>
                    </w:rPr>
                    <w:t>不进行爆破、钻探、挖掘等工程作业，无需在批准前征得国家文物行政部门同意。</w:t>
                  </w:r>
                </w:p>
              </w:tc>
              <w:tc>
                <w:tcPr>
                  <w:tcW w:w="433" w:type="dxa"/>
                  <w:vAlign w:val="center"/>
                </w:tcPr>
                <w:p w14:paraId="5B72DF95">
                  <w:pPr>
                    <w:autoSpaceDE w:val="0"/>
                    <w:autoSpaceDN w:val="0"/>
                    <w:adjustRightInd w:val="0"/>
                    <w:snapToGrid w:val="0"/>
                    <w:jc w:val="center"/>
                    <w:rPr>
                      <w:color w:val="auto"/>
                      <w:szCs w:val="21"/>
                    </w:rPr>
                  </w:pPr>
                  <w:r>
                    <w:rPr>
                      <w:rFonts w:hint="eastAsia"/>
                      <w:color w:val="auto"/>
                      <w:szCs w:val="21"/>
                    </w:rPr>
                    <w:t>符合</w:t>
                  </w:r>
                </w:p>
              </w:tc>
            </w:tr>
            <w:tr w14:paraId="5EA612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38FC572C">
                  <w:pPr>
                    <w:autoSpaceDE w:val="0"/>
                    <w:autoSpaceDN w:val="0"/>
                    <w:adjustRightInd w:val="0"/>
                    <w:snapToGrid w:val="0"/>
                    <w:jc w:val="center"/>
                    <w:rPr>
                      <w:color w:val="auto"/>
                      <w:szCs w:val="21"/>
                    </w:rPr>
                  </w:pPr>
                </w:p>
              </w:tc>
              <w:tc>
                <w:tcPr>
                  <w:tcW w:w="3122" w:type="dxa"/>
                  <w:vAlign w:val="center"/>
                </w:tcPr>
                <w:p w14:paraId="3712BB1B">
                  <w:pPr>
                    <w:autoSpaceDE w:val="0"/>
                    <w:adjustRightInd w:val="0"/>
                    <w:snapToGrid w:val="0"/>
                    <w:ind w:firstLine="420" w:firstLineChars="200"/>
                    <w:rPr>
                      <w:color w:val="auto"/>
                      <w:szCs w:val="21"/>
                    </w:rPr>
                  </w:pPr>
                  <w:r>
                    <w:rPr>
                      <w:rFonts w:hint="eastAsia"/>
                      <w:color w:val="auto"/>
                      <w:szCs w:val="21"/>
                    </w:rPr>
                    <w:t>第十七条 在遗址建设控制地带内进行工程建设或者从事其他生产经营活动的，不得破坏遗址的环境风貌，不得污染环境，不得危及文物安全。</w:t>
                  </w:r>
                </w:p>
              </w:tc>
              <w:tc>
                <w:tcPr>
                  <w:tcW w:w="2457" w:type="dxa"/>
                  <w:vAlign w:val="center"/>
                </w:tcPr>
                <w:p w14:paraId="5D8E5243">
                  <w:pPr>
                    <w:autoSpaceDE w:val="0"/>
                    <w:adjustRightInd w:val="0"/>
                    <w:snapToGrid w:val="0"/>
                    <w:rPr>
                      <w:color w:val="auto"/>
                      <w:szCs w:val="21"/>
                    </w:rPr>
                  </w:pPr>
                  <w:r>
                    <w:rPr>
                      <w:rFonts w:hint="eastAsia"/>
                      <w:color w:val="auto"/>
                      <w:szCs w:val="21"/>
                    </w:rPr>
                    <w:t>本项目位于丰镐遗址保护区重点保护区内，在现有已建建筑基础上增加生产设备，未新增占地，厂房维持现状无改造工程；项目建设不会破坏遗址的环境风貌，项目产生的污染物在采取本次环评提出的各项环保措施的前提下，项目污染物均能做到达标排放，对外环境影响较小，不会危及文物安全。</w:t>
                  </w:r>
                </w:p>
              </w:tc>
              <w:tc>
                <w:tcPr>
                  <w:tcW w:w="433" w:type="dxa"/>
                  <w:vAlign w:val="center"/>
                </w:tcPr>
                <w:p w14:paraId="5637363B">
                  <w:pPr>
                    <w:autoSpaceDE w:val="0"/>
                    <w:autoSpaceDN w:val="0"/>
                    <w:adjustRightInd w:val="0"/>
                    <w:snapToGrid w:val="0"/>
                    <w:jc w:val="center"/>
                    <w:rPr>
                      <w:color w:val="auto"/>
                      <w:szCs w:val="21"/>
                    </w:rPr>
                  </w:pPr>
                  <w:r>
                    <w:rPr>
                      <w:rFonts w:hint="eastAsia"/>
                      <w:color w:val="auto"/>
                      <w:szCs w:val="21"/>
                    </w:rPr>
                    <w:t>符合</w:t>
                  </w:r>
                </w:p>
              </w:tc>
            </w:tr>
            <w:tr w14:paraId="74A9AA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0D306A2F">
                  <w:pPr>
                    <w:autoSpaceDE w:val="0"/>
                    <w:autoSpaceDN w:val="0"/>
                    <w:adjustRightInd w:val="0"/>
                    <w:snapToGrid w:val="0"/>
                    <w:jc w:val="center"/>
                    <w:rPr>
                      <w:color w:val="auto"/>
                      <w:szCs w:val="21"/>
                    </w:rPr>
                  </w:pPr>
                </w:p>
              </w:tc>
              <w:tc>
                <w:tcPr>
                  <w:tcW w:w="3122" w:type="dxa"/>
                  <w:vAlign w:val="center"/>
                </w:tcPr>
                <w:p w14:paraId="2B356C17">
                  <w:pPr>
                    <w:autoSpaceDE w:val="0"/>
                    <w:adjustRightInd w:val="0"/>
                    <w:snapToGrid w:val="0"/>
                    <w:ind w:firstLine="420" w:firstLineChars="200"/>
                    <w:rPr>
                      <w:color w:val="auto"/>
                      <w:szCs w:val="21"/>
                    </w:rPr>
                  </w:pPr>
                  <w:r>
                    <w:rPr>
                      <w:rFonts w:hint="eastAsia"/>
                      <w:color w:val="auto"/>
                      <w:szCs w:val="21"/>
                    </w:rPr>
                    <w:t>第十八条 在遗址保护范围内，不得擅自修建道路和其他设施；不得污损、刻划或者擅自移动拆除文物保护设施；不得侵占、买卖或者以其他形式非法转让土地；不得设置垃圾堆放场地及其他有损于遗址保护的设施。</w:t>
                  </w:r>
                </w:p>
              </w:tc>
              <w:tc>
                <w:tcPr>
                  <w:tcW w:w="2457" w:type="dxa"/>
                  <w:vAlign w:val="center"/>
                </w:tcPr>
                <w:p w14:paraId="6047DD08">
                  <w:pPr>
                    <w:autoSpaceDE w:val="0"/>
                    <w:adjustRightInd w:val="0"/>
                    <w:snapToGrid w:val="0"/>
                    <w:rPr>
                      <w:color w:val="auto"/>
                      <w:szCs w:val="21"/>
                    </w:rPr>
                  </w:pPr>
                  <w:r>
                    <w:rPr>
                      <w:rFonts w:hint="eastAsia"/>
                      <w:color w:val="auto"/>
                      <w:szCs w:val="21"/>
                    </w:rPr>
                    <w:t>本项目租用已建成厂房进行项目建设，不涉及修建道路或其他设施；不涉及污损、刻划或者擅自移动拆除文物保护设施；不涉及侵占、买卖或者以其他形式非法转让土地；项目已建危废贮存库，设置托盘，按《危险废物贮存污染控制标准》（GB18597-2023）要求对地面进行防渗，做好应急防治措施，不会对地下遗址产生破坏。</w:t>
                  </w:r>
                </w:p>
              </w:tc>
              <w:tc>
                <w:tcPr>
                  <w:tcW w:w="433" w:type="dxa"/>
                  <w:vAlign w:val="center"/>
                </w:tcPr>
                <w:p w14:paraId="1AB93BFB">
                  <w:pPr>
                    <w:autoSpaceDE w:val="0"/>
                    <w:autoSpaceDN w:val="0"/>
                    <w:adjustRightInd w:val="0"/>
                    <w:snapToGrid w:val="0"/>
                    <w:jc w:val="center"/>
                    <w:rPr>
                      <w:color w:val="auto"/>
                      <w:szCs w:val="21"/>
                    </w:rPr>
                  </w:pPr>
                  <w:r>
                    <w:rPr>
                      <w:rFonts w:hint="eastAsia"/>
                      <w:color w:val="auto"/>
                      <w:szCs w:val="21"/>
                    </w:rPr>
                    <w:t>符合</w:t>
                  </w:r>
                </w:p>
              </w:tc>
            </w:tr>
            <w:tr w14:paraId="12BFB6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restart"/>
                  <w:vAlign w:val="center"/>
                </w:tcPr>
                <w:p w14:paraId="51754A95">
                  <w:pPr>
                    <w:autoSpaceDE w:val="0"/>
                    <w:autoSpaceDN w:val="0"/>
                    <w:adjustRightInd w:val="0"/>
                    <w:snapToGrid w:val="0"/>
                    <w:jc w:val="center"/>
                    <w:rPr>
                      <w:color w:val="auto"/>
                      <w:szCs w:val="21"/>
                    </w:rPr>
                  </w:pPr>
                  <w:r>
                    <w:rPr>
                      <w:rFonts w:hint="eastAsia"/>
                      <w:color w:val="auto"/>
                      <w:szCs w:val="21"/>
                    </w:rPr>
                    <w:t>《中华人民共和国文物保护法》</w:t>
                  </w:r>
                </w:p>
              </w:tc>
              <w:tc>
                <w:tcPr>
                  <w:tcW w:w="3122" w:type="dxa"/>
                  <w:vAlign w:val="center"/>
                </w:tcPr>
                <w:p w14:paraId="79E840B3">
                  <w:pPr>
                    <w:autoSpaceDE w:val="0"/>
                    <w:adjustRightInd w:val="0"/>
                    <w:snapToGrid w:val="0"/>
                    <w:ind w:firstLine="420" w:firstLineChars="200"/>
                    <w:rPr>
                      <w:color w:val="auto"/>
                      <w:szCs w:val="21"/>
                    </w:rPr>
                  </w:pPr>
                  <w:r>
                    <w:rPr>
                      <w:rFonts w:hint="eastAsia"/>
                      <w:color w:val="auto"/>
                      <w:szCs w:val="21"/>
                    </w:rPr>
                    <w:t>第十一条 文物是不可再生的文化资源。各级人民政府应当重视文物保护，正确处理经济建设、社会发展与文物保护的关系，确保文物安全。基本建设、旅游发展必须把文物保护放在第一位，严格落实文物保护与安全管理规定，防止建设性破坏和过度商业化。</w:t>
                  </w:r>
                </w:p>
              </w:tc>
              <w:tc>
                <w:tcPr>
                  <w:tcW w:w="2457" w:type="dxa"/>
                  <w:vAlign w:val="center"/>
                </w:tcPr>
                <w:p w14:paraId="6CD6E388">
                  <w:pPr>
                    <w:autoSpaceDE w:val="0"/>
                    <w:adjustRightInd w:val="0"/>
                    <w:snapToGrid w:val="0"/>
                    <w:rPr>
                      <w:color w:val="auto"/>
                      <w:szCs w:val="21"/>
                    </w:rPr>
                  </w:pPr>
                  <w:r>
                    <w:rPr>
                      <w:rFonts w:hint="eastAsia"/>
                      <w:color w:val="auto"/>
                      <w:szCs w:val="21"/>
                    </w:rPr>
                    <w:t>本项目在现有已建建筑基础上增加生产设备，未新增占地，无土建工程，无挖沙、取土、挖建池塘等活动，项目产生的污染物在采取本次环评提出的各项环保措施的前提下，项目污染物均能做到达标排放，对外环境影响较小。</w:t>
                  </w:r>
                </w:p>
              </w:tc>
              <w:tc>
                <w:tcPr>
                  <w:tcW w:w="433" w:type="dxa"/>
                  <w:vAlign w:val="center"/>
                </w:tcPr>
                <w:p w14:paraId="43DC6F7B">
                  <w:pPr>
                    <w:autoSpaceDE w:val="0"/>
                    <w:autoSpaceDN w:val="0"/>
                    <w:adjustRightInd w:val="0"/>
                    <w:snapToGrid w:val="0"/>
                    <w:jc w:val="center"/>
                    <w:rPr>
                      <w:color w:val="auto"/>
                      <w:szCs w:val="21"/>
                    </w:rPr>
                  </w:pPr>
                  <w:r>
                    <w:rPr>
                      <w:rFonts w:hint="eastAsia"/>
                      <w:color w:val="auto"/>
                      <w:szCs w:val="21"/>
                    </w:rPr>
                    <w:t>符合</w:t>
                  </w:r>
                </w:p>
              </w:tc>
            </w:tr>
            <w:tr w14:paraId="150629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7D2DF605">
                  <w:pPr>
                    <w:autoSpaceDE w:val="0"/>
                    <w:autoSpaceDN w:val="0"/>
                    <w:adjustRightInd w:val="0"/>
                    <w:snapToGrid w:val="0"/>
                    <w:jc w:val="center"/>
                    <w:rPr>
                      <w:color w:val="auto"/>
                      <w:szCs w:val="21"/>
                    </w:rPr>
                  </w:pPr>
                </w:p>
              </w:tc>
              <w:tc>
                <w:tcPr>
                  <w:tcW w:w="3122" w:type="dxa"/>
                  <w:vAlign w:val="center"/>
                </w:tcPr>
                <w:p w14:paraId="06DF7E18">
                  <w:pPr>
                    <w:autoSpaceDE w:val="0"/>
                    <w:adjustRightInd w:val="0"/>
                    <w:snapToGrid w:val="0"/>
                    <w:ind w:firstLine="420" w:firstLineChars="200"/>
                    <w:rPr>
                      <w:color w:val="auto"/>
                      <w:szCs w:val="21"/>
                    </w:rPr>
                  </w:pPr>
                  <w:r>
                    <w:rPr>
                      <w:rFonts w:hint="eastAsia"/>
                      <w:color w:val="auto"/>
                      <w:szCs w:val="21"/>
                    </w:rPr>
                    <w:t>第二十四条 在旧城区改建、土地成片开发中，县级以上人民政府应当事先组织进行相关区域内不可移动文物调查，及时开展核定、登记、公布工作，并依法采取保护措施。未经调查，任何单位不得开工建设，防止建设性破坏。</w:t>
                  </w:r>
                </w:p>
              </w:tc>
              <w:tc>
                <w:tcPr>
                  <w:tcW w:w="2457" w:type="dxa"/>
                  <w:vMerge w:val="restart"/>
                  <w:vAlign w:val="center"/>
                </w:tcPr>
                <w:p w14:paraId="69E3B3E3">
                  <w:pPr>
                    <w:autoSpaceDE w:val="0"/>
                    <w:adjustRightInd w:val="0"/>
                    <w:snapToGrid w:val="0"/>
                    <w:rPr>
                      <w:color w:val="auto"/>
                      <w:szCs w:val="21"/>
                    </w:rPr>
                  </w:pPr>
                  <w:r>
                    <w:rPr>
                      <w:rFonts w:hint="eastAsia"/>
                      <w:color w:val="auto"/>
                      <w:szCs w:val="21"/>
                    </w:rPr>
                    <w:t>本项目在现有已建建筑基础上增加生产设备，未新增占地，无土建工程，项目不涉工程建设，无挖沙、取土、挖建池塘等活动。</w:t>
                  </w:r>
                </w:p>
              </w:tc>
              <w:tc>
                <w:tcPr>
                  <w:tcW w:w="433" w:type="dxa"/>
                  <w:vAlign w:val="center"/>
                </w:tcPr>
                <w:p w14:paraId="6D555975">
                  <w:pPr>
                    <w:autoSpaceDE w:val="0"/>
                    <w:autoSpaceDN w:val="0"/>
                    <w:adjustRightInd w:val="0"/>
                    <w:snapToGrid w:val="0"/>
                    <w:jc w:val="center"/>
                    <w:rPr>
                      <w:color w:val="auto"/>
                      <w:szCs w:val="21"/>
                    </w:rPr>
                  </w:pPr>
                  <w:r>
                    <w:rPr>
                      <w:rFonts w:hint="eastAsia"/>
                      <w:color w:val="auto"/>
                      <w:szCs w:val="21"/>
                    </w:rPr>
                    <w:t>符合</w:t>
                  </w:r>
                </w:p>
              </w:tc>
            </w:tr>
            <w:tr w14:paraId="630941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34603BCB">
                  <w:pPr>
                    <w:autoSpaceDE w:val="0"/>
                    <w:autoSpaceDN w:val="0"/>
                    <w:adjustRightInd w:val="0"/>
                    <w:snapToGrid w:val="0"/>
                    <w:jc w:val="center"/>
                    <w:rPr>
                      <w:color w:val="auto"/>
                      <w:szCs w:val="21"/>
                    </w:rPr>
                  </w:pPr>
                </w:p>
              </w:tc>
              <w:tc>
                <w:tcPr>
                  <w:tcW w:w="3122" w:type="dxa"/>
                  <w:vAlign w:val="center"/>
                </w:tcPr>
                <w:p w14:paraId="09809971">
                  <w:pPr>
                    <w:autoSpaceDE w:val="0"/>
                    <w:adjustRightInd w:val="0"/>
                    <w:snapToGrid w:val="0"/>
                    <w:ind w:firstLine="420" w:firstLineChars="200"/>
                    <w:rPr>
                      <w:color w:val="auto"/>
                      <w:szCs w:val="21"/>
                    </w:rPr>
                  </w:pPr>
                  <w:r>
                    <w:rPr>
                      <w:rFonts w:hint="eastAsia"/>
                      <w:color w:val="auto"/>
                      <w:szCs w:val="21"/>
                    </w:rPr>
                    <w:t>第三十一条 建设工程选址，应当尽可能避开不可移动文物；因特殊情况不能避开的，应当尽可能实施原址保护。</w:t>
                  </w:r>
                </w:p>
              </w:tc>
              <w:tc>
                <w:tcPr>
                  <w:tcW w:w="2457" w:type="dxa"/>
                  <w:vMerge w:val="continue"/>
                  <w:vAlign w:val="center"/>
                </w:tcPr>
                <w:p w14:paraId="50ABCCEB">
                  <w:pPr>
                    <w:autoSpaceDE w:val="0"/>
                    <w:adjustRightInd w:val="0"/>
                    <w:snapToGrid w:val="0"/>
                    <w:rPr>
                      <w:color w:val="auto"/>
                      <w:szCs w:val="21"/>
                    </w:rPr>
                  </w:pPr>
                </w:p>
              </w:tc>
              <w:tc>
                <w:tcPr>
                  <w:tcW w:w="433" w:type="dxa"/>
                  <w:vAlign w:val="center"/>
                </w:tcPr>
                <w:p w14:paraId="35C6B5C1">
                  <w:pPr>
                    <w:autoSpaceDE w:val="0"/>
                    <w:autoSpaceDN w:val="0"/>
                    <w:adjustRightInd w:val="0"/>
                    <w:snapToGrid w:val="0"/>
                    <w:jc w:val="center"/>
                    <w:rPr>
                      <w:color w:val="auto"/>
                      <w:szCs w:val="21"/>
                    </w:rPr>
                  </w:pPr>
                  <w:r>
                    <w:rPr>
                      <w:rFonts w:hint="eastAsia"/>
                      <w:color w:val="auto"/>
                      <w:szCs w:val="21"/>
                    </w:rPr>
                    <w:t>符合</w:t>
                  </w:r>
                </w:p>
              </w:tc>
            </w:tr>
          </w:tbl>
          <w:p w14:paraId="6BF930FC">
            <w:pPr>
              <w:spacing w:before="120" w:beforeLines="50" w:line="360" w:lineRule="auto"/>
              <w:ind w:firstLine="482" w:firstLineChars="200"/>
              <w:contextualSpacing/>
              <w:rPr>
                <w:b/>
                <w:bCs/>
                <w:color w:val="auto"/>
                <w:kern w:val="0"/>
                <w:sz w:val="24"/>
              </w:rPr>
            </w:pPr>
            <w:r>
              <w:rPr>
                <w:rFonts w:hint="eastAsia"/>
                <w:b/>
                <w:bCs/>
                <w:color w:val="auto"/>
                <w:kern w:val="0"/>
                <w:sz w:val="24"/>
              </w:rPr>
              <w:t>4、项目与其他相关环保政策及标准符合性分析</w:t>
            </w:r>
          </w:p>
          <w:p w14:paraId="0E820BDB">
            <w:pPr>
              <w:pStyle w:val="63"/>
              <w:adjustRightInd w:val="0"/>
              <w:spacing w:before="0" w:afterLines="0"/>
              <w:ind w:firstLine="0"/>
              <w:rPr>
                <w:rFonts w:ascii="Times New Roman" w:hAnsi="Times New Roman" w:eastAsia="宋体"/>
                <w:b/>
                <w:color w:val="auto"/>
                <w:sz w:val="24"/>
                <w:szCs w:val="24"/>
              </w:rPr>
            </w:pPr>
            <w:r>
              <w:rPr>
                <w:rFonts w:ascii="Times New Roman" w:hAnsi="Times New Roman" w:eastAsia="宋体"/>
                <w:b/>
                <w:color w:val="auto"/>
                <w:sz w:val="24"/>
                <w:szCs w:val="24"/>
              </w:rPr>
              <w:t>表</w:t>
            </w:r>
            <w:r>
              <w:rPr>
                <w:rFonts w:hint="eastAsia" w:ascii="Times New Roman" w:hAnsi="Times New Roman" w:eastAsia="宋体"/>
                <w:b/>
                <w:color w:val="auto"/>
                <w:sz w:val="24"/>
                <w:szCs w:val="24"/>
              </w:rPr>
              <w:t>1</w:t>
            </w:r>
            <w:r>
              <w:rPr>
                <w:rFonts w:ascii="Times New Roman" w:hAnsi="Times New Roman" w:eastAsia="宋体"/>
                <w:b/>
                <w:color w:val="auto"/>
                <w:sz w:val="24"/>
                <w:szCs w:val="24"/>
              </w:rPr>
              <w:t>-</w:t>
            </w:r>
            <w:r>
              <w:rPr>
                <w:rFonts w:hint="eastAsia" w:ascii="Times New Roman" w:hAnsi="Times New Roman" w:eastAsia="宋体"/>
                <w:b/>
                <w:color w:val="auto"/>
                <w:sz w:val="24"/>
                <w:szCs w:val="24"/>
              </w:rPr>
              <w:t>4  项目</w:t>
            </w:r>
            <w:r>
              <w:rPr>
                <w:rFonts w:ascii="Times New Roman" w:hAnsi="Times New Roman" w:eastAsia="宋体"/>
                <w:b/>
                <w:color w:val="auto"/>
                <w:sz w:val="24"/>
                <w:szCs w:val="24"/>
              </w:rPr>
              <w:t>与</w:t>
            </w:r>
            <w:r>
              <w:rPr>
                <w:rFonts w:hint="eastAsia" w:ascii="Times New Roman" w:hAnsi="Times New Roman" w:eastAsia="宋体"/>
                <w:b/>
                <w:color w:val="auto"/>
                <w:sz w:val="24"/>
                <w:szCs w:val="24"/>
              </w:rPr>
              <w:t>其他相关环保政策及标准</w:t>
            </w:r>
            <w:r>
              <w:rPr>
                <w:rFonts w:ascii="Times New Roman" w:hAnsi="Times New Roman" w:eastAsia="宋体"/>
                <w:b/>
                <w:color w:val="auto"/>
                <w:sz w:val="24"/>
                <w:szCs w:val="24"/>
              </w:rPr>
              <w:t>相符性分析</w:t>
            </w:r>
          </w:p>
          <w:tbl>
            <w:tblPr>
              <w:tblStyle w:val="26"/>
              <w:tblW w:w="725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3289"/>
              <w:gridCol w:w="2290"/>
              <w:gridCol w:w="433"/>
            </w:tblGrid>
            <w:tr w14:paraId="4CB58E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Align w:val="center"/>
                </w:tcPr>
                <w:p w14:paraId="34F90926">
                  <w:pPr>
                    <w:autoSpaceDE w:val="0"/>
                    <w:autoSpaceDN w:val="0"/>
                    <w:adjustRightInd w:val="0"/>
                    <w:snapToGrid w:val="0"/>
                    <w:jc w:val="center"/>
                    <w:rPr>
                      <w:b/>
                      <w:bCs/>
                      <w:color w:val="auto"/>
                      <w:szCs w:val="21"/>
                    </w:rPr>
                  </w:pPr>
                  <w:r>
                    <w:rPr>
                      <w:rFonts w:hint="eastAsia"/>
                      <w:b/>
                      <w:bCs/>
                      <w:color w:val="auto"/>
                      <w:szCs w:val="21"/>
                    </w:rPr>
                    <w:t>文件名称</w:t>
                  </w:r>
                </w:p>
              </w:tc>
              <w:tc>
                <w:tcPr>
                  <w:tcW w:w="3289" w:type="dxa"/>
                  <w:vAlign w:val="center"/>
                </w:tcPr>
                <w:p w14:paraId="485F15CF">
                  <w:pPr>
                    <w:autoSpaceDE w:val="0"/>
                    <w:autoSpaceDN w:val="0"/>
                    <w:adjustRightInd w:val="0"/>
                    <w:snapToGrid w:val="0"/>
                    <w:jc w:val="center"/>
                    <w:rPr>
                      <w:b/>
                      <w:bCs/>
                      <w:color w:val="auto"/>
                      <w:szCs w:val="21"/>
                    </w:rPr>
                  </w:pPr>
                  <w:r>
                    <w:rPr>
                      <w:rFonts w:hint="eastAsia"/>
                      <w:b/>
                      <w:bCs/>
                      <w:color w:val="auto"/>
                      <w:szCs w:val="21"/>
                    </w:rPr>
                    <w:t>政策要求</w:t>
                  </w:r>
                </w:p>
              </w:tc>
              <w:tc>
                <w:tcPr>
                  <w:tcW w:w="2290" w:type="dxa"/>
                  <w:vAlign w:val="center"/>
                </w:tcPr>
                <w:p w14:paraId="3E73EF95">
                  <w:pPr>
                    <w:autoSpaceDE w:val="0"/>
                    <w:autoSpaceDN w:val="0"/>
                    <w:adjustRightInd w:val="0"/>
                    <w:snapToGrid w:val="0"/>
                    <w:jc w:val="center"/>
                    <w:rPr>
                      <w:b/>
                      <w:bCs/>
                      <w:color w:val="auto"/>
                      <w:szCs w:val="21"/>
                    </w:rPr>
                  </w:pPr>
                  <w:r>
                    <w:rPr>
                      <w:rFonts w:hint="eastAsia"/>
                      <w:b/>
                      <w:bCs/>
                      <w:color w:val="auto"/>
                      <w:szCs w:val="21"/>
                    </w:rPr>
                    <w:t>本项目情况</w:t>
                  </w:r>
                </w:p>
              </w:tc>
              <w:tc>
                <w:tcPr>
                  <w:tcW w:w="433" w:type="dxa"/>
                  <w:vAlign w:val="center"/>
                </w:tcPr>
                <w:p w14:paraId="7EF98060">
                  <w:pPr>
                    <w:autoSpaceDE w:val="0"/>
                    <w:autoSpaceDN w:val="0"/>
                    <w:adjustRightInd w:val="0"/>
                    <w:snapToGrid w:val="0"/>
                    <w:jc w:val="center"/>
                    <w:rPr>
                      <w:b/>
                      <w:bCs/>
                      <w:color w:val="auto"/>
                      <w:szCs w:val="21"/>
                    </w:rPr>
                  </w:pPr>
                  <w:r>
                    <w:rPr>
                      <w:rFonts w:hint="eastAsia"/>
                      <w:b/>
                      <w:bCs/>
                      <w:color w:val="auto"/>
                      <w:szCs w:val="21"/>
                    </w:rPr>
                    <w:t>相符性</w:t>
                  </w:r>
                </w:p>
              </w:tc>
            </w:tr>
            <w:tr w14:paraId="5AAB10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restart"/>
                  <w:vAlign w:val="center"/>
                </w:tcPr>
                <w:p w14:paraId="5B1C3BCD">
                  <w:pPr>
                    <w:autoSpaceDE w:val="0"/>
                    <w:autoSpaceDN w:val="0"/>
                    <w:adjustRightInd w:val="0"/>
                    <w:snapToGrid w:val="0"/>
                    <w:jc w:val="center"/>
                    <w:rPr>
                      <w:color w:val="auto"/>
                      <w:szCs w:val="21"/>
                    </w:rPr>
                  </w:pPr>
                  <w:r>
                    <w:rPr>
                      <w:rFonts w:hint="eastAsia"/>
                      <w:color w:val="auto"/>
                      <w:szCs w:val="21"/>
                    </w:rPr>
                    <w:t>关于印发《陕西省“十四五”生态环境保护规划》的通知（陕政办发〔2021〕25号）</w:t>
                  </w:r>
                </w:p>
              </w:tc>
              <w:tc>
                <w:tcPr>
                  <w:tcW w:w="3289" w:type="dxa"/>
                  <w:vAlign w:val="center"/>
                </w:tcPr>
                <w:p w14:paraId="19CF30FE">
                  <w:pPr>
                    <w:autoSpaceDE w:val="0"/>
                    <w:adjustRightInd w:val="0"/>
                    <w:snapToGrid w:val="0"/>
                    <w:ind w:firstLine="420" w:firstLineChars="200"/>
                    <w:rPr>
                      <w:color w:val="auto"/>
                      <w:szCs w:val="21"/>
                    </w:rPr>
                  </w:pPr>
                  <w:r>
                    <w:rPr>
                      <w:color w:val="auto"/>
                      <w:szCs w:val="21"/>
                    </w:rPr>
                    <w:t>促进产业结构转型升级。严格能耗、环保、质量、安全、技术等综合标准，以钢铁、煤炭、水泥、电解铝、平板玻璃等行业为重点，依法依规淘汰落后产能。以钢铁、煤炭、煤电等行业和</w:t>
                  </w:r>
                  <w:r>
                    <w:rPr>
                      <w:rFonts w:hint="eastAsia"/>
                      <w:color w:val="auto"/>
                      <w:szCs w:val="21"/>
                    </w:rPr>
                    <w:t>领域为重点。</w:t>
                  </w:r>
                </w:p>
              </w:tc>
              <w:tc>
                <w:tcPr>
                  <w:tcW w:w="2290" w:type="dxa"/>
                  <w:vAlign w:val="center"/>
                </w:tcPr>
                <w:p w14:paraId="2B59202A">
                  <w:pPr>
                    <w:autoSpaceDE w:val="0"/>
                    <w:adjustRightInd w:val="0"/>
                    <w:snapToGrid w:val="0"/>
                    <w:rPr>
                      <w:color w:val="auto"/>
                      <w:szCs w:val="21"/>
                    </w:rPr>
                  </w:pPr>
                  <w:r>
                    <w:rPr>
                      <w:rFonts w:hint="eastAsia"/>
                      <w:color w:val="auto"/>
                      <w:szCs w:val="21"/>
                    </w:rPr>
                    <w:t>本项目主要为包装桶生产项目，不属于</w:t>
                  </w:r>
                  <w:r>
                    <w:rPr>
                      <w:color w:val="auto"/>
                      <w:szCs w:val="21"/>
                    </w:rPr>
                    <w:t>钢铁、煤炭、水泥、电解铝、平板玻璃等行业</w:t>
                  </w:r>
                  <w:r>
                    <w:rPr>
                      <w:rFonts w:hint="eastAsia"/>
                      <w:color w:val="auto"/>
                      <w:szCs w:val="21"/>
                    </w:rPr>
                    <w:t>，不涉及</w:t>
                  </w:r>
                  <w:r>
                    <w:rPr>
                      <w:color w:val="auto"/>
                      <w:szCs w:val="21"/>
                    </w:rPr>
                    <w:t>淘汰落后产能</w:t>
                  </w:r>
                  <w:r>
                    <w:rPr>
                      <w:rFonts w:hint="eastAsia"/>
                      <w:color w:val="auto"/>
                      <w:szCs w:val="21"/>
                    </w:rPr>
                    <w:t>。</w:t>
                  </w:r>
                </w:p>
              </w:tc>
              <w:tc>
                <w:tcPr>
                  <w:tcW w:w="433" w:type="dxa"/>
                  <w:vAlign w:val="center"/>
                </w:tcPr>
                <w:p w14:paraId="3D985108">
                  <w:pPr>
                    <w:autoSpaceDE w:val="0"/>
                    <w:autoSpaceDN w:val="0"/>
                    <w:adjustRightInd w:val="0"/>
                    <w:snapToGrid w:val="0"/>
                    <w:jc w:val="center"/>
                    <w:rPr>
                      <w:color w:val="auto"/>
                      <w:szCs w:val="21"/>
                    </w:rPr>
                  </w:pPr>
                  <w:r>
                    <w:rPr>
                      <w:rFonts w:hint="eastAsia"/>
                      <w:color w:val="auto"/>
                      <w:szCs w:val="21"/>
                    </w:rPr>
                    <w:t>符合</w:t>
                  </w:r>
                </w:p>
              </w:tc>
            </w:tr>
            <w:tr w14:paraId="325CB6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3CB16259">
                  <w:pPr>
                    <w:autoSpaceDE w:val="0"/>
                    <w:autoSpaceDN w:val="0"/>
                    <w:adjustRightInd w:val="0"/>
                    <w:snapToGrid w:val="0"/>
                    <w:jc w:val="center"/>
                    <w:rPr>
                      <w:color w:val="auto"/>
                      <w:szCs w:val="21"/>
                    </w:rPr>
                  </w:pPr>
                </w:p>
              </w:tc>
              <w:tc>
                <w:tcPr>
                  <w:tcW w:w="3289" w:type="dxa"/>
                  <w:vAlign w:val="center"/>
                </w:tcPr>
                <w:p w14:paraId="294288CC">
                  <w:pPr>
                    <w:autoSpaceDE w:val="0"/>
                    <w:adjustRightInd w:val="0"/>
                    <w:snapToGrid w:val="0"/>
                    <w:ind w:firstLine="420" w:firstLineChars="200"/>
                    <w:rPr>
                      <w:color w:val="auto"/>
                      <w:szCs w:val="21"/>
                    </w:rPr>
                  </w:pPr>
                  <w:r>
                    <w:rPr>
                      <w:rFonts w:hint="eastAsia"/>
                      <w:color w:val="auto"/>
                      <w:szCs w:val="21"/>
                    </w:rPr>
                    <w:t>提升能源结构清洁低碳水平。加快电源结构调整和布局优化，新增用电需求主要通过新能源电力保障，减少煤电占比。</w:t>
                  </w:r>
                </w:p>
              </w:tc>
              <w:tc>
                <w:tcPr>
                  <w:tcW w:w="2290" w:type="dxa"/>
                  <w:vAlign w:val="center"/>
                </w:tcPr>
                <w:p w14:paraId="6FCD5A74">
                  <w:pPr>
                    <w:autoSpaceDE w:val="0"/>
                    <w:adjustRightInd w:val="0"/>
                    <w:snapToGrid w:val="0"/>
                    <w:rPr>
                      <w:color w:val="auto"/>
                      <w:szCs w:val="21"/>
                    </w:rPr>
                  </w:pPr>
                  <w:r>
                    <w:rPr>
                      <w:rFonts w:hint="eastAsia"/>
                      <w:color w:val="auto"/>
                      <w:szCs w:val="21"/>
                    </w:rPr>
                    <w:t>本项目运营期能耗主要使用电能，属于清洁能源。</w:t>
                  </w:r>
                </w:p>
              </w:tc>
              <w:tc>
                <w:tcPr>
                  <w:tcW w:w="433" w:type="dxa"/>
                  <w:vAlign w:val="center"/>
                </w:tcPr>
                <w:p w14:paraId="6B2E4CED">
                  <w:pPr>
                    <w:autoSpaceDE w:val="0"/>
                    <w:autoSpaceDN w:val="0"/>
                    <w:adjustRightInd w:val="0"/>
                    <w:snapToGrid w:val="0"/>
                    <w:jc w:val="center"/>
                    <w:rPr>
                      <w:color w:val="auto"/>
                      <w:szCs w:val="21"/>
                    </w:rPr>
                  </w:pPr>
                  <w:r>
                    <w:rPr>
                      <w:rFonts w:hint="eastAsia"/>
                      <w:color w:val="auto"/>
                      <w:szCs w:val="21"/>
                    </w:rPr>
                    <w:t>符合</w:t>
                  </w:r>
                </w:p>
              </w:tc>
            </w:tr>
            <w:tr w14:paraId="633C7E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9" w:type="dxa"/>
                  <w:vMerge w:val="restart"/>
                  <w:vAlign w:val="center"/>
                </w:tcPr>
                <w:p w14:paraId="12039698">
                  <w:pPr>
                    <w:autoSpaceDE w:val="0"/>
                    <w:autoSpaceDN w:val="0"/>
                    <w:adjustRightInd w:val="0"/>
                    <w:snapToGrid w:val="0"/>
                    <w:jc w:val="center"/>
                    <w:rPr>
                      <w:color w:val="auto"/>
                      <w:szCs w:val="21"/>
                    </w:rPr>
                  </w:pPr>
                  <w:r>
                    <w:rPr>
                      <w:rFonts w:hint="eastAsia"/>
                      <w:color w:val="auto"/>
                      <w:szCs w:val="21"/>
                    </w:rPr>
                    <w:t>《陕西省大气污染防治条例》（2023年）</w:t>
                  </w:r>
                </w:p>
              </w:tc>
              <w:tc>
                <w:tcPr>
                  <w:tcW w:w="3289" w:type="dxa"/>
                  <w:vAlign w:val="center"/>
                </w:tcPr>
                <w:p w14:paraId="1A51330E">
                  <w:pPr>
                    <w:autoSpaceDE w:val="0"/>
                    <w:autoSpaceDN w:val="0"/>
                    <w:adjustRightInd w:val="0"/>
                    <w:snapToGrid w:val="0"/>
                    <w:ind w:firstLine="420" w:firstLineChars="200"/>
                    <w:rPr>
                      <w:color w:val="auto"/>
                      <w:szCs w:val="21"/>
                    </w:rPr>
                  </w:pPr>
                  <w:r>
                    <w:rPr>
                      <w:rFonts w:hint="eastAsia"/>
                      <w:color w:val="auto"/>
                      <w:szCs w:val="21"/>
                    </w:rPr>
                    <w:t>新建、扩建、改建的建设项目，应当依法进行环境影响评价。</w:t>
                  </w:r>
                </w:p>
              </w:tc>
              <w:tc>
                <w:tcPr>
                  <w:tcW w:w="2290" w:type="dxa"/>
                  <w:vAlign w:val="center"/>
                </w:tcPr>
                <w:p w14:paraId="1ECE30E2">
                  <w:pPr>
                    <w:autoSpaceDE w:val="0"/>
                    <w:autoSpaceDN w:val="0"/>
                    <w:adjustRightInd w:val="0"/>
                    <w:snapToGrid w:val="0"/>
                    <w:rPr>
                      <w:color w:val="auto"/>
                      <w:szCs w:val="21"/>
                    </w:rPr>
                  </w:pPr>
                  <w:r>
                    <w:rPr>
                      <w:rFonts w:hint="eastAsia"/>
                      <w:color w:val="auto"/>
                      <w:szCs w:val="21"/>
                    </w:rPr>
                    <w:t>本项目为扩建项目，环境影响评价工作正在进行。</w:t>
                  </w:r>
                </w:p>
              </w:tc>
              <w:tc>
                <w:tcPr>
                  <w:tcW w:w="433" w:type="dxa"/>
                  <w:vAlign w:val="center"/>
                </w:tcPr>
                <w:p w14:paraId="718C7796">
                  <w:pPr>
                    <w:autoSpaceDE w:val="0"/>
                    <w:autoSpaceDN w:val="0"/>
                    <w:adjustRightInd w:val="0"/>
                    <w:snapToGrid w:val="0"/>
                    <w:jc w:val="center"/>
                    <w:rPr>
                      <w:color w:val="auto"/>
                      <w:szCs w:val="21"/>
                    </w:rPr>
                  </w:pPr>
                  <w:r>
                    <w:rPr>
                      <w:rFonts w:hint="eastAsia"/>
                      <w:color w:val="auto"/>
                      <w:szCs w:val="21"/>
                    </w:rPr>
                    <w:t>符合</w:t>
                  </w:r>
                </w:p>
              </w:tc>
            </w:tr>
            <w:tr w14:paraId="4F1756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7AF7F2AB">
                  <w:pPr>
                    <w:autoSpaceDE w:val="0"/>
                    <w:autoSpaceDN w:val="0"/>
                    <w:adjustRightInd w:val="0"/>
                    <w:snapToGrid w:val="0"/>
                    <w:jc w:val="center"/>
                    <w:rPr>
                      <w:color w:val="auto"/>
                      <w:szCs w:val="21"/>
                    </w:rPr>
                  </w:pPr>
                </w:p>
              </w:tc>
              <w:tc>
                <w:tcPr>
                  <w:tcW w:w="3289" w:type="dxa"/>
                  <w:vAlign w:val="center"/>
                </w:tcPr>
                <w:p w14:paraId="31350D75">
                  <w:pPr>
                    <w:autoSpaceDE w:val="0"/>
                    <w:autoSpaceDN w:val="0"/>
                    <w:adjustRightInd w:val="0"/>
                    <w:snapToGrid w:val="0"/>
                    <w:ind w:firstLine="420" w:firstLineChars="200"/>
                    <w:rPr>
                      <w:color w:val="auto"/>
                      <w:szCs w:val="21"/>
                    </w:rPr>
                  </w:pPr>
                  <w:r>
                    <w:rPr>
                      <w:rFonts w:hint="eastAsia"/>
                      <w:color w:val="auto"/>
                      <w:szCs w:val="21"/>
                    </w:rPr>
                    <w:t>向大气排放工业废气、含有毒有害物质的大气污染物的企业事业单位，集中供热设施的运营单位，以及其他按照规定应当取得排污许可证方可排放大气污染物的企业事业单位，应当依法向县级以上生态环境行政主管部门申请排污许可证。</w:t>
                  </w:r>
                </w:p>
              </w:tc>
              <w:tc>
                <w:tcPr>
                  <w:tcW w:w="2290" w:type="dxa"/>
                  <w:vAlign w:val="center"/>
                </w:tcPr>
                <w:p w14:paraId="0E192FA6">
                  <w:pPr>
                    <w:autoSpaceDE w:val="0"/>
                    <w:autoSpaceDN w:val="0"/>
                    <w:adjustRightInd w:val="0"/>
                    <w:snapToGrid w:val="0"/>
                    <w:rPr>
                      <w:color w:val="auto"/>
                      <w:szCs w:val="21"/>
                    </w:rPr>
                  </w:pPr>
                  <w:r>
                    <w:rPr>
                      <w:rFonts w:hint="eastAsia"/>
                      <w:color w:val="auto"/>
                      <w:szCs w:val="21"/>
                    </w:rPr>
                    <w:t>项目建成后依法进行排污许可手续申请，并按申请许可的污染物排放类别进行排放。</w:t>
                  </w:r>
                </w:p>
              </w:tc>
              <w:tc>
                <w:tcPr>
                  <w:tcW w:w="433" w:type="dxa"/>
                  <w:vAlign w:val="center"/>
                </w:tcPr>
                <w:p w14:paraId="7BAA99F8">
                  <w:pPr>
                    <w:autoSpaceDE w:val="0"/>
                    <w:autoSpaceDN w:val="0"/>
                    <w:adjustRightInd w:val="0"/>
                    <w:snapToGrid w:val="0"/>
                    <w:jc w:val="center"/>
                    <w:rPr>
                      <w:color w:val="auto"/>
                      <w:szCs w:val="21"/>
                    </w:rPr>
                  </w:pPr>
                  <w:r>
                    <w:rPr>
                      <w:rFonts w:hint="eastAsia"/>
                      <w:color w:val="auto"/>
                      <w:szCs w:val="21"/>
                    </w:rPr>
                    <w:t>符合</w:t>
                  </w:r>
                </w:p>
              </w:tc>
            </w:tr>
            <w:tr w14:paraId="5C85AF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restart"/>
                  <w:vAlign w:val="center"/>
                </w:tcPr>
                <w:p w14:paraId="15593522">
                  <w:pPr>
                    <w:autoSpaceDE w:val="0"/>
                    <w:autoSpaceDN w:val="0"/>
                    <w:adjustRightInd w:val="0"/>
                    <w:snapToGrid w:val="0"/>
                    <w:jc w:val="center"/>
                    <w:rPr>
                      <w:color w:val="auto"/>
                      <w:szCs w:val="21"/>
                    </w:rPr>
                  </w:pPr>
                  <w:r>
                    <w:rPr>
                      <w:rFonts w:hint="eastAsia"/>
                      <w:color w:val="auto"/>
                      <w:szCs w:val="21"/>
                    </w:rPr>
                    <w:t>《陕西省大气污染治理专项行动方案（2023-2027年）》（陕发〔2023〕4号）</w:t>
                  </w:r>
                </w:p>
              </w:tc>
              <w:tc>
                <w:tcPr>
                  <w:tcW w:w="3289" w:type="dxa"/>
                  <w:vAlign w:val="center"/>
                </w:tcPr>
                <w:p w14:paraId="0DFC3C95">
                  <w:pPr>
                    <w:autoSpaceDE w:val="0"/>
                    <w:autoSpaceDN w:val="0"/>
                    <w:adjustRightInd w:val="0"/>
                    <w:snapToGrid w:val="0"/>
                    <w:ind w:firstLine="420" w:firstLineChars="200"/>
                    <w:rPr>
                      <w:color w:val="auto"/>
                      <w:szCs w:val="21"/>
                    </w:rPr>
                  </w:pPr>
                  <w:r>
                    <w:rPr>
                      <w:rFonts w:hint="eastAsia"/>
                      <w:color w:val="auto"/>
                      <w:szCs w:val="21"/>
                    </w:rPr>
                    <w:t>3.产业发展结构调整。关中地区严禁新增钢铁、焦化、水泥熟料、平板玻璃、电解铝、氧化铝、煤化工产能，合理控制煤制油气产能规模，严控新增炼油产能。</w:t>
                  </w:r>
                </w:p>
              </w:tc>
              <w:tc>
                <w:tcPr>
                  <w:tcW w:w="2290" w:type="dxa"/>
                  <w:vAlign w:val="center"/>
                </w:tcPr>
                <w:p w14:paraId="1DAD88E7">
                  <w:pPr>
                    <w:autoSpaceDE w:val="0"/>
                    <w:autoSpaceDN w:val="0"/>
                    <w:adjustRightInd w:val="0"/>
                    <w:snapToGrid w:val="0"/>
                    <w:rPr>
                      <w:color w:val="auto"/>
                      <w:szCs w:val="21"/>
                    </w:rPr>
                  </w:pPr>
                  <w:r>
                    <w:rPr>
                      <w:rFonts w:hint="eastAsia"/>
                      <w:color w:val="auto"/>
                      <w:szCs w:val="21"/>
                    </w:rPr>
                    <w:t>本项目属于塑料包装箱及容器制造，不属于上述严禁新增产业范围。</w:t>
                  </w:r>
                </w:p>
              </w:tc>
              <w:tc>
                <w:tcPr>
                  <w:tcW w:w="433" w:type="dxa"/>
                  <w:vAlign w:val="center"/>
                </w:tcPr>
                <w:p w14:paraId="48A20B4B">
                  <w:pPr>
                    <w:autoSpaceDE w:val="0"/>
                    <w:autoSpaceDN w:val="0"/>
                    <w:adjustRightInd w:val="0"/>
                    <w:snapToGrid w:val="0"/>
                    <w:jc w:val="center"/>
                    <w:rPr>
                      <w:color w:val="auto"/>
                      <w:szCs w:val="21"/>
                    </w:rPr>
                  </w:pPr>
                  <w:r>
                    <w:rPr>
                      <w:rFonts w:hint="eastAsia"/>
                      <w:color w:val="auto"/>
                      <w:szCs w:val="21"/>
                    </w:rPr>
                    <w:t>符合</w:t>
                  </w:r>
                </w:p>
              </w:tc>
            </w:tr>
            <w:tr w14:paraId="2857B1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66EF9DDF">
                  <w:pPr>
                    <w:autoSpaceDE w:val="0"/>
                    <w:autoSpaceDN w:val="0"/>
                    <w:adjustRightInd w:val="0"/>
                    <w:snapToGrid w:val="0"/>
                    <w:jc w:val="center"/>
                    <w:rPr>
                      <w:color w:val="auto"/>
                      <w:szCs w:val="21"/>
                    </w:rPr>
                  </w:pPr>
                </w:p>
              </w:tc>
              <w:tc>
                <w:tcPr>
                  <w:tcW w:w="3289" w:type="dxa"/>
                  <w:vAlign w:val="center"/>
                </w:tcPr>
                <w:p w14:paraId="18BBB49D">
                  <w:pPr>
                    <w:autoSpaceDE w:val="0"/>
                    <w:autoSpaceDN w:val="0"/>
                    <w:adjustRightInd w:val="0"/>
                    <w:snapToGrid w:val="0"/>
                    <w:ind w:firstLine="420" w:firstLineChars="200"/>
                    <w:rPr>
                      <w:color w:val="auto"/>
                      <w:szCs w:val="21"/>
                    </w:rPr>
                  </w:pPr>
                  <w:r>
                    <w:rPr>
                      <w:rFonts w:hint="eastAsia"/>
                      <w:color w:val="auto"/>
                      <w:szCs w:val="21"/>
                    </w:rPr>
                    <w:t>关中地区市辖区及开发区范围内新、改、扩建涉气重点行业企业应达到环保绩效A级、绩效引领性水平，西安市、咸阳市、渭南市的其他区域应达到环保绩效B级及以上水平。</w:t>
                  </w:r>
                </w:p>
              </w:tc>
              <w:tc>
                <w:tcPr>
                  <w:tcW w:w="2290" w:type="dxa"/>
                  <w:vAlign w:val="center"/>
                </w:tcPr>
                <w:p w14:paraId="370EEF47">
                  <w:pPr>
                    <w:autoSpaceDE w:val="0"/>
                    <w:autoSpaceDN w:val="0"/>
                    <w:adjustRightInd w:val="0"/>
                    <w:snapToGrid w:val="0"/>
                    <w:rPr>
                      <w:color w:val="auto"/>
                      <w:szCs w:val="21"/>
                    </w:rPr>
                  </w:pPr>
                  <w:r>
                    <w:rPr>
                      <w:rFonts w:hint="eastAsia"/>
                      <w:color w:val="auto"/>
                      <w:szCs w:val="21"/>
                    </w:rPr>
                    <w:t>对照《重污染天气重点行业应急减排措施制定技术指南》，本项目不属于重点行业。</w:t>
                  </w:r>
                </w:p>
              </w:tc>
              <w:tc>
                <w:tcPr>
                  <w:tcW w:w="433" w:type="dxa"/>
                  <w:vAlign w:val="center"/>
                </w:tcPr>
                <w:p w14:paraId="5FD3D86B">
                  <w:pPr>
                    <w:autoSpaceDE w:val="0"/>
                    <w:autoSpaceDN w:val="0"/>
                    <w:adjustRightInd w:val="0"/>
                    <w:snapToGrid w:val="0"/>
                    <w:jc w:val="center"/>
                    <w:rPr>
                      <w:color w:val="auto"/>
                      <w:szCs w:val="21"/>
                    </w:rPr>
                  </w:pPr>
                  <w:r>
                    <w:rPr>
                      <w:rFonts w:hint="eastAsia"/>
                      <w:color w:val="auto"/>
                      <w:szCs w:val="21"/>
                    </w:rPr>
                    <w:t>符合</w:t>
                  </w:r>
                </w:p>
              </w:tc>
            </w:tr>
            <w:tr w14:paraId="257E4F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056E23B3">
                  <w:pPr>
                    <w:autoSpaceDE w:val="0"/>
                    <w:autoSpaceDN w:val="0"/>
                    <w:adjustRightInd w:val="0"/>
                    <w:snapToGrid w:val="0"/>
                    <w:jc w:val="center"/>
                    <w:rPr>
                      <w:color w:val="auto"/>
                      <w:szCs w:val="21"/>
                    </w:rPr>
                  </w:pPr>
                </w:p>
              </w:tc>
              <w:tc>
                <w:tcPr>
                  <w:tcW w:w="3289" w:type="dxa"/>
                  <w:vAlign w:val="center"/>
                </w:tcPr>
                <w:p w14:paraId="786E82BF">
                  <w:pPr>
                    <w:autoSpaceDE w:val="0"/>
                    <w:autoSpaceDN w:val="0"/>
                    <w:adjustRightInd w:val="0"/>
                    <w:snapToGrid w:val="0"/>
                    <w:ind w:firstLine="420" w:firstLineChars="200"/>
                    <w:rPr>
                      <w:color w:val="auto"/>
                      <w:szCs w:val="21"/>
                    </w:rPr>
                  </w:pPr>
                  <w:r>
                    <w:rPr>
                      <w:rFonts w:hint="eastAsia"/>
                      <w:color w:val="auto"/>
                      <w:szCs w:val="21"/>
                    </w:rPr>
                    <w:t>新建挥发性有机物治理设施不再采用单一低温等离子、光氧化、光催化等治理技术，非水溶性挥发性有机物废气不再采用单一喷淋吸收方式处理。</w:t>
                  </w:r>
                </w:p>
              </w:tc>
              <w:tc>
                <w:tcPr>
                  <w:tcW w:w="2290" w:type="dxa"/>
                  <w:vAlign w:val="center"/>
                </w:tcPr>
                <w:p w14:paraId="2B64A0C5">
                  <w:pPr>
                    <w:autoSpaceDE w:val="0"/>
                    <w:autoSpaceDN w:val="0"/>
                    <w:adjustRightInd w:val="0"/>
                    <w:snapToGrid w:val="0"/>
                    <w:rPr>
                      <w:color w:val="auto"/>
                      <w:szCs w:val="21"/>
                    </w:rPr>
                  </w:pPr>
                  <w:r>
                    <w:rPr>
                      <w:rFonts w:hint="eastAsia"/>
                      <w:color w:val="auto"/>
                      <w:szCs w:val="21"/>
                    </w:rPr>
                    <w:t>注塑工序产生的有机废气采用“集气罩</w:t>
                  </w:r>
                  <w:r>
                    <w:rPr>
                      <w:rFonts w:hint="eastAsia"/>
                      <w:bCs/>
                      <w:color w:val="auto"/>
                      <w:szCs w:val="21"/>
                    </w:rPr>
                    <w:t>+软帘</w:t>
                  </w:r>
                  <w:r>
                    <w:rPr>
                      <w:rFonts w:hint="eastAsia"/>
                      <w:color w:val="auto"/>
                      <w:szCs w:val="21"/>
                    </w:rPr>
                    <w:t>+</w:t>
                  </w:r>
                  <w:r>
                    <w:rPr>
                      <w:rFonts w:hint="eastAsia"/>
                      <w:color w:val="auto"/>
                      <w:szCs w:val="21"/>
                      <w:lang w:val="en-US" w:eastAsia="zh-CN"/>
                    </w:rPr>
                    <w:t>三</w:t>
                  </w:r>
                  <w:r>
                    <w:rPr>
                      <w:rFonts w:hint="eastAsia"/>
                      <w:color w:val="auto"/>
                      <w:szCs w:val="21"/>
                    </w:rPr>
                    <w:t>级活性炭吸附+15m排气筒”处理达标排放。</w:t>
                  </w:r>
                </w:p>
              </w:tc>
              <w:tc>
                <w:tcPr>
                  <w:tcW w:w="433" w:type="dxa"/>
                  <w:vAlign w:val="center"/>
                </w:tcPr>
                <w:p w14:paraId="40516929">
                  <w:pPr>
                    <w:autoSpaceDE w:val="0"/>
                    <w:autoSpaceDN w:val="0"/>
                    <w:adjustRightInd w:val="0"/>
                    <w:snapToGrid w:val="0"/>
                    <w:jc w:val="center"/>
                    <w:rPr>
                      <w:color w:val="auto"/>
                      <w:szCs w:val="21"/>
                    </w:rPr>
                  </w:pPr>
                  <w:r>
                    <w:rPr>
                      <w:rFonts w:hint="eastAsia"/>
                      <w:color w:val="auto"/>
                      <w:szCs w:val="21"/>
                    </w:rPr>
                    <w:t>符合</w:t>
                  </w:r>
                </w:p>
              </w:tc>
            </w:tr>
            <w:tr w14:paraId="076B19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restart"/>
                  <w:vAlign w:val="center"/>
                </w:tcPr>
                <w:p w14:paraId="6758B8B8">
                  <w:pPr>
                    <w:autoSpaceDE w:val="0"/>
                    <w:autoSpaceDN w:val="0"/>
                    <w:adjustRightInd w:val="0"/>
                    <w:snapToGrid w:val="0"/>
                    <w:jc w:val="center"/>
                    <w:rPr>
                      <w:color w:val="auto"/>
                      <w:szCs w:val="21"/>
                    </w:rPr>
                  </w:pPr>
                  <w:r>
                    <w:rPr>
                      <w:rFonts w:hint="eastAsia"/>
                      <w:color w:val="auto"/>
                      <w:szCs w:val="21"/>
                    </w:rPr>
                    <w:t>《西安市大气污染治理专项行动方案（2023-2027年）》</w:t>
                  </w:r>
                </w:p>
              </w:tc>
              <w:tc>
                <w:tcPr>
                  <w:tcW w:w="3289" w:type="dxa"/>
                  <w:vAlign w:val="center"/>
                </w:tcPr>
                <w:p w14:paraId="00B90C1A">
                  <w:pPr>
                    <w:autoSpaceDE w:val="0"/>
                    <w:autoSpaceDN w:val="0"/>
                    <w:adjustRightInd w:val="0"/>
                    <w:snapToGrid w:val="0"/>
                    <w:ind w:firstLine="420" w:firstLineChars="200"/>
                    <w:rPr>
                      <w:color w:val="auto"/>
                      <w:szCs w:val="21"/>
                    </w:rPr>
                  </w:pPr>
                  <w:r>
                    <w:rPr>
                      <w:rFonts w:hint="eastAsia"/>
                      <w:color w:val="auto"/>
                      <w:szCs w:val="21"/>
                    </w:rPr>
                    <w:t>3．产业发展结构调整。</w:t>
                  </w:r>
                </w:p>
                <w:p w14:paraId="017F4B2F">
                  <w:pPr>
                    <w:autoSpaceDE w:val="0"/>
                    <w:autoSpaceDN w:val="0"/>
                    <w:adjustRightInd w:val="0"/>
                    <w:snapToGrid w:val="0"/>
                    <w:ind w:firstLine="420" w:firstLineChars="200"/>
                    <w:rPr>
                      <w:color w:val="auto"/>
                      <w:szCs w:val="21"/>
                    </w:rPr>
                  </w:pPr>
                  <w:r>
                    <w:rPr>
                      <w:rFonts w:hint="eastAsia"/>
                      <w:color w:val="auto"/>
                      <w:szCs w:val="21"/>
                    </w:rPr>
                    <w:t>强化源头管控。严格落实国家和我省产业规划、产业政策、“三线一单”、规划环评等要求，深入开展我市区域空间生态环境评价工作，积极推行区域、规划环境影响评价，新改扩建化工、石化、建材、有色等项目的环境影响评价应满足区域和规划环评要求。</w:t>
                  </w:r>
                </w:p>
              </w:tc>
              <w:tc>
                <w:tcPr>
                  <w:tcW w:w="2290" w:type="dxa"/>
                  <w:vAlign w:val="center"/>
                </w:tcPr>
                <w:p w14:paraId="6AD0BD24">
                  <w:pPr>
                    <w:autoSpaceDE w:val="0"/>
                    <w:autoSpaceDN w:val="0"/>
                    <w:adjustRightInd w:val="0"/>
                    <w:snapToGrid w:val="0"/>
                    <w:rPr>
                      <w:color w:val="auto"/>
                      <w:szCs w:val="21"/>
                    </w:rPr>
                  </w:pPr>
                  <w:r>
                    <w:rPr>
                      <w:rFonts w:hint="eastAsia"/>
                      <w:color w:val="auto"/>
                      <w:szCs w:val="21"/>
                    </w:rPr>
                    <w:t>本项目符合国家、省市产业规划、产业政策、“三线一单”等相关要求；不属于新改扩建化工、石化、建材、有色等项目。</w:t>
                  </w:r>
                </w:p>
              </w:tc>
              <w:tc>
                <w:tcPr>
                  <w:tcW w:w="433" w:type="dxa"/>
                  <w:vAlign w:val="center"/>
                </w:tcPr>
                <w:p w14:paraId="5081CA0B">
                  <w:pPr>
                    <w:autoSpaceDE w:val="0"/>
                    <w:autoSpaceDN w:val="0"/>
                    <w:adjustRightInd w:val="0"/>
                    <w:snapToGrid w:val="0"/>
                    <w:jc w:val="center"/>
                    <w:rPr>
                      <w:color w:val="auto"/>
                      <w:szCs w:val="21"/>
                    </w:rPr>
                  </w:pPr>
                  <w:r>
                    <w:rPr>
                      <w:rFonts w:hint="eastAsia"/>
                      <w:color w:val="auto"/>
                      <w:szCs w:val="21"/>
                    </w:rPr>
                    <w:t>符合</w:t>
                  </w:r>
                </w:p>
              </w:tc>
            </w:tr>
            <w:tr w14:paraId="031ED6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2D6D85D1">
                  <w:pPr>
                    <w:autoSpaceDE w:val="0"/>
                    <w:autoSpaceDN w:val="0"/>
                    <w:adjustRightInd w:val="0"/>
                    <w:snapToGrid w:val="0"/>
                    <w:jc w:val="center"/>
                    <w:rPr>
                      <w:color w:val="auto"/>
                      <w:szCs w:val="21"/>
                    </w:rPr>
                  </w:pPr>
                </w:p>
              </w:tc>
              <w:tc>
                <w:tcPr>
                  <w:tcW w:w="3289" w:type="dxa"/>
                  <w:vAlign w:val="center"/>
                </w:tcPr>
                <w:p w14:paraId="2A65631C">
                  <w:pPr>
                    <w:autoSpaceDE w:val="0"/>
                    <w:autoSpaceDN w:val="0"/>
                    <w:adjustRightInd w:val="0"/>
                    <w:snapToGrid w:val="0"/>
                    <w:ind w:firstLine="420" w:firstLineChars="200"/>
                    <w:rPr>
                      <w:color w:val="auto"/>
                      <w:szCs w:val="21"/>
                    </w:rPr>
                  </w:pPr>
                  <w:r>
                    <w:rPr>
                      <w:rFonts w:hint="eastAsia"/>
                      <w:color w:val="auto"/>
                      <w:szCs w:val="21"/>
                    </w:rPr>
                    <w:t>强化涉活性炭VOCs处理工艺治理。深入开展简易低效挥发性有机物治理设施清理整治，组织开展涉活性炭挥发性有机物处理工艺专项整治行动，推广先进VOCs治理工艺，全面提升VOCs治理水平。</w:t>
                  </w:r>
                </w:p>
              </w:tc>
              <w:tc>
                <w:tcPr>
                  <w:tcW w:w="2290" w:type="dxa"/>
                  <w:vAlign w:val="center"/>
                </w:tcPr>
                <w:p w14:paraId="18594A77">
                  <w:pPr>
                    <w:autoSpaceDE w:val="0"/>
                    <w:autoSpaceDN w:val="0"/>
                    <w:adjustRightInd w:val="0"/>
                    <w:snapToGrid w:val="0"/>
                    <w:rPr>
                      <w:color w:val="auto"/>
                      <w:szCs w:val="21"/>
                    </w:rPr>
                  </w:pPr>
                  <w:r>
                    <w:rPr>
                      <w:rFonts w:hint="eastAsia"/>
                      <w:color w:val="auto"/>
                      <w:szCs w:val="21"/>
                    </w:rPr>
                    <w:t>注塑工序产生的有机废气采用“集气罩</w:t>
                  </w:r>
                  <w:r>
                    <w:rPr>
                      <w:rFonts w:hint="eastAsia"/>
                      <w:bCs/>
                      <w:color w:val="auto"/>
                      <w:szCs w:val="21"/>
                    </w:rPr>
                    <w:t>+软帘</w:t>
                  </w:r>
                  <w:r>
                    <w:rPr>
                      <w:rFonts w:hint="eastAsia"/>
                      <w:color w:val="auto"/>
                      <w:szCs w:val="21"/>
                    </w:rPr>
                    <w:t>+</w:t>
                  </w:r>
                  <w:r>
                    <w:rPr>
                      <w:rFonts w:hint="eastAsia"/>
                      <w:color w:val="auto"/>
                      <w:szCs w:val="21"/>
                      <w:lang w:val="en-US" w:eastAsia="zh-CN"/>
                    </w:rPr>
                    <w:t>三</w:t>
                  </w:r>
                  <w:r>
                    <w:rPr>
                      <w:rFonts w:hint="eastAsia"/>
                      <w:color w:val="auto"/>
                      <w:szCs w:val="21"/>
                    </w:rPr>
                    <w:t>级活性炭吸附+15m排气筒”处理达标排放。</w:t>
                  </w:r>
                </w:p>
              </w:tc>
              <w:tc>
                <w:tcPr>
                  <w:tcW w:w="433" w:type="dxa"/>
                  <w:vAlign w:val="center"/>
                </w:tcPr>
                <w:p w14:paraId="66C049D3">
                  <w:pPr>
                    <w:autoSpaceDE w:val="0"/>
                    <w:autoSpaceDN w:val="0"/>
                    <w:adjustRightInd w:val="0"/>
                    <w:snapToGrid w:val="0"/>
                    <w:jc w:val="center"/>
                    <w:rPr>
                      <w:color w:val="auto"/>
                      <w:szCs w:val="21"/>
                    </w:rPr>
                  </w:pPr>
                  <w:r>
                    <w:rPr>
                      <w:rFonts w:hint="eastAsia"/>
                      <w:color w:val="auto"/>
                      <w:szCs w:val="21"/>
                    </w:rPr>
                    <w:t>符合</w:t>
                  </w:r>
                </w:p>
              </w:tc>
            </w:tr>
            <w:tr w14:paraId="000135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restart"/>
                  <w:vAlign w:val="center"/>
                </w:tcPr>
                <w:p w14:paraId="4724C9F0">
                  <w:pPr>
                    <w:autoSpaceDE w:val="0"/>
                    <w:autoSpaceDN w:val="0"/>
                    <w:adjustRightInd w:val="0"/>
                    <w:snapToGrid w:val="0"/>
                    <w:jc w:val="center"/>
                    <w:rPr>
                      <w:color w:val="auto"/>
                      <w:szCs w:val="21"/>
                    </w:rPr>
                  </w:pPr>
                  <w:r>
                    <w:rPr>
                      <w:rFonts w:hint="eastAsia"/>
                      <w:color w:val="auto"/>
                      <w:szCs w:val="21"/>
                    </w:rPr>
                    <w:t>《西咸新区大气污染治理专项行动方案（2023-2027年）》（陕西咸党发〔2023〕4号）</w:t>
                  </w:r>
                </w:p>
              </w:tc>
              <w:tc>
                <w:tcPr>
                  <w:tcW w:w="3289" w:type="dxa"/>
                  <w:vAlign w:val="center"/>
                </w:tcPr>
                <w:p w14:paraId="466A0D24">
                  <w:pPr>
                    <w:autoSpaceDE w:val="0"/>
                    <w:autoSpaceDN w:val="0"/>
                    <w:adjustRightInd w:val="0"/>
                    <w:snapToGrid w:val="0"/>
                    <w:ind w:firstLine="420" w:firstLineChars="200"/>
                    <w:rPr>
                      <w:color w:val="auto"/>
                      <w:szCs w:val="21"/>
                    </w:rPr>
                  </w:pPr>
                  <w:r>
                    <w:rPr>
                      <w:rFonts w:hint="eastAsia"/>
                      <w:color w:val="auto"/>
                      <w:szCs w:val="21"/>
                    </w:rPr>
                    <w:t>3.产业发展结构调整</w:t>
                  </w:r>
                </w:p>
                <w:p w14:paraId="405B4D88">
                  <w:pPr>
                    <w:autoSpaceDE w:val="0"/>
                    <w:autoSpaceDN w:val="0"/>
                    <w:adjustRightInd w:val="0"/>
                    <w:snapToGrid w:val="0"/>
                    <w:ind w:firstLine="420" w:firstLineChars="200"/>
                    <w:rPr>
                      <w:color w:val="auto"/>
                      <w:szCs w:val="21"/>
                    </w:rPr>
                  </w:pPr>
                  <w:r>
                    <w:rPr>
                      <w:rFonts w:hint="eastAsia"/>
                      <w:color w:val="auto"/>
                      <w:szCs w:val="21"/>
                    </w:rPr>
                    <w:t>（1）强化源头管控。严格落实国家、省、市及新区产业规划、产业政策、“三线一单”、规划环评等要求，深入开展区域空间生态环境评价工作，积极推行区域、规划环境影响评价，新、改、扩建化工、石化、建材、有色等项目的环境影响评价应满足区域、规划环评要求。</w:t>
                  </w:r>
                </w:p>
              </w:tc>
              <w:tc>
                <w:tcPr>
                  <w:tcW w:w="2290" w:type="dxa"/>
                  <w:vAlign w:val="center"/>
                </w:tcPr>
                <w:p w14:paraId="002A24A1">
                  <w:pPr>
                    <w:autoSpaceDE w:val="0"/>
                    <w:autoSpaceDN w:val="0"/>
                    <w:adjustRightInd w:val="0"/>
                    <w:snapToGrid w:val="0"/>
                    <w:rPr>
                      <w:color w:val="auto"/>
                      <w:szCs w:val="21"/>
                    </w:rPr>
                  </w:pPr>
                  <w:r>
                    <w:rPr>
                      <w:rFonts w:hint="eastAsia"/>
                      <w:color w:val="auto"/>
                      <w:szCs w:val="21"/>
                    </w:rPr>
                    <w:t>本项目符合国家、省、市及新区产业规划、产业政策、“三线一单”等相关要求；不属于新改扩建化工、石化、建材、有色等项目。</w:t>
                  </w:r>
                </w:p>
              </w:tc>
              <w:tc>
                <w:tcPr>
                  <w:tcW w:w="433" w:type="dxa"/>
                  <w:vAlign w:val="center"/>
                </w:tcPr>
                <w:p w14:paraId="307066E1">
                  <w:pPr>
                    <w:autoSpaceDE w:val="0"/>
                    <w:autoSpaceDN w:val="0"/>
                    <w:adjustRightInd w:val="0"/>
                    <w:snapToGrid w:val="0"/>
                    <w:jc w:val="center"/>
                    <w:rPr>
                      <w:color w:val="auto"/>
                      <w:szCs w:val="21"/>
                    </w:rPr>
                  </w:pPr>
                  <w:r>
                    <w:rPr>
                      <w:rFonts w:hint="eastAsia"/>
                      <w:color w:val="auto"/>
                      <w:szCs w:val="21"/>
                    </w:rPr>
                    <w:t>符合</w:t>
                  </w:r>
                </w:p>
              </w:tc>
            </w:tr>
            <w:tr w14:paraId="1184A5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199231C4">
                  <w:pPr>
                    <w:autoSpaceDE w:val="0"/>
                    <w:autoSpaceDN w:val="0"/>
                    <w:adjustRightInd w:val="0"/>
                    <w:snapToGrid w:val="0"/>
                    <w:jc w:val="center"/>
                    <w:rPr>
                      <w:color w:val="auto"/>
                      <w:szCs w:val="21"/>
                    </w:rPr>
                  </w:pPr>
                </w:p>
              </w:tc>
              <w:tc>
                <w:tcPr>
                  <w:tcW w:w="3289" w:type="dxa"/>
                  <w:vAlign w:val="center"/>
                </w:tcPr>
                <w:p w14:paraId="03E59B0F">
                  <w:pPr>
                    <w:autoSpaceDE w:val="0"/>
                    <w:autoSpaceDN w:val="0"/>
                    <w:adjustRightInd w:val="0"/>
                    <w:snapToGrid w:val="0"/>
                    <w:ind w:firstLine="420" w:firstLineChars="200"/>
                    <w:rPr>
                      <w:color w:val="auto"/>
                      <w:szCs w:val="21"/>
                    </w:rPr>
                  </w:pPr>
                  <w:r>
                    <w:rPr>
                      <w:color w:val="auto"/>
                      <w:szCs w:val="21"/>
                    </w:rPr>
                    <w:t>强化末端处理工艺治理。动态更新挥发性有机物治理设施台账，开展简易低效挥发性有机物治理设施清理整治、涉活性炭挥发性有机物处理工艺专项整治行动，强化挥发性有机物无组织排放整治，确保达到相关标准要求。新建项目不再采用低温等离子、光氧化、光催化等处理方式，非水溶性废气不再采用喷淋吸收方式处理。</w:t>
                  </w:r>
                </w:p>
              </w:tc>
              <w:tc>
                <w:tcPr>
                  <w:tcW w:w="2290" w:type="dxa"/>
                  <w:vAlign w:val="center"/>
                </w:tcPr>
                <w:p w14:paraId="0C30BE5E">
                  <w:pPr>
                    <w:autoSpaceDE w:val="0"/>
                    <w:autoSpaceDN w:val="0"/>
                    <w:adjustRightInd w:val="0"/>
                    <w:snapToGrid w:val="0"/>
                    <w:rPr>
                      <w:color w:val="auto"/>
                      <w:szCs w:val="21"/>
                    </w:rPr>
                  </w:pPr>
                  <w:r>
                    <w:rPr>
                      <w:rFonts w:hint="eastAsia"/>
                      <w:color w:val="auto"/>
                      <w:szCs w:val="21"/>
                    </w:rPr>
                    <w:t>注塑工序产生的有机废气采用“集气罩</w:t>
                  </w:r>
                  <w:r>
                    <w:rPr>
                      <w:rFonts w:hint="eastAsia"/>
                      <w:bCs/>
                      <w:color w:val="auto"/>
                      <w:szCs w:val="21"/>
                    </w:rPr>
                    <w:t>+软帘</w:t>
                  </w:r>
                  <w:r>
                    <w:rPr>
                      <w:rFonts w:hint="eastAsia"/>
                      <w:color w:val="auto"/>
                      <w:szCs w:val="21"/>
                    </w:rPr>
                    <w:t>+</w:t>
                  </w:r>
                  <w:r>
                    <w:rPr>
                      <w:rFonts w:hint="eastAsia"/>
                      <w:color w:val="auto"/>
                      <w:szCs w:val="21"/>
                      <w:lang w:val="en-US" w:eastAsia="zh-CN"/>
                    </w:rPr>
                    <w:t>三</w:t>
                  </w:r>
                  <w:r>
                    <w:rPr>
                      <w:rFonts w:hint="eastAsia"/>
                      <w:color w:val="auto"/>
                      <w:szCs w:val="21"/>
                    </w:rPr>
                    <w:t>级活性炭吸附+15m排气筒”处理达标排放。</w:t>
                  </w:r>
                </w:p>
              </w:tc>
              <w:tc>
                <w:tcPr>
                  <w:tcW w:w="433" w:type="dxa"/>
                  <w:vAlign w:val="center"/>
                </w:tcPr>
                <w:p w14:paraId="6086DDE6">
                  <w:pPr>
                    <w:autoSpaceDE w:val="0"/>
                    <w:autoSpaceDN w:val="0"/>
                    <w:adjustRightInd w:val="0"/>
                    <w:snapToGrid w:val="0"/>
                    <w:jc w:val="center"/>
                    <w:rPr>
                      <w:color w:val="auto"/>
                      <w:szCs w:val="21"/>
                    </w:rPr>
                  </w:pPr>
                  <w:r>
                    <w:rPr>
                      <w:rFonts w:hint="eastAsia"/>
                      <w:color w:val="auto"/>
                      <w:szCs w:val="21"/>
                    </w:rPr>
                    <w:t>符合</w:t>
                  </w:r>
                </w:p>
              </w:tc>
            </w:tr>
            <w:tr w14:paraId="698B02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Align w:val="center"/>
                </w:tcPr>
                <w:p w14:paraId="165922F3">
                  <w:pPr>
                    <w:autoSpaceDE w:val="0"/>
                    <w:autoSpaceDN w:val="0"/>
                    <w:adjustRightInd w:val="0"/>
                    <w:snapToGrid w:val="0"/>
                    <w:jc w:val="center"/>
                    <w:rPr>
                      <w:color w:val="auto"/>
                      <w:szCs w:val="21"/>
                    </w:rPr>
                  </w:pPr>
                  <w:r>
                    <w:rPr>
                      <w:rFonts w:hint="eastAsia"/>
                      <w:color w:val="auto"/>
                      <w:szCs w:val="21"/>
                    </w:rPr>
                    <w:t>关于印发《</w:t>
                  </w:r>
                  <w:r>
                    <w:rPr>
                      <w:color w:val="auto"/>
                      <w:szCs w:val="21"/>
                    </w:rPr>
                    <w:t>沣东新城大气污染治理专项行动方案</w:t>
                  </w:r>
                  <w:r>
                    <w:rPr>
                      <w:rFonts w:hint="eastAsia"/>
                      <w:color w:val="auto"/>
                      <w:szCs w:val="21"/>
                    </w:rPr>
                    <w:t>（2023-2027年）的通知》（西咸沣东党发〔2023〕29号）</w:t>
                  </w:r>
                </w:p>
              </w:tc>
              <w:tc>
                <w:tcPr>
                  <w:tcW w:w="3289" w:type="dxa"/>
                  <w:vAlign w:val="center"/>
                </w:tcPr>
                <w:p w14:paraId="7B6905EC">
                  <w:pPr>
                    <w:autoSpaceDE w:val="0"/>
                    <w:autoSpaceDN w:val="0"/>
                    <w:adjustRightInd w:val="0"/>
                    <w:snapToGrid w:val="0"/>
                    <w:ind w:firstLine="420" w:firstLineChars="200"/>
                    <w:rPr>
                      <w:color w:val="auto"/>
                      <w:szCs w:val="21"/>
                    </w:rPr>
                  </w:pPr>
                  <w:r>
                    <w:rPr>
                      <w:rFonts w:hint="eastAsia"/>
                      <w:color w:val="auto"/>
                      <w:szCs w:val="21"/>
                    </w:rPr>
                    <w:t>3.产业发展结构调整</w:t>
                  </w:r>
                </w:p>
                <w:p w14:paraId="4ED89F27">
                  <w:pPr>
                    <w:autoSpaceDE w:val="0"/>
                    <w:autoSpaceDN w:val="0"/>
                    <w:adjustRightInd w:val="0"/>
                    <w:snapToGrid w:val="0"/>
                    <w:ind w:firstLine="420" w:firstLineChars="200"/>
                    <w:rPr>
                      <w:color w:val="auto"/>
                      <w:szCs w:val="21"/>
                    </w:rPr>
                  </w:pPr>
                  <w:r>
                    <w:rPr>
                      <w:rFonts w:hint="eastAsia"/>
                      <w:color w:val="auto"/>
                      <w:szCs w:val="21"/>
                    </w:rPr>
                    <w:t>（1）强化源头管控。严格落实国家、省、市、新区及新城产业规划、产业政策、“三线一单”、规划环评等要求，配合新区开展区域空间生态环境评价工作，积极推行区域、规划环境影响评价，新、改、扩建化工、石化、建材、有色等项目的环境影响评价应满足区域、规划环评要求。</w:t>
                  </w:r>
                </w:p>
              </w:tc>
              <w:tc>
                <w:tcPr>
                  <w:tcW w:w="2290" w:type="dxa"/>
                  <w:vAlign w:val="center"/>
                </w:tcPr>
                <w:p w14:paraId="36239277">
                  <w:pPr>
                    <w:autoSpaceDE w:val="0"/>
                    <w:autoSpaceDN w:val="0"/>
                    <w:adjustRightInd w:val="0"/>
                    <w:snapToGrid w:val="0"/>
                    <w:rPr>
                      <w:color w:val="auto"/>
                      <w:kern w:val="21"/>
                      <w:szCs w:val="21"/>
                    </w:rPr>
                  </w:pPr>
                  <w:r>
                    <w:rPr>
                      <w:rFonts w:hint="eastAsia"/>
                      <w:color w:val="auto"/>
                      <w:szCs w:val="21"/>
                    </w:rPr>
                    <w:t>本项目为扩建项目，属于塑料包装箱及容器制造，符合国家、省、市及新区产业规划、产业政策、“三线一单”等相关要求；不属于新改扩建化工、石化、建材、有色等项目。</w:t>
                  </w:r>
                </w:p>
              </w:tc>
              <w:tc>
                <w:tcPr>
                  <w:tcW w:w="433" w:type="dxa"/>
                  <w:vAlign w:val="center"/>
                </w:tcPr>
                <w:p w14:paraId="76934439">
                  <w:pPr>
                    <w:autoSpaceDE w:val="0"/>
                    <w:autoSpaceDN w:val="0"/>
                    <w:adjustRightInd w:val="0"/>
                    <w:snapToGrid w:val="0"/>
                    <w:jc w:val="center"/>
                    <w:rPr>
                      <w:color w:val="auto"/>
                      <w:szCs w:val="21"/>
                    </w:rPr>
                  </w:pPr>
                  <w:r>
                    <w:rPr>
                      <w:rFonts w:hint="eastAsia"/>
                      <w:color w:val="auto"/>
                      <w:szCs w:val="21"/>
                    </w:rPr>
                    <w:t>符合</w:t>
                  </w:r>
                </w:p>
              </w:tc>
            </w:tr>
            <w:tr w14:paraId="011C67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Align w:val="center"/>
                </w:tcPr>
                <w:p w14:paraId="6436B31D">
                  <w:pPr>
                    <w:autoSpaceDE w:val="0"/>
                    <w:autoSpaceDN w:val="0"/>
                    <w:adjustRightInd w:val="0"/>
                    <w:snapToGrid w:val="0"/>
                    <w:jc w:val="center"/>
                    <w:rPr>
                      <w:color w:val="auto"/>
                      <w:szCs w:val="21"/>
                    </w:rPr>
                  </w:pPr>
                  <w:r>
                    <w:rPr>
                      <w:rFonts w:hint="eastAsia"/>
                      <w:color w:val="auto"/>
                      <w:szCs w:val="21"/>
                    </w:rPr>
                    <w:t>《沣东新城大气污染治理专项行动2024年工作方案》</w:t>
                  </w:r>
                </w:p>
              </w:tc>
              <w:tc>
                <w:tcPr>
                  <w:tcW w:w="3289" w:type="dxa"/>
                  <w:vAlign w:val="center"/>
                </w:tcPr>
                <w:p w14:paraId="1118BED5">
                  <w:pPr>
                    <w:autoSpaceDE w:val="0"/>
                    <w:autoSpaceDN w:val="0"/>
                    <w:adjustRightInd w:val="0"/>
                    <w:snapToGrid w:val="0"/>
                    <w:ind w:firstLine="420" w:firstLineChars="200"/>
                    <w:rPr>
                      <w:color w:val="auto"/>
                      <w:szCs w:val="21"/>
                    </w:rPr>
                  </w:pPr>
                  <w:r>
                    <w:rPr>
                      <w:rFonts w:hint="eastAsia"/>
                      <w:color w:val="auto"/>
                      <w:szCs w:val="21"/>
                    </w:rPr>
                    <w:t>3.产业发展结构调整</w:t>
                  </w:r>
                </w:p>
                <w:p w14:paraId="38E312F1">
                  <w:pPr>
                    <w:autoSpaceDE w:val="0"/>
                    <w:autoSpaceDN w:val="0"/>
                    <w:adjustRightInd w:val="0"/>
                    <w:snapToGrid w:val="0"/>
                    <w:ind w:firstLine="420" w:firstLineChars="200"/>
                    <w:rPr>
                      <w:color w:val="auto"/>
                      <w:szCs w:val="21"/>
                    </w:rPr>
                  </w:pPr>
                  <w:r>
                    <w:rPr>
                      <w:rFonts w:hint="eastAsia"/>
                      <w:color w:val="auto"/>
                      <w:szCs w:val="21"/>
                    </w:rPr>
                    <w:t>（1）强化源头管控。严格落实国家、省、市、新区及新城产业规划、产业政策、“三线一单”、规划环评等要求，配合新区开展区域空间生态环境评价工作，积极推行区域、规划环境影响评价，新、改、扩建化工、石化、建材、有色等项目的环境影响评价应满足区域、规划环评要求。</w:t>
                  </w:r>
                </w:p>
              </w:tc>
              <w:tc>
                <w:tcPr>
                  <w:tcW w:w="2290" w:type="dxa"/>
                  <w:vAlign w:val="center"/>
                </w:tcPr>
                <w:p w14:paraId="671998BB">
                  <w:pPr>
                    <w:autoSpaceDE w:val="0"/>
                    <w:autoSpaceDN w:val="0"/>
                    <w:adjustRightInd w:val="0"/>
                    <w:snapToGrid w:val="0"/>
                    <w:rPr>
                      <w:color w:val="auto"/>
                      <w:szCs w:val="21"/>
                    </w:rPr>
                  </w:pPr>
                  <w:r>
                    <w:rPr>
                      <w:rFonts w:hint="eastAsia"/>
                      <w:color w:val="auto"/>
                      <w:szCs w:val="21"/>
                    </w:rPr>
                    <w:t>本项目为扩建项目，属于塑料包装箱及容器制造，符合国家、省、市及新区产业规划、产业政策、“三线一单”等相关要求；不属于新改扩建化工、石化、建材、有色等项目。</w:t>
                  </w:r>
                </w:p>
              </w:tc>
              <w:tc>
                <w:tcPr>
                  <w:tcW w:w="433" w:type="dxa"/>
                  <w:vAlign w:val="center"/>
                </w:tcPr>
                <w:p w14:paraId="0FEC9466">
                  <w:pPr>
                    <w:autoSpaceDE w:val="0"/>
                    <w:autoSpaceDN w:val="0"/>
                    <w:adjustRightInd w:val="0"/>
                    <w:snapToGrid w:val="0"/>
                    <w:jc w:val="center"/>
                    <w:rPr>
                      <w:color w:val="auto"/>
                      <w:szCs w:val="21"/>
                    </w:rPr>
                  </w:pPr>
                  <w:r>
                    <w:rPr>
                      <w:rFonts w:hint="eastAsia"/>
                      <w:color w:val="auto"/>
                      <w:szCs w:val="21"/>
                    </w:rPr>
                    <w:t>符合</w:t>
                  </w:r>
                </w:p>
              </w:tc>
            </w:tr>
            <w:tr w14:paraId="344C55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restart"/>
                  <w:vAlign w:val="center"/>
                </w:tcPr>
                <w:p w14:paraId="738A2C62">
                  <w:pPr>
                    <w:autoSpaceDE w:val="0"/>
                    <w:autoSpaceDN w:val="0"/>
                    <w:adjustRightInd w:val="0"/>
                    <w:snapToGrid w:val="0"/>
                    <w:jc w:val="center"/>
                    <w:rPr>
                      <w:color w:val="auto"/>
                      <w:szCs w:val="21"/>
                    </w:rPr>
                  </w:pPr>
                  <w:r>
                    <w:rPr>
                      <w:color w:val="auto"/>
                      <w:szCs w:val="21"/>
                    </w:rPr>
                    <w:t>《挥发性有机物无组织排放控制标准（GB 37822</w:t>
                  </w:r>
                  <w:r>
                    <w:rPr>
                      <w:rFonts w:hint="eastAsia"/>
                      <w:color w:val="auto"/>
                      <w:szCs w:val="21"/>
                    </w:rPr>
                    <w:t>-</w:t>
                  </w:r>
                  <w:r>
                    <w:rPr>
                      <w:color w:val="auto"/>
                      <w:szCs w:val="21"/>
                    </w:rPr>
                    <w:t>2019）》</w:t>
                  </w:r>
                </w:p>
              </w:tc>
              <w:tc>
                <w:tcPr>
                  <w:tcW w:w="3289" w:type="dxa"/>
                </w:tcPr>
                <w:p w14:paraId="5A290B8D">
                  <w:pPr>
                    <w:autoSpaceDE w:val="0"/>
                    <w:autoSpaceDN w:val="0"/>
                    <w:adjustRightInd w:val="0"/>
                    <w:snapToGrid w:val="0"/>
                    <w:ind w:firstLine="420" w:firstLineChars="200"/>
                    <w:rPr>
                      <w:color w:val="auto"/>
                      <w:szCs w:val="21"/>
                    </w:rPr>
                  </w:pPr>
                  <w:r>
                    <w:rPr>
                      <w:rFonts w:hint="eastAsia"/>
                      <w:color w:val="auto"/>
                      <w:szCs w:val="21"/>
                    </w:rPr>
                    <w:t>排气筒高度不低于15m（因安全考虑或有特殊工艺要求的除外），具体高度以及与周围建筑物的相对高度关系应根据环境影响评价文件确定。</w:t>
                  </w:r>
                </w:p>
              </w:tc>
              <w:tc>
                <w:tcPr>
                  <w:tcW w:w="2290" w:type="dxa"/>
                  <w:vAlign w:val="center"/>
                </w:tcPr>
                <w:p w14:paraId="6F635D6C">
                  <w:pPr>
                    <w:autoSpaceDE w:val="0"/>
                    <w:autoSpaceDN w:val="0"/>
                    <w:adjustRightInd w:val="0"/>
                    <w:snapToGrid w:val="0"/>
                    <w:rPr>
                      <w:color w:val="auto"/>
                      <w:szCs w:val="21"/>
                    </w:rPr>
                  </w:pPr>
                  <w:r>
                    <w:rPr>
                      <w:rFonts w:hint="eastAsia"/>
                      <w:color w:val="auto"/>
                      <w:szCs w:val="21"/>
                    </w:rPr>
                    <w:t>注塑工序产生的有机废气采用“集气罩</w:t>
                  </w:r>
                  <w:r>
                    <w:rPr>
                      <w:rFonts w:hint="eastAsia"/>
                      <w:bCs/>
                      <w:color w:val="auto"/>
                      <w:szCs w:val="21"/>
                    </w:rPr>
                    <w:t>+软帘</w:t>
                  </w:r>
                  <w:r>
                    <w:rPr>
                      <w:rFonts w:hint="eastAsia"/>
                      <w:color w:val="auto"/>
                      <w:szCs w:val="21"/>
                    </w:rPr>
                    <w:t>+</w:t>
                  </w:r>
                  <w:r>
                    <w:rPr>
                      <w:rFonts w:hint="eastAsia"/>
                      <w:color w:val="auto"/>
                      <w:szCs w:val="21"/>
                      <w:lang w:val="en-US" w:eastAsia="zh-CN"/>
                    </w:rPr>
                    <w:t>三</w:t>
                  </w:r>
                  <w:r>
                    <w:rPr>
                      <w:rFonts w:hint="eastAsia"/>
                      <w:color w:val="auto"/>
                      <w:szCs w:val="21"/>
                    </w:rPr>
                    <w:t>级活性炭吸附+15m排气筒”处理达标排放。</w:t>
                  </w:r>
                </w:p>
              </w:tc>
              <w:tc>
                <w:tcPr>
                  <w:tcW w:w="433" w:type="dxa"/>
                  <w:vAlign w:val="center"/>
                </w:tcPr>
                <w:p w14:paraId="0BB72CC3">
                  <w:pPr>
                    <w:autoSpaceDE w:val="0"/>
                    <w:autoSpaceDN w:val="0"/>
                    <w:adjustRightInd w:val="0"/>
                    <w:snapToGrid w:val="0"/>
                    <w:jc w:val="center"/>
                    <w:rPr>
                      <w:color w:val="auto"/>
                      <w:szCs w:val="21"/>
                    </w:rPr>
                  </w:pPr>
                  <w:r>
                    <w:rPr>
                      <w:rFonts w:hint="eastAsia"/>
                      <w:color w:val="auto"/>
                      <w:szCs w:val="21"/>
                    </w:rPr>
                    <w:t>符合</w:t>
                  </w:r>
                </w:p>
              </w:tc>
            </w:tr>
            <w:tr w14:paraId="320A42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570CD56C">
                  <w:pPr>
                    <w:autoSpaceDE w:val="0"/>
                    <w:autoSpaceDN w:val="0"/>
                    <w:adjustRightInd w:val="0"/>
                    <w:snapToGrid w:val="0"/>
                    <w:jc w:val="center"/>
                    <w:rPr>
                      <w:color w:val="auto"/>
                      <w:szCs w:val="21"/>
                    </w:rPr>
                  </w:pPr>
                </w:p>
              </w:tc>
              <w:tc>
                <w:tcPr>
                  <w:tcW w:w="3289" w:type="dxa"/>
                </w:tcPr>
                <w:p w14:paraId="01B5B277">
                  <w:pPr>
                    <w:autoSpaceDE w:val="0"/>
                    <w:autoSpaceDN w:val="0"/>
                    <w:adjustRightInd w:val="0"/>
                    <w:snapToGrid w:val="0"/>
                    <w:ind w:firstLine="420" w:firstLineChars="200"/>
                    <w:rPr>
                      <w:color w:val="auto"/>
                      <w:szCs w:val="21"/>
                    </w:rPr>
                  </w:pPr>
                  <w:r>
                    <w:rPr>
                      <w:rFonts w:hint="eastAsia"/>
                      <w:color w:val="auto"/>
                      <w:szCs w:val="21"/>
                    </w:rPr>
                    <w:t>盛装VOCs物料的容器或包装袋应存放于室内，或存放于设置有雨棚、遮阳和防渗设施的专用场地。盛装VOCs物料的容器或包装袋在非取用状态时应加盖、封口，保持密闭。</w:t>
                  </w:r>
                </w:p>
              </w:tc>
              <w:tc>
                <w:tcPr>
                  <w:tcW w:w="2290" w:type="dxa"/>
                  <w:vAlign w:val="center"/>
                </w:tcPr>
                <w:p w14:paraId="37101600">
                  <w:pPr>
                    <w:autoSpaceDE w:val="0"/>
                    <w:autoSpaceDN w:val="0"/>
                    <w:adjustRightInd w:val="0"/>
                    <w:snapToGrid w:val="0"/>
                    <w:rPr>
                      <w:color w:val="auto"/>
                      <w:szCs w:val="21"/>
                    </w:rPr>
                  </w:pPr>
                  <w:r>
                    <w:rPr>
                      <w:color w:val="auto"/>
                      <w:szCs w:val="21"/>
                    </w:rPr>
                    <w:t>本项目原料为聚</w:t>
                  </w:r>
                  <w:r>
                    <w:rPr>
                      <w:rFonts w:hint="eastAsia"/>
                      <w:color w:val="auto"/>
                      <w:szCs w:val="21"/>
                    </w:rPr>
                    <w:t>乙</w:t>
                  </w:r>
                  <w:r>
                    <w:rPr>
                      <w:color w:val="auto"/>
                      <w:szCs w:val="21"/>
                    </w:rPr>
                    <w:t>烯树脂</w:t>
                  </w:r>
                  <w:r>
                    <w:rPr>
                      <w:rFonts w:hint="eastAsia"/>
                      <w:color w:val="auto"/>
                      <w:szCs w:val="21"/>
                    </w:rPr>
                    <w:t>和聚丙烯树脂</w:t>
                  </w:r>
                  <w:r>
                    <w:rPr>
                      <w:color w:val="auto"/>
                      <w:szCs w:val="21"/>
                    </w:rPr>
                    <w:t>，</w:t>
                  </w:r>
                  <w:r>
                    <w:rPr>
                      <w:rFonts w:hint="eastAsia"/>
                      <w:color w:val="auto"/>
                      <w:szCs w:val="21"/>
                    </w:rPr>
                    <w:t>采用袋装，非取用状态时封口密闭保存</w:t>
                  </w:r>
                </w:p>
              </w:tc>
              <w:tc>
                <w:tcPr>
                  <w:tcW w:w="433" w:type="dxa"/>
                  <w:vAlign w:val="center"/>
                </w:tcPr>
                <w:p w14:paraId="05220247">
                  <w:pPr>
                    <w:autoSpaceDE w:val="0"/>
                    <w:autoSpaceDN w:val="0"/>
                    <w:adjustRightInd w:val="0"/>
                    <w:snapToGrid w:val="0"/>
                    <w:jc w:val="center"/>
                    <w:rPr>
                      <w:color w:val="auto"/>
                      <w:szCs w:val="21"/>
                    </w:rPr>
                  </w:pPr>
                  <w:r>
                    <w:rPr>
                      <w:rFonts w:hint="eastAsia"/>
                      <w:color w:val="auto"/>
                      <w:szCs w:val="21"/>
                    </w:rPr>
                    <w:t>符合</w:t>
                  </w:r>
                </w:p>
              </w:tc>
            </w:tr>
            <w:tr w14:paraId="54A4D1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restart"/>
                  <w:vAlign w:val="center"/>
                </w:tcPr>
                <w:p w14:paraId="529033E6">
                  <w:pPr>
                    <w:autoSpaceDE w:val="0"/>
                    <w:autoSpaceDN w:val="0"/>
                    <w:adjustRightInd w:val="0"/>
                    <w:snapToGrid w:val="0"/>
                    <w:jc w:val="center"/>
                    <w:rPr>
                      <w:color w:val="auto"/>
                      <w:szCs w:val="21"/>
                    </w:rPr>
                  </w:pPr>
                  <w:r>
                    <w:rPr>
                      <w:rFonts w:hint="eastAsia"/>
                      <w:color w:val="auto"/>
                      <w:szCs w:val="21"/>
                    </w:rPr>
                    <w:t>关于印发《西安市挥发性有机物污染整治专项实施方案》的通知</w:t>
                  </w:r>
                </w:p>
              </w:tc>
              <w:tc>
                <w:tcPr>
                  <w:tcW w:w="3289" w:type="dxa"/>
                  <w:shd w:val="clear" w:color="auto" w:fill="auto"/>
                  <w:vAlign w:val="center"/>
                </w:tcPr>
                <w:p w14:paraId="7926F02D">
                  <w:pPr>
                    <w:autoSpaceDE w:val="0"/>
                    <w:autoSpaceDN w:val="0"/>
                    <w:adjustRightInd w:val="0"/>
                    <w:snapToGrid w:val="0"/>
                    <w:ind w:firstLine="420" w:firstLineChars="200"/>
                    <w:rPr>
                      <w:color w:val="auto"/>
                      <w:szCs w:val="21"/>
                    </w:rPr>
                  </w:pPr>
                  <w:r>
                    <w:rPr>
                      <w:rFonts w:hint="eastAsia"/>
                      <w:color w:val="auto"/>
                      <w:szCs w:val="21"/>
                    </w:rPr>
                    <w:t>低效治理设施升级改造行动。组织开展企业VOCs治理设施排查，对涉及使用低温等离子、光氧化、光催化技术的废气治理设施，非溶性VOCs废气采用单一喷淋吸收等治理技术，以及有机化工生产企业使用简易低效污染治理设施的，逐一进行排查，2023年6月底前基本完成VOCs治理低效设施升级改造</w:t>
                  </w:r>
                </w:p>
              </w:tc>
              <w:tc>
                <w:tcPr>
                  <w:tcW w:w="2290" w:type="dxa"/>
                  <w:shd w:val="clear" w:color="auto" w:fill="auto"/>
                  <w:vAlign w:val="center"/>
                </w:tcPr>
                <w:p w14:paraId="7900D307">
                  <w:pPr>
                    <w:autoSpaceDE w:val="0"/>
                    <w:autoSpaceDN w:val="0"/>
                    <w:adjustRightInd w:val="0"/>
                    <w:snapToGrid w:val="0"/>
                    <w:rPr>
                      <w:color w:val="auto"/>
                      <w:kern w:val="0"/>
                      <w:szCs w:val="21"/>
                    </w:rPr>
                  </w:pPr>
                  <w:r>
                    <w:rPr>
                      <w:rFonts w:hint="eastAsia"/>
                      <w:color w:val="auto"/>
                      <w:kern w:val="0"/>
                      <w:szCs w:val="21"/>
                    </w:rPr>
                    <w:t>本项目有机废气采用“</w:t>
                  </w:r>
                  <w:r>
                    <w:rPr>
                      <w:rFonts w:hint="eastAsia"/>
                      <w:color w:val="auto"/>
                      <w:kern w:val="0"/>
                      <w:szCs w:val="21"/>
                      <w:lang w:val="en-US" w:eastAsia="zh-CN"/>
                    </w:rPr>
                    <w:t>三</w:t>
                  </w:r>
                  <w:r>
                    <w:rPr>
                      <w:rFonts w:hint="eastAsia"/>
                      <w:color w:val="auto"/>
                      <w:kern w:val="0"/>
                      <w:szCs w:val="21"/>
                    </w:rPr>
                    <w:t>级活性炭吸附”工艺，不属于低效处理工艺</w:t>
                  </w:r>
                </w:p>
              </w:tc>
              <w:tc>
                <w:tcPr>
                  <w:tcW w:w="433" w:type="dxa"/>
                  <w:vAlign w:val="center"/>
                </w:tcPr>
                <w:p w14:paraId="7566FE74">
                  <w:pPr>
                    <w:autoSpaceDE w:val="0"/>
                    <w:autoSpaceDN w:val="0"/>
                    <w:adjustRightInd w:val="0"/>
                    <w:snapToGrid w:val="0"/>
                    <w:jc w:val="center"/>
                    <w:rPr>
                      <w:color w:val="auto"/>
                      <w:szCs w:val="21"/>
                    </w:rPr>
                  </w:pPr>
                  <w:r>
                    <w:rPr>
                      <w:rFonts w:hint="eastAsia"/>
                      <w:color w:val="auto"/>
                      <w:szCs w:val="21"/>
                    </w:rPr>
                    <w:t>符合</w:t>
                  </w:r>
                </w:p>
              </w:tc>
            </w:tr>
            <w:tr w14:paraId="7DF044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1818A013">
                  <w:pPr>
                    <w:autoSpaceDE w:val="0"/>
                    <w:autoSpaceDN w:val="0"/>
                    <w:adjustRightInd w:val="0"/>
                    <w:snapToGrid w:val="0"/>
                    <w:jc w:val="center"/>
                    <w:rPr>
                      <w:color w:val="auto"/>
                      <w:szCs w:val="21"/>
                    </w:rPr>
                  </w:pPr>
                </w:p>
              </w:tc>
              <w:tc>
                <w:tcPr>
                  <w:tcW w:w="3289" w:type="dxa"/>
                  <w:shd w:val="clear" w:color="auto" w:fill="auto"/>
                  <w:vAlign w:val="center"/>
                </w:tcPr>
                <w:p w14:paraId="2A67DED9">
                  <w:pPr>
                    <w:autoSpaceDE w:val="0"/>
                    <w:autoSpaceDN w:val="0"/>
                    <w:adjustRightInd w:val="0"/>
                    <w:snapToGrid w:val="0"/>
                    <w:ind w:firstLine="420" w:firstLineChars="200"/>
                    <w:rPr>
                      <w:color w:val="auto"/>
                      <w:szCs w:val="21"/>
                    </w:rPr>
                  </w:pPr>
                  <w:r>
                    <w:rPr>
                      <w:rFonts w:hint="eastAsia"/>
                      <w:color w:val="auto"/>
                      <w:szCs w:val="21"/>
                    </w:rPr>
                    <w:t>强化涉活性炭VOCs处理工艺治理。采用活性炭吸附技术的，其中颗粒碳碘吸附值不低于800mg/g或四氯化碳吸附率不低于60%，蜂窝活性炭碘吸附值不低于600mg/g或四氯化碳吸附率不低于30%，按设计要求足量添加、定期更换，动态更新挥发性有机物治理设施台账</w:t>
                  </w:r>
                </w:p>
              </w:tc>
              <w:tc>
                <w:tcPr>
                  <w:tcW w:w="2290" w:type="dxa"/>
                  <w:shd w:val="clear" w:color="auto" w:fill="auto"/>
                  <w:vAlign w:val="center"/>
                </w:tcPr>
                <w:p w14:paraId="3B14F726">
                  <w:pPr>
                    <w:autoSpaceDE w:val="0"/>
                    <w:autoSpaceDN w:val="0"/>
                    <w:adjustRightInd w:val="0"/>
                    <w:snapToGrid w:val="0"/>
                    <w:rPr>
                      <w:color w:val="auto"/>
                      <w:kern w:val="0"/>
                      <w:szCs w:val="21"/>
                    </w:rPr>
                  </w:pPr>
                  <w:r>
                    <w:rPr>
                      <w:rFonts w:hint="eastAsia"/>
                      <w:color w:val="auto"/>
                      <w:kern w:val="0"/>
                      <w:szCs w:val="21"/>
                    </w:rPr>
                    <w:t>环评要求：建设单位采用的</w:t>
                  </w:r>
                  <w:r>
                    <w:rPr>
                      <w:rFonts w:hint="eastAsia"/>
                      <w:color w:val="auto"/>
                      <w:szCs w:val="21"/>
                    </w:rPr>
                    <w:t>蜂窝活性炭</w:t>
                  </w:r>
                  <w:r>
                    <w:rPr>
                      <w:rFonts w:hint="eastAsia"/>
                      <w:color w:val="auto"/>
                      <w:kern w:val="0"/>
                      <w:szCs w:val="21"/>
                    </w:rPr>
                    <w:t>碘吸附值不低于600mg/g，并按要求足量添加、定期更换，动态更新挥发性有机物治理设施台账</w:t>
                  </w:r>
                </w:p>
              </w:tc>
              <w:tc>
                <w:tcPr>
                  <w:tcW w:w="433" w:type="dxa"/>
                  <w:vAlign w:val="center"/>
                </w:tcPr>
                <w:p w14:paraId="5A5CCCDC">
                  <w:pPr>
                    <w:autoSpaceDE w:val="0"/>
                    <w:autoSpaceDN w:val="0"/>
                    <w:adjustRightInd w:val="0"/>
                    <w:snapToGrid w:val="0"/>
                    <w:jc w:val="center"/>
                    <w:rPr>
                      <w:color w:val="auto"/>
                      <w:szCs w:val="21"/>
                    </w:rPr>
                  </w:pPr>
                  <w:r>
                    <w:rPr>
                      <w:rFonts w:hint="eastAsia"/>
                      <w:color w:val="auto"/>
                      <w:szCs w:val="21"/>
                    </w:rPr>
                    <w:t>符合</w:t>
                  </w:r>
                </w:p>
              </w:tc>
            </w:tr>
            <w:tr w14:paraId="547688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39" w:type="dxa"/>
                  <w:vMerge w:val="continue"/>
                  <w:vAlign w:val="center"/>
                </w:tcPr>
                <w:p w14:paraId="49A485AA">
                  <w:pPr>
                    <w:autoSpaceDE w:val="0"/>
                    <w:autoSpaceDN w:val="0"/>
                    <w:adjustRightInd w:val="0"/>
                    <w:snapToGrid w:val="0"/>
                    <w:jc w:val="center"/>
                    <w:rPr>
                      <w:color w:val="auto"/>
                      <w:szCs w:val="21"/>
                    </w:rPr>
                  </w:pPr>
                </w:p>
              </w:tc>
              <w:tc>
                <w:tcPr>
                  <w:tcW w:w="3289" w:type="dxa"/>
                  <w:shd w:val="clear" w:color="auto" w:fill="auto"/>
                  <w:vAlign w:val="center"/>
                </w:tcPr>
                <w:p w14:paraId="5984A955">
                  <w:pPr>
                    <w:autoSpaceDE w:val="0"/>
                    <w:autoSpaceDN w:val="0"/>
                    <w:adjustRightInd w:val="0"/>
                    <w:snapToGrid w:val="0"/>
                    <w:ind w:firstLine="420" w:firstLineChars="200"/>
                    <w:rPr>
                      <w:color w:val="auto"/>
                      <w:szCs w:val="21"/>
                    </w:rPr>
                  </w:pPr>
                  <w:r>
                    <w:rPr>
                      <w:rFonts w:hint="eastAsia"/>
                      <w:color w:val="auto"/>
                      <w:szCs w:val="21"/>
                    </w:rPr>
                    <w:t>严格控制无组织排放。采用局部集气罩的，距集气罩开口面最远处的VOCs无组织排放位置控制风速应不低于0.3米/秒。</w:t>
                  </w:r>
                </w:p>
              </w:tc>
              <w:tc>
                <w:tcPr>
                  <w:tcW w:w="2290" w:type="dxa"/>
                  <w:shd w:val="clear" w:color="auto" w:fill="auto"/>
                  <w:vAlign w:val="center"/>
                </w:tcPr>
                <w:p w14:paraId="662D50A4">
                  <w:pPr>
                    <w:autoSpaceDE w:val="0"/>
                    <w:autoSpaceDN w:val="0"/>
                    <w:adjustRightInd w:val="0"/>
                    <w:snapToGrid w:val="0"/>
                    <w:rPr>
                      <w:color w:val="auto"/>
                      <w:kern w:val="0"/>
                      <w:szCs w:val="21"/>
                    </w:rPr>
                  </w:pPr>
                  <w:r>
                    <w:rPr>
                      <w:rFonts w:hint="eastAsia"/>
                      <w:color w:val="auto"/>
                      <w:kern w:val="0"/>
                      <w:szCs w:val="21"/>
                    </w:rPr>
                    <w:t>根据后文分析，</w:t>
                  </w:r>
                  <w:r>
                    <w:rPr>
                      <w:rFonts w:hint="eastAsia"/>
                      <w:color w:val="auto"/>
                      <w:szCs w:val="21"/>
                    </w:rPr>
                    <w:t>集气罩开口面无组织排放位置控制风速为0.5m/s，大于0.3米/秒</w:t>
                  </w:r>
                </w:p>
              </w:tc>
              <w:tc>
                <w:tcPr>
                  <w:tcW w:w="433" w:type="dxa"/>
                  <w:vAlign w:val="center"/>
                </w:tcPr>
                <w:p w14:paraId="792E4389">
                  <w:pPr>
                    <w:autoSpaceDE w:val="0"/>
                    <w:autoSpaceDN w:val="0"/>
                    <w:adjustRightInd w:val="0"/>
                    <w:snapToGrid w:val="0"/>
                    <w:jc w:val="center"/>
                    <w:rPr>
                      <w:color w:val="auto"/>
                      <w:szCs w:val="21"/>
                    </w:rPr>
                  </w:pPr>
                  <w:r>
                    <w:rPr>
                      <w:rFonts w:hint="eastAsia"/>
                      <w:color w:val="auto"/>
                      <w:szCs w:val="21"/>
                    </w:rPr>
                    <w:t>符合</w:t>
                  </w:r>
                </w:p>
              </w:tc>
            </w:tr>
          </w:tbl>
          <w:p w14:paraId="74077E5E">
            <w:pPr>
              <w:spacing w:before="120" w:beforeLines="50" w:line="360" w:lineRule="auto"/>
              <w:ind w:firstLine="482" w:firstLineChars="200"/>
              <w:rPr>
                <w:b/>
                <w:bCs/>
                <w:color w:val="auto"/>
                <w:sz w:val="24"/>
              </w:rPr>
            </w:pPr>
            <w:r>
              <w:rPr>
                <w:rFonts w:hint="eastAsia"/>
                <w:b/>
                <w:bCs/>
                <w:color w:val="auto"/>
                <w:sz w:val="24"/>
              </w:rPr>
              <w:t>5</w:t>
            </w:r>
            <w:r>
              <w:rPr>
                <w:b/>
                <w:bCs/>
                <w:color w:val="auto"/>
                <w:sz w:val="24"/>
              </w:rPr>
              <w:t>、选址合理性分析</w:t>
            </w:r>
          </w:p>
          <w:p w14:paraId="2805BB94">
            <w:pPr>
              <w:widowControl/>
              <w:spacing w:line="360" w:lineRule="auto"/>
              <w:ind w:firstLine="480" w:firstLineChars="200"/>
              <w:rPr>
                <w:color w:val="auto"/>
                <w:sz w:val="24"/>
              </w:rPr>
            </w:pPr>
            <w:r>
              <w:rPr>
                <w:rFonts w:hint="eastAsia"/>
                <w:color w:val="auto"/>
                <w:sz w:val="24"/>
              </w:rPr>
              <w:t>（1）位置及交通</w:t>
            </w:r>
          </w:p>
          <w:p w14:paraId="70137580">
            <w:pPr>
              <w:widowControl/>
              <w:spacing w:line="360" w:lineRule="auto"/>
              <w:ind w:firstLine="480" w:firstLineChars="200"/>
              <w:rPr>
                <w:color w:val="auto"/>
                <w:sz w:val="24"/>
              </w:rPr>
            </w:pPr>
            <w:r>
              <w:rPr>
                <w:rFonts w:hint="eastAsia"/>
                <w:color w:val="auto"/>
                <w:sz w:val="24"/>
              </w:rPr>
              <w:t>本项目位于陕西省西咸新区</w:t>
            </w:r>
            <w:r>
              <w:rPr>
                <w:rFonts w:hint="eastAsia"/>
                <w:bCs/>
                <w:color w:val="auto"/>
                <w:sz w:val="24"/>
              </w:rPr>
              <w:t>沣东新城斗门街道花园村村东</w:t>
            </w:r>
            <w:r>
              <w:rPr>
                <w:rFonts w:hint="eastAsia"/>
                <w:color w:val="auto"/>
                <w:sz w:val="24"/>
              </w:rPr>
              <w:t>，项目区交通运输较便捷。</w:t>
            </w:r>
          </w:p>
          <w:p w14:paraId="718B8CD8">
            <w:pPr>
              <w:widowControl/>
              <w:spacing w:line="360" w:lineRule="auto"/>
              <w:ind w:firstLine="480" w:firstLineChars="200"/>
              <w:rPr>
                <w:color w:val="auto"/>
                <w:sz w:val="24"/>
              </w:rPr>
            </w:pPr>
            <w:r>
              <w:rPr>
                <w:rFonts w:hint="eastAsia"/>
                <w:color w:val="auto"/>
                <w:sz w:val="24"/>
              </w:rPr>
              <w:t>（2）基础设施条件</w:t>
            </w:r>
          </w:p>
          <w:p w14:paraId="648BD19B">
            <w:pPr>
              <w:widowControl/>
              <w:spacing w:line="360" w:lineRule="auto"/>
              <w:ind w:firstLine="480" w:firstLineChars="200"/>
              <w:rPr>
                <w:color w:val="auto"/>
                <w:sz w:val="24"/>
              </w:rPr>
            </w:pPr>
            <w:r>
              <w:rPr>
                <w:rFonts w:hint="eastAsia"/>
                <w:color w:val="auto"/>
                <w:sz w:val="24"/>
              </w:rPr>
              <w:t>经调查，项目所在地供水、供电管网已铺设到位，水源、电源有保障，可满足生产及生活需要。本项目扩建仅增加少量职工，会增加少量生活污水，生活污水</w:t>
            </w:r>
            <w:r>
              <w:rPr>
                <w:rFonts w:hint="eastAsia"/>
                <w:bCs/>
                <w:color w:val="auto"/>
                <w:sz w:val="24"/>
              </w:rPr>
              <w:t>经租赁厂区</w:t>
            </w:r>
            <w:r>
              <w:rPr>
                <w:rFonts w:hint="eastAsia"/>
                <w:bCs/>
                <w:color w:val="auto"/>
                <w:sz w:val="24"/>
                <w:lang w:val="en-US" w:eastAsia="zh-CN"/>
              </w:rPr>
              <w:t>防渗</w:t>
            </w:r>
            <w:r>
              <w:rPr>
                <w:rFonts w:hint="eastAsia"/>
                <w:bCs/>
                <w:color w:val="auto"/>
                <w:sz w:val="24"/>
                <w:lang w:eastAsia="zh-CN"/>
              </w:rPr>
              <w:t>旱厕</w:t>
            </w:r>
            <w:r>
              <w:rPr>
                <w:rFonts w:hint="eastAsia"/>
                <w:bCs/>
                <w:color w:val="auto"/>
                <w:sz w:val="24"/>
              </w:rPr>
              <w:t>处理后，定期清掏用于周边农地，不外排；</w:t>
            </w:r>
            <w:r>
              <w:rPr>
                <w:rFonts w:hint="eastAsia"/>
                <w:color w:val="auto"/>
                <w:sz w:val="24"/>
              </w:rPr>
              <w:t>生产用</w:t>
            </w:r>
            <w:r>
              <w:rPr>
                <w:rFonts w:hint="eastAsia"/>
                <w:bCs/>
                <w:color w:val="auto"/>
                <w:sz w:val="24"/>
              </w:rPr>
              <w:t>冷却水为循环使用不外排</w:t>
            </w:r>
            <w:r>
              <w:rPr>
                <w:rFonts w:hint="eastAsia"/>
                <w:color w:val="auto"/>
                <w:sz w:val="24"/>
              </w:rPr>
              <w:t>，</w:t>
            </w:r>
            <w:r>
              <w:rPr>
                <w:rFonts w:hint="eastAsia"/>
                <w:bCs/>
                <w:color w:val="auto"/>
                <w:sz w:val="24"/>
              </w:rPr>
              <w:t>对外环境影响较小。</w:t>
            </w:r>
          </w:p>
          <w:p w14:paraId="7DA1F04A">
            <w:pPr>
              <w:widowControl/>
              <w:spacing w:line="360" w:lineRule="auto"/>
              <w:ind w:firstLine="480" w:firstLineChars="200"/>
              <w:rPr>
                <w:color w:val="auto"/>
                <w:sz w:val="24"/>
              </w:rPr>
            </w:pPr>
            <w:r>
              <w:rPr>
                <w:rFonts w:hint="eastAsia"/>
                <w:color w:val="auto"/>
                <w:sz w:val="24"/>
              </w:rPr>
              <w:t>（3）环境敏感性</w:t>
            </w:r>
          </w:p>
          <w:p w14:paraId="76340D31">
            <w:pPr>
              <w:widowControl/>
              <w:spacing w:line="360" w:lineRule="auto"/>
              <w:ind w:firstLine="480" w:firstLineChars="200"/>
              <w:rPr>
                <w:color w:val="auto"/>
                <w:sz w:val="24"/>
              </w:rPr>
            </w:pPr>
            <w:r>
              <w:rPr>
                <w:rFonts w:hint="eastAsia"/>
                <w:color w:val="auto"/>
                <w:sz w:val="24"/>
              </w:rPr>
              <w:t>本项目位于</w:t>
            </w:r>
            <w:r>
              <w:rPr>
                <w:rFonts w:hint="eastAsia"/>
                <w:bCs/>
                <w:color w:val="auto"/>
                <w:sz w:val="24"/>
              </w:rPr>
              <w:t>沣东新城斗门街道花园村村东</w:t>
            </w:r>
            <w:r>
              <w:rPr>
                <w:rFonts w:hint="eastAsia"/>
                <w:color w:val="auto"/>
                <w:sz w:val="24"/>
              </w:rPr>
              <w:t>，所选场址及周围无自然保护区、风景名胜区、生态保护区、集中式的饮用水水源地等环境敏感区。项目位于丰镐遗址保护区重点保护区内，本项目在已建成厂房基础上仅增加生产设备进行建设，不</w:t>
            </w:r>
            <w:r>
              <w:rPr>
                <w:rFonts w:hint="eastAsia"/>
                <w:color w:val="auto"/>
                <w:sz w:val="24"/>
              </w:rPr>
              <w:t>新增占地，</w:t>
            </w:r>
            <w:r>
              <w:rPr>
                <w:rFonts w:ascii="宋体" w:hAnsi="宋体" w:eastAsia="宋体" w:cs="宋体"/>
                <w:color w:val="auto"/>
                <w:sz w:val="24"/>
                <w:szCs w:val="24"/>
              </w:rPr>
              <w:t>增加环保设施和冷却塔安装</w:t>
            </w:r>
            <w:r>
              <w:rPr>
                <w:rFonts w:hint="eastAsia"/>
                <w:color w:val="auto"/>
                <w:sz w:val="24"/>
              </w:rPr>
              <w:t>，</w:t>
            </w:r>
            <w:r>
              <w:rPr>
                <w:rFonts w:ascii="宋体" w:hAnsi="宋体" w:eastAsia="宋体" w:cs="宋体"/>
                <w:color w:val="auto"/>
                <w:sz w:val="24"/>
                <w:szCs w:val="24"/>
              </w:rPr>
              <w:t>施工</w:t>
            </w:r>
            <w:r>
              <w:rPr>
                <w:rFonts w:hint="eastAsia" w:ascii="宋体" w:hAnsi="宋体" w:cs="宋体"/>
                <w:color w:val="auto"/>
                <w:sz w:val="24"/>
                <w:szCs w:val="24"/>
                <w:lang w:val="en-US" w:eastAsia="zh-CN"/>
              </w:rPr>
              <w:t>安装</w:t>
            </w:r>
            <w:r>
              <w:rPr>
                <w:rFonts w:ascii="宋体" w:hAnsi="宋体" w:eastAsia="宋体" w:cs="宋体"/>
                <w:color w:val="auto"/>
                <w:sz w:val="24"/>
                <w:szCs w:val="24"/>
              </w:rPr>
              <w:t>过程要求项目建设不得涉及挖沙、取土、挖建池塘等活动，不得进行少量取土或者修建简易设施</w:t>
            </w:r>
            <w:r>
              <w:rPr>
                <w:rFonts w:hint="eastAsia" w:ascii="宋体" w:hAnsi="宋体" w:cs="宋体"/>
                <w:color w:val="auto"/>
                <w:sz w:val="24"/>
                <w:szCs w:val="24"/>
                <w:lang w:eastAsia="zh-CN"/>
              </w:rPr>
              <w:t>，</w:t>
            </w:r>
            <w:r>
              <w:rPr>
                <w:rFonts w:ascii="宋体" w:hAnsi="宋体" w:eastAsia="宋体" w:cs="宋体"/>
                <w:color w:val="auto"/>
                <w:sz w:val="24"/>
                <w:szCs w:val="24"/>
              </w:rPr>
              <w:t>施工过程不进行爆破、钻探、挖掘等工程作业，</w:t>
            </w:r>
            <w:r>
              <w:rPr>
                <w:rFonts w:hint="eastAsia"/>
                <w:color w:val="auto"/>
                <w:sz w:val="24"/>
              </w:rPr>
              <w:t>未改变现有的景观格局，且根据前文分析，本项目建设符合《中华人民共和国文物保护法》、《陕西省文物保护管理条例》及《西安市周丰镐、秦阿房宫、汉长安城和唐大明宫遗址保护管理条例》的相关要求。</w:t>
            </w:r>
          </w:p>
          <w:p w14:paraId="180AFD33">
            <w:pPr>
              <w:widowControl/>
              <w:spacing w:line="360" w:lineRule="auto"/>
              <w:ind w:firstLine="480" w:firstLineChars="200"/>
              <w:rPr>
                <w:color w:val="auto"/>
                <w:sz w:val="24"/>
              </w:rPr>
            </w:pPr>
            <w:r>
              <w:rPr>
                <w:rFonts w:hint="eastAsia"/>
                <w:color w:val="auto"/>
                <w:sz w:val="24"/>
              </w:rPr>
              <w:t>（4）污染物达标排放的可达性</w:t>
            </w:r>
          </w:p>
          <w:p w14:paraId="61909F6C">
            <w:pPr>
              <w:spacing w:line="360" w:lineRule="auto"/>
              <w:ind w:firstLine="480" w:firstLineChars="200"/>
              <w:rPr>
                <w:bCs/>
                <w:color w:val="auto"/>
                <w:sz w:val="24"/>
              </w:rPr>
            </w:pPr>
            <w:r>
              <w:rPr>
                <w:rFonts w:hint="eastAsia"/>
                <w:bCs/>
                <w:color w:val="auto"/>
                <w:sz w:val="24"/>
              </w:rPr>
              <w:t>南侧为空地，北侧和西侧为道路，东侧为废品收购站。项目产生的注塑废气采用“集气罩+软帘+</w:t>
            </w:r>
            <w:r>
              <w:rPr>
                <w:rFonts w:hint="eastAsia"/>
                <w:bCs/>
                <w:color w:val="auto"/>
                <w:sz w:val="24"/>
                <w:lang w:val="en-US" w:eastAsia="zh-CN"/>
              </w:rPr>
              <w:t>三</w:t>
            </w:r>
            <w:r>
              <w:rPr>
                <w:rFonts w:hint="eastAsia"/>
                <w:bCs/>
                <w:color w:val="auto"/>
                <w:sz w:val="24"/>
              </w:rPr>
              <w:t>级活性炭吸附”装置处理后，</w:t>
            </w:r>
            <w:r>
              <w:rPr>
                <w:rFonts w:hint="eastAsia"/>
                <w:bCs/>
                <w:color w:val="auto"/>
                <w:sz w:val="24"/>
              </w:rPr>
              <w:t>尾气通过15m高排气筒达标排放；焊接烟尘采用移动式烟尘净化器处理后无组织排放；破碎粉尘采用“集气罩+袋式除尘器”处理后，在密闭破碎间内无组织排放；热转印废气产生量很小，在车间内无组织排放，对周围环境无明显不利影响。生活污水经</w:t>
            </w:r>
            <w:r>
              <w:rPr>
                <w:rFonts w:hint="eastAsia"/>
                <w:bCs/>
                <w:color w:val="auto"/>
                <w:sz w:val="24"/>
              </w:rPr>
              <w:t>租赁厂区</w:t>
            </w:r>
            <w:r>
              <w:rPr>
                <w:rFonts w:hint="eastAsia"/>
                <w:bCs/>
                <w:color w:val="auto"/>
                <w:sz w:val="24"/>
                <w:lang w:val="en-US" w:eastAsia="zh-CN"/>
              </w:rPr>
              <w:t>防渗</w:t>
            </w:r>
            <w:r>
              <w:rPr>
                <w:rFonts w:hint="eastAsia"/>
                <w:bCs/>
                <w:color w:val="auto"/>
                <w:sz w:val="24"/>
                <w:lang w:eastAsia="zh-CN"/>
              </w:rPr>
              <w:t>旱厕</w:t>
            </w:r>
            <w:r>
              <w:rPr>
                <w:rFonts w:hint="eastAsia"/>
                <w:bCs/>
                <w:color w:val="auto"/>
                <w:sz w:val="24"/>
              </w:rPr>
              <w:t>处理后，定期清掏用于周边农地，不外排；注塑使用冷却水循环使用，不外排。</w:t>
            </w:r>
            <w:r>
              <w:rPr>
                <w:rFonts w:hint="eastAsia"/>
                <w:bCs/>
                <w:color w:val="auto"/>
                <w:sz w:val="24"/>
                <w:lang w:val="en-US" w:eastAsia="zh-CN"/>
              </w:rPr>
              <w:t>项目厂区至东南侧白家庄村最近距离15m，根据后文预测结果，</w:t>
            </w:r>
            <w:r>
              <w:rPr>
                <w:rFonts w:hint="eastAsia"/>
                <w:bCs/>
                <w:color w:val="auto"/>
                <w:sz w:val="24"/>
              </w:rPr>
              <w:t>经厂房隔声、低噪声设备、设置基础减振等措施</w:t>
            </w:r>
            <w:r>
              <w:rPr>
                <w:rFonts w:hint="eastAsia"/>
                <w:bCs/>
                <w:color w:val="auto"/>
                <w:sz w:val="24"/>
                <w:lang w:val="en-US" w:eastAsia="zh-CN"/>
              </w:rPr>
              <w:t>后满足相关标准要求</w:t>
            </w:r>
            <w:r>
              <w:rPr>
                <w:rFonts w:hint="eastAsia"/>
                <w:bCs/>
                <w:color w:val="auto"/>
                <w:sz w:val="24"/>
              </w:rPr>
              <w:t>，对周围环境影响较小。生活垃圾收集后由环卫部门统一清运；塑料桶不合格品和废边角料、废边角料破碎后回用于生产；除尘器</w:t>
            </w:r>
            <w:r>
              <w:rPr>
                <w:rFonts w:hint="eastAsia"/>
                <w:bCs/>
                <w:color w:val="auto"/>
                <w:sz w:val="24"/>
              </w:rPr>
              <w:t>收尘收集后回用于生产；废包装材料、焊渣、烟尘净化器收尘和废铁皮统一收集后外售处置；废机油、废油桶、废抹布和废活性炭属于危险废物，分类收集暂存后定期委托有资质单位处置。</w:t>
            </w:r>
          </w:p>
          <w:p w14:paraId="5DAF1CE9">
            <w:pPr>
              <w:spacing w:line="360" w:lineRule="auto"/>
              <w:ind w:firstLine="480" w:firstLineChars="200"/>
              <w:rPr>
                <w:color w:val="auto"/>
                <w:sz w:val="24"/>
              </w:rPr>
            </w:pPr>
            <w:r>
              <w:rPr>
                <w:color w:val="auto"/>
                <w:sz w:val="24"/>
              </w:rPr>
              <w:t>项目</w:t>
            </w:r>
            <w:r>
              <w:rPr>
                <w:color w:val="auto"/>
                <w:kern w:val="0"/>
                <w:sz w:val="24"/>
              </w:rPr>
              <w:t>产生的污染物</w:t>
            </w:r>
            <w:r>
              <w:rPr>
                <w:color w:val="auto"/>
                <w:sz w:val="24"/>
              </w:rPr>
              <w:t>在采取本次环评提出的各项环保措施的前提下，项目污染物均能做到达标排放</w:t>
            </w:r>
            <w:r>
              <w:rPr>
                <w:rFonts w:hint="eastAsia"/>
                <w:color w:val="auto"/>
                <w:sz w:val="24"/>
              </w:rPr>
              <w:t>，</w:t>
            </w:r>
            <w:r>
              <w:rPr>
                <w:color w:val="auto"/>
                <w:sz w:val="24"/>
              </w:rPr>
              <w:t>对外环境影响较小。</w:t>
            </w:r>
          </w:p>
          <w:p w14:paraId="5E7A0803">
            <w:pPr>
              <w:spacing w:line="360" w:lineRule="auto"/>
              <w:ind w:firstLine="480" w:firstLineChars="200"/>
              <w:rPr>
                <w:color w:val="auto"/>
                <w:sz w:val="24"/>
              </w:rPr>
            </w:pPr>
            <w:r>
              <w:rPr>
                <w:color w:val="auto"/>
                <w:sz w:val="24"/>
              </w:rPr>
              <w:t>因此，</w:t>
            </w:r>
            <w:r>
              <w:rPr>
                <w:rFonts w:hint="eastAsia"/>
                <w:color w:val="auto"/>
                <w:sz w:val="24"/>
              </w:rPr>
              <w:t>从环保角度分析，</w:t>
            </w:r>
            <w:r>
              <w:rPr>
                <w:color w:val="auto"/>
                <w:sz w:val="24"/>
              </w:rPr>
              <w:t>项目选址可行。</w:t>
            </w:r>
          </w:p>
          <w:p w14:paraId="71565296">
            <w:pPr>
              <w:spacing w:line="360" w:lineRule="auto"/>
              <w:rPr>
                <w:color w:val="auto"/>
              </w:rPr>
            </w:pPr>
          </w:p>
        </w:tc>
      </w:tr>
    </w:tbl>
    <w:p w14:paraId="42A7C3A5">
      <w:pPr>
        <w:rPr>
          <w:color w:val="auto"/>
        </w:rPr>
        <w:sectPr>
          <w:pgSz w:w="11906" w:h="16838"/>
          <w:pgMar w:top="1701" w:right="1531" w:bottom="1701" w:left="1531" w:header="851" w:footer="1077" w:gutter="0"/>
          <w:cols w:space="720" w:num="1"/>
          <w:docGrid w:linePitch="312" w:charSpace="0"/>
        </w:sectPr>
      </w:pPr>
    </w:p>
    <w:p w14:paraId="5D2141A4">
      <w:pPr>
        <w:pStyle w:val="23"/>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二、建设项目工程分析</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8346"/>
      </w:tblGrid>
      <w:tr w14:paraId="1F9AE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714" w:type="dxa"/>
            <w:vAlign w:val="center"/>
          </w:tcPr>
          <w:p w14:paraId="680B2E21">
            <w:pPr>
              <w:pStyle w:val="23"/>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建设内容</w:t>
            </w:r>
          </w:p>
        </w:tc>
        <w:tc>
          <w:tcPr>
            <w:tcW w:w="8346" w:type="dxa"/>
          </w:tcPr>
          <w:p w14:paraId="70E2087C">
            <w:pPr>
              <w:spacing w:line="480" w:lineRule="exact"/>
              <w:ind w:firstLine="482" w:firstLineChars="200"/>
              <w:rPr>
                <w:b/>
                <w:color w:val="auto"/>
                <w:sz w:val="24"/>
              </w:rPr>
            </w:pPr>
            <w:r>
              <w:rPr>
                <w:rFonts w:hint="eastAsia"/>
                <w:b/>
                <w:color w:val="auto"/>
                <w:sz w:val="24"/>
              </w:rPr>
              <w:t>1、项目概况</w:t>
            </w:r>
          </w:p>
          <w:p w14:paraId="5D1EDAAB">
            <w:pPr>
              <w:spacing w:line="480" w:lineRule="exact"/>
              <w:ind w:firstLine="480" w:firstLineChars="200"/>
              <w:rPr>
                <w:rFonts w:hint="eastAsia" w:eastAsia="宋体"/>
                <w:bCs/>
                <w:color w:val="auto"/>
                <w:sz w:val="24"/>
                <w:lang w:eastAsia="zh-CN"/>
              </w:rPr>
            </w:pPr>
            <w:r>
              <w:rPr>
                <w:rFonts w:hint="eastAsia"/>
                <w:bCs/>
                <w:color w:val="auto"/>
                <w:sz w:val="24"/>
              </w:rPr>
              <w:t>陕西西咸新区吴氏兴隆包装有限公司经营范围为铁桶、塑料桶的加工与销售。</w:t>
            </w:r>
            <w:r>
              <w:rPr>
                <w:rFonts w:hint="eastAsia"/>
                <w:bCs/>
                <w:color w:val="auto"/>
                <w:sz w:val="24"/>
                <w:lang w:val="en-US" w:eastAsia="zh-CN"/>
              </w:rPr>
              <w:t>企业</w:t>
            </w:r>
            <w:r>
              <w:rPr>
                <w:rFonts w:hint="eastAsia"/>
                <w:bCs/>
                <w:color w:val="auto"/>
                <w:sz w:val="24"/>
              </w:rPr>
              <w:t>于202</w:t>
            </w:r>
            <w:r>
              <w:rPr>
                <w:rFonts w:hint="eastAsia"/>
                <w:bCs/>
                <w:color w:val="auto"/>
                <w:sz w:val="24"/>
                <w:lang w:val="en-US" w:eastAsia="zh-CN"/>
              </w:rPr>
              <w:t>1</w:t>
            </w:r>
            <w:r>
              <w:rPr>
                <w:rFonts w:hint="eastAsia"/>
                <w:bCs/>
                <w:color w:val="auto"/>
                <w:sz w:val="24"/>
              </w:rPr>
              <w:t>年</w:t>
            </w:r>
            <w:r>
              <w:rPr>
                <w:rFonts w:hint="eastAsia"/>
                <w:bCs/>
                <w:color w:val="auto"/>
                <w:sz w:val="24"/>
                <w:lang w:val="en-US" w:eastAsia="zh-CN"/>
              </w:rPr>
              <w:t>2</w:t>
            </w:r>
            <w:r>
              <w:rPr>
                <w:rFonts w:hint="eastAsia"/>
                <w:bCs/>
                <w:color w:val="auto"/>
                <w:sz w:val="24"/>
              </w:rPr>
              <w:t>月租赁沣东新城斗门街道花园村村东独院</w:t>
            </w:r>
            <w:r>
              <w:rPr>
                <w:rFonts w:hint="eastAsia"/>
                <w:bCs/>
                <w:color w:val="auto"/>
                <w:sz w:val="24"/>
                <w:lang w:val="en-US" w:eastAsia="zh-CN"/>
              </w:rPr>
              <w:t>建设</w:t>
            </w:r>
            <w:r>
              <w:rPr>
                <w:rFonts w:hint="eastAsia"/>
                <w:bCs/>
                <w:color w:val="auto"/>
                <w:sz w:val="24"/>
              </w:rPr>
              <w:t>铁桶生产</w:t>
            </w:r>
            <w:r>
              <w:rPr>
                <w:rFonts w:hint="eastAsia"/>
                <w:bCs/>
                <w:color w:val="auto"/>
                <w:sz w:val="24"/>
                <w:lang w:val="en-US" w:eastAsia="zh-CN"/>
              </w:rPr>
              <w:t>线</w:t>
            </w:r>
            <w:r>
              <w:rPr>
                <w:rFonts w:hint="eastAsia"/>
                <w:bCs/>
                <w:color w:val="auto"/>
                <w:sz w:val="24"/>
              </w:rPr>
              <w:t>，根据</w:t>
            </w:r>
            <w:bookmarkStart w:id="1" w:name="OLE_LINK2"/>
            <w:bookmarkStart w:id="2" w:name="OLE_LINK1"/>
            <w:r>
              <w:rPr>
                <w:rFonts w:hint="eastAsia"/>
                <w:bCs/>
                <w:color w:val="auto"/>
                <w:sz w:val="24"/>
              </w:rPr>
              <w:t>《建设项目环境影响评价分类管理名录》（部令第16号）</w:t>
            </w:r>
            <w:bookmarkEnd w:id="1"/>
            <w:bookmarkEnd w:id="2"/>
            <w:r>
              <w:rPr>
                <w:rFonts w:hint="eastAsia"/>
                <w:bCs/>
                <w:color w:val="auto"/>
                <w:sz w:val="24"/>
              </w:rPr>
              <w:t>铁桶生产属于“三十、金属制品业33-66.集装箱及金属包装容器制造 333”，项目铁桶建设为“仅分割、焊接、组装”，按其中“其他（仅分割、焊接、组装的除外；年用非溶剂型低VOCs含量涂料10吨以下的除外）”，不需要编制环境影响评价报告表</w:t>
            </w:r>
            <w:r>
              <w:rPr>
                <w:rFonts w:hint="eastAsia"/>
                <w:bCs/>
                <w:color w:val="auto"/>
                <w:sz w:val="24"/>
              </w:rPr>
              <w:t>。本次扩建项目原有铁桶生产内容不变，无新增工序</w:t>
            </w:r>
            <w:r>
              <w:rPr>
                <w:rFonts w:hint="eastAsia"/>
                <w:bCs/>
                <w:color w:val="auto"/>
                <w:sz w:val="24"/>
                <w:lang w:eastAsia="zh-CN"/>
              </w:rPr>
              <w:t>。</w:t>
            </w:r>
          </w:p>
          <w:p w14:paraId="02357599">
            <w:pPr>
              <w:spacing w:line="480" w:lineRule="exact"/>
              <w:ind w:firstLine="480" w:firstLineChars="200"/>
              <w:rPr>
                <w:bCs/>
                <w:color w:val="auto"/>
                <w:sz w:val="24"/>
              </w:rPr>
            </w:pPr>
            <w:r>
              <w:rPr>
                <w:rFonts w:hint="eastAsia"/>
                <w:bCs/>
                <w:color w:val="auto"/>
                <w:sz w:val="24"/>
              </w:rPr>
              <w:t>企业</w:t>
            </w:r>
            <w:r>
              <w:rPr>
                <w:rFonts w:hint="eastAsia"/>
                <w:bCs/>
                <w:color w:val="auto"/>
                <w:sz w:val="24"/>
                <w:lang w:val="en-US" w:eastAsia="zh-CN"/>
              </w:rPr>
              <w:t>在现有工程基础上</w:t>
            </w:r>
            <w:r>
              <w:rPr>
                <w:rFonts w:hint="eastAsia"/>
                <w:bCs/>
                <w:color w:val="auto"/>
                <w:sz w:val="24"/>
              </w:rPr>
              <w:t>增加塑料桶生产线，</w:t>
            </w:r>
            <w:r>
              <w:rPr>
                <w:rFonts w:hint="eastAsia"/>
                <w:bCs/>
                <w:color w:val="auto"/>
                <w:sz w:val="24"/>
                <w:lang w:val="en-US" w:eastAsia="zh-CN"/>
              </w:rPr>
              <w:t>建成后年产2500吨塑料桶，</w:t>
            </w:r>
            <w:r>
              <w:rPr>
                <w:rFonts w:hint="eastAsia"/>
                <w:bCs/>
                <w:color w:val="auto"/>
                <w:sz w:val="24"/>
              </w:rPr>
              <w:t>在现有已建建筑基础上增加生产设备，未新增占地，无土建工程，根据《中华</w:t>
            </w:r>
            <w:r>
              <w:rPr>
                <w:rFonts w:hint="eastAsia"/>
                <w:bCs/>
                <w:color w:val="auto"/>
                <w:sz w:val="24"/>
              </w:rPr>
              <w:t>人民共和国环境影响评价法》（2018年12月29日修正）、《建设项目环境保护管理条例》（国务院令第682号2017年10月1日）和《建设项目环境影响评价分类管理名录》（部令第16号）相关规定，塑料桶生产属于“二十六、橡胶和塑料制品业 29-53.塑料制品业292-其他（年用非溶剂型低VOCs含量涂料10吨以下的除外）”，应当编制环境影响报告表。本次评价为塑料桶生产线。</w:t>
            </w:r>
          </w:p>
          <w:p w14:paraId="2966BBA3">
            <w:pPr>
              <w:spacing w:line="480" w:lineRule="exact"/>
              <w:ind w:firstLine="480" w:firstLineChars="200"/>
              <w:rPr>
                <w:bCs/>
                <w:color w:val="auto"/>
                <w:sz w:val="24"/>
              </w:rPr>
            </w:pPr>
            <w:r>
              <w:rPr>
                <w:rFonts w:hint="eastAsia"/>
                <w:bCs/>
                <w:color w:val="auto"/>
                <w:sz w:val="24"/>
              </w:rPr>
              <w:t>（1）项目基本情况</w:t>
            </w:r>
          </w:p>
          <w:p w14:paraId="33D1DE15">
            <w:pPr>
              <w:spacing w:line="480" w:lineRule="exact"/>
              <w:ind w:firstLine="480" w:firstLineChars="200"/>
              <w:rPr>
                <w:bCs/>
                <w:color w:val="auto"/>
                <w:sz w:val="24"/>
              </w:rPr>
            </w:pPr>
            <w:r>
              <w:rPr>
                <w:rFonts w:hint="eastAsia"/>
                <w:bCs/>
                <w:color w:val="auto"/>
                <w:sz w:val="24"/>
              </w:rPr>
              <w:t>项目名称：</w:t>
            </w:r>
            <w:bookmarkStart w:id="3" w:name="_Hlk111793073"/>
            <w:r>
              <w:rPr>
                <w:rFonts w:hint="eastAsia"/>
                <w:bCs/>
                <w:color w:val="auto"/>
                <w:sz w:val="24"/>
              </w:rPr>
              <w:t>包装桶生产项目</w:t>
            </w:r>
          </w:p>
          <w:bookmarkEnd w:id="3"/>
          <w:p w14:paraId="164EDBEF">
            <w:pPr>
              <w:spacing w:line="480" w:lineRule="exact"/>
              <w:ind w:firstLine="480" w:firstLineChars="200"/>
              <w:rPr>
                <w:bCs/>
                <w:color w:val="auto"/>
                <w:sz w:val="24"/>
              </w:rPr>
            </w:pPr>
            <w:r>
              <w:rPr>
                <w:rFonts w:hint="eastAsia"/>
                <w:bCs/>
                <w:color w:val="auto"/>
                <w:sz w:val="24"/>
              </w:rPr>
              <w:t>建设单位：陕西西咸新区吴氏兴隆包装有限公司</w:t>
            </w:r>
          </w:p>
          <w:p w14:paraId="6EAA8D45">
            <w:pPr>
              <w:spacing w:line="480" w:lineRule="exact"/>
              <w:ind w:firstLine="480" w:firstLineChars="200"/>
              <w:rPr>
                <w:bCs/>
                <w:color w:val="auto"/>
                <w:sz w:val="24"/>
              </w:rPr>
            </w:pPr>
            <w:r>
              <w:rPr>
                <w:rFonts w:hint="eastAsia"/>
                <w:bCs/>
                <w:color w:val="auto"/>
                <w:sz w:val="24"/>
              </w:rPr>
              <w:t>建设性质：扩建</w:t>
            </w:r>
          </w:p>
          <w:p w14:paraId="67F2F606">
            <w:pPr>
              <w:spacing w:line="480" w:lineRule="exact"/>
              <w:ind w:firstLine="480" w:firstLineChars="200"/>
              <w:rPr>
                <w:bCs/>
                <w:color w:val="auto"/>
                <w:sz w:val="24"/>
              </w:rPr>
            </w:pPr>
            <w:r>
              <w:rPr>
                <w:rFonts w:hint="eastAsia"/>
                <w:bCs/>
                <w:color w:val="auto"/>
                <w:sz w:val="24"/>
              </w:rPr>
              <w:t>建设地点：西咸新区沣东新城斗门街道花园村村东，详见附图1地理位置图。</w:t>
            </w:r>
          </w:p>
          <w:p w14:paraId="66AED725">
            <w:pPr>
              <w:spacing w:line="480" w:lineRule="exact"/>
              <w:ind w:firstLine="480" w:firstLineChars="200"/>
              <w:rPr>
                <w:bCs/>
                <w:color w:val="auto"/>
                <w:sz w:val="24"/>
              </w:rPr>
            </w:pPr>
            <w:r>
              <w:rPr>
                <w:rFonts w:hint="eastAsia"/>
                <w:bCs/>
                <w:color w:val="auto"/>
                <w:sz w:val="24"/>
              </w:rPr>
              <w:t>四邻关系：南侧为空地，北侧和西侧为道路，东侧为废品收购站。</w:t>
            </w:r>
          </w:p>
          <w:p w14:paraId="6B8EE49C">
            <w:pPr>
              <w:spacing w:line="480" w:lineRule="exact"/>
              <w:ind w:firstLine="480" w:firstLineChars="200"/>
              <w:rPr>
                <w:bCs/>
                <w:color w:val="auto"/>
                <w:sz w:val="24"/>
              </w:rPr>
            </w:pPr>
            <w:r>
              <w:rPr>
                <w:rFonts w:hint="eastAsia"/>
                <w:bCs/>
                <w:color w:val="auto"/>
                <w:sz w:val="24"/>
              </w:rPr>
              <w:t>（2）建设规模及建设内容</w:t>
            </w:r>
          </w:p>
          <w:p w14:paraId="6622520B">
            <w:pPr>
              <w:spacing w:line="480" w:lineRule="exact"/>
              <w:ind w:firstLine="480" w:firstLineChars="200"/>
              <w:rPr>
                <w:color w:val="auto"/>
                <w:sz w:val="24"/>
              </w:rPr>
            </w:pPr>
            <w:r>
              <w:rPr>
                <w:color w:val="auto"/>
                <w:sz w:val="24"/>
              </w:rPr>
              <w:t>本项目</w:t>
            </w:r>
            <w:r>
              <w:rPr>
                <w:rFonts w:hint="eastAsia"/>
                <w:color w:val="auto"/>
                <w:sz w:val="24"/>
              </w:rPr>
              <w:t>租赁</w:t>
            </w:r>
            <w:r>
              <w:rPr>
                <w:rFonts w:hint="eastAsia"/>
                <w:bCs/>
                <w:color w:val="auto"/>
                <w:sz w:val="24"/>
              </w:rPr>
              <w:t>沣东新城斗门街道花园村村东独院厂房进行建设，在已租赁厂房内扩建塑料桶生产线。独院</w:t>
            </w:r>
            <w:r>
              <w:rPr>
                <w:rFonts w:hint="eastAsia"/>
                <w:color w:val="auto"/>
                <w:sz w:val="24"/>
              </w:rPr>
              <w:t>总</w:t>
            </w:r>
            <w:r>
              <w:rPr>
                <w:color w:val="auto"/>
                <w:sz w:val="24"/>
              </w:rPr>
              <w:t>占地面积</w:t>
            </w:r>
            <w:r>
              <w:rPr>
                <w:rFonts w:hint="eastAsia"/>
                <w:color w:val="auto"/>
                <w:sz w:val="24"/>
              </w:rPr>
              <w:t>9500</w:t>
            </w:r>
            <w:r>
              <w:rPr>
                <w:color w:val="auto"/>
                <w:sz w:val="24"/>
              </w:rPr>
              <w:t>m</w:t>
            </w:r>
            <w:r>
              <w:rPr>
                <w:color w:val="auto"/>
                <w:sz w:val="24"/>
                <w:vertAlign w:val="superscript"/>
              </w:rPr>
              <w:t>2</w:t>
            </w:r>
            <w:r>
              <w:rPr>
                <w:rFonts w:hint="eastAsia"/>
                <w:bCs/>
                <w:color w:val="auto"/>
                <w:sz w:val="24"/>
              </w:rPr>
              <w:t>，其中树林面积约4500m</w:t>
            </w:r>
            <w:r>
              <w:rPr>
                <w:rFonts w:hint="eastAsia"/>
                <w:bCs/>
                <w:color w:val="auto"/>
                <w:sz w:val="24"/>
                <w:vertAlign w:val="superscript"/>
              </w:rPr>
              <w:t>2</w:t>
            </w:r>
            <w:r>
              <w:rPr>
                <w:rFonts w:hint="eastAsia"/>
                <w:bCs/>
                <w:color w:val="auto"/>
                <w:sz w:val="24"/>
              </w:rPr>
              <w:t>，项目租用厂房建筑面积（生产区及办公区）共5000m</w:t>
            </w:r>
            <w:r>
              <w:rPr>
                <w:rFonts w:hint="eastAsia"/>
                <w:bCs/>
                <w:color w:val="auto"/>
                <w:sz w:val="24"/>
                <w:vertAlign w:val="superscript"/>
              </w:rPr>
              <w:t>2</w:t>
            </w:r>
            <w:r>
              <w:rPr>
                <w:rFonts w:hint="eastAsia"/>
                <w:bCs/>
                <w:color w:val="auto"/>
                <w:sz w:val="24"/>
              </w:rPr>
              <w:t>；其中生产区占地面积</w:t>
            </w:r>
            <w:r>
              <w:rPr>
                <w:rFonts w:hint="eastAsia"/>
                <w:color w:val="auto"/>
                <w:sz w:val="24"/>
              </w:rPr>
              <w:t>4300</w:t>
            </w:r>
            <w:r>
              <w:rPr>
                <w:color w:val="auto"/>
                <w:sz w:val="24"/>
              </w:rPr>
              <w:t>m</w:t>
            </w:r>
            <w:r>
              <w:rPr>
                <w:color w:val="auto"/>
                <w:sz w:val="24"/>
                <w:vertAlign w:val="superscript"/>
              </w:rPr>
              <w:t>2</w:t>
            </w:r>
            <w:r>
              <w:rPr>
                <w:rFonts w:hint="eastAsia"/>
                <w:bCs/>
                <w:color w:val="auto"/>
                <w:sz w:val="24"/>
              </w:rPr>
              <w:t>，北侧办公区及住宿区占地面积</w:t>
            </w:r>
            <w:r>
              <w:rPr>
                <w:rFonts w:hint="eastAsia"/>
                <w:color w:val="auto"/>
                <w:sz w:val="24"/>
              </w:rPr>
              <w:t>700</w:t>
            </w:r>
            <w:r>
              <w:rPr>
                <w:color w:val="auto"/>
                <w:sz w:val="24"/>
              </w:rPr>
              <w:t>m</w:t>
            </w:r>
            <w:r>
              <w:rPr>
                <w:color w:val="auto"/>
                <w:sz w:val="24"/>
                <w:vertAlign w:val="superscript"/>
              </w:rPr>
              <w:t>2</w:t>
            </w:r>
            <w:r>
              <w:rPr>
                <w:rFonts w:hint="eastAsia"/>
                <w:color w:val="auto"/>
                <w:sz w:val="24"/>
              </w:rPr>
              <w:t>。</w:t>
            </w:r>
            <w:r>
              <w:rPr>
                <w:color w:val="auto"/>
                <w:sz w:val="24"/>
              </w:rPr>
              <w:t>项目组成详见表</w:t>
            </w:r>
            <w:r>
              <w:rPr>
                <w:rFonts w:hint="eastAsia"/>
                <w:color w:val="auto"/>
                <w:sz w:val="24"/>
              </w:rPr>
              <w:t>2-1</w:t>
            </w:r>
            <w:r>
              <w:rPr>
                <w:color w:val="auto"/>
                <w:sz w:val="24"/>
              </w:rPr>
              <w:t>。</w:t>
            </w:r>
          </w:p>
          <w:p w14:paraId="2D6F61C0">
            <w:pPr>
              <w:pStyle w:val="66"/>
              <w:rPr>
                <w:rFonts w:ascii="Times New Roman" w:hAnsi="Times New Roman" w:eastAsia="宋体" w:cs="Times New Roman"/>
                <w:b/>
                <w:bCs/>
                <w:color w:val="auto"/>
                <w:szCs w:val="24"/>
              </w:rPr>
            </w:pPr>
            <w:r>
              <w:rPr>
                <w:rFonts w:ascii="Times New Roman" w:hAnsi="Times New Roman" w:eastAsia="宋体" w:cs="Times New Roman"/>
                <w:b/>
                <w:bCs/>
                <w:color w:val="auto"/>
                <w:szCs w:val="24"/>
              </w:rPr>
              <w:t>表</w:t>
            </w:r>
            <w:r>
              <w:rPr>
                <w:rFonts w:hint="eastAsia" w:ascii="Times New Roman" w:hAnsi="Times New Roman" w:eastAsia="宋体" w:cs="Times New Roman"/>
                <w:b/>
                <w:bCs/>
                <w:color w:val="auto"/>
                <w:szCs w:val="24"/>
              </w:rPr>
              <w:t>2-1</w:t>
            </w:r>
            <w:r>
              <w:rPr>
                <w:rFonts w:ascii="Times New Roman" w:hAnsi="Times New Roman" w:eastAsia="宋体" w:cs="Times New Roman"/>
                <w:b/>
                <w:bCs/>
                <w:color w:val="auto"/>
                <w:szCs w:val="24"/>
              </w:rPr>
              <w:t xml:space="preserve"> </w:t>
            </w:r>
            <w:r>
              <w:rPr>
                <w:rFonts w:hint="eastAsia" w:ascii="Times New Roman" w:hAnsi="Times New Roman" w:eastAsia="宋体" w:cs="Times New Roman"/>
                <w:b/>
                <w:bCs/>
                <w:color w:val="auto"/>
                <w:szCs w:val="24"/>
              </w:rPr>
              <w:t xml:space="preserve"> </w:t>
            </w:r>
            <w:r>
              <w:rPr>
                <w:rFonts w:ascii="Times New Roman" w:hAnsi="Times New Roman" w:eastAsia="宋体" w:cs="Times New Roman"/>
                <w:b/>
                <w:bCs/>
                <w:color w:val="auto"/>
                <w:szCs w:val="24"/>
              </w:rPr>
              <w:t>建设项目组成一览表</w:t>
            </w:r>
          </w:p>
          <w:tbl>
            <w:tblPr>
              <w:tblStyle w:val="26"/>
              <w:tblW w:w="821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3"/>
              <w:gridCol w:w="434"/>
              <w:gridCol w:w="74"/>
              <w:gridCol w:w="706"/>
              <w:gridCol w:w="5675"/>
              <w:gridCol w:w="878"/>
            </w:tblGrid>
            <w:tr w14:paraId="114CC0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 w:type="pct"/>
                  <w:vAlign w:val="center"/>
                </w:tcPr>
                <w:p w14:paraId="3B82B6C8">
                  <w:pPr>
                    <w:adjustRightInd w:val="0"/>
                    <w:snapToGrid w:val="0"/>
                    <w:jc w:val="center"/>
                    <w:rPr>
                      <w:b/>
                      <w:color w:val="auto"/>
                      <w:szCs w:val="21"/>
                    </w:rPr>
                  </w:pPr>
                  <w:bookmarkStart w:id="4" w:name="_Hlk521661023"/>
                  <w:r>
                    <w:rPr>
                      <w:b/>
                      <w:color w:val="auto"/>
                      <w:szCs w:val="21"/>
                    </w:rPr>
                    <w:t>工程类别</w:t>
                  </w:r>
                </w:p>
              </w:tc>
              <w:tc>
                <w:tcPr>
                  <w:tcW w:w="739" w:type="pct"/>
                  <w:gridSpan w:val="3"/>
                  <w:vAlign w:val="center"/>
                </w:tcPr>
                <w:p w14:paraId="5697A785">
                  <w:pPr>
                    <w:adjustRightInd w:val="0"/>
                    <w:snapToGrid w:val="0"/>
                    <w:jc w:val="center"/>
                    <w:rPr>
                      <w:b/>
                      <w:color w:val="auto"/>
                      <w:szCs w:val="21"/>
                    </w:rPr>
                  </w:pPr>
                  <w:r>
                    <w:rPr>
                      <w:b/>
                      <w:color w:val="auto"/>
                      <w:szCs w:val="21"/>
                    </w:rPr>
                    <w:t>主要项目</w:t>
                  </w:r>
                </w:p>
              </w:tc>
              <w:tc>
                <w:tcPr>
                  <w:tcW w:w="3456" w:type="pct"/>
                  <w:vAlign w:val="center"/>
                </w:tcPr>
                <w:p w14:paraId="3EF8DEA2">
                  <w:pPr>
                    <w:adjustRightInd w:val="0"/>
                    <w:snapToGrid w:val="0"/>
                    <w:jc w:val="center"/>
                    <w:rPr>
                      <w:b/>
                      <w:color w:val="auto"/>
                      <w:szCs w:val="21"/>
                    </w:rPr>
                  </w:pPr>
                  <w:r>
                    <w:rPr>
                      <w:b/>
                      <w:color w:val="auto"/>
                      <w:szCs w:val="21"/>
                    </w:rPr>
                    <w:t>建设内容</w:t>
                  </w:r>
                </w:p>
              </w:tc>
              <w:tc>
                <w:tcPr>
                  <w:tcW w:w="534" w:type="pct"/>
                  <w:vAlign w:val="center"/>
                </w:tcPr>
                <w:p w14:paraId="19D4D029">
                  <w:pPr>
                    <w:adjustRightInd w:val="0"/>
                    <w:snapToGrid w:val="0"/>
                    <w:jc w:val="center"/>
                    <w:rPr>
                      <w:b/>
                      <w:color w:val="auto"/>
                      <w:szCs w:val="21"/>
                    </w:rPr>
                  </w:pPr>
                  <w:r>
                    <w:rPr>
                      <w:rFonts w:hint="eastAsia"/>
                      <w:b/>
                      <w:color w:val="auto"/>
                      <w:szCs w:val="21"/>
                    </w:rPr>
                    <w:t>备注</w:t>
                  </w:r>
                </w:p>
              </w:tc>
            </w:tr>
            <w:tr w14:paraId="434253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 w:type="pct"/>
                  <w:vMerge w:val="restart"/>
                  <w:vAlign w:val="center"/>
                </w:tcPr>
                <w:p w14:paraId="07BBB87C">
                  <w:pPr>
                    <w:adjustRightInd w:val="0"/>
                    <w:snapToGrid w:val="0"/>
                    <w:jc w:val="center"/>
                    <w:rPr>
                      <w:color w:val="auto"/>
                      <w:szCs w:val="21"/>
                    </w:rPr>
                  </w:pPr>
                  <w:r>
                    <w:rPr>
                      <w:color w:val="auto"/>
                      <w:szCs w:val="21"/>
                    </w:rPr>
                    <w:t>主体工程</w:t>
                  </w:r>
                </w:p>
              </w:tc>
              <w:tc>
                <w:tcPr>
                  <w:tcW w:w="739" w:type="pct"/>
                  <w:gridSpan w:val="3"/>
                  <w:vAlign w:val="center"/>
                </w:tcPr>
                <w:p w14:paraId="219E6188">
                  <w:pPr>
                    <w:widowControl/>
                    <w:adjustRightInd w:val="0"/>
                    <w:snapToGrid w:val="0"/>
                    <w:jc w:val="center"/>
                    <w:rPr>
                      <w:color w:val="auto"/>
                      <w:kern w:val="0"/>
                      <w:szCs w:val="21"/>
                    </w:rPr>
                  </w:pPr>
                  <w:r>
                    <w:rPr>
                      <w:rFonts w:hint="eastAsia"/>
                      <w:color w:val="auto"/>
                      <w:kern w:val="0"/>
                      <w:szCs w:val="21"/>
                    </w:rPr>
                    <w:t>生产区</w:t>
                  </w:r>
                </w:p>
              </w:tc>
              <w:tc>
                <w:tcPr>
                  <w:tcW w:w="3456" w:type="pct"/>
                  <w:vAlign w:val="center"/>
                </w:tcPr>
                <w:p w14:paraId="00399F1C">
                  <w:pPr>
                    <w:adjustRightInd w:val="0"/>
                    <w:snapToGrid w:val="0"/>
                    <w:rPr>
                      <w:rFonts w:hint="default" w:eastAsia="宋体"/>
                      <w:color w:val="auto"/>
                      <w:kern w:val="0"/>
                      <w:szCs w:val="21"/>
                      <w:lang w:val="en-US" w:eastAsia="zh-CN"/>
                    </w:rPr>
                  </w:pPr>
                  <w:r>
                    <w:rPr>
                      <w:rFonts w:hint="eastAsia"/>
                      <w:color w:val="auto"/>
                      <w:kern w:val="0"/>
                      <w:szCs w:val="21"/>
                    </w:rPr>
                    <w:t>面积4300m</w:t>
                  </w:r>
                  <w:r>
                    <w:rPr>
                      <w:rFonts w:hint="eastAsia"/>
                      <w:color w:val="auto"/>
                      <w:kern w:val="0"/>
                      <w:szCs w:val="21"/>
                      <w:vertAlign w:val="superscript"/>
                    </w:rPr>
                    <w:t>2</w:t>
                  </w:r>
                  <w:r>
                    <w:rPr>
                      <w:rFonts w:hint="eastAsia"/>
                      <w:color w:val="auto"/>
                      <w:kern w:val="0"/>
                      <w:szCs w:val="21"/>
                    </w:rPr>
                    <w:t>，</w:t>
                  </w:r>
                  <w:r>
                    <w:rPr>
                      <w:rFonts w:hint="eastAsia"/>
                      <w:color w:val="auto"/>
                      <w:kern w:val="0"/>
                      <w:szCs w:val="21"/>
                    </w:rPr>
                    <w:t>1F，</w:t>
                  </w:r>
                  <w:r>
                    <w:rPr>
                      <w:rFonts w:hint="eastAsia"/>
                      <w:color w:val="auto"/>
                      <w:kern w:val="0"/>
                      <w:szCs w:val="21"/>
                      <w:lang w:val="en-US" w:eastAsia="zh-CN"/>
                    </w:rPr>
                    <w:t>在已建厂房内设置各分区，</w:t>
                  </w:r>
                  <w:r>
                    <w:rPr>
                      <w:rFonts w:hint="eastAsia"/>
                      <w:color w:val="auto"/>
                      <w:kern w:val="0"/>
                      <w:szCs w:val="21"/>
                    </w:rPr>
                    <w:t>分为</w:t>
                  </w:r>
                  <w:r>
                    <w:rPr>
                      <w:rFonts w:hint="eastAsia"/>
                      <w:color w:val="auto"/>
                      <w:kern w:val="0"/>
                      <w:szCs w:val="21"/>
                    </w:rPr>
                    <w:t>注塑区、成品库、热转印区、破碎区和原料区，用于塑料桶的生产</w:t>
                  </w:r>
                </w:p>
              </w:tc>
              <w:tc>
                <w:tcPr>
                  <w:tcW w:w="534" w:type="pct"/>
                  <w:vMerge w:val="restart"/>
                  <w:vAlign w:val="center"/>
                </w:tcPr>
                <w:p w14:paraId="20CD51D7">
                  <w:pPr>
                    <w:adjustRightInd w:val="0"/>
                    <w:snapToGrid w:val="0"/>
                    <w:jc w:val="center"/>
                    <w:rPr>
                      <w:bCs/>
                      <w:snapToGrid w:val="0"/>
                      <w:color w:val="auto"/>
                      <w:szCs w:val="21"/>
                    </w:rPr>
                  </w:pPr>
                  <w:r>
                    <w:rPr>
                      <w:rFonts w:hint="eastAsia"/>
                      <w:color w:val="auto"/>
                      <w:kern w:val="0"/>
                      <w:szCs w:val="21"/>
                      <w:lang w:val="en-US" w:eastAsia="zh-CN"/>
                    </w:rPr>
                    <w:t>厂房依托现有工程，生产线</w:t>
                  </w:r>
                  <w:r>
                    <w:rPr>
                      <w:rFonts w:hint="eastAsia"/>
                      <w:color w:val="auto"/>
                      <w:kern w:val="0"/>
                      <w:szCs w:val="21"/>
                    </w:rPr>
                    <w:t>新建</w:t>
                  </w:r>
                </w:p>
              </w:tc>
            </w:tr>
            <w:tr w14:paraId="7787E6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 w:type="pct"/>
                  <w:vMerge w:val="continue"/>
                  <w:vAlign w:val="center"/>
                </w:tcPr>
                <w:p w14:paraId="112A888A">
                  <w:pPr>
                    <w:adjustRightInd w:val="0"/>
                    <w:snapToGrid w:val="0"/>
                    <w:jc w:val="center"/>
                    <w:rPr>
                      <w:color w:val="auto"/>
                      <w:szCs w:val="21"/>
                    </w:rPr>
                  </w:pPr>
                </w:p>
              </w:tc>
              <w:tc>
                <w:tcPr>
                  <w:tcW w:w="309" w:type="pct"/>
                  <w:gridSpan w:val="2"/>
                  <w:vMerge w:val="restart"/>
                  <w:vAlign w:val="center"/>
                </w:tcPr>
                <w:p w14:paraId="10670D60">
                  <w:pPr>
                    <w:widowControl/>
                    <w:adjustRightInd w:val="0"/>
                    <w:snapToGrid w:val="0"/>
                    <w:jc w:val="center"/>
                    <w:rPr>
                      <w:color w:val="auto"/>
                      <w:kern w:val="0"/>
                      <w:szCs w:val="21"/>
                    </w:rPr>
                  </w:pPr>
                  <w:r>
                    <w:rPr>
                      <w:rFonts w:hint="eastAsia"/>
                      <w:color w:val="auto"/>
                      <w:kern w:val="0"/>
                      <w:szCs w:val="21"/>
                    </w:rPr>
                    <w:t>塑料桶</w:t>
                  </w:r>
                </w:p>
              </w:tc>
              <w:tc>
                <w:tcPr>
                  <w:tcW w:w="429" w:type="pct"/>
                  <w:shd w:val="clear" w:color="auto" w:fill="auto"/>
                  <w:vAlign w:val="center"/>
                </w:tcPr>
                <w:p w14:paraId="4FA0F769">
                  <w:pPr>
                    <w:widowControl/>
                    <w:adjustRightInd w:val="0"/>
                    <w:snapToGrid w:val="0"/>
                    <w:jc w:val="center"/>
                    <w:rPr>
                      <w:color w:val="auto"/>
                      <w:kern w:val="0"/>
                      <w:szCs w:val="21"/>
                    </w:rPr>
                  </w:pPr>
                  <w:r>
                    <w:rPr>
                      <w:rFonts w:hint="eastAsia"/>
                      <w:color w:val="auto"/>
                      <w:kern w:val="0"/>
                      <w:szCs w:val="21"/>
                    </w:rPr>
                    <w:t>注塑区</w:t>
                  </w:r>
                </w:p>
              </w:tc>
              <w:tc>
                <w:tcPr>
                  <w:tcW w:w="3456" w:type="pct"/>
                  <w:shd w:val="clear" w:color="auto" w:fill="auto"/>
                  <w:vAlign w:val="center"/>
                </w:tcPr>
                <w:p w14:paraId="10C2624B">
                  <w:pPr>
                    <w:adjustRightInd w:val="0"/>
                    <w:snapToGrid w:val="0"/>
                    <w:rPr>
                      <w:color w:val="auto"/>
                      <w:kern w:val="0"/>
                      <w:szCs w:val="21"/>
                    </w:rPr>
                  </w:pPr>
                  <w:r>
                    <w:rPr>
                      <w:rFonts w:hint="eastAsia"/>
                      <w:color w:val="auto"/>
                      <w:kern w:val="0"/>
                      <w:szCs w:val="21"/>
                    </w:rPr>
                    <w:t>位于生产区东侧，占地面积550m</w:t>
                  </w:r>
                  <w:r>
                    <w:rPr>
                      <w:rFonts w:hint="eastAsia"/>
                      <w:color w:val="auto"/>
                      <w:kern w:val="0"/>
                      <w:szCs w:val="21"/>
                      <w:vertAlign w:val="superscript"/>
                    </w:rPr>
                    <w:t>2</w:t>
                  </w:r>
                  <w:r>
                    <w:rPr>
                      <w:rFonts w:hint="eastAsia"/>
                      <w:color w:val="auto"/>
                      <w:kern w:val="0"/>
                      <w:szCs w:val="21"/>
                    </w:rPr>
                    <w:t>，购置8台注塑机用于塑料桶生产</w:t>
                  </w:r>
                </w:p>
              </w:tc>
              <w:tc>
                <w:tcPr>
                  <w:tcW w:w="534" w:type="pct"/>
                  <w:vMerge w:val="continue"/>
                  <w:shd w:val="clear" w:color="auto" w:fill="auto"/>
                  <w:vAlign w:val="center"/>
                </w:tcPr>
                <w:p w14:paraId="20A11E7A">
                  <w:pPr>
                    <w:adjustRightInd w:val="0"/>
                    <w:snapToGrid w:val="0"/>
                    <w:jc w:val="center"/>
                    <w:rPr>
                      <w:color w:val="auto"/>
                      <w:kern w:val="0"/>
                      <w:szCs w:val="21"/>
                    </w:rPr>
                  </w:pPr>
                </w:p>
              </w:tc>
            </w:tr>
            <w:tr w14:paraId="1EF73A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jc w:val="center"/>
              </w:trPr>
              <w:tc>
                <w:tcPr>
                  <w:tcW w:w="269" w:type="pct"/>
                  <w:vMerge w:val="continue"/>
                  <w:vAlign w:val="center"/>
                </w:tcPr>
                <w:p w14:paraId="2DE3905C">
                  <w:pPr>
                    <w:adjustRightInd w:val="0"/>
                    <w:snapToGrid w:val="0"/>
                    <w:jc w:val="center"/>
                    <w:rPr>
                      <w:color w:val="auto"/>
                      <w:szCs w:val="21"/>
                    </w:rPr>
                  </w:pPr>
                </w:p>
              </w:tc>
              <w:tc>
                <w:tcPr>
                  <w:tcW w:w="309" w:type="pct"/>
                  <w:gridSpan w:val="2"/>
                  <w:vMerge w:val="continue"/>
                  <w:vAlign w:val="center"/>
                </w:tcPr>
                <w:p w14:paraId="41B280E9">
                  <w:pPr>
                    <w:widowControl/>
                    <w:adjustRightInd w:val="0"/>
                    <w:snapToGrid w:val="0"/>
                    <w:jc w:val="center"/>
                    <w:rPr>
                      <w:color w:val="auto"/>
                      <w:kern w:val="0"/>
                      <w:szCs w:val="21"/>
                    </w:rPr>
                  </w:pPr>
                </w:p>
              </w:tc>
              <w:tc>
                <w:tcPr>
                  <w:tcW w:w="429" w:type="pct"/>
                  <w:shd w:val="clear" w:color="auto" w:fill="auto"/>
                  <w:vAlign w:val="center"/>
                </w:tcPr>
                <w:p w14:paraId="2F961349">
                  <w:pPr>
                    <w:widowControl/>
                    <w:adjustRightInd w:val="0"/>
                    <w:snapToGrid w:val="0"/>
                    <w:jc w:val="center"/>
                    <w:rPr>
                      <w:color w:val="auto"/>
                      <w:kern w:val="0"/>
                      <w:szCs w:val="21"/>
                    </w:rPr>
                  </w:pPr>
                  <w:r>
                    <w:rPr>
                      <w:rFonts w:hint="eastAsia"/>
                      <w:color w:val="auto"/>
                      <w:kern w:val="0"/>
                      <w:szCs w:val="21"/>
                    </w:rPr>
                    <w:t>热转印区</w:t>
                  </w:r>
                </w:p>
              </w:tc>
              <w:tc>
                <w:tcPr>
                  <w:tcW w:w="3456" w:type="pct"/>
                  <w:shd w:val="clear" w:color="auto" w:fill="auto"/>
                  <w:vAlign w:val="center"/>
                </w:tcPr>
                <w:p w14:paraId="77A396BE">
                  <w:pPr>
                    <w:adjustRightInd w:val="0"/>
                    <w:snapToGrid w:val="0"/>
                    <w:rPr>
                      <w:color w:val="auto"/>
                      <w:kern w:val="0"/>
                      <w:szCs w:val="21"/>
                    </w:rPr>
                  </w:pPr>
                  <w:r>
                    <w:rPr>
                      <w:rFonts w:hint="eastAsia"/>
                      <w:color w:val="auto"/>
                      <w:kern w:val="0"/>
                      <w:szCs w:val="21"/>
                    </w:rPr>
                    <w:t>位于生产区北侧，占地面积100m</w:t>
                  </w:r>
                  <w:r>
                    <w:rPr>
                      <w:rFonts w:hint="eastAsia"/>
                      <w:color w:val="auto"/>
                      <w:kern w:val="0"/>
                      <w:szCs w:val="21"/>
                      <w:vertAlign w:val="superscript"/>
                    </w:rPr>
                    <w:t>2</w:t>
                  </w:r>
                  <w:r>
                    <w:rPr>
                      <w:rFonts w:hint="eastAsia"/>
                      <w:color w:val="auto"/>
                      <w:kern w:val="0"/>
                      <w:szCs w:val="21"/>
                    </w:rPr>
                    <w:t>，购置热转印机用于成品外印制需要的图像</w:t>
                  </w:r>
                </w:p>
              </w:tc>
              <w:tc>
                <w:tcPr>
                  <w:tcW w:w="534" w:type="pct"/>
                  <w:vMerge w:val="continue"/>
                  <w:shd w:val="clear" w:color="auto" w:fill="auto"/>
                  <w:vAlign w:val="center"/>
                </w:tcPr>
                <w:p w14:paraId="36F429A9">
                  <w:pPr>
                    <w:adjustRightInd w:val="0"/>
                    <w:snapToGrid w:val="0"/>
                    <w:jc w:val="center"/>
                    <w:rPr>
                      <w:color w:val="auto"/>
                      <w:kern w:val="0"/>
                      <w:szCs w:val="21"/>
                    </w:rPr>
                  </w:pPr>
                </w:p>
              </w:tc>
            </w:tr>
            <w:tr w14:paraId="2FA4F6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 w:type="pct"/>
                  <w:vMerge w:val="continue"/>
                  <w:vAlign w:val="center"/>
                </w:tcPr>
                <w:p w14:paraId="3B83DCC6">
                  <w:pPr>
                    <w:adjustRightInd w:val="0"/>
                    <w:snapToGrid w:val="0"/>
                    <w:jc w:val="center"/>
                    <w:rPr>
                      <w:color w:val="auto"/>
                      <w:szCs w:val="21"/>
                    </w:rPr>
                  </w:pPr>
                </w:p>
              </w:tc>
              <w:tc>
                <w:tcPr>
                  <w:tcW w:w="309" w:type="pct"/>
                  <w:gridSpan w:val="2"/>
                  <w:vMerge w:val="continue"/>
                  <w:vAlign w:val="center"/>
                </w:tcPr>
                <w:p w14:paraId="12D81623">
                  <w:pPr>
                    <w:widowControl/>
                    <w:adjustRightInd w:val="0"/>
                    <w:snapToGrid w:val="0"/>
                    <w:jc w:val="center"/>
                    <w:rPr>
                      <w:color w:val="auto"/>
                      <w:kern w:val="0"/>
                      <w:szCs w:val="21"/>
                    </w:rPr>
                  </w:pPr>
                </w:p>
              </w:tc>
              <w:tc>
                <w:tcPr>
                  <w:tcW w:w="429" w:type="pct"/>
                  <w:shd w:val="clear" w:color="auto" w:fill="auto"/>
                  <w:vAlign w:val="center"/>
                </w:tcPr>
                <w:p w14:paraId="3615D391">
                  <w:pPr>
                    <w:widowControl/>
                    <w:adjustRightInd w:val="0"/>
                    <w:snapToGrid w:val="0"/>
                    <w:jc w:val="center"/>
                    <w:rPr>
                      <w:color w:val="auto"/>
                      <w:kern w:val="0"/>
                      <w:szCs w:val="21"/>
                    </w:rPr>
                  </w:pPr>
                  <w:r>
                    <w:rPr>
                      <w:rFonts w:hint="eastAsia"/>
                      <w:color w:val="auto"/>
                      <w:kern w:val="0"/>
                      <w:szCs w:val="21"/>
                    </w:rPr>
                    <w:t>破碎区</w:t>
                  </w:r>
                </w:p>
              </w:tc>
              <w:tc>
                <w:tcPr>
                  <w:tcW w:w="3456" w:type="pct"/>
                  <w:shd w:val="clear" w:color="auto" w:fill="auto"/>
                  <w:vAlign w:val="center"/>
                </w:tcPr>
                <w:p w14:paraId="52D1F5A0">
                  <w:pPr>
                    <w:adjustRightInd w:val="0"/>
                    <w:snapToGrid w:val="0"/>
                    <w:rPr>
                      <w:bCs/>
                      <w:snapToGrid w:val="0"/>
                      <w:color w:val="auto"/>
                      <w:szCs w:val="21"/>
                    </w:rPr>
                  </w:pPr>
                  <w:r>
                    <w:rPr>
                      <w:rFonts w:hint="eastAsia"/>
                      <w:bCs/>
                      <w:snapToGrid w:val="0"/>
                      <w:color w:val="auto"/>
                      <w:szCs w:val="21"/>
                    </w:rPr>
                    <w:t>位于生产区东南侧，占地面积64m</w:t>
                  </w:r>
                  <w:r>
                    <w:rPr>
                      <w:rFonts w:hint="eastAsia"/>
                      <w:bCs/>
                      <w:snapToGrid w:val="0"/>
                      <w:color w:val="auto"/>
                      <w:szCs w:val="21"/>
                      <w:vertAlign w:val="superscript"/>
                    </w:rPr>
                    <w:t>2</w:t>
                  </w:r>
                  <w:r>
                    <w:rPr>
                      <w:rFonts w:hint="eastAsia"/>
                      <w:bCs/>
                      <w:snapToGrid w:val="0"/>
                      <w:color w:val="auto"/>
                      <w:szCs w:val="21"/>
                    </w:rPr>
                    <w:t>，配备破碎机1台，主要进行塑料桶不合格品和废边角料的暂存及破碎</w:t>
                  </w:r>
                </w:p>
              </w:tc>
              <w:tc>
                <w:tcPr>
                  <w:tcW w:w="534" w:type="pct"/>
                  <w:vMerge w:val="continue"/>
                  <w:shd w:val="clear" w:color="auto" w:fill="auto"/>
                  <w:vAlign w:val="center"/>
                </w:tcPr>
                <w:p w14:paraId="64044E5C">
                  <w:pPr>
                    <w:adjustRightInd w:val="0"/>
                    <w:snapToGrid w:val="0"/>
                    <w:jc w:val="center"/>
                    <w:rPr>
                      <w:bCs/>
                      <w:snapToGrid w:val="0"/>
                      <w:color w:val="auto"/>
                      <w:szCs w:val="21"/>
                    </w:rPr>
                  </w:pPr>
                </w:p>
              </w:tc>
            </w:tr>
            <w:tr w14:paraId="49D4A8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 w:type="pct"/>
                  <w:vMerge w:val="restart"/>
                  <w:vAlign w:val="center"/>
                </w:tcPr>
                <w:p w14:paraId="3F576FCC">
                  <w:pPr>
                    <w:adjustRightInd w:val="0"/>
                    <w:snapToGrid w:val="0"/>
                    <w:jc w:val="center"/>
                    <w:rPr>
                      <w:color w:val="auto"/>
                      <w:szCs w:val="21"/>
                    </w:rPr>
                  </w:pPr>
                  <w:r>
                    <w:rPr>
                      <w:color w:val="auto"/>
                      <w:szCs w:val="21"/>
                    </w:rPr>
                    <w:t>辅助工程</w:t>
                  </w:r>
                </w:p>
              </w:tc>
              <w:tc>
                <w:tcPr>
                  <w:tcW w:w="739" w:type="pct"/>
                  <w:gridSpan w:val="3"/>
                  <w:vAlign w:val="center"/>
                </w:tcPr>
                <w:p w14:paraId="1C83B928">
                  <w:pPr>
                    <w:widowControl/>
                    <w:adjustRightInd w:val="0"/>
                    <w:snapToGrid w:val="0"/>
                    <w:jc w:val="center"/>
                    <w:rPr>
                      <w:color w:val="auto"/>
                      <w:kern w:val="0"/>
                      <w:szCs w:val="21"/>
                    </w:rPr>
                  </w:pPr>
                  <w:r>
                    <w:rPr>
                      <w:rFonts w:hint="eastAsia"/>
                      <w:color w:val="auto"/>
                      <w:kern w:val="0"/>
                      <w:szCs w:val="21"/>
                    </w:rPr>
                    <w:t>办公区</w:t>
                  </w:r>
                </w:p>
              </w:tc>
              <w:tc>
                <w:tcPr>
                  <w:tcW w:w="3456" w:type="pct"/>
                  <w:vAlign w:val="center"/>
                </w:tcPr>
                <w:p w14:paraId="35EA8520">
                  <w:pPr>
                    <w:adjustRightInd w:val="0"/>
                    <w:snapToGrid w:val="0"/>
                    <w:rPr>
                      <w:color w:val="auto"/>
                      <w:szCs w:val="21"/>
                    </w:rPr>
                  </w:pPr>
                  <w:r>
                    <w:rPr>
                      <w:bCs/>
                      <w:snapToGrid w:val="0"/>
                      <w:color w:val="auto"/>
                      <w:szCs w:val="21"/>
                    </w:rPr>
                    <w:t>位于</w:t>
                  </w:r>
                  <w:r>
                    <w:rPr>
                      <w:rFonts w:hint="eastAsia"/>
                      <w:bCs/>
                      <w:snapToGrid w:val="0"/>
                      <w:color w:val="auto"/>
                      <w:szCs w:val="21"/>
                    </w:rPr>
                    <w:t>生产区北侧</w:t>
                  </w:r>
                  <w:r>
                    <w:rPr>
                      <w:bCs/>
                      <w:snapToGrid w:val="0"/>
                      <w:color w:val="auto"/>
                      <w:szCs w:val="21"/>
                    </w:rPr>
                    <w:t>，</w:t>
                  </w:r>
                  <w:r>
                    <w:rPr>
                      <w:rFonts w:hint="eastAsia"/>
                      <w:bCs/>
                      <w:snapToGrid w:val="0"/>
                      <w:color w:val="auto"/>
                      <w:szCs w:val="21"/>
                    </w:rPr>
                    <w:t>2层，占地</w:t>
                  </w:r>
                  <w:r>
                    <w:rPr>
                      <w:bCs/>
                      <w:snapToGrid w:val="0"/>
                      <w:color w:val="auto"/>
                      <w:szCs w:val="21"/>
                    </w:rPr>
                    <w:t>面积</w:t>
                  </w:r>
                  <w:r>
                    <w:rPr>
                      <w:rFonts w:hint="eastAsia"/>
                      <w:bCs/>
                      <w:snapToGrid w:val="0"/>
                      <w:color w:val="auto"/>
                      <w:szCs w:val="21"/>
                    </w:rPr>
                    <w:t>200</w:t>
                  </w:r>
                  <w:r>
                    <w:rPr>
                      <w:bCs/>
                      <w:snapToGrid w:val="0"/>
                      <w:color w:val="auto"/>
                      <w:szCs w:val="21"/>
                    </w:rPr>
                    <w:t>m</w:t>
                  </w:r>
                  <w:r>
                    <w:rPr>
                      <w:bCs/>
                      <w:snapToGrid w:val="0"/>
                      <w:color w:val="auto"/>
                      <w:szCs w:val="21"/>
                      <w:vertAlign w:val="superscript"/>
                    </w:rPr>
                    <w:t>2</w:t>
                  </w:r>
                  <w:r>
                    <w:rPr>
                      <w:bCs/>
                      <w:snapToGrid w:val="0"/>
                      <w:color w:val="auto"/>
                      <w:szCs w:val="21"/>
                    </w:rPr>
                    <w:t>，用于员工办公</w:t>
                  </w:r>
                </w:p>
              </w:tc>
              <w:tc>
                <w:tcPr>
                  <w:tcW w:w="534" w:type="pct"/>
                  <w:vAlign w:val="center"/>
                </w:tcPr>
                <w:p w14:paraId="0B3FC4A3">
                  <w:pPr>
                    <w:adjustRightInd w:val="0"/>
                    <w:snapToGrid w:val="0"/>
                    <w:jc w:val="center"/>
                    <w:rPr>
                      <w:bCs/>
                      <w:snapToGrid w:val="0"/>
                      <w:color w:val="auto"/>
                      <w:szCs w:val="21"/>
                    </w:rPr>
                  </w:pPr>
                  <w:r>
                    <w:rPr>
                      <w:rFonts w:hint="eastAsia"/>
                      <w:bCs/>
                      <w:snapToGrid w:val="0"/>
                      <w:color w:val="auto"/>
                      <w:szCs w:val="21"/>
                    </w:rPr>
                    <w:t>依托</w:t>
                  </w:r>
                </w:p>
              </w:tc>
            </w:tr>
            <w:tr w14:paraId="3038C7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 w:type="pct"/>
                  <w:vMerge w:val="continue"/>
                  <w:vAlign w:val="center"/>
                </w:tcPr>
                <w:p w14:paraId="6D59C545">
                  <w:pPr>
                    <w:adjustRightInd w:val="0"/>
                    <w:snapToGrid w:val="0"/>
                    <w:jc w:val="center"/>
                    <w:rPr>
                      <w:color w:val="auto"/>
                      <w:szCs w:val="21"/>
                    </w:rPr>
                  </w:pPr>
                </w:p>
              </w:tc>
              <w:tc>
                <w:tcPr>
                  <w:tcW w:w="739" w:type="pct"/>
                  <w:gridSpan w:val="3"/>
                  <w:vAlign w:val="center"/>
                </w:tcPr>
                <w:p w14:paraId="00284D22">
                  <w:pPr>
                    <w:widowControl/>
                    <w:adjustRightInd w:val="0"/>
                    <w:snapToGrid w:val="0"/>
                    <w:jc w:val="center"/>
                    <w:rPr>
                      <w:color w:val="auto"/>
                      <w:kern w:val="0"/>
                      <w:szCs w:val="21"/>
                    </w:rPr>
                  </w:pPr>
                  <w:r>
                    <w:rPr>
                      <w:rFonts w:hint="eastAsia"/>
                      <w:color w:val="auto"/>
                      <w:kern w:val="0"/>
                      <w:szCs w:val="21"/>
                    </w:rPr>
                    <w:t>住宿区</w:t>
                  </w:r>
                </w:p>
              </w:tc>
              <w:tc>
                <w:tcPr>
                  <w:tcW w:w="3456" w:type="pct"/>
                  <w:vAlign w:val="center"/>
                </w:tcPr>
                <w:p w14:paraId="063A8F89">
                  <w:pPr>
                    <w:adjustRightInd w:val="0"/>
                    <w:snapToGrid w:val="0"/>
                    <w:rPr>
                      <w:bCs/>
                      <w:snapToGrid w:val="0"/>
                      <w:color w:val="auto"/>
                      <w:szCs w:val="21"/>
                    </w:rPr>
                  </w:pPr>
                  <w:r>
                    <w:rPr>
                      <w:rFonts w:hint="eastAsia"/>
                      <w:bCs/>
                      <w:snapToGrid w:val="0"/>
                      <w:color w:val="auto"/>
                      <w:szCs w:val="21"/>
                    </w:rPr>
                    <w:t>位于生产区北侧，2层，占地面积500m</w:t>
                  </w:r>
                  <w:r>
                    <w:rPr>
                      <w:rFonts w:hint="eastAsia"/>
                      <w:bCs/>
                      <w:snapToGrid w:val="0"/>
                      <w:color w:val="auto"/>
                      <w:szCs w:val="21"/>
                      <w:vertAlign w:val="superscript"/>
                    </w:rPr>
                    <w:t>2</w:t>
                  </w:r>
                  <w:r>
                    <w:rPr>
                      <w:rFonts w:hint="eastAsia"/>
                      <w:bCs/>
                      <w:snapToGrid w:val="0"/>
                      <w:color w:val="auto"/>
                      <w:szCs w:val="21"/>
                    </w:rPr>
                    <w:t>，</w:t>
                  </w:r>
                  <w:r>
                    <w:rPr>
                      <w:bCs/>
                      <w:snapToGrid w:val="0"/>
                      <w:color w:val="auto"/>
                      <w:szCs w:val="21"/>
                    </w:rPr>
                    <w:t>用于员工</w:t>
                  </w:r>
                  <w:r>
                    <w:rPr>
                      <w:rFonts w:hint="eastAsia"/>
                      <w:bCs/>
                      <w:snapToGrid w:val="0"/>
                      <w:color w:val="auto"/>
                      <w:szCs w:val="21"/>
                    </w:rPr>
                    <w:t>住宿</w:t>
                  </w:r>
                </w:p>
              </w:tc>
              <w:tc>
                <w:tcPr>
                  <w:tcW w:w="534" w:type="pct"/>
                  <w:vAlign w:val="center"/>
                </w:tcPr>
                <w:p w14:paraId="44401D5C">
                  <w:pPr>
                    <w:adjustRightInd w:val="0"/>
                    <w:snapToGrid w:val="0"/>
                    <w:jc w:val="center"/>
                    <w:rPr>
                      <w:bCs/>
                      <w:snapToGrid w:val="0"/>
                      <w:color w:val="auto"/>
                      <w:szCs w:val="21"/>
                    </w:rPr>
                  </w:pPr>
                  <w:r>
                    <w:rPr>
                      <w:rFonts w:hint="eastAsia"/>
                      <w:bCs/>
                      <w:snapToGrid w:val="0"/>
                      <w:color w:val="auto"/>
                      <w:szCs w:val="21"/>
                    </w:rPr>
                    <w:t>依托</w:t>
                  </w:r>
                </w:p>
              </w:tc>
            </w:tr>
            <w:tr w14:paraId="318DA8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 w:type="pct"/>
                  <w:vMerge w:val="restart"/>
                  <w:vAlign w:val="center"/>
                </w:tcPr>
                <w:p w14:paraId="7D93AF81">
                  <w:pPr>
                    <w:adjustRightInd w:val="0"/>
                    <w:snapToGrid w:val="0"/>
                    <w:jc w:val="center"/>
                    <w:rPr>
                      <w:color w:val="auto"/>
                      <w:szCs w:val="21"/>
                    </w:rPr>
                  </w:pPr>
                  <w:r>
                    <w:rPr>
                      <w:color w:val="auto"/>
                      <w:szCs w:val="21"/>
                    </w:rPr>
                    <w:t>储运工程</w:t>
                  </w:r>
                </w:p>
              </w:tc>
              <w:tc>
                <w:tcPr>
                  <w:tcW w:w="739" w:type="pct"/>
                  <w:gridSpan w:val="3"/>
                  <w:vAlign w:val="center"/>
                </w:tcPr>
                <w:p w14:paraId="55DE2C90">
                  <w:pPr>
                    <w:widowControl/>
                    <w:adjustRightInd w:val="0"/>
                    <w:snapToGrid w:val="0"/>
                    <w:jc w:val="center"/>
                    <w:rPr>
                      <w:color w:val="auto"/>
                      <w:kern w:val="0"/>
                      <w:szCs w:val="21"/>
                    </w:rPr>
                  </w:pPr>
                  <w:r>
                    <w:rPr>
                      <w:rFonts w:hint="eastAsia"/>
                      <w:color w:val="auto"/>
                      <w:kern w:val="0"/>
                      <w:szCs w:val="21"/>
                    </w:rPr>
                    <w:t>塑料桶原料区</w:t>
                  </w:r>
                </w:p>
              </w:tc>
              <w:tc>
                <w:tcPr>
                  <w:tcW w:w="3456" w:type="pct"/>
                  <w:vAlign w:val="center"/>
                </w:tcPr>
                <w:p w14:paraId="609AD00F">
                  <w:pPr>
                    <w:adjustRightInd w:val="0"/>
                    <w:snapToGrid w:val="0"/>
                    <w:rPr>
                      <w:color w:val="auto"/>
                      <w:szCs w:val="21"/>
                    </w:rPr>
                  </w:pPr>
                  <w:r>
                    <w:rPr>
                      <w:rFonts w:hint="eastAsia"/>
                      <w:color w:val="auto"/>
                      <w:kern w:val="0"/>
                      <w:szCs w:val="21"/>
                    </w:rPr>
                    <w:t>注塑原料区位于注塑区西北侧，</w:t>
                  </w:r>
                  <w:r>
                    <w:rPr>
                      <w:rFonts w:hint="eastAsia"/>
                      <w:color w:val="auto"/>
                      <w:szCs w:val="21"/>
                    </w:rPr>
                    <w:t>面积50</w:t>
                  </w:r>
                  <w:r>
                    <w:rPr>
                      <w:rFonts w:hint="eastAsia"/>
                      <w:color w:val="auto"/>
                      <w:kern w:val="0"/>
                      <w:szCs w:val="21"/>
                    </w:rPr>
                    <w:t>m</w:t>
                  </w:r>
                  <w:r>
                    <w:rPr>
                      <w:rFonts w:hint="eastAsia"/>
                      <w:color w:val="auto"/>
                      <w:kern w:val="0"/>
                      <w:szCs w:val="21"/>
                      <w:vertAlign w:val="superscript"/>
                    </w:rPr>
                    <w:t>2</w:t>
                  </w:r>
                  <w:r>
                    <w:rPr>
                      <w:rFonts w:hint="eastAsia"/>
                      <w:color w:val="auto"/>
                      <w:kern w:val="0"/>
                      <w:szCs w:val="21"/>
                    </w:rPr>
                    <w:t>，用于注塑用原料的暂存</w:t>
                  </w:r>
                </w:p>
              </w:tc>
              <w:tc>
                <w:tcPr>
                  <w:tcW w:w="534" w:type="pct"/>
                  <w:vMerge w:val="restart"/>
                  <w:vAlign w:val="center"/>
                </w:tcPr>
                <w:p w14:paraId="138843BB">
                  <w:pPr>
                    <w:adjustRightInd/>
                    <w:snapToGrid/>
                    <w:jc w:val="left"/>
                    <w:rPr>
                      <w:color w:val="auto"/>
                      <w:kern w:val="0"/>
                      <w:szCs w:val="21"/>
                    </w:rPr>
                  </w:pPr>
                  <w:r>
                    <w:rPr>
                      <w:rFonts w:hint="eastAsia"/>
                      <w:color w:val="auto"/>
                      <w:kern w:val="0"/>
                      <w:szCs w:val="21"/>
                      <w:lang w:val="en-US" w:eastAsia="zh-CN"/>
                    </w:rPr>
                    <w:t>厂房依托现有工程</w:t>
                  </w:r>
                </w:p>
              </w:tc>
            </w:tr>
            <w:tr w14:paraId="732094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 w:type="pct"/>
                  <w:vMerge w:val="continue"/>
                  <w:vAlign w:val="center"/>
                </w:tcPr>
                <w:p w14:paraId="2DCD3511">
                  <w:pPr>
                    <w:adjustRightInd w:val="0"/>
                    <w:snapToGrid w:val="0"/>
                    <w:jc w:val="center"/>
                    <w:rPr>
                      <w:color w:val="auto"/>
                      <w:szCs w:val="21"/>
                    </w:rPr>
                  </w:pPr>
                </w:p>
              </w:tc>
              <w:tc>
                <w:tcPr>
                  <w:tcW w:w="739" w:type="pct"/>
                  <w:gridSpan w:val="3"/>
                  <w:vMerge w:val="restart"/>
                  <w:vAlign w:val="center"/>
                </w:tcPr>
                <w:p w14:paraId="7921E834">
                  <w:pPr>
                    <w:widowControl/>
                    <w:adjustRightInd w:val="0"/>
                    <w:snapToGrid w:val="0"/>
                    <w:jc w:val="center"/>
                    <w:rPr>
                      <w:color w:val="auto"/>
                      <w:kern w:val="0"/>
                      <w:szCs w:val="21"/>
                    </w:rPr>
                  </w:pPr>
                  <w:r>
                    <w:rPr>
                      <w:rFonts w:hint="eastAsia"/>
                      <w:color w:val="auto"/>
                      <w:kern w:val="0"/>
                      <w:szCs w:val="21"/>
                    </w:rPr>
                    <w:t>塑料桶成品库</w:t>
                  </w:r>
                </w:p>
              </w:tc>
              <w:tc>
                <w:tcPr>
                  <w:tcW w:w="3456" w:type="pct"/>
                  <w:vAlign w:val="center"/>
                </w:tcPr>
                <w:p w14:paraId="4BAF33DE">
                  <w:pPr>
                    <w:adjustRightInd w:val="0"/>
                    <w:snapToGrid w:val="0"/>
                    <w:rPr>
                      <w:color w:val="auto"/>
                      <w:kern w:val="0"/>
                      <w:szCs w:val="21"/>
                    </w:rPr>
                  </w:pPr>
                  <w:r>
                    <w:rPr>
                      <w:rFonts w:hint="eastAsia"/>
                      <w:color w:val="auto"/>
                      <w:kern w:val="0"/>
                      <w:szCs w:val="21"/>
                    </w:rPr>
                    <w:t>成品库1位于生产区西北侧，面积260m</w:t>
                  </w:r>
                  <w:r>
                    <w:rPr>
                      <w:rFonts w:hint="eastAsia"/>
                      <w:color w:val="auto"/>
                      <w:kern w:val="0"/>
                      <w:szCs w:val="21"/>
                      <w:vertAlign w:val="superscript"/>
                    </w:rPr>
                    <w:t>2</w:t>
                  </w:r>
                  <w:r>
                    <w:rPr>
                      <w:rFonts w:hint="eastAsia"/>
                      <w:color w:val="auto"/>
                      <w:kern w:val="0"/>
                      <w:szCs w:val="21"/>
                    </w:rPr>
                    <w:t>，用于塑料桶成品的暂存</w:t>
                  </w:r>
                </w:p>
              </w:tc>
              <w:tc>
                <w:tcPr>
                  <w:tcW w:w="534" w:type="pct"/>
                  <w:vMerge w:val="continue"/>
                  <w:vAlign w:val="center"/>
                </w:tcPr>
                <w:p w14:paraId="59333BB6">
                  <w:pPr>
                    <w:adjustRightInd w:val="0"/>
                    <w:snapToGrid w:val="0"/>
                    <w:jc w:val="center"/>
                    <w:rPr>
                      <w:color w:val="auto"/>
                      <w:kern w:val="0"/>
                      <w:szCs w:val="21"/>
                    </w:rPr>
                  </w:pPr>
                </w:p>
              </w:tc>
            </w:tr>
            <w:tr w14:paraId="654441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 w:type="pct"/>
                  <w:vMerge w:val="continue"/>
                  <w:vAlign w:val="center"/>
                </w:tcPr>
                <w:p w14:paraId="48D99BAA">
                  <w:pPr>
                    <w:adjustRightInd w:val="0"/>
                    <w:snapToGrid w:val="0"/>
                    <w:rPr>
                      <w:color w:val="auto"/>
                    </w:rPr>
                  </w:pPr>
                </w:p>
              </w:tc>
              <w:tc>
                <w:tcPr>
                  <w:tcW w:w="739" w:type="pct"/>
                  <w:gridSpan w:val="3"/>
                  <w:vMerge w:val="continue"/>
                  <w:vAlign w:val="center"/>
                </w:tcPr>
                <w:p w14:paraId="253448E5">
                  <w:pPr>
                    <w:adjustRightInd w:val="0"/>
                    <w:snapToGrid w:val="0"/>
                    <w:rPr>
                      <w:color w:val="auto"/>
                    </w:rPr>
                  </w:pPr>
                </w:p>
              </w:tc>
              <w:tc>
                <w:tcPr>
                  <w:tcW w:w="3456" w:type="pct"/>
                  <w:vAlign w:val="center"/>
                </w:tcPr>
                <w:p w14:paraId="1F6483FA">
                  <w:pPr>
                    <w:adjustRightInd w:val="0"/>
                    <w:snapToGrid w:val="0"/>
                    <w:rPr>
                      <w:color w:val="auto"/>
                      <w:kern w:val="0"/>
                      <w:szCs w:val="21"/>
                    </w:rPr>
                  </w:pPr>
                  <w:r>
                    <w:rPr>
                      <w:rFonts w:hint="eastAsia"/>
                      <w:color w:val="auto"/>
                      <w:kern w:val="0"/>
                      <w:szCs w:val="21"/>
                    </w:rPr>
                    <w:t>成品盖子区位于生产区东北角，面积300m</w:t>
                  </w:r>
                  <w:r>
                    <w:rPr>
                      <w:rFonts w:hint="eastAsia"/>
                      <w:color w:val="auto"/>
                      <w:kern w:val="0"/>
                      <w:szCs w:val="21"/>
                      <w:vertAlign w:val="superscript"/>
                    </w:rPr>
                    <w:t>2</w:t>
                  </w:r>
                  <w:r>
                    <w:rPr>
                      <w:rFonts w:hint="eastAsia"/>
                      <w:color w:val="auto"/>
                      <w:kern w:val="0"/>
                      <w:szCs w:val="21"/>
                    </w:rPr>
                    <w:t>，用于塑料桶成品的暂存</w:t>
                  </w:r>
                </w:p>
              </w:tc>
              <w:tc>
                <w:tcPr>
                  <w:tcW w:w="534" w:type="pct"/>
                  <w:vMerge w:val="continue"/>
                  <w:vAlign w:val="center"/>
                </w:tcPr>
                <w:p w14:paraId="6287F70C">
                  <w:pPr>
                    <w:adjustRightInd w:val="0"/>
                    <w:snapToGrid w:val="0"/>
                    <w:jc w:val="center"/>
                    <w:rPr>
                      <w:color w:val="auto"/>
                      <w:kern w:val="0"/>
                      <w:szCs w:val="21"/>
                    </w:rPr>
                  </w:pPr>
                </w:p>
              </w:tc>
            </w:tr>
            <w:tr w14:paraId="7C4FF9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 w:type="pct"/>
                  <w:vMerge w:val="continue"/>
                  <w:vAlign w:val="center"/>
                </w:tcPr>
                <w:p w14:paraId="28C5963B">
                  <w:pPr>
                    <w:adjustRightInd w:val="0"/>
                    <w:snapToGrid w:val="0"/>
                    <w:rPr>
                      <w:color w:val="auto"/>
                    </w:rPr>
                  </w:pPr>
                </w:p>
              </w:tc>
              <w:tc>
                <w:tcPr>
                  <w:tcW w:w="739" w:type="pct"/>
                  <w:gridSpan w:val="3"/>
                  <w:vMerge w:val="continue"/>
                  <w:vAlign w:val="center"/>
                </w:tcPr>
                <w:p w14:paraId="72E3BBC1">
                  <w:pPr>
                    <w:adjustRightInd w:val="0"/>
                    <w:snapToGrid w:val="0"/>
                    <w:rPr>
                      <w:color w:val="auto"/>
                    </w:rPr>
                  </w:pPr>
                </w:p>
              </w:tc>
              <w:tc>
                <w:tcPr>
                  <w:tcW w:w="3456" w:type="pct"/>
                  <w:vAlign w:val="center"/>
                </w:tcPr>
                <w:p w14:paraId="4CFA194D">
                  <w:pPr>
                    <w:adjustRightInd w:val="0"/>
                    <w:snapToGrid w:val="0"/>
                    <w:rPr>
                      <w:color w:val="auto"/>
                      <w:kern w:val="0"/>
                      <w:szCs w:val="21"/>
                    </w:rPr>
                  </w:pPr>
                  <w:r>
                    <w:rPr>
                      <w:rFonts w:hint="eastAsia"/>
                      <w:color w:val="auto"/>
                      <w:kern w:val="0"/>
                      <w:szCs w:val="21"/>
                    </w:rPr>
                    <w:t>成品库2位于生产区南侧，面积600m</w:t>
                  </w:r>
                  <w:r>
                    <w:rPr>
                      <w:rFonts w:hint="eastAsia"/>
                      <w:color w:val="auto"/>
                      <w:kern w:val="0"/>
                      <w:szCs w:val="21"/>
                      <w:vertAlign w:val="superscript"/>
                    </w:rPr>
                    <w:t>2</w:t>
                  </w:r>
                  <w:r>
                    <w:rPr>
                      <w:rFonts w:hint="eastAsia"/>
                      <w:color w:val="auto"/>
                      <w:kern w:val="0"/>
                      <w:szCs w:val="21"/>
                    </w:rPr>
                    <w:t>，用于塑料桶、塑料桶成品盖子的暂存</w:t>
                  </w:r>
                </w:p>
              </w:tc>
              <w:tc>
                <w:tcPr>
                  <w:tcW w:w="534" w:type="pct"/>
                  <w:vMerge w:val="continue"/>
                  <w:vAlign w:val="center"/>
                </w:tcPr>
                <w:p w14:paraId="2860448F">
                  <w:pPr>
                    <w:adjustRightInd w:val="0"/>
                    <w:snapToGrid w:val="0"/>
                    <w:jc w:val="center"/>
                    <w:rPr>
                      <w:color w:val="auto"/>
                      <w:kern w:val="0"/>
                      <w:szCs w:val="21"/>
                    </w:rPr>
                  </w:pPr>
                </w:p>
              </w:tc>
            </w:tr>
            <w:tr w14:paraId="5BC55B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 w:type="pct"/>
                  <w:vMerge w:val="restart"/>
                  <w:vAlign w:val="center"/>
                </w:tcPr>
                <w:p w14:paraId="1BCAA24C">
                  <w:pPr>
                    <w:adjustRightInd w:val="0"/>
                    <w:snapToGrid w:val="0"/>
                    <w:jc w:val="center"/>
                    <w:rPr>
                      <w:color w:val="auto"/>
                      <w:szCs w:val="21"/>
                    </w:rPr>
                  </w:pPr>
                  <w:r>
                    <w:rPr>
                      <w:color w:val="auto"/>
                      <w:szCs w:val="21"/>
                    </w:rPr>
                    <w:t>公用工程</w:t>
                  </w:r>
                </w:p>
              </w:tc>
              <w:tc>
                <w:tcPr>
                  <w:tcW w:w="739" w:type="pct"/>
                  <w:gridSpan w:val="3"/>
                  <w:vAlign w:val="center"/>
                </w:tcPr>
                <w:p w14:paraId="3D5E124C">
                  <w:pPr>
                    <w:adjustRightInd w:val="0"/>
                    <w:snapToGrid w:val="0"/>
                    <w:jc w:val="center"/>
                    <w:rPr>
                      <w:color w:val="auto"/>
                      <w:szCs w:val="21"/>
                    </w:rPr>
                  </w:pPr>
                  <w:r>
                    <w:rPr>
                      <w:color w:val="auto"/>
                      <w:szCs w:val="21"/>
                    </w:rPr>
                    <w:t>给水</w:t>
                  </w:r>
                </w:p>
              </w:tc>
              <w:tc>
                <w:tcPr>
                  <w:tcW w:w="3456" w:type="pct"/>
                  <w:vAlign w:val="center"/>
                </w:tcPr>
                <w:p w14:paraId="4E5FD69A">
                  <w:pPr>
                    <w:adjustRightInd w:val="0"/>
                    <w:snapToGrid w:val="0"/>
                    <w:rPr>
                      <w:rFonts w:hint="eastAsia" w:eastAsia="宋体"/>
                      <w:color w:val="auto"/>
                      <w:szCs w:val="21"/>
                      <w:lang w:val="en-US" w:eastAsia="zh-CN"/>
                    </w:rPr>
                  </w:pPr>
                  <w:r>
                    <w:rPr>
                      <w:rFonts w:hint="default"/>
                      <w:color w:val="auto"/>
                      <w:szCs w:val="21"/>
                      <w:lang w:val="en-US"/>
                    </w:rPr>
                    <w:t>花园村</w:t>
                  </w:r>
                  <w:r>
                    <w:rPr>
                      <w:rFonts w:hint="eastAsia"/>
                      <w:color w:val="auto"/>
                      <w:szCs w:val="21"/>
                      <w:lang w:val="en-US" w:eastAsia="zh-CN"/>
                    </w:rPr>
                    <w:t>自来水</w:t>
                  </w:r>
                  <w:r>
                    <w:rPr>
                      <w:rFonts w:hint="eastAsia"/>
                      <w:color w:val="auto"/>
                      <w:szCs w:val="21"/>
                    </w:rPr>
                    <w:t>供水</w:t>
                  </w:r>
                  <w:r>
                    <w:rPr>
                      <w:rFonts w:hint="eastAsia"/>
                      <w:color w:val="auto"/>
                      <w:lang w:val="en-US" w:eastAsia="zh-CN"/>
                    </w:rPr>
                    <w:t>管道</w:t>
                  </w:r>
                </w:p>
              </w:tc>
              <w:tc>
                <w:tcPr>
                  <w:tcW w:w="534" w:type="pct"/>
                  <w:vAlign w:val="center"/>
                </w:tcPr>
                <w:p w14:paraId="367F1783">
                  <w:pPr>
                    <w:adjustRightInd w:val="0"/>
                    <w:snapToGrid w:val="0"/>
                    <w:jc w:val="center"/>
                    <w:rPr>
                      <w:color w:val="auto"/>
                      <w:szCs w:val="21"/>
                    </w:rPr>
                  </w:pPr>
                  <w:r>
                    <w:rPr>
                      <w:rFonts w:hint="eastAsia"/>
                      <w:color w:val="auto"/>
                      <w:szCs w:val="21"/>
                    </w:rPr>
                    <w:t>依托</w:t>
                  </w:r>
                </w:p>
              </w:tc>
            </w:tr>
            <w:tr w14:paraId="6A64E0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9" w:type="pct"/>
                  <w:vMerge w:val="continue"/>
                  <w:vAlign w:val="center"/>
                </w:tcPr>
                <w:p w14:paraId="5AEC6200">
                  <w:pPr>
                    <w:adjustRightInd w:val="0"/>
                    <w:snapToGrid w:val="0"/>
                    <w:jc w:val="center"/>
                    <w:rPr>
                      <w:color w:val="auto"/>
                      <w:szCs w:val="21"/>
                    </w:rPr>
                  </w:pPr>
                </w:p>
              </w:tc>
              <w:tc>
                <w:tcPr>
                  <w:tcW w:w="739" w:type="pct"/>
                  <w:gridSpan w:val="3"/>
                  <w:vAlign w:val="center"/>
                </w:tcPr>
                <w:p w14:paraId="574ED01F">
                  <w:pPr>
                    <w:adjustRightInd w:val="0"/>
                    <w:snapToGrid w:val="0"/>
                    <w:jc w:val="center"/>
                    <w:rPr>
                      <w:color w:val="auto"/>
                      <w:szCs w:val="21"/>
                    </w:rPr>
                  </w:pPr>
                  <w:r>
                    <w:rPr>
                      <w:color w:val="auto"/>
                      <w:szCs w:val="21"/>
                    </w:rPr>
                    <w:t>排水</w:t>
                  </w:r>
                </w:p>
              </w:tc>
              <w:tc>
                <w:tcPr>
                  <w:tcW w:w="3456" w:type="pct"/>
                  <w:vAlign w:val="center"/>
                </w:tcPr>
                <w:p w14:paraId="5E49CAB0">
                  <w:pPr>
                    <w:pStyle w:val="68"/>
                    <w:adjustRightInd w:val="0"/>
                    <w:spacing w:line="240" w:lineRule="auto"/>
                    <w:ind w:firstLine="0" w:firstLineChars="0"/>
                    <w:rPr>
                      <w:rFonts w:ascii="Times New Roman" w:cs="Times New Roman"/>
                      <w:color w:val="auto"/>
                      <w:sz w:val="21"/>
                      <w:szCs w:val="21"/>
                    </w:rPr>
                  </w:pPr>
                  <w:r>
                    <w:rPr>
                      <w:rFonts w:hint="eastAsia" w:ascii="Times New Roman" w:cs="Times New Roman"/>
                      <w:color w:val="auto"/>
                      <w:sz w:val="21"/>
                      <w:szCs w:val="21"/>
                    </w:rPr>
                    <w:t>生活污水经租赁厂区</w:t>
                  </w:r>
                  <w:r>
                    <w:rPr>
                      <w:rFonts w:hint="eastAsia" w:ascii="Times New Roman" w:cs="Times New Roman"/>
                      <w:color w:val="auto"/>
                      <w:sz w:val="21"/>
                      <w:szCs w:val="21"/>
                      <w:lang w:val="en-US" w:eastAsia="zh-CN"/>
                    </w:rPr>
                    <w:t>防渗</w:t>
                  </w:r>
                  <w:r>
                    <w:rPr>
                      <w:rFonts w:hint="eastAsia" w:ascii="Times New Roman" w:cs="Times New Roman"/>
                      <w:color w:val="auto"/>
                      <w:sz w:val="21"/>
                      <w:szCs w:val="21"/>
                      <w:lang w:eastAsia="zh-CN"/>
                    </w:rPr>
                    <w:t>旱厕</w:t>
                  </w:r>
                  <w:r>
                    <w:rPr>
                      <w:rFonts w:hint="eastAsia" w:ascii="Times New Roman" w:cs="Times New Roman"/>
                      <w:color w:val="auto"/>
                      <w:sz w:val="21"/>
                      <w:szCs w:val="21"/>
                    </w:rPr>
                    <w:t>处理后，定期清掏用于周边农地，不外排</w:t>
                  </w:r>
                </w:p>
              </w:tc>
              <w:tc>
                <w:tcPr>
                  <w:tcW w:w="534" w:type="pct"/>
                  <w:vAlign w:val="center"/>
                </w:tcPr>
                <w:p w14:paraId="027436B4">
                  <w:pPr>
                    <w:pStyle w:val="68"/>
                    <w:adjustRightInd w:val="0"/>
                    <w:spacing w:line="240" w:lineRule="auto"/>
                    <w:ind w:firstLine="0" w:firstLineChars="0"/>
                    <w:jc w:val="center"/>
                    <w:rPr>
                      <w:rFonts w:ascii="Times New Roman" w:cs="Times New Roman"/>
                      <w:color w:val="auto"/>
                      <w:sz w:val="21"/>
                      <w:szCs w:val="21"/>
                    </w:rPr>
                  </w:pPr>
                  <w:r>
                    <w:rPr>
                      <w:rFonts w:hint="eastAsia" w:ascii="Times New Roman" w:cs="Times New Roman"/>
                      <w:color w:val="auto"/>
                      <w:sz w:val="21"/>
                      <w:szCs w:val="21"/>
                    </w:rPr>
                    <w:t>依托</w:t>
                  </w:r>
                </w:p>
              </w:tc>
            </w:tr>
            <w:tr w14:paraId="728008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 w:type="pct"/>
                  <w:vMerge w:val="continue"/>
                  <w:vAlign w:val="center"/>
                </w:tcPr>
                <w:p w14:paraId="09CA9025">
                  <w:pPr>
                    <w:adjustRightInd w:val="0"/>
                    <w:snapToGrid w:val="0"/>
                    <w:jc w:val="center"/>
                    <w:rPr>
                      <w:color w:val="auto"/>
                      <w:szCs w:val="21"/>
                    </w:rPr>
                  </w:pPr>
                </w:p>
              </w:tc>
              <w:tc>
                <w:tcPr>
                  <w:tcW w:w="739" w:type="pct"/>
                  <w:gridSpan w:val="3"/>
                  <w:vAlign w:val="center"/>
                </w:tcPr>
                <w:p w14:paraId="017C1238">
                  <w:pPr>
                    <w:adjustRightInd w:val="0"/>
                    <w:snapToGrid w:val="0"/>
                    <w:jc w:val="center"/>
                    <w:rPr>
                      <w:color w:val="auto"/>
                      <w:szCs w:val="21"/>
                    </w:rPr>
                  </w:pPr>
                  <w:r>
                    <w:rPr>
                      <w:color w:val="auto"/>
                      <w:szCs w:val="21"/>
                    </w:rPr>
                    <w:t>供电</w:t>
                  </w:r>
                </w:p>
              </w:tc>
              <w:tc>
                <w:tcPr>
                  <w:tcW w:w="3456" w:type="pct"/>
                  <w:vAlign w:val="center"/>
                </w:tcPr>
                <w:p w14:paraId="5AB88CF5">
                  <w:pPr>
                    <w:pStyle w:val="68"/>
                    <w:adjustRightInd w:val="0"/>
                    <w:spacing w:line="240" w:lineRule="auto"/>
                    <w:ind w:firstLine="0" w:firstLineChars="0"/>
                    <w:rPr>
                      <w:rFonts w:ascii="Times New Roman" w:cs="Times New Roman"/>
                      <w:color w:val="auto"/>
                      <w:sz w:val="21"/>
                      <w:szCs w:val="21"/>
                    </w:rPr>
                  </w:pPr>
                  <w:r>
                    <w:rPr>
                      <w:rFonts w:ascii="Times New Roman" w:cs="Times New Roman"/>
                      <w:color w:val="auto"/>
                      <w:sz w:val="21"/>
                      <w:szCs w:val="21"/>
                    </w:rPr>
                    <w:t>由市政电网供给</w:t>
                  </w:r>
                </w:p>
              </w:tc>
              <w:tc>
                <w:tcPr>
                  <w:tcW w:w="534" w:type="pct"/>
                  <w:vAlign w:val="center"/>
                </w:tcPr>
                <w:p w14:paraId="6BF384D9">
                  <w:pPr>
                    <w:pStyle w:val="68"/>
                    <w:adjustRightInd w:val="0"/>
                    <w:spacing w:line="240" w:lineRule="auto"/>
                    <w:ind w:firstLine="0" w:firstLineChars="0"/>
                    <w:jc w:val="center"/>
                    <w:rPr>
                      <w:rFonts w:ascii="Times New Roman" w:cs="Times New Roman"/>
                      <w:color w:val="auto"/>
                      <w:sz w:val="21"/>
                      <w:szCs w:val="21"/>
                    </w:rPr>
                  </w:pPr>
                  <w:r>
                    <w:rPr>
                      <w:rFonts w:hint="eastAsia" w:ascii="Times New Roman" w:cs="Times New Roman"/>
                      <w:color w:val="auto"/>
                      <w:sz w:val="21"/>
                      <w:szCs w:val="21"/>
                    </w:rPr>
                    <w:t>依托</w:t>
                  </w:r>
                </w:p>
              </w:tc>
            </w:tr>
            <w:tr w14:paraId="1C048C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 w:type="pct"/>
                  <w:vMerge w:val="continue"/>
                  <w:vAlign w:val="center"/>
                </w:tcPr>
                <w:p w14:paraId="561CF89F">
                  <w:pPr>
                    <w:adjustRightInd w:val="0"/>
                    <w:snapToGrid w:val="0"/>
                    <w:jc w:val="center"/>
                    <w:rPr>
                      <w:color w:val="auto"/>
                      <w:szCs w:val="21"/>
                    </w:rPr>
                  </w:pPr>
                </w:p>
              </w:tc>
              <w:tc>
                <w:tcPr>
                  <w:tcW w:w="739" w:type="pct"/>
                  <w:gridSpan w:val="3"/>
                  <w:vMerge w:val="restart"/>
                  <w:vAlign w:val="center"/>
                </w:tcPr>
                <w:p w14:paraId="33A4DE3C">
                  <w:pPr>
                    <w:adjustRightInd w:val="0"/>
                    <w:snapToGrid w:val="0"/>
                    <w:jc w:val="center"/>
                    <w:rPr>
                      <w:color w:val="auto"/>
                      <w:szCs w:val="21"/>
                    </w:rPr>
                  </w:pPr>
                  <w:r>
                    <w:rPr>
                      <w:color w:val="auto"/>
                      <w:szCs w:val="21"/>
                    </w:rPr>
                    <w:t>供暖制冷</w:t>
                  </w:r>
                </w:p>
              </w:tc>
              <w:tc>
                <w:tcPr>
                  <w:tcW w:w="3456" w:type="pct"/>
                  <w:vAlign w:val="center"/>
                </w:tcPr>
                <w:p w14:paraId="4F3DBA1C">
                  <w:pPr>
                    <w:rPr>
                      <w:color w:val="auto"/>
                      <w:szCs w:val="21"/>
                    </w:rPr>
                  </w:pPr>
                  <w:r>
                    <w:rPr>
                      <w:rFonts w:hint="eastAsia"/>
                      <w:color w:val="auto"/>
                      <w:szCs w:val="21"/>
                    </w:rPr>
                    <w:t>生活及办公区域制冷、供暖采用空调</w:t>
                  </w:r>
                </w:p>
              </w:tc>
              <w:tc>
                <w:tcPr>
                  <w:tcW w:w="534" w:type="pct"/>
                  <w:vAlign w:val="center"/>
                </w:tcPr>
                <w:p w14:paraId="16D1043D">
                  <w:pPr>
                    <w:jc w:val="center"/>
                    <w:rPr>
                      <w:color w:val="auto"/>
                      <w:szCs w:val="21"/>
                    </w:rPr>
                  </w:pPr>
                  <w:r>
                    <w:rPr>
                      <w:rFonts w:hint="eastAsia"/>
                      <w:color w:val="auto"/>
                      <w:szCs w:val="21"/>
                    </w:rPr>
                    <w:t>依托</w:t>
                  </w:r>
                </w:p>
              </w:tc>
            </w:tr>
            <w:tr w14:paraId="3BF422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 w:type="pct"/>
                  <w:vMerge w:val="continue"/>
                  <w:vAlign w:val="center"/>
                </w:tcPr>
                <w:p w14:paraId="5928BA92">
                  <w:pPr>
                    <w:adjustRightInd w:val="0"/>
                    <w:snapToGrid w:val="0"/>
                    <w:jc w:val="center"/>
                    <w:rPr>
                      <w:color w:val="auto"/>
                      <w:szCs w:val="21"/>
                    </w:rPr>
                  </w:pPr>
                </w:p>
              </w:tc>
              <w:tc>
                <w:tcPr>
                  <w:tcW w:w="739" w:type="pct"/>
                  <w:gridSpan w:val="3"/>
                  <w:vMerge w:val="continue"/>
                  <w:vAlign w:val="center"/>
                </w:tcPr>
                <w:p w14:paraId="35D9EE05">
                  <w:pPr>
                    <w:adjustRightInd w:val="0"/>
                    <w:snapToGrid w:val="0"/>
                    <w:jc w:val="center"/>
                    <w:rPr>
                      <w:color w:val="auto"/>
                      <w:szCs w:val="21"/>
                    </w:rPr>
                  </w:pPr>
                </w:p>
              </w:tc>
              <w:tc>
                <w:tcPr>
                  <w:tcW w:w="3456" w:type="pct"/>
                  <w:vAlign w:val="center"/>
                </w:tcPr>
                <w:p w14:paraId="5260BEA8">
                  <w:pPr>
                    <w:rPr>
                      <w:color w:val="auto"/>
                      <w:szCs w:val="21"/>
                    </w:rPr>
                  </w:pPr>
                  <w:r>
                    <w:rPr>
                      <w:rFonts w:hint="eastAsia"/>
                      <w:color w:val="auto"/>
                      <w:szCs w:val="21"/>
                    </w:rPr>
                    <w:t>生产制冷</w:t>
                  </w:r>
                  <w:r>
                    <w:rPr>
                      <w:rFonts w:hint="eastAsia"/>
                      <w:color w:val="auto"/>
                    </w:rPr>
                    <w:t>采用冷却塔</w:t>
                  </w:r>
                </w:p>
              </w:tc>
              <w:tc>
                <w:tcPr>
                  <w:tcW w:w="534" w:type="pct"/>
                  <w:vAlign w:val="center"/>
                </w:tcPr>
                <w:p w14:paraId="5BAE0540">
                  <w:pPr>
                    <w:jc w:val="center"/>
                    <w:rPr>
                      <w:color w:val="auto"/>
                      <w:szCs w:val="21"/>
                    </w:rPr>
                  </w:pPr>
                  <w:r>
                    <w:rPr>
                      <w:rFonts w:hint="eastAsia"/>
                      <w:color w:val="auto"/>
                      <w:szCs w:val="21"/>
                    </w:rPr>
                    <w:t>新建</w:t>
                  </w:r>
                </w:p>
              </w:tc>
            </w:tr>
            <w:tr w14:paraId="2857B1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9" w:type="pct"/>
                  <w:vMerge w:val="restart"/>
                  <w:vAlign w:val="center"/>
                </w:tcPr>
                <w:p w14:paraId="7B2BF807">
                  <w:pPr>
                    <w:adjustRightInd w:val="0"/>
                    <w:snapToGrid w:val="0"/>
                    <w:jc w:val="center"/>
                    <w:rPr>
                      <w:color w:val="auto"/>
                      <w:szCs w:val="21"/>
                    </w:rPr>
                  </w:pPr>
                  <w:r>
                    <w:rPr>
                      <w:color w:val="auto"/>
                      <w:szCs w:val="21"/>
                    </w:rPr>
                    <w:t>环保工程</w:t>
                  </w:r>
                </w:p>
              </w:tc>
              <w:tc>
                <w:tcPr>
                  <w:tcW w:w="739" w:type="pct"/>
                  <w:gridSpan w:val="3"/>
                  <w:vMerge w:val="restart"/>
                  <w:vAlign w:val="center"/>
                </w:tcPr>
                <w:p w14:paraId="765CC3E6">
                  <w:pPr>
                    <w:adjustRightInd w:val="0"/>
                    <w:snapToGrid w:val="0"/>
                    <w:jc w:val="center"/>
                    <w:rPr>
                      <w:color w:val="auto"/>
                      <w:szCs w:val="21"/>
                    </w:rPr>
                  </w:pPr>
                  <w:r>
                    <w:rPr>
                      <w:rFonts w:hint="eastAsia"/>
                      <w:color w:val="auto"/>
                      <w:szCs w:val="21"/>
                    </w:rPr>
                    <w:t>废气</w:t>
                  </w:r>
                </w:p>
              </w:tc>
              <w:tc>
                <w:tcPr>
                  <w:tcW w:w="3456" w:type="pct"/>
                  <w:vAlign w:val="center"/>
                </w:tcPr>
                <w:p w14:paraId="487D2D90">
                  <w:pPr>
                    <w:adjustRightInd w:val="0"/>
                    <w:snapToGrid w:val="0"/>
                    <w:rPr>
                      <w:bCs/>
                      <w:color w:val="auto"/>
                      <w:szCs w:val="21"/>
                    </w:rPr>
                  </w:pPr>
                  <w:r>
                    <w:rPr>
                      <w:rFonts w:hint="eastAsia"/>
                      <w:bCs/>
                      <w:color w:val="auto"/>
                      <w:szCs w:val="21"/>
                    </w:rPr>
                    <w:t>注塑废气采用“集气罩+软帘+</w:t>
                  </w:r>
                  <w:r>
                    <w:rPr>
                      <w:rFonts w:hint="eastAsia"/>
                      <w:bCs/>
                      <w:color w:val="auto"/>
                      <w:szCs w:val="21"/>
                      <w:lang w:val="en-US" w:eastAsia="zh-CN"/>
                    </w:rPr>
                    <w:t>三</w:t>
                  </w:r>
                  <w:r>
                    <w:rPr>
                      <w:rFonts w:hint="eastAsia"/>
                      <w:bCs/>
                      <w:color w:val="auto"/>
                      <w:szCs w:val="21"/>
                    </w:rPr>
                    <w:t>级活性炭吸附”装置处理后，尾气通过15m高排气筒排放</w:t>
                  </w:r>
                </w:p>
              </w:tc>
              <w:tc>
                <w:tcPr>
                  <w:tcW w:w="534" w:type="pct"/>
                  <w:vAlign w:val="center"/>
                </w:tcPr>
                <w:p w14:paraId="5ACA7294">
                  <w:pPr>
                    <w:adjustRightInd w:val="0"/>
                    <w:snapToGrid w:val="0"/>
                    <w:jc w:val="center"/>
                    <w:rPr>
                      <w:bCs/>
                      <w:color w:val="auto"/>
                      <w:szCs w:val="21"/>
                    </w:rPr>
                  </w:pPr>
                  <w:r>
                    <w:rPr>
                      <w:rFonts w:hint="eastAsia"/>
                      <w:color w:val="auto"/>
                      <w:szCs w:val="21"/>
                    </w:rPr>
                    <w:t>新建</w:t>
                  </w:r>
                </w:p>
              </w:tc>
            </w:tr>
            <w:tr w14:paraId="24BCA3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9" w:type="pct"/>
                  <w:vMerge w:val="continue"/>
                  <w:vAlign w:val="center"/>
                </w:tcPr>
                <w:p w14:paraId="43B9F5BB">
                  <w:pPr>
                    <w:adjustRightInd w:val="0"/>
                    <w:snapToGrid w:val="0"/>
                    <w:jc w:val="center"/>
                    <w:rPr>
                      <w:color w:val="auto"/>
                      <w:szCs w:val="21"/>
                    </w:rPr>
                  </w:pPr>
                </w:p>
              </w:tc>
              <w:tc>
                <w:tcPr>
                  <w:tcW w:w="739" w:type="pct"/>
                  <w:gridSpan w:val="3"/>
                  <w:vMerge w:val="continue"/>
                  <w:vAlign w:val="center"/>
                </w:tcPr>
                <w:p w14:paraId="693FB706">
                  <w:pPr>
                    <w:adjustRightInd w:val="0"/>
                    <w:snapToGrid w:val="0"/>
                    <w:jc w:val="center"/>
                    <w:rPr>
                      <w:color w:val="auto"/>
                      <w:szCs w:val="21"/>
                    </w:rPr>
                  </w:pPr>
                </w:p>
              </w:tc>
              <w:tc>
                <w:tcPr>
                  <w:tcW w:w="3456" w:type="pct"/>
                  <w:vAlign w:val="center"/>
                </w:tcPr>
                <w:p w14:paraId="28221066">
                  <w:pPr>
                    <w:adjustRightInd w:val="0"/>
                    <w:snapToGrid w:val="0"/>
                    <w:rPr>
                      <w:bCs/>
                      <w:color w:val="auto"/>
                      <w:szCs w:val="21"/>
                    </w:rPr>
                  </w:pPr>
                  <w:r>
                    <w:rPr>
                      <w:rFonts w:hint="eastAsia"/>
                      <w:bCs/>
                      <w:color w:val="auto"/>
                      <w:szCs w:val="21"/>
                    </w:rPr>
                    <w:t>破碎粉尘采用“集气罩+袋式除尘器”处理后，在密闭破碎间内无组织排放</w:t>
                  </w:r>
                </w:p>
              </w:tc>
              <w:tc>
                <w:tcPr>
                  <w:tcW w:w="534" w:type="pct"/>
                  <w:vAlign w:val="center"/>
                </w:tcPr>
                <w:p w14:paraId="36A44555">
                  <w:pPr>
                    <w:adjustRightInd w:val="0"/>
                    <w:snapToGrid w:val="0"/>
                    <w:jc w:val="center"/>
                    <w:rPr>
                      <w:bCs/>
                      <w:color w:val="auto"/>
                      <w:szCs w:val="21"/>
                    </w:rPr>
                  </w:pPr>
                  <w:r>
                    <w:rPr>
                      <w:rFonts w:hint="eastAsia"/>
                      <w:color w:val="auto"/>
                      <w:szCs w:val="21"/>
                    </w:rPr>
                    <w:t>新建</w:t>
                  </w:r>
                </w:p>
              </w:tc>
            </w:tr>
            <w:tr w14:paraId="4D41B7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 w:type="pct"/>
                  <w:vMerge w:val="continue"/>
                  <w:vAlign w:val="center"/>
                </w:tcPr>
                <w:p w14:paraId="5EB332C2">
                  <w:pPr>
                    <w:adjustRightInd w:val="0"/>
                    <w:snapToGrid w:val="0"/>
                    <w:jc w:val="center"/>
                    <w:rPr>
                      <w:color w:val="auto"/>
                      <w:szCs w:val="21"/>
                    </w:rPr>
                  </w:pPr>
                </w:p>
              </w:tc>
              <w:tc>
                <w:tcPr>
                  <w:tcW w:w="739" w:type="pct"/>
                  <w:gridSpan w:val="3"/>
                  <w:vMerge w:val="continue"/>
                  <w:vAlign w:val="center"/>
                </w:tcPr>
                <w:p w14:paraId="3B2013B7">
                  <w:pPr>
                    <w:adjustRightInd w:val="0"/>
                    <w:snapToGrid w:val="0"/>
                    <w:jc w:val="center"/>
                    <w:rPr>
                      <w:color w:val="auto"/>
                      <w:szCs w:val="21"/>
                    </w:rPr>
                  </w:pPr>
                </w:p>
              </w:tc>
              <w:tc>
                <w:tcPr>
                  <w:tcW w:w="3456" w:type="pct"/>
                  <w:vAlign w:val="center"/>
                </w:tcPr>
                <w:p w14:paraId="0953EBA8">
                  <w:pPr>
                    <w:adjustRightInd w:val="0"/>
                    <w:snapToGrid w:val="0"/>
                    <w:rPr>
                      <w:bCs/>
                      <w:color w:val="auto"/>
                      <w:szCs w:val="21"/>
                    </w:rPr>
                  </w:pPr>
                  <w:r>
                    <w:rPr>
                      <w:rFonts w:hint="eastAsia"/>
                      <w:bCs/>
                      <w:color w:val="auto"/>
                      <w:szCs w:val="21"/>
                    </w:rPr>
                    <w:t>热转印废气产生量很小，在车间内无组织排放</w:t>
                  </w:r>
                </w:p>
              </w:tc>
              <w:tc>
                <w:tcPr>
                  <w:tcW w:w="534" w:type="pct"/>
                  <w:vAlign w:val="center"/>
                </w:tcPr>
                <w:p w14:paraId="57F8D6FB">
                  <w:pPr>
                    <w:adjustRightInd w:val="0"/>
                    <w:snapToGrid w:val="0"/>
                    <w:jc w:val="center"/>
                    <w:rPr>
                      <w:bCs/>
                      <w:color w:val="auto"/>
                      <w:szCs w:val="21"/>
                    </w:rPr>
                  </w:pPr>
                  <w:r>
                    <w:rPr>
                      <w:rFonts w:hint="eastAsia"/>
                      <w:color w:val="auto"/>
                      <w:szCs w:val="21"/>
                    </w:rPr>
                    <w:t>新建</w:t>
                  </w:r>
                </w:p>
              </w:tc>
            </w:tr>
            <w:tr w14:paraId="138D93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9" w:type="pct"/>
                  <w:vMerge w:val="continue"/>
                  <w:vAlign w:val="center"/>
                </w:tcPr>
                <w:p w14:paraId="42866DA4">
                  <w:pPr>
                    <w:adjustRightInd w:val="0"/>
                    <w:snapToGrid w:val="0"/>
                    <w:jc w:val="center"/>
                    <w:rPr>
                      <w:color w:val="auto"/>
                      <w:szCs w:val="21"/>
                    </w:rPr>
                  </w:pPr>
                </w:p>
              </w:tc>
              <w:tc>
                <w:tcPr>
                  <w:tcW w:w="739" w:type="pct"/>
                  <w:gridSpan w:val="3"/>
                  <w:vMerge w:val="restart"/>
                  <w:vAlign w:val="center"/>
                </w:tcPr>
                <w:p w14:paraId="50F47873">
                  <w:pPr>
                    <w:adjustRightInd w:val="0"/>
                    <w:snapToGrid w:val="0"/>
                    <w:jc w:val="center"/>
                    <w:rPr>
                      <w:color w:val="auto"/>
                      <w:szCs w:val="21"/>
                    </w:rPr>
                  </w:pPr>
                  <w:r>
                    <w:rPr>
                      <w:color w:val="auto"/>
                      <w:szCs w:val="21"/>
                    </w:rPr>
                    <w:t>废水</w:t>
                  </w:r>
                </w:p>
              </w:tc>
              <w:tc>
                <w:tcPr>
                  <w:tcW w:w="3456" w:type="pct"/>
                  <w:vAlign w:val="center"/>
                </w:tcPr>
                <w:p w14:paraId="598C3409">
                  <w:pPr>
                    <w:adjustRightInd w:val="0"/>
                    <w:snapToGrid w:val="0"/>
                    <w:rPr>
                      <w:bCs/>
                      <w:color w:val="auto"/>
                      <w:szCs w:val="21"/>
                    </w:rPr>
                  </w:pPr>
                  <w:r>
                    <w:rPr>
                      <w:rFonts w:hint="eastAsia"/>
                      <w:color w:val="auto"/>
                      <w:szCs w:val="21"/>
                    </w:rPr>
                    <w:t>生活污水经租赁厂区</w:t>
                  </w:r>
                  <w:r>
                    <w:rPr>
                      <w:rFonts w:hint="eastAsia"/>
                      <w:color w:val="auto"/>
                      <w:szCs w:val="21"/>
                      <w:lang w:val="en-US" w:eastAsia="zh-CN"/>
                    </w:rPr>
                    <w:t>防</w:t>
                  </w:r>
                  <w:r>
                    <w:rPr>
                      <w:rFonts w:hint="eastAsia"/>
                      <w:color w:val="auto"/>
                      <w:szCs w:val="21"/>
                      <w:lang w:val="en-US" w:eastAsia="zh-CN"/>
                    </w:rPr>
                    <w:t>渗</w:t>
                  </w:r>
                  <w:r>
                    <w:rPr>
                      <w:rFonts w:hint="eastAsia"/>
                      <w:color w:val="auto"/>
                      <w:szCs w:val="21"/>
                      <w:lang w:eastAsia="zh-CN"/>
                    </w:rPr>
                    <w:t>旱厕</w:t>
                  </w:r>
                  <w:r>
                    <w:rPr>
                      <w:rFonts w:hint="eastAsia"/>
                      <w:color w:val="auto"/>
                      <w:szCs w:val="21"/>
                    </w:rPr>
                    <w:t>处理</w:t>
                  </w:r>
                  <w:r>
                    <w:rPr>
                      <w:rFonts w:hint="eastAsia"/>
                      <w:color w:val="auto"/>
                      <w:szCs w:val="21"/>
                    </w:rPr>
                    <w:t>后，定期清掏用于周边农地，不外排</w:t>
                  </w:r>
                </w:p>
              </w:tc>
              <w:tc>
                <w:tcPr>
                  <w:tcW w:w="534" w:type="pct"/>
                  <w:vAlign w:val="center"/>
                </w:tcPr>
                <w:p w14:paraId="1041288D">
                  <w:pPr>
                    <w:adjustRightInd w:val="0"/>
                    <w:snapToGrid w:val="0"/>
                    <w:jc w:val="center"/>
                    <w:rPr>
                      <w:color w:val="auto"/>
                      <w:szCs w:val="21"/>
                    </w:rPr>
                  </w:pPr>
                  <w:r>
                    <w:rPr>
                      <w:rFonts w:hint="eastAsia"/>
                      <w:color w:val="auto"/>
                      <w:szCs w:val="21"/>
                    </w:rPr>
                    <w:t>依托</w:t>
                  </w:r>
                </w:p>
              </w:tc>
            </w:tr>
            <w:tr w14:paraId="438C09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 w:type="pct"/>
                  <w:vMerge w:val="continue"/>
                  <w:vAlign w:val="center"/>
                </w:tcPr>
                <w:p w14:paraId="275FB5DF">
                  <w:pPr>
                    <w:adjustRightInd w:val="0"/>
                    <w:snapToGrid w:val="0"/>
                    <w:jc w:val="center"/>
                    <w:rPr>
                      <w:color w:val="auto"/>
                      <w:szCs w:val="21"/>
                    </w:rPr>
                  </w:pPr>
                </w:p>
              </w:tc>
              <w:tc>
                <w:tcPr>
                  <w:tcW w:w="739" w:type="pct"/>
                  <w:gridSpan w:val="3"/>
                  <w:vMerge w:val="continue"/>
                  <w:vAlign w:val="center"/>
                </w:tcPr>
                <w:p w14:paraId="7F6219B6">
                  <w:pPr>
                    <w:adjustRightInd w:val="0"/>
                    <w:snapToGrid w:val="0"/>
                    <w:jc w:val="center"/>
                    <w:rPr>
                      <w:color w:val="auto"/>
                      <w:szCs w:val="21"/>
                    </w:rPr>
                  </w:pPr>
                </w:p>
              </w:tc>
              <w:tc>
                <w:tcPr>
                  <w:tcW w:w="3456" w:type="pct"/>
                  <w:vAlign w:val="center"/>
                </w:tcPr>
                <w:p w14:paraId="27D3BFB1">
                  <w:pPr>
                    <w:adjustRightInd w:val="0"/>
                    <w:snapToGrid w:val="0"/>
                    <w:rPr>
                      <w:color w:val="auto"/>
                      <w:szCs w:val="21"/>
                    </w:rPr>
                  </w:pPr>
                  <w:r>
                    <w:rPr>
                      <w:rFonts w:hint="eastAsia"/>
                      <w:color w:val="auto"/>
                      <w:szCs w:val="21"/>
                    </w:rPr>
                    <w:t>注塑使用冷却水循环使用，不外排</w:t>
                  </w:r>
                </w:p>
              </w:tc>
              <w:tc>
                <w:tcPr>
                  <w:tcW w:w="534" w:type="pct"/>
                  <w:vAlign w:val="center"/>
                </w:tcPr>
                <w:p w14:paraId="55FD459D">
                  <w:pPr>
                    <w:adjustRightInd w:val="0"/>
                    <w:snapToGrid w:val="0"/>
                    <w:jc w:val="center"/>
                    <w:rPr>
                      <w:color w:val="auto"/>
                      <w:szCs w:val="21"/>
                    </w:rPr>
                  </w:pPr>
                  <w:r>
                    <w:rPr>
                      <w:rFonts w:hint="eastAsia"/>
                      <w:color w:val="auto"/>
                      <w:szCs w:val="21"/>
                    </w:rPr>
                    <w:t>新建</w:t>
                  </w:r>
                </w:p>
              </w:tc>
            </w:tr>
            <w:tr w14:paraId="6A1F93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 w:type="pct"/>
                  <w:vMerge w:val="continue"/>
                  <w:vAlign w:val="center"/>
                </w:tcPr>
                <w:p w14:paraId="30AD328E">
                  <w:pPr>
                    <w:adjustRightInd w:val="0"/>
                    <w:snapToGrid w:val="0"/>
                    <w:jc w:val="center"/>
                    <w:rPr>
                      <w:color w:val="auto"/>
                      <w:spacing w:val="-20"/>
                      <w:szCs w:val="21"/>
                    </w:rPr>
                  </w:pPr>
                </w:p>
              </w:tc>
              <w:tc>
                <w:tcPr>
                  <w:tcW w:w="739" w:type="pct"/>
                  <w:gridSpan w:val="3"/>
                  <w:vAlign w:val="center"/>
                </w:tcPr>
                <w:p w14:paraId="5968BA69">
                  <w:pPr>
                    <w:adjustRightInd w:val="0"/>
                    <w:snapToGrid w:val="0"/>
                    <w:jc w:val="center"/>
                    <w:rPr>
                      <w:color w:val="auto"/>
                      <w:szCs w:val="21"/>
                    </w:rPr>
                  </w:pPr>
                  <w:r>
                    <w:rPr>
                      <w:color w:val="auto"/>
                      <w:szCs w:val="21"/>
                    </w:rPr>
                    <w:t>噪声</w:t>
                  </w:r>
                </w:p>
              </w:tc>
              <w:tc>
                <w:tcPr>
                  <w:tcW w:w="3456" w:type="pct"/>
                  <w:vAlign w:val="center"/>
                </w:tcPr>
                <w:p w14:paraId="70E5EEA7">
                  <w:pPr>
                    <w:adjustRightInd w:val="0"/>
                    <w:snapToGrid w:val="0"/>
                    <w:rPr>
                      <w:color w:val="auto"/>
                      <w:szCs w:val="21"/>
                    </w:rPr>
                  </w:pPr>
                  <w:r>
                    <w:rPr>
                      <w:rFonts w:hint="eastAsia"/>
                      <w:color w:val="auto"/>
                      <w:szCs w:val="21"/>
                    </w:rPr>
                    <w:t>厂房隔声、</w:t>
                  </w:r>
                  <w:r>
                    <w:rPr>
                      <w:color w:val="auto"/>
                      <w:szCs w:val="21"/>
                    </w:rPr>
                    <w:t>低噪声设备、</w:t>
                  </w:r>
                  <w:r>
                    <w:rPr>
                      <w:rFonts w:hint="eastAsia"/>
                      <w:color w:val="auto"/>
                      <w:szCs w:val="21"/>
                    </w:rPr>
                    <w:t>设置基础</w:t>
                  </w:r>
                  <w:r>
                    <w:rPr>
                      <w:color w:val="auto"/>
                      <w:szCs w:val="21"/>
                    </w:rPr>
                    <w:t>减振等措施</w:t>
                  </w:r>
                </w:p>
              </w:tc>
              <w:tc>
                <w:tcPr>
                  <w:tcW w:w="534" w:type="pct"/>
                  <w:vAlign w:val="center"/>
                </w:tcPr>
                <w:p w14:paraId="33794811">
                  <w:pPr>
                    <w:adjustRightInd w:val="0"/>
                    <w:snapToGrid w:val="0"/>
                    <w:jc w:val="center"/>
                    <w:rPr>
                      <w:color w:val="auto"/>
                      <w:szCs w:val="21"/>
                    </w:rPr>
                  </w:pPr>
                  <w:r>
                    <w:rPr>
                      <w:rFonts w:hint="eastAsia"/>
                      <w:color w:val="auto"/>
                      <w:szCs w:val="21"/>
                    </w:rPr>
                    <w:t>新建</w:t>
                  </w:r>
                </w:p>
              </w:tc>
            </w:tr>
            <w:tr w14:paraId="4285CB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 w:type="pct"/>
                  <w:vMerge w:val="continue"/>
                  <w:vAlign w:val="center"/>
                </w:tcPr>
                <w:p w14:paraId="685B9CF0">
                  <w:pPr>
                    <w:adjustRightInd w:val="0"/>
                    <w:snapToGrid w:val="0"/>
                    <w:jc w:val="center"/>
                    <w:rPr>
                      <w:color w:val="auto"/>
                      <w:spacing w:val="-20"/>
                      <w:szCs w:val="21"/>
                    </w:rPr>
                  </w:pPr>
                </w:p>
              </w:tc>
              <w:tc>
                <w:tcPr>
                  <w:tcW w:w="264" w:type="pct"/>
                  <w:vMerge w:val="restart"/>
                  <w:vAlign w:val="center"/>
                </w:tcPr>
                <w:p w14:paraId="4B40D58B">
                  <w:pPr>
                    <w:adjustRightInd w:val="0"/>
                    <w:snapToGrid w:val="0"/>
                    <w:jc w:val="center"/>
                    <w:rPr>
                      <w:color w:val="auto"/>
                      <w:szCs w:val="21"/>
                    </w:rPr>
                  </w:pPr>
                  <w:r>
                    <w:rPr>
                      <w:color w:val="auto"/>
                      <w:szCs w:val="21"/>
                    </w:rPr>
                    <w:t>固废</w:t>
                  </w:r>
                </w:p>
              </w:tc>
              <w:tc>
                <w:tcPr>
                  <w:tcW w:w="475" w:type="pct"/>
                  <w:gridSpan w:val="2"/>
                  <w:vAlign w:val="center"/>
                </w:tcPr>
                <w:p w14:paraId="31203597">
                  <w:pPr>
                    <w:adjustRightInd w:val="0"/>
                    <w:snapToGrid w:val="0"/>
                    <w:jc w:val="center"/>
                    <w:rPr>
                      <w:color w:val="auto"/>
                      <w:szCs w:val="21"/>
                    </w:rPr>
                  </w:pPr>
                  <w:r>
                    <w:rPr>
                      <w:rFonts w:hint="eastAsia"/>
                      <w:color w:val="auto"/>
                      <w:szCs w:val="21"/>
                    </w:rPr>
                    <w:t>生活垃圾</w:t>
                  </w:r>
                </w:p>
              </w:tc>
              <w:tc>
                <w:tcPr>
                  <w:tcW w:w="3456" w:type="pct"/>
                  <w:vAlign w:val="center"/>
                </w:tcPr>
                <w:p w14:paraId="0E00BEAF">
                  <w:pPr>
                    <w:adjustRightInd w:val="0"/>
                    <w:snapToGrid w:val="0"/>
                    <w:rPr>
                      <w:color w:val="auto"/>
                      <w:szCs w:val="21"/>
                    </w:rPr>
                  </w:pPr>
                  <w:r>
                    <w:rPr>
                      <w:rFonts w:hint="eastAsia"/>
                      <w:color w:val="auto"/>
                      <w:szCs w:val="21"/>
                    </w:rPr>
                    <w:t>分类收集后，由环卫部门统一清运</w:t>
                  </w:r>
                </w:p>
              </w:tc>
              <w:tc>
                <w:tcPr>
                  <w:tcW w:w="534" w:type="pct"/>
                  <w:vAlign w:val="center"/>
                </w:tcPr>
                <w:p w14:paraId="4E5FB671">
                  <w:pPr>
                    <w:adjustRightInd w:val="0"/>
                    <w:snapToGrid w:val="0"/>
                    <w:jc w:val="center"/>
                    <w:rPr>
                      <w:color w:val="auto"/>
                      <w:szCs w:val="21"/>
                    </w:rPr>
                  </w:pPr>
                  <w:r>
                    <w:rPr>
                      <w:rFonts w:hint="eastAsia"/>
                      <w:color w:val="auto"/>
                      <w:szCs w:val="21"/>
                    </w:rPr>
                    <w:t>依托</w:t>
                  </w:r>
                </w:p>
              </w:tc>
            </w:tr>
            <w:tr w14:paraId="1C8E4E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 w:type="pct"/>
                  <w:vMerge w:val="continue"/>
                  <w:vAlign w:val="center"/>
                </w:tcPr>
                <w:p w14:paraId="4DD19C0D">
                  <w:pPr>
                    <w:adjustRightInd w:val="0"/>
                    <w:snapToGrid w:val="0"/>
                    <w:jc w:val="center"/>
                    <w:rPr>
                      <w:color w:val="auto"/>
                      <w:spacing w:val="-20"/>
                      <w:szCs w:val="21"/>
                    </w:rPr>
                  </w:pPr>
                </w:p>
              </w:tc>
              <w:tc>
                <w:tcPr>
                  <w:tcW w:w="264" w:type="pct"/>
                  <w:vMerge w:val="continue"/>
                  <w:vAlign w:val="center"/>
                </w:tcPr>
                <w:p w14:paraId="14F67FBB">
                  <w:pPr>
                    <w:adjustRightInd w:val="0"/>
                    <w:snapToGrid w:val="0"/>
                    <w:jc w:val="center"/>
                    <w:rPr>
                      <w:color w:val="auto"/>
                      <w:szCs w:val="21"/>
                    </w:rPr>
                  </w:pPr>
                </w:p>
              </w:tc>
              <w:tc>
                <w:tcPr>
                  <w:tcW w:w="475" w:type="pct"/>
                  <w:gridSpan w:val="2"/>
                  <w:vAlign w:val="center"/>
                </w:tcPr>
                <w:p w14:paraId="6CD669E0">
                  <w:pPr>
                    <w:adjustRightInd w:val="0"/>
                    <w:snapToGrid w:val="0"/>
                    <w:jc w:val="center"/>
                    <w:rPr>
                      <w:color w:val="auto"/>
                      <w:szCs w:val="21"/>
                    </w:rPr>
                  </w:pPr>
                  <w:r>
                    <w:rPr>
                      <w:rFonts w:hint="eastAsia"/>
                      <w:color w:val="auto"/>
                      <w:szCs w:val="21"/>
                    </w:rPr>
                    <w:t>一般固废</w:t>
                  </w:r>
                </w:p>
              </w:tc>
              <w:tc>
                <w:tcPr>
                  <w:tcW w:w="3456" w:type="pct"/>
                  <w:vAlign w:val="center"/>
                </w:tcPr>
                <w:p w14:paraId="769B5AE2">
                  <w:pPr>
                    <w:adjustRightInd w:val="0"/>
                    <w:snapToGrid w:val="0"/>
                    <w:rPr>
                      <w:color w:val="auto"/>
                      <w:szCs w:val="21"/>
                    </w:rPr>
                  </w:pPr>
                  <w:r>
                    <w:rPr>
                      <w:rFonts w:hint="eastAsia"/>
                      <w:color w:val="auto"/>
                      <w:kern w:val="0"/>
                      <w:szCs w:val="21"/>
                    </w:rPr>
                    <w:t>塑料桶不合格品和废边角料破碎后回用于生产；除尘器收尘收集后回用于生产；</w:t>
                  </w:r>
                  <w:r>
                    <w:rPr>
                      <w:rFonts w:hint="eastAsia"/>
                      <w:color w:val="auto"/>
                      <w:szCs w:val="21"/>
                    </w:rPr>
                    <w:t>废包装材料、烟尘净化器收尘收集后外售处置；在废料区（位于生产区外北侧，面积40</w:t>
                  </w:r>
                  <w:r>
                    <w:rPr>
                      <w:rFonts w:hint="eastAsia"/>
                      <w:color w:val="auto"/>
                      <w:kern w:val="0"/>
                      <w:szCs w:val="21"/>
                    </w:rPr>
                    <w:t>m</w:t>
                  </w:r>
                  <w:r>
                    <w:rPr>
                      <w:rFonts w:hint="eastAsia"/>
                      <w:color w:val="auto"/>
                      <w:kern w:val="0"/>
                      <w:szCs w:val="21"/>
                      <w:vertAlign w:val="superscript"/>
                    </w:rPr>
                    <w:t>2</w:t>
                  </w:r>
                  <w:r>
                    <w:rPr>
                      <w:rFonts w:hint="eastAsia"/>
                      <w:color w:val="auto"/>
                      <w:kern w:val="0"/>
                      <w:szCs w:val="21"/>
                    </w:rPr>
                    <w:t>）暂存</w:t>
                  </w:r>
                </w:p>
              </w:tc>
              <w:tc>
                <w:tcPr>
                  <w:tcW w:w="534" w:type="pct"/>
                  <w:vAlign w:val="center"/>
                </w:tcPr>
                <w:p w14:paraId="506CB768">
                  <w:pPr>
                    <w:adjustRightInd w:val="0"/>
                    <w:snapToGrid w:val="0"/>
                    <w:jc w:val="center"/>
                    <w:rPr>
                      <w:color w:val="auto"/>
                      <w:kern w:val="0"/>
                      <w:szCs w:val="21"/>
                    </w:rPr>
                  </w:pPr>
                  <w:r>
                    <w:rPr>
                      <w:rFonts w:hint="eastAsia"/>
                      <w:color w:val="auto"/>
                      <w:szCs w:val="21"/>
                    </w:rPr>
                    <w:t>依托已建废料区</w:t>
                  </w:r>
                </w:p>
              </w:tc>
            </w:tr>
            <w:tr w14:paraId="33FD92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9" w:type="pct"/>
                  <w:vMerge w:val="continue"/>
                  <w:vAlign w:val="center"/>
                </w:tcPr>
                <w:p w14:paraId="140A72AD">
                  <w:pPr>
                    <w:adjustRightInd w:val="0"/>
                    <w:snapToGrid w:val="0"/>
                    <w:jc w:val="center"/>
                    <w:rPr>
                      <w:color w:val="auto"/>
                      <w:spacing w:val="-20"/>
                      <w:szCs w:val="21"/>
                    </w:rPr>
                  </w:pPr>
                </w:p>
              </w:tc>
              <w:tc>
                <w:tcPr>
                  <w:tcW w:w="264" w:type="pct"/>
                  <w:vMerge w:val="continue"/>
                  <w:vAlign w:val="center"/>
                </w:tcPr>
                <w:p w14:paraId="22FED514">
                  <w:pPr>
                    <w:adjustRightInd w:val="0"/>
                    <w:snapToGrid w:val="0"/>
                    <w:jc w:val="center"/>
                    <w:rPr>
                      <w:color w:val="auto"/>
                      <w:szCs w:val="21"/>
                    </w:rPr>
                  </w:pPr>
                </w:p>
              </w:tc>
              <w:tc>
                <w:tcPr>
                  <w:tcW w:w="475" w:type="pct"/>
                  <w:gridSpan w:val="2"/>
                  <w:vAlign w:val="center"/>
                </w:tcPr>
                <w:p w14:paraId="63BF8856">
                  <w:pPr>
                    <w:adjustRightInd w:val="0"/>
                    <w:snapToGrid w:val="0"/>
                    <w:jc w:val="center"/>
                    <w:rPr>
                      <w:color w:val="auto"/>
                      <w:szCs w:val="21"/>
                    </w:rPr>
                  </w:pPr>
                  <w:r>
                    <w:rPr>
                      <w:rFonts w:hint="eastAsia"/>
                      <w:color w:val="auto"/>
                      <w:szCs w:val="21"/>
                    </w:rPr>
                    <w:t>危险废物</w:t>
                  </w:r>
                </w:p>
              </w:tc>
              <w:tc>
                <w:tcPr>
                  <w:tcW w:w="3456" w:type="pct"/>
                  <w:vAlign w:val="center"/>
                </w:tcPr>
                <w:p w14:paraId="1CEAF02A">
                  <w:pPr>
                    <w:adjustRightInd w:val="0"/>
                    <w:snapToGrid w:val="0"/>
                    <w:rPr>
                      <w:color w:val="auto"/>
                      <w:szCs w:val="21"/>
                    </w:rPr>
                  </w:pPr>
                  <w:r>
                    <w:rPr>
                      <w:rFonts w:hint="eastAsia"/>
                      <w:color w:val="auto"/>
                      <w:szCs w:val="21"/>
                    </w:rPr>
                    <w:t>废机油、废油桶、废抹布和废活性炭</w:t>
                  </w:r>
                  <w:r>
                    <w:rPr>
                      <w:color w:val="auto"/>
                      <w:szCs w:val="21"/>
                    </w:rPr>
                    <w:t>属于危险废物</w:t>
                  </w:r>
                  <w:r>
                    <w:rPr>
                      <w:rFonts w:hint="eastAsia"/>
                      <w:color w:val="auto"/>
                      <w:szCs w:val="21"/>
                    </w:rPr>
                    <w:t>，分类收集暂存于危废贮存库（1座，位于厂区</w:t>
                  </w:r>
                  <w:r>
                    <w:rPr>
                      <w:rFonts w:hint="eastAsia"/>
                      <w:color w:val="auto"/>
                      <w:kern w:val="0"/>
                      <w:szCs w:val="21"/>
                    </w:rPr>
                    <w:t>东侧</w:t>
                  </w:r>
                  <w:r>
                    <w:rPr>
                      <w:rFonts w:hint="eastAsia"/>
                      <w:color w:val="auto"/>
                      <w:szCs w:val="21"/>
                    </w:rPr>
                    <w:t>，面积15m</w:t>
                  </w:r>
                  <w:r>
                    <w:rPr>
                      <w:rFonts w:hint="eastAsia"/>
                      <w:color w:val="auto"/>
                      <w:szCs w:val="21"/>
                      <w:vertAlign w:val="superscript"/>
                    </w:rPr>
                    <w:t>2</w:t>
                  </w:r>
                  <w:r>
                    <w:rPr>
                      <w:rFonts w:hint="eastAsia"/>
                      <w:color w:val="auto"/>
                      <w:szCs w:val="21"/>
                    </w:rPr>
                    <w:t>（2间，1间存放废机油和废油桶，1间存放废活性炭和废抹布）），定期委托有资质单位处置</w:t>
                  </w:r>
                </w:p>
              </w:tc>
              <w:tc>
                <w:tcPr>
                  <w:tcW w:w="534" w:type="pct"/>
                  <w:vAlign w:val="center"/>
                </w:tcPr>
                <w:p w14:paraId="56D81541">
                  <w:pPr>
                    <w:adjustRightInd w:val="0"/>
                    <w:snapToGrid w:val="0"/>
                    <w:jc w:val="center"/>
                    <w:rPr>
                      <w:color w:val="auto"/>
                      <w:szCs w:val="21"/>
                    </w:rPr>
                  </w:pPr>
                  <w:r>
                    <w:rPr>
                      <w:rFonts w:hint="eastAsia"/>
                      <w:color w:val="auto"/>
                      <w:szCs w:val="21"/>
                    </w:rPr>
                    <w:t>依托已建危废贮存库</w:t>
                  </w:r>
                </w:p>
              </w:tc>
            </w:tr>
            <w:bookmarkEnd w:id="4"/>
          </w:tbl>
          <w:p w14:paraId="0D67955D">
            <w:pPr>
              <w:spacing w:line="480" w:lineRule="exact"/>
              <w:ind w:firstLine="482" w:firstLineChars="200"/>
              <w:rPr>
                <w:b/>
                <w:bCs/>
                <w:color w:val="auto"/>
                <w:sz w:val="24"/>
              </w:rPr>
            </w:pPr>
            <w:r>
              <w:rPr>
                <w:rFonts w:hint="eastAsia"/>
                <w:b/>
                <w:bCs/>
                <w:color w:val="auto"/>
                <w:sz w:val="24"/>
              </w:rPr>
              <w:t>2、项目产品方案</w:t>
            </w:r>
          </w:p>
          <w:p w14:paraId="2EBC0C11">
            <w:pPr>
              <w:spacing w:line="480" w:lineRule="exact"/>
              <w:ind w:firstLine="480" w:firstLineChars="200"/>
              <w:rPr>
                <w:color w:val="auto"/>
                <w:sz w:val="24"/>
              </w:rPr>
            </w:pPr>
            <w:r>
              <w:rPr>
                <w:rFonts w:hint="eastAsia"/>
                <w:color w:val="auto"/>
                <w:sz w:val="24"/>
              </w:rPr>
              <w:t>项目生产规模及产品方案，具体见下表：</w:t>
            </w:r>
          </w:p>
          <w:p w14:paraId="4A1B2B46">
            <w:pPr>
              <w:pStyle w:val="66"/>
              <w:rPr>
                <w:rFonts w:ascii="Times New Roman" w:hAnsi="Times New Roman" w:eastAsia="宋体" w:cs="Times New Roman"/>
                <w:b/>
                <w:bCs/>
                <w:color w:val="auto"/>
                <w:szCs w:val="24"/>
              </w:rPr>
            </w:pPr>
            <w:r>
              <w:rPr>
                <w:rFonts w:hint="eastAsia" w:ascii="Times New Roman" w:hAnsi="Times New Roman" w:eastAsia="宋体" w:cs="Times New Roman"/>
                <w:b/>
                <w:bCs/>
                <w:color w:val="auto"/>
                <w:szCs w:val="24"/>
              </w:rPr>
              <w:t>表2-2  项目扩建前后产品方案一览表</w:t>
            </w:r>
          </w:p>
          <w:tbl>
            <w:tblPr>
              <w:tblStyle w:val="26"/>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1"/>
              <w:gridCol w:w="1497"/>
              <w:gridCol w:w="1505"/>
              <w:gridCol w:w="1525"/>
              <w:gridCol w:w="1525"/>
              <w:gridCol w:w="1508"/>
            </w:tblGrid>
            <w:tr w14:paraId="24ABF4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7" w:type="pct"/>
                  <w:vAlign w:val="center"/>
                </w:tcPr>
                <w:p w14:paraId="76E5D0BE">
                  <w:pPr>
                    <w:adjustRightInd w:val="0"/>
                    <w:snapToGrid w:val="0"/>
                    <w:jc w:val="center"/>
                    <w:rPr>
                      <w:b/>
                      <w:bCs/>
                      <w:color w:val="auto"/>
                      <w:szCs w:val="21"/>
                    </w:rPr>
                  </w:pPr>
                  <w:r>
                    <w:rPr>
                      <w:rFonts w:hint="eastAsia"/>
                      <w:b/>
                      <w:bCs/>
                      <w:color w:val="auto"/>
                      <w:szCs w:val="21"/>
                    </w:rPr>
                    <w:t>序号</w:t>
                  </w:r>
                </w:p>
              </w:tc>
              <w:tc>
                <w:tcPr>
                  <w:tcW w:w="911" w:type="pct"/>
                  <w:vAlign w:val="center"/>
                </w:tcPr>
                <w:p w14:paraId="3E4F3B60">
                  <w:pPr>
                    <w:adjustRightInd w:val="0"/>
                    <w:snapToGrid w:val="0"/>
                    <w:jc w:val="center"/>
                    <w:rPr>
                      <w:b/>
                      <w:bCs/>
                      <w:color w:val="auto"/>
                      <w:szCs w:val="21"/>
                    </w:rPr>
                  </w:pPr>
                  <w:r>
                    <w:rPr>
                      <w:rFonts w:hint="eastAsia"/>
                      <w:b/>
                      <w:bCs/>
                      <w:color w:val="auto"/>
                      <w:szCs w:val="21"/>
                    </w:rPr>
                    <w:t>产品名称</w:t>
                  </w:r>
                </w:p>
              </w:tc>
              <w:tc>
                <w:tcPr>
                  <w:tcW w:w="916" w:type="pct"/>
                  <w:shd w:val="clear" w:color="auto" w:fill="auto"/>
                  <w:vAlign w:val="center"/>
                </w:tcPr>
                <w:p w14:paraId="6F625DBF">
                  <w:pPr>
                    <w:adjustRightInd w:val="0"/>
                    <w:snapToGrid w:val="0"/>
                    <w:jc w:val="center"/>
                    <w:rPr>
                      <w:b/>
                      <w:bCs/>
                      <w:color w:val="auto"/>
                      <w:szCs w:val="21"/>
                    </w:rPr>
                  </w:pPr>
                  <w:r>
                    <w:rPr>
                      <w:rFonts w:hint="eastAsia"/>
                      <w:b/>
                      <w:bCs/>
                      <w:color w:val="auto"/>
                      <w:szCs w:val="21"/>
                    </w:rPr>
                    <w:t>规格</w:t>
                  </w:r>
                </w:p>
              </w:tc>
              <w:tc>
                <w:tcPr>
                  <w:tcW w:w="928" w:type="pct"/>
                  <w:vAlign w:val="center"/>
                </w:tcPr>
                <w:p w14:paraId="5415D1C1">
                  <w:pPr>
                    <w:adjustRightInd w:val="0"/>
                    <w:snapToGrid w:val="0"/>
                    <w:jc w:val="center"/>
                    <w:rPr>
                      <w:b/>
                      <w:bCs/>
                      <w:color w:val="auto"/>
                      <w:szCs w:val="21"/>
                    </w:rPr>
                  </w:pPr>
                  <w:r>
                    <w:rPr>
                      <w:rFonts w:hint="eastAsia"/>
                      <w:b/>
                      <w:bCs/>
                      <w:color w:val="auto"/>
                      <w:szCs w:val="21"/>
                    </w:rPr>
                    <w:t>扩建前</w:t>
                  </w:r>
                </w:p>
              </w:tc>
              <w:tc>
                <w:tcPr>
                  <w:tcW w:w="928" w:type="pct"/>
                  <w:vAlign w:val="center"/>
                </w:tcPr>
                <w:p w14:paraId="09DB8FF8">
                  <w:pPr>
                    <w:adjustRightInd w:val="0"/>
                    <w:snapToGrid w:val="0"/>
                    <w:jc w:val="center"/>
                    <w:rPr>
                      <w:b/>
                      <w:bCs/>
                      <w:color w:val="auto"/>
                      <w:szCs w:val="21"/>
                    </w:rPr>
                  </w:pPr>
                  <w:r>
                    <w:rPr>
                      <w:rFonts w:hint="eastAsia"/>
                      <w:b/>
                      <w:bCs/>
                      <w:color w:val="auto"/>
                      <w:szCs w:val="21"/>
                    </w:rPr>
                    <w:t>扩建后</w:t>
                  </w:r>
                </w:p>
              </w:tc>
              <w:tc>
                <w:tcPr>
                  <w:tcW w:w="917" w:type="pct"/>
                  <w:vAlign w:val="center"/>
                </w:tcPr>
                <w:p w14:paraId="0DC00304">
                  <w:pPr>
                    <w:adjustRightInd w:val="0"/>
                    <w:snapToGrid w:val="0"/>
                    <w:jc w:val="center"/>
                    <w:rPr>
                      <w:b/>
                      <w:bCs/>
                      <w:color w:val="auto"/>
                      <w:szCs w:val="21"/>
                    </w:rPr>
                  </w:pPr>
                  <w:r>
                    <w:rPr>
                      <w:rFonts w:hint="eastAsia"/>
                      <w:b/>
                      <w:bCs/>
                      <w:color w:val="auto"/>
                      <w:szCs w:val="21"/>
                    </w:rPr>
                    <w:t>变化量</w:t>
                  </w:r>
                </w:p>
              </w:tc>
            </w:tr>
            <w:tr w14:paraId="6D8755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vAlign w:val="center"/>
                </w:tcPr>
                <w:p w14:paraId="44653A0C">
                  <w:pPr>
                    <w:adjustRightInd w:val="0"/>
                    <w:snapToGrid w:val="0"/>
                    <w:jc w:val="center"/>
                    <w:rPr>
                      <w:color w:val="auto"/>
                      <w:szCs w:val="21"/>
                    </w:rPr>
                  </w:pPr>
                  <w:r>
                    <w:rPr>
                      <w:rFonts w:hint="eastAsia"/>
                      <w:color w:val="auto"/>
                      <w:szCs w:val="21"/>
                    </w:rPr>
                    <w:t>1</w:t>
                  </w:r>
                </w:p>
              </w:tc>
              <w:tc>
                <w:tcPr>
                  <w:tcW w:w="911" w:type="pct"/>
                  <w:vAlign w:val="center"/>
                </w:tcPr>
                <w:p w14:paraId="24FF029E">
                  <w:pPr>
                    <w:adjustRightInd w:val="0"/>
                    <w:snapToGrid w:val="0"/>
                    <w:jc w:val="center"/>
                    <w:rPr>
                      <w:color w:val="auto"/>
                      <w:szCs w:val="21"/>
                    </w:rPr>
                  </w:pPr>
                  <w:r>
                    <w:rPr>
                      <w:rFonts w:hint="eastAsia"/>
                      <w:color w:val="auto"/>
                      <w:szCs w:val="21"/>
                    </w:rPr>
                    <w:t>塑料桶</w:t>
                  </w:r>
                </w:p>
              </w:tc>
              <w:tc>
                <w:tcPr>
                  <w:tcW w:w="916" w:type="pct"/>
                  <w:shd w:val="clear" w:color="auto" w:fill="auto"/>
                  <w:vAlign w:val="center"/>
                </w:tcPr>
                <w:p w14:paraId="3954B012">
                  <w:pPr>
                    <w:adjustRightInd w:val="0"/>
                    <w:snapToGrid w:val="0"/>
                    <w:jc w:val="center"/>
                    <w:rPr>
                      <w:color w:val="auto"/>
                      <w:szCs w:val="21"/>
                    </w:rPr>
                  </w:pPr>
                  <w:r>
                    <w:rPr>
                      <w:rFonts w:hint="eastAsia"/>
                      <w:color w:val="auto"/>
                      <w:szCs w:val="21"/>
                    </w:rPr>
                    <w:t>1L-20L</w:t>
                  </w:r>
                </w:p>
              </w:tc>
              <w:tc>
                <w:tcPr>
                  <w:tcW w:w="928" w:type="pct"/>
                  <w:vAlign w:val="center"/>
                </w:tcPr>
                <w:p w14:paraId="036D9147">
                  <w:pPr>
                    <w:adjustRightInd w:val="0"/>
                    <w:snapToGrid w:val="0"/>
                    <w:jc w:val="center"/>
                    <w:rPr>
                      <w:color w:val="auto"/>
                      <w:szCs w:val="21"/>
                    </w:rPr>
                  </w:pPr>
                  <w:r>
                    <w:rPr>
                      <w:rFonts w:hint="eastAsia"/>
                      <w:color w:val="auto"/>
                      <w:szCs w:val="21"/>
                    </w:rPr>
                    <w:t>0</w:t>
                  </w:r>
                </w:p>
              </w:tc>
              <w:tc>
                <w:tcPr>
                  <w:tcW w:w="928" w:type="pct"/>
                  <w:vAlign w:val="center"/>
                </w:tcPr>
                <w:p w14:paraId="7090A706">
                  <w:pPr>
                    <w:adjustRightInd w:val="0"/>
                    <w:snapToGrid w:val="0"/>
                    <w:jc w:val="center"/>
                    <w:rPr>
                      <w:color w:val="auto"/>
                      <w:szCs w:val="21"/>
                    </w:rPr>
                  </w:pPr>
                  <w:r>
                    <w:rPr>
                      <w:rFonts w:hint="eastAsia"/>
                      <w:color w:val="auto"/>
                      <w:szCs w:val="21"/>
                    </w:rPr>
                    <w:t>2500t/a</w:t>
                  </w:r>
                </w:p>
              </w:tc>
              <w:tc>
                <w:tcPr>
                  <w:tcW w:w="917" w:type="pct"/>
                  <w:vAlign w:val="center"/>
                </w:tcPr>
                <w:p w14:paraId="5D92B4A8">
                  <w:pPr>
                    <w:adjustRightInd w:val="0"/>
                    <w:snapToGrid w:val="0"/>
                    <w:jc w:val="center"/>
                    <w:rPr>
                      <w:color w:val="auto"/>
                      <w:szCs w:val="21"/>
                    </w:rPr>
                  </w:pPr>
                  <w:r>
                    <w:rPr>
                      <w:rFonts w:hint="eastAsia"/>
                      <w:color w:val="auto"/>
                      <w:szCs w:val="21"/>
                    </w:rPr>
                    <w:t>+2500t/a</w:t>
                  </w:r>
                </w:p>
              </w:tc>
            </w:tr>
            <w:tr w14:paraId="15D99D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vAlign w:val="center"/>
                </w:tcPr>
                <w:p w14:paraId="7AA0FFB8">
                  <w:pPr>
                    <w:adjustRightInd w:val="0"/>
                    <w:snapToGrid w:val="0"/>
                    <w:jc w:val="center"/>
                    <w:rPr>
                      <w:color w:val="auto"/>
                      <w:szCs w:val="21"/>
                    </w:rPr>
                  </w:pPr>
                  <w:r>
                    <w:rPr>
                      <w:rFonts w:hint="eastAsia"/>
                      <w:color w:val="auto"/>
                      <w:szCs w:val="21"/>
                    </w:rPr>
                    <w:t>2</w:t>
                  </w:r>
                </w:p>
              </w:tc>
              <w:tc>
                <w:tcPr>
                  <w:tcW w:w="911" w:type="pct"/>
                  <w:vAlign w:val="center"/>
                </w:tcPr>
                <w:p w14:paraId="1BF3BBE0">
                  <w:pPr>
                    <w:adjustRightInd w:val="0"/>
                    <w:snapToGrid w:val="0"/>
                    <w:jc w:val="center"/>
                    <w:rPr>
                      <w:color w:val="auto"/>
                      <w:szCs w:val="21"/>
                    </w:rPr>
                  </w:pPr>
                  <w:r>
                    <w:rPr>
                      <w:rFonts w:hint="eastAsia"/>
                      <w:color w:val="auto"/>
                      <w:szCs w:val="21"/>
                    </w:rPr>
                    <w:t>铁桶</w:t>
                  </w:r>
                </w:p>
              </w:tc>
              <w:tc>
                <w:tcPr>
                  <w:tcW w:w="916" w:type="pct"/>
                  <w:shd w:val="clear" w:color="auto" w:fill="auto"/>
                  <w:vAlign w:val="center"/>
                </w:tcPr>
                <w:p w14:paraId="67406CF0">
                  <w:pPr>
                    <w:adjustRightInd w:val="0"/>
                    <w:snapToGrid w:val="0"/>
                    <w:jc w:val="center"/>
                    <w:rPr>
                      <w:color w:val="auto"/>
                      <w:szCs w:val="21"/>
                    </w:rPr>
                  </w:pPr>
                  <w:r>
                    <w:rPr>
                      <w:rFonts w:hint="eastAsia"/>
                      <w:color w:val="auto"/>
                      <w:szCs w:val="21"/>
                    </w:rPr>
                    <w:t>18L、20L</w:t>
                  </w:r>
                </w:p>
              </w:tc>
              <w:tc>
                <w:tcPr>
                  <w:tcW w:w="928" w:type="pct"/>
                  <w:vAlign w:val="center"/>
                </w:tcPr>
                <w:p w14:paraId="6DF1EA33">
                  <w:pPr>
                    <w:adjustRightInd w:val="0"/>
                    <w:snapToGrid w:val="0"/>
                    <w:jc w:val="center"/>
                    <w:rPr>
                      <w:color w:val="auto"/>
                      <w:szCs w:val="21"/>
                    </w:rPr>
                  </w:pPr>
                  <w:r>
                    <w:rPr>
                      <w:rFonts w:hint="eastAsia"/>
                      <w:color w:val="auto"/>
                      <w:szCs w:val="21"/>
                    </w:rPr>
                    <w:t>100t/a</w:t>
                  </w:r>
                </w:p>
              </w:tc>
              <w:tc>
                <w:tcPr>
                  <w:tcW w:w="928" w:type="pct"/>
                  <w:vAlign w:val="center"/>
                </w:tcPr>
                <w:p w14:paraId="74239CCD">
                  <w:pPr>
                    <w:adjustRightInd w:val="0"/>
                    <w:snapToGrid w:val="0"/>
                    <w:jc w:val="center"/>
                    <w:rPr>
                      <w:color w:val="auto"/>
                      <w:szCs w:val="21"/>
                    </w:rPr>
                  </w:pPr>
                  <w:r>
                    <w:rPr>
                      <w:rFonts w:hint="eastAsia"/>
                      <w:color w:val="auto"/>
                      <w:szCs w:val="21"/>
                    </w:rPr>
                    <w:t>100t/a</w:t>
                  </w:r>
                </w:p>
              </w:tc>
              <w:tc>
                <w:tcPr>
                  <w:tcW w:w="917" w:type="pct"/>
                  <w:vAlign w:val="center"/>
                </w:tcPr>
                <w:p w14:paraId="78D3E4DB">
                  <w:pPr>
                    <w:adjustRightInd w:val="0"/>
                    <w:snapToGrid w:val="0"/>
                    <w:jc w:val="center"/>
                    <w:rPr>
                      <w:color w:val="auto"/>
                      <w:szCs w:val="21"/>
                    </w:rPr>
                  </w:pPr>
                  <w:r>
                    <w:rPr>
                      <w:rFonts w:hint="eastAsia"/>
                      <w:color w:val="auto"/>
                      <w:szCs w:val="21"/>
                    </w:rPr>
                    <w:t>0</w:t>
                  </w:r>
                </w:p>
              </w:tc>
            </w:tr>
          </w:tbl>
          <w:p w14:paraId="25BB89B4">
            <w:pPr>
              <w:spacing w:before="120" w:beforeLines="50" w:line="360" w:lineRule="auto"/>
              <w:ind w:firstLine="482" w:firstLineChars="200"/>
              <w:rPr>
                <w:b/>
                <w:bCs/>
                <w:color w:val="auto"/>
                <w:sz w:val="24"/>
              </w:rPr>
            </w:pPr>
            <w:r>
              <w:rPr>
                <w:rFonts w:hint="eastAsia"/>
                <w:b/>
                <w:bCs/>
                <w:color w:val="auto"/>
                <w:sz w:val="24"/>
              </w:rPr>
              <w:t>3</w:t>
            </w:r>
            <w:r>
              <w:rPr>
                <w:b/>
                <w:bCs/>
                <w:color w:val="auto"/>
                <w:sz w:val="24"/>
              </w:rPr>
              <w:t>、主要</w:t>
            </w:r>
            <w:r>
              <w:rPr>
                <w:rFonts w:hint="eastAsia"/>
                <w:b/>
                <w:bCs/>
                <w:color w:val="auto"/>
                <w:sz w:val="24"/>
              </w:rPr>
              <w:t>生产</w:t>
            </w:r>
            <w:r>
              <w:rPr>
                <w:b/>
                <w:bCs/>
                <w:color w:val="auto"/>
                <w:sz w:val="24"/>
              </w:rPr>
              <w:t>设备</w:t>
            </w:r>
          </w:p>
          <w:p w14:paraId="3B489171">
            <w:pPr>
              <w:spacing w:line="360" w:lineRule="auto"/>
              <w:ind w:firstLine="480" w:firstLineChars="200"/>
              <w:rPr>
                <w:color w:val="auto"/>
                <w:sz w:val="24"/>
              </w:rPr>
            </w:pPr>
            <w:r>
              <w:rPr>
                <w:color w:val="auto"/>
                <w:sz w:val="24"/>
              </w:rPr>
              <w:t>项目</w:t>
            </w:r>
            <w:r>
              <w:rPr>
                <w:rFonts w:hint="eastAsia"/>
                <w:color w:val="auto"/>
                <w:sz w:val="24"/>
              </w:rPr>
              <w:t>扩建前后</w:t>
            </w:r>
            <w:r>
              <w:rPr>
                <w:color w:val="auto"/>
                <w:sz w:val="24"/>
              </w:rPr>
              <w:t>所用设备具体见下表：</w:t>
            </w:r>
          </w:p>
          <w:p w14:paraId="069BF6B3">
            <w:pPr>
              <w:pStyle w:val="65"/>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2-3</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项目</w:t>
            </w:r>
            <w:r>
              <w:rPr>
                <w:rFonts w:hint="eastAsia" w:hAnsi="Times New Roman" w:cs="Times New Roman"/>
                <w:b/>
                <w:bCs/>
                <w:color w:val="auto"/>
                <w:kern w:val="21"/>
                <w:szCs w:val="24"/>
              </w:rPr>
              <w:t>扩建前后</w:t>
            </w:r>
            <w:r>
              <w:rPr>
                <w:rFonts w:hAnsi="Times New Roman" w:cs="Times New Roman"/>
                <w:b/>
                <w:bCs/>
                <w:color w:val="auto"/>
                <w:kern w:val="21"/>
                <w:szCs w:val="24"/>
              </w:rPr>
              <w:t>主要</w:t>
            </w:r>
            <w:r>
              <w:rPr>
                <w:rFonts w:hint="eastAsia" w:hAnsi="Times New Roman" w:cs="Times New Roman"/>
                <w:b/>
                <w:bCs/>
                <w:color w:val="auto"/>
                <w:kern w:val="21"/>
                <w:szCs w:val="24"/>
              </w:rPr>
              <w:t>生产</w:t>
            </w:r>
            <w:r>
              <w:rPr>
                <w:rFonts w:hAnsi="Times New Roman" w:cs="Times New Roman"/>
                <w:b/>
                <w:bCs/>
                <w:color w:val="auto"/>
                <w:kern w:val="21"/>
                <w:szCs w:val="24"/>
              </w:rPr>
              <w:t>设备一览表</w:t>
            </w:r>
          </w:p>
          <w:tbl>
            <w:tblPr>
              <w:tblStyle w:val="26"/>
              <w:tblW w:w="821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5"/>
              <w:gridCol w:w="1268"/>
              <w:gridCol w:w="866"/>
              <w:gridCol w:w="712"/>
              <w:gridCol w:w="887"/>
              <w:gridCol w:w="959"/>
              <w:gridCol w:w="842"/>
              <w:gridCol w:w="966"/>
              <w:gridCol w:w="966"/>
            </w:tblGrid>
            <w:tr w14:paraId="23ABD7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3" w:type="pct"/>
                  <w:noWrap/>
                  <w:vAlign w:val="center"/>
                </w:tcPr>
                <w:p w14:paraId="05556575">
                  <w:pPr>
                    <w:widowControl/>
                    <w:jc w:val="center"/>
                    <w:rPr>
                      <w:b/>
                      <w:bCs/>
                      <w:color w:val="auto"/>
                      <w:kern w:val="0"/>
                      <w:szCs w:val="21"/>
                    </w:rPr>
                  </w:pPr>
                  <w:r>
                    <w:rPr>
                      <w:rFonts w:hint="eastAsia"/>
                      <w:b/>
                      <w:bCs/>
                      <w:color w:val="auto"/>
                      <w:kern w:val="0"/>
                      <w:szCs w:val="21"/>
                    </w:rPr>
                    <w:t>产品</w:t>
                  </w:r>
                </w:p>
              </w:tc>
              <w:tc>
                <w:tcPr>
                  <w:tcW w:w="772" w:type="pct"/>
                  <w:noWrap/>
                  <w:vAlign w:val="center"/>
                </w:tcPr>
                <w:p w14:paraId="78A0146F">
                  <w:pPr>
                    <w:widowControl/>
                    <w:jc w:val="center"/>
                    <w:rPr>
                      <w:b/>
                      <w:bCs/>
                      <w:color w:val="auto"/>
                      <w:kern w:val="0"/>
                      <w:szCs w:val="21"/>
                    </w:rPr>
                  </w:pPr>
                  <w:r>
                    <w:rPr>
                      <w:b/>
                      <w:bCs/>
                      <w:color w:val="auto"/>
                      <w:kern w:val="0"/>
                      <w:szCs w:val="21"/>
                    </w:rPr>
                    <w:t>设备名称</w:t>
                  </w:r>
                </w:p>
              </w:tc>
              <w:tc>
                <w:tcPr>
                  <w:tcW w:w="527" w:type="pct"/>
                  <w:shd w:val="clear" w:color="auto" w:fill="auto"/>
                  <w:vAlign w:val="center"/>
                </w:tcPr>
                <w:p w14:paraId="731E3E91">
                  <w:pPr>
                    <w:widowControl/>
                    <w:jc w:val="center"/>
                    <w:rPr>
                      <w:b/>
                      <w:bCs/>
                      <w:color w:val="auto"/>
                      <w:kern w:val="0"/>
                      <w:szCs w:val="21"/>
                    </w:rPr>
                  </w:pPr>
                  <w:r>
                    <w:rPr>
                      <w:b/>
                      <w:bCs/>
                      <w:color w:val="auto"/>
                      <w:kern w:val="0"/>
                      <w:szCs w:val="21"/>
                    </w:rPr>
                    <w:t>规格型号</w:t>
                  </w:r>
                </w:p>
              </w:tc>
              <w:tc>
                <w:tcPr>
                  <w:tcW w:w="433" w:type="pct"/>
                  <w:vAlign w:val="center"/>
                </w:tcPr>
                <w:p w14:paraId="6C5E02E3">
                  <w:pPr>
                    <w:widowControl/>
                    <w:jc w:val="center"/>
                    <w:rPr>
                      <w:b/>
                      <w:bCs/>
                      <w:color w:val="auto"/>
                      <w:kern w:val="0"/>
                      <w:szCs w:val="21"/>
                    </w:rPr>
                  </w:pPr>
                  <w:r>
                    <w:rPr>
                      <w:rFonts w:hint="eastAsia"/>
                      <w:b/>
                      <w:bCs/>
                      <w:color w:val="auto"/>
                      <w:kern w:val="0"/>
                      <w:szCs w:val="21"/>
                    </w:rPr>
                    <w:t>单位</w:t>
                  </w:r>
                </w:p>
              </w:tc>
              <w:tc>
                <w:tcPr>
                  <w:tcW w:w="540" w:type="pct"/>
                  <w:vAlign w:val="center"/>
                </w:tcPr>
                <w:p w14:paraId="4E6707AC">
                  <w:pPr>
                    <w:widowControl/>
                    <w:jc w:val="center"/>
                    <w:rPr>
                      <w:b/>
                      <w:bCs/>
                      <w:color w:val="auto"/>
                      <w:kern w:val="0"/>
                      <w:szCs w:val="21"/>
                    </w:rPr>
                  </w:pPr>
                  <w:r>
                    <w:rPr>
                      <w:rFonts w:hint="eastAsia"/>
                      <w:b/>
                      <w:bCs/>
                      <w:color w:val="auto"/>
                      <w:kern w:val="0"/>
                      <w:szCs w:val="21"/>
                    </w:rPr>
                    <w:t>扩建前数量</w:t>
                  </w:r>
                </w:p>
              </w:tc>
              <w:tc>
                <w:tcPr>
                  <w:tcW w:w="583" w:type="pct"/>
                  <w:shd w:val="clear" w:color="auto" w:fill="auto"/>
                  <w:vAlign w:val="center"/>
                </w:tcPr>
                <w:p w14:paraId="3CB87279">
                  <w:pPr>
                    <w:widowControl/>
                    <w:jc w:val="center"/>
                    <w:rPr>
                      <w:b/>
                      <w:bCs/>
                      <w:color w:val="auto"/>
                      <w:kern w:val="0"/>
                      <w:szCs w:val="21"/>
                    </w:rPr>
                  </w:pPr>
                  <w:r>
                    <w:rPr>
                      <w:rFonts w:hint="eastAsia"/>
                      <w:b/>
                      <w:bCs/>
                      <w:color w:val="auto"/>
                      <w:kern w:val="0"/>
                      <w:szCs w:val="21"/>
                    </w:rPr>
                    <w:t>扩建后</w:t>
                  </w:r>
                  <w:r>
                    <w:rPr>
                      <w:b/>
                      <w:bCs/>
                      <w:color w:val="auto"/>
                      <w:kern w:val="0"/>
                      <w:szCs w:val="21"/>
                    </w:rPr>
                    <w:t>数</w:t>
                  </w:r>
                  <w:r>
                    <w:rPr>
                      <w:rFonts w:hint="eastAsia"/>
                      <w:b/>
                      <w:bCs/>
                      <w:color w:val="auto"/>
                      <w:kern w:val="0"/>
                      <w:szCs w:val="21"/>
                    </w:rPr>
                    <w:t>量</w:t>
                  </w:r>
                </w:p>
              </w:tc>
              <w:tc>
                <w:tcPr>
                  <w:tcW w:w="512" w:type="pct"/>
                  <w:vAlign w:val="center"/>
                </w:tcPr>
                <w:p w14:paraId="45850E14">
                  <w:pPr>
                    <w:widowControl/>
                    <w:jc w:val="center"/>
                    <w:rPr>
                      <w:b/>
                      <w:bCs/>
                      <w:color w:val="auto"/>
                      <w:kern w:val="0"/>
                      <w:szCs w:val="21"/>
                    </w:rPr>
                  </w:pPr>
                  <w:r>
                    <w:rPr>
                      <w:rFonts w:hint="eastAsia"/>
                      <w:b/>
                      <w:bCs/>
                      <w:color w:val="auto"/>
                      <w:kern w:val="0"/>
                      <w:szCs w:val="21"/>
                    </w:rPr>
                    <w:t>变化量</w:t>
                  </w:r>
                </w:p>
              </w:tc>
              <w:tc>
                <w:tcPr>
                  <w:tcW w:w="587" w:type="pct"/>
                  <w:vAlign w:val="center"/>
                </w:tcPr>
                <w:p w14:paraId="6A862E32">
                  <w:pPr>
                    <w:widowControl/>
                    <w:jc w:val="center"/>
                    <w:rPr>
                      <w:b/>
                      <w:bCs/>
                      <w:color w:val="auto"/>
                      <w:kern w:val="0"/>
                      <w:szCs w:val="21"/>
                    </w:rPr>
                  </w:pPr>
                  <w:r>
                    <w:rPr>
                      <w:rFonts w:hint="eastAsia"/>
                      <w:b/>
                      <w:bCs/>
                      <w:color w:val="auto"/>
                      <w:kern w:val="0"/>
                      <w:szCs w:val="21"/>
                    </w:rPr>
                    <w:t>备注</w:t>
                  </w:r>
                </w:p>
              </w:tc>
              <w:tc>
                <w:tcPr>
                  <w:tcW w:w="587" w:type="pct"/>
                  <w:vAlign w:val="center"/>
                </w:tcPr>
                <w:p w14:paraId="61183022">
                  <w:pPr>
                    <w:widowControl/>
                    <w:jc w:val="center"/>
                    <w:rPr>
                      <w:b/>
                      <w:bCs/>
                      <w:color w:val="auto"/>
                      <w:kern w:val="0"/>
                      <w:szCs w:val="21"/>
                    </w:rPr>
                  </w:pPr>
                  <w:r>
                    <w:rPr>
                      <w:rFonts w:hint="eastAsia"/>
                      <w:b/>
                      <w:bCs/>
                      <w:color w:val="auto"/>
                      <w:kern w:val="0"/>
                      <w:szCs w:val="21"/>
                    </w:rPr>
                    <w:t>位置</w:t>
                  </w:r>
                </w:p>
              </w:tc>
            </w:tr>
            <w:tr w14:paraId="4DDE5A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restart"/>
                  <w:noWrap/>
                  <w:vAlign w:val="center"/>
                </w:tcPr>
                <w:p w14:paraId="7C2ED3E4">
                  <w:pPr>
                    <w:widowControl/>
                    <w:jc w:val="center"/>
                    <w:rPr>
                      <w:color w:val="auto"/>
                      <w:kern w:val="0"/>
                      <w:szCs w:val="21"/>
                    </w:rPr>
                  </w:pPr>
                  <w:r>
                    <w:rPr>
                      <w:rFonts w:hint="eastAsia"/>
                      <w:color w:val="auto"/>
                      <w:kern w:val="0"/>
                      <w:szCs w:val="21"/>
                    </w:rPr>
                    <w:t>塑料桶</w:t>
                  </w:r>
                </w:p>
              </w:tc>
              <w:tc>
                <w:tcPr>
                  <w:tcW w:w="772" w:type="pct"/>
                  <w:noWrap/>
                  <w:vAlign w:val="center"/>
                </w:tcPr>
                <w:p w14:paraId="799385DC">
                  <w:pPr>
                    <w:widowControl/>
                    <w:jc w:val="center"/>
                    <w:rPr>
                      <w:color w:val="auto"/>
                      <w:kern w:val="0"/>
                      <w:szCs w:val="21"/>
                    </w:rPr>
                  </w:pPr>
                  <w:r>
                    <w:rPr>
                      <w:rFonts w:hint="eastAsia"/>
                      <w:color w:val="auto"/>
                      <w:kern w:val="0"/>
                      <w:szCs w:val="21"/>
                    </w:rPr>
                    <w:t>注塑机</w:t>
                  </w:r>
                </w:p>
              </w:tc>
              <w:tc>
                <w:tcPr>
                  <w:tcW w:w="527" w:type="pct"/>
                  <w:shd w:val="clear" w:color="auto" w:fill="auto"/>
                  <w:vAlign w:val="center"/>
                </w:tcPr>
                <w:p w14:paraId="10961FB7">
                  <w:pPr>
                    <w:widowControl/>
                    <w:jc w:val="center"/>
                    <w:rPr>
                      <w:color w:val="auto"/>
                      <w:kern w:val="0"/>
                      <w:szCs w:val="21"/>
                    </w:rPr>
                  </w:pPr>
                  <w:r>
                    <w:rPr>
                      <w:rFonts w:hint="eastAsia"/>
                      <w:color w:val="auto"/>
                      <w:kern w:val="0"/>
                      <w:szCs w:val="21"/>
                    </w:rPr>
                    <w:t>720T</w:t>
                  </w:r>
                </w:p>
              </w:tc>
              <w:tc>
                <w:tcPr>
                  <w:tcW w:w="433" w:type="pct"/>
                  <w:vAlign w:val="center"/>
                </w:tcPr>
                <w:p w14:paraId="2CAD8D8F">
                  <w:pPr>
                    <w:widowControl/>
                    <w:jc w:val="center"/>
                    <w:rPr>
                      <w:color w:val="auto"/>
                      <w:kern w:val="0"/>
                      <w:szCs w:val="21"/>
                    </w:rPr>
                  </w:pPr>
                  <w:r>
                    <w:rPr>
                      <w:rFonts w:hint="eastAsia"/>
                      <w:color w:val="auto"/>
                      <w:kern w:val="0"/>
                      <w:szCs w:val="21"/>
                    </w:rPr>
                    <w:t>台</w:t>
                  </w:r>
                </w:p>
              </w:tc>
              <w:tc>
                <w:tcPr>
                  <w:tcW w:w="540" w:type="pct"/>
                  <w:vAlign w:val="center"/>
                </w:tcPr>
                <w:p w14:paraId="20C7FBFC">
                  <w:pPr>
                    <w:widowControl/>
                    <w:jc w:val="center"/>
                    <w:rPr>
                      <w:color w:val="auto"/>
                      <w:kern w:val="0"/>
                      <w:szCs w:val="21"/>
                    </w:rPr>
                  </w:pPr>
                  <w:r>
                    <w:rPr>
                      <w:rFonts w:hint="eastAsia"/>
                      <w:color w:val="auto"/>
                      <w:kern w:val="0"/>
                      <w:szCs w:val="21"/>
                    </w:rPr>
                    <w:t>0</w:t>
                  </w:r>
                </w:p>
              </w:tc>
              <w:tc>
                <w:tcPr>
                  <w:tcW w:w="583" w:type="pct"/>
                  <w:shd w:val="clear" w:color="auto" w:fill="auto"/>
                  <w:vAlign w:val="center"/>
                </w:tcPr>
                <w:p w14:paraId="78A170F9">
                  <w:pPr>
                    <w:widowControl/>
                    <w:jc w:val="center"/>
                    <w:rPr>
                      <w:color w:val="auto"/>
                      <w:kern w:val="0"/>
                      <w:szCs w:val="21"/>
                    </w:rPr>
                  </w:pPr>
                  <w:r>
                    <w:rPr>
                      <w:rFonts w:hint="eastAsia"/>
                      <w:color w:val="auto"/>
                      <w:kern w:val="0"/>
                      <w:szCs w:val="21"/>
                    </w:rPr>
                    <w:t>3</w:t>
                  </w:r>
                </w:p>
              </w:tc>
              <w:tc>
                <w:tcPr>
                  <w:tcW w:w="512" w:type="pct"/>
                  <w:vAlign w:val="center"/>
                </w:tcPr>
                <w:p w14:paraId="53C36E16">
                  <w:pPr>
                    <w:widowControl/>
                    <w:jc w:val="center"/>
                    <w:rPr>
                      <w:color w:val="auto"/>
                      <w:kern w:val="0"/>
                      <w:szCs w:val="21"/>
                    </w:rPr>
                  </w:pPr>
                  <w:r>
                    <w:rPr>
                      <w:rFonts w:hint="eastAsia"/>
                      <w:color w:val="auto"/>
                      <w:kern w:val="0"/>
                      <w:szCs w:val="21"/>
                    </w:rPr>
                    <w:t>+3</w:t>
                  </w:r>
                </w:p>
              </w:tc>
              <w:tc>
                <w:tcPr>
                  <w:tcW w:w="587" w:type="pct"/>
                  <w:vAlign w:val="center"/>
                </w:tcPr>
                <w:p w14:paraId="4C6F4092">
                  <w:pPr>
                    <w:jc w:val="center"/>
                    <w:rPr>
                      <w:color w:val="auto"/>
                      <w:kern w:val="0"/>
                      <w:szCs w:val="21"/>
                    </w:rPr>
                  </w:pPr>
                  <w:r>
                    <w:rPr>
                      <w:rFonts w:hint="eastAsia"/>
                      <w:color w:val="auto"/>
                      <w:kern w:val="0"/>
                      <w:szCs w:val="21"/>
                    </w:rPr>
                    <w:t>/</w:t>
                  </w:r>
                </w:p>
              </w:tc>
              <w:tc>
                <w:tcPr>
                  <w:tcW w:w="587" w:type="pct"/>
                  <w:vMerge w:val="restart"/>
                  <w:vAlign w:val="center"/>
                </w:tcPr>
                <w:p w14:paraId="740ACB90">
                  <w:pPr>
                    <w:jc w:val="center"/>
                    <w:rPr>
                      <w:color w:val="auto"/>
                      <w:kern w:val="0"/>
                      <w:szCs w:val="21"/>
                    </w:rPr>
                  </w:pPr>
                  <w:r>
                    <w:rPr>
                      <w:rFonts w:hint="eastAsia"/>
                      <w:color w:val="auto"/>
                      <w:kern w:val="0"/>
                      <w:szCs w:val="21"/>
                    </w:rPr>
                    <w:t>注塑区</w:t>
                  </w:r>
                </w:p>
              </w:tc>
            </w:tr>
            <w:tr w14:paraId="097EE4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continue"/>
                  <w:noWrap/>
                  <w:vAlign w:val="center"/>
                </w:tcPr>
                <w:p w14:paraId="1604F0DF">
                  <w:pPr>
                    <w:widowControl/>
                    <w:jc w:val="center"/>
                    <w:rPr>
                      <w:color w:val="auto"/>
                      <w:kern w:val="0"/>
                      <w:szCs w:val="21"/>
                    </w:rPr>
                  </w:pPr>
                </w:p>
              </w:tc>
              <w:tc>
                <w:tcPr>
                  <w:tcW w:w="772" w:type="pct"/>
                  <w:noWrap/>
                  <w:vAlign w:val="center"/>
                </w:tcPr>
                <w:p w14:paraId="75718E6A">
                  <w:pPr>
                    <w:widowControl/>
                    <w:jc w:val="center"/>
                    <w:rPr>
                      <w:color w:val="auto"/>
                      <w:kern w:val="0"/>
                      <w:szCs w:val="21"/>
                    </w:rPr>
                  </w:pPr>
                  <w:r>
                    <w:rPr>
                      <w:rFonts w:hint="eastAsia"/>
                      <w:color w:val="auto"/>
                      <w:kern w:val="0"/>
                      <w:szCs w:val="21"/>
                    </w:rPr>
                    <w:t>注塑机</w:t>
                  </w:r>
                </w:p>
              </w:tc>
              <w:tc>
                <w:tcPr>
                  <w:tcW w:w="527" w:type="pct"/>
                  <w:shd w:val="clear" w:color="auto" w:fill="auto"/>
                  <w:vAlign w:val="center"/>
                </w:tcPr>
                <w:p w14:paraId="721B524A">
                  <w:pPr>
                    <w:widowControl/>
                    <w:jc w:val="center"/>
                    <w:rPr>
                      <w:color w:val="auto"/>
                      <w:kern w:val="0"/>
                      <w:szCs w:val="21"/>
                    </w:rPr>
                  </w:pPr>
                  <w:r>
                    <w:rPr>
                      <w:rFonts w:hint="eastAsia"/>
                      <w:color w:val="auto"/>
                      <w:kern w:val="0"/>
                      <w:szCs w:val="21"/>
                    </w:rPr>
                    <w:t>530T</w:t>
                  </w:r>
                </w:p>
              </w:tc>
              <w:tc>
                <w:tcPr>
                  <w:tcW w:w="433" w:type="pct"/>
                  <w:vAlign w:val="center"/>
                </w:tcPr>
                <w:p w14:paraId="464D9428">
                  <w:pPr>
                    <w:widowControl/>
                    <w:jc w:val="center"/>
                    <w:rPr>
                      <w:color w:val="auto"/>
                      <w:kern w:val="0"/>
                      <w:szCs w:val="21"/>
                    </w:rPr>
                  </w:pPr>
                  <w:r>
                    <w:rPr>
                      <w:rFonts w:hint="eastAsia"/>
                      <w:color w:val="auto"/>
                      <w:kern w:val="0"/>
                      <w:szCs w:val="21"/>
                    </w:rPr>
                    <w:t>台</w:t>
                  </w:r>
                </w:p>
              </w:tc>
              <w:tc>
                <w:tcPr>
                  <w:tcW w:w="540" w:type="pct"/>
                  <w:vAlign w:val="center"/>
                </w:tcPr>
                <w:p w14:paraId="32152A93">
                  <w:pPr>
                    <w:widowControl/>
                    <w:jc w:val="center"/>
                    <w:rPr>
                      <w:color w:val="auto"/>
                      <w:kern w:val="0"/>
                      <w:szCs w:val="21"/>
                    </w:rPr>
                  </w:pPr>
                  <w:r>
                    <w:rPr>
                      <w:rFonts w:hint="eastAsia"/>
                      <w:color w:val="auto"/>
                      <w:kern w:val="0"/>
                      <w:szCs w:val="21"/>
                    </w:rPr>
                    <w:t>0</w:t>
                  </w:r>
                </w:p>
              </w:tc>
              <w:tc>
                <w:tcPr>
                  <w:tcW w:w="583" w:type="pct"/>
                  <w:shd w:val="clear" w:color="auto" w:fill="auto"/>
                  <w:vAlign w:val="center"/>
                </w:tcPr>
                <w:p w14:paraId="69B57A62">
                  <w:pPr>
                    <w:widowControl/>
                    <w:jc w:val="center"/>
                    <w:rPr>
                      <w:color w:val="auto"/>
                      <w:kern w:val="0"/>
                      <w:szCs w:val="21"/>
                    </w:rPr>
                  </w:pPr>
                  <w:r>
                    <w:rPr>
                      <w:rFonts w:hint="eastAsia"/>
                      <w:color w:val="auto"/>
                      <w:kern w:val="0"/>
                      <w:szCs w:val="21"/>
                    </w:rPr>
                    <w:t>2</w:t>
                  </w:r>
                </w:p>
              </w:tc>
              <w:tc>
                <w:tcPr>
                  <w:tcW w:w="512" w:type="pct"/>
                  <w:vAlign w:val="center"/>
                </w:tcPr>
                <w:p w14:paraId="63014CA4">
                  <w:pPr>
                    <w:widowControl/>
                    <w:jc w:val="center"/>
                    <w:rPr>
                      <w:color w:val="auto"/>
                      <w:kern w:val="0"/>
                      <w:szCs w:val="21"/>
                    </w:rPr>
                  </w:pPr>
                  <w:r>
                    <w:rPr>
                      <w:rFonts w:hint="eastAsia"/>
                      <w:color w:val="auto"/>
                      <w:kern w:val="0"/>
                      <w:szCs w:val="21"/>
                    </w:rPr>
                    <w:t>+2</w:t>
                  </w:r>
                </w:p>
              </w:tc>
              <w:tc>
                <w:tcPr>
                  <w:tcW w:w="587" w:type="pct"/>
                  <w:vAlign w:val="center"/>
                </w:tcPr>
                <w:p w14:paraId="071C87D3">
                  <w:pPr>
                    <w:jc w:val="center"/>
                    <w:rPr>
                      <w:color w:val="auto"/>
                      <w:kern w:val="0"/>
                      <w:szCs w:val="21"/>
                    </w:rPr>
                  </w:pPr>
                  <w:r>
                    <w:rPr>
                      <w:rFonts w:hint="eastAsia"/>
                      <w:color w:val="auto"/>
                      <w:kern w:val="0"/>
                      <w:szCs w:val="21"/>
                    </w:rPr>
                    <w:t>/</w:t>
                  </w:r>
                </w:p>
              </w:tc>
              <w:tc>
                <w:tcPr>
                  <w:tcW w:w="587" w:type="pct"/>
                  <w:vMerge w:val="continue"/>
                  <w:vAlign w:val="center"/>
                </w:tcPr>
                <w:p w14:paraId="5AF3EB7C">
                  <w:pPr>
                    <w:jc w:val="center"/>
                    <w:rPr>
                      <w:color w:val="auto"/>
                      <w:kern w:val="0"/>
                      <w:szCs w:val="21"/>
                    </w:rPr>
                  </w:pPr>
                </w:p>
              </w:tc>
            </w:tr>
            <w:tr w14:paraId="3A8847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continue"/>
                  <w:noWrap/>
                  <w:vAlign w:val="center"/>
                </w:tcPr>
                <w:p w14:paraId="1213AE0F">
                  <w:pPr>
                    <w:widowControl/>
                    <w:adjustRightInd w:val="0"/>
                    <w:snapToGrid w:val="0"/>
                    <w:jc w:val="center"/>
                    <w:rPr>
                      <w:color w:val="auto"/>
                      <w:kern w:val="0"/>
                      <w:szCs w:val="21"/>
                    </w:rPr>
                  </w:pPr>
                </w:p>
              </w:tc>
              <w:tc>
                <w:tcPr>
                  <w:tcW w:w="772" w:type="pct"/>
                  <w:noWrap/>
                  <w:vAlign w:val="center"/>
                </w:tcPr>
                <w:p w14:paraId="4F0FC7BF">
                  <w:pPr>
                    <w:widowControl/>
                    <w:jc w:val="center"/>
                    <w:rPr>
                      <w:color w:val="auto"/>
                      <w:kern w:val="0"/>
                      <w:szCs w:val="21"/>
                    </w:rPr>
                  </w:pPr>
                  <w:r>
                    <w:rPr>
                      <w:rFonts w:hint="eastAsia"/>
                      <w:color w:val="auto"/>
                      <w:kern w:val="0"/>
                      <w:szCs w:val="21"/>
                    </w:rPr>
                    <w:t>注塑机</w:t>
                  </w:r>
                </w:p>
              </w:tc>
              <w:tc>
                <w:tcPr>
                  <w:tcW w:w="527" w:type="pct"/>
                  <w:shd w:val="clear" w:color="auto" w:fill="auto"/>
                  <w:vAlign w:val="center"/>
                </w:tcPr>
                <w:p w14:paraId="29EEBE5E">
                  <w:pPr>
                    <w:widowControl/>
                    <w:jc w:val="center"/>
                    <w:rPr>
                      <w:color w:val="auto"/>
                      <w:kern w:val="0"/>
                      <w:szCs w:val="21"/>
                    </w:rPr>
                  </w:pPr>
                  <w:r>
                    <w:rPr>
                      <w:rFonts w:hint="eastAsia"/>
                      <w:color w:val="auto"/>
                      <w:kern w:val="0"/>
                      <w:szCs w:val="21"/>
                    </w:rPr>
                    <w:t>300T</w:t>
                  </w:r>
                </w:p>
              </w:tc>
              <w:tc>
                <w:tcPr>
                  <w:tcW w:w="433" w:type="pct"/>
                  <w:vAlign w:val="center"/>
                </w:tcPr>
                <w:p w14:paraId="3AD47C88">
                  <w:pPr>
                    <w:widowControl/>
                    <w:jc w:val="center"/>
                    <w:rPr>
                      <w:color w:val="auto"/>
                      <w:kern w:val="0"/>
                      <w:szCs w:val="21"/>
                    </w:rPr>
                  </w:pPr>
                  <w:r>
                    <w:rPr>
                      <w:rFonts w:hint="eastAsia"/>
                      <w:color w:val="auto"/>
                      <w:kern w:val="0"/>
                      <w:szCs w:val="21"/>
                    </w:rPr>
                    <w:t>台</w:t>
                  </w:r>
                </w:p>
              </w:tc>
              <w:tc>
                <w:tcPr>
                  <w:tcW w:w="540" w:type="pct"/>
                  <w:vAlign w:val="center"/>
                </w:tcPr>
                <w:p w14:paraId="16B6B17C">
                  <w:pPr>
                    <w:widowControl/>
                    <w:jc w:val="center"/>
                    <w:rPr>
                      <w:color w:val="auto"/>
                      <w:kern w:val="0"/>
                      <w:szCs w:val="21"/>
                    </w:rPr>
                  </w:pPr>
                  <w:r>
                    <w:rPr>
                      <w:rFonts w:hint="eastAsia"/>
                      <w:color w:val="auto"/>
                      <w:kern w:val="0"/>
                      <w:szCs w:val="21"/>
                    </w:rPr>
                    <w:t>0</w:t>
                  </w:r>
                </w:p>
              </w:tc>
              <w:tc>
                <w:tcPr>
                  <w:tcW w:w="583" w:type="pct"/>
                  <w:shd w:val="clear" w:color="auto" w:fill="auto"/>
                  <w:vAlign w:val="center"/>
                </w:tcPr>
                <w:p w14:paraId="02AE4011">
                  <w:pPr>
                    <w:widowControl/>
                    <w:jc w:val="center"/>
                    <w:rPr>
                      <w:color w:val="auto"/>
                      <w:kern w:val="0"/>
                      <w:szCs w:val="21"/>
                    </w:rPr>
                  </w:pPr>
                  <w:r>
                    <w:rPr>
                      <w:rFonts w:hint="eastAsia"/>
                      <w:color w:val="auto"/>
                      <w:kern w:val="0"/>
                      <w:szCs w:val="21"/>
                    </w:rPr>
                    <w:t>1</w:t>
                  </w:r>
                </w:p>
              </w:tc>
              <w:tc>
                <w:tcPr>
                  <w:tcW w:w="512" w:type="pct"/>
                  <w:vAlign w:val="center"/>
                </w:tcPr>
                <w:p w14:paraId="3184A052">
                  <w:pPr>
                    <w:widowControl/>
                    <w:jc w:val="center"/>
                    <w:rPr>
                      <w:color w:val="auto"/>
                      <w:kern w:val="0"/>
                      <w:szCs w:val="21"/>
                    </w:rPr>
                  </w:pPr>
                  <w:r>
                    <w:rPr>
                      <w:rFonts w:hint="eastAsia"/>
                      <w:color w:val="auto"/>
                      <w:kern w:val="0"/>
                      <w:szCs w:val="21"/>
                    </w:rPr>
                    <w:t>+1</w:t>
                  </w:r>
                </w:p>
              </w:tc>
              <w:tc>
                <w:tcPr>
                  <w:tcW w:w="587" w:type="pct"/>
                  <w:vAlign w:val="center"/>
                </w:tcPr>
                <w:p w14:paraId="525003D3">
                  <w:pPr>
                    <w:jc w:val="center"/>
                    <w:rPr>
                      <w:color w:val="auto"/>
                      <w:kern w:val="0"/>
                      <w:szCs w:val="21"/>
                    </w:rPr>
                  </w:pPr>
                  <w:r>
                    <w:rPr>
                      <w:rFonts w:hint="eastAsia"/>
                      <w:color w:val="auto"/>
                      <w:kern w:val="0"/>
                      <w:szCs w:val="21"/>
                    </w:rPr>
                    <w:t>/</w:t>
                  </w:r>
                </w:p>
              </w:tc>
              <w:tc>
                <w:tcPr>
                  <w:tcW w:w="587" w:type="pct"/>
                  <w:vMerge w:val="continue"/>
                  <w:vAlign w:val="center"/>
                </w:tcPr>
                <w:p w14:paraId="4964BAA4">
                  <w:pPr>
                    <w:jc w:val="center"/>
                    <w:rPr>
                      <w:color w:val="auto"/>
                      <w:kern w:val="0"/>
                      <w:szCs w:val="21"/>
                    </w:rPr>
                  </w:pPr>
                </w:p>
              </w:tc>
            </w:tr>
            <w:tr w14:paraId="7161DC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continue"/>
                  <w:noWrap/>
                  <w:vAlign w:val="center"/>
                </w:tcPr>
                <w:p w14:paraId="5307F3AE">
                  <w:pPr>
                    <w:widowControl/>
                    <w:adjustRightInd w:val="0"/>
                    <w:snapToGrid w:val="0"/>
                    <w:jc w:val="center"/>
                    <w:rPr>
                      <w:color w:val="auto"/>
                      <w:kern w:val="0"/>
                      <w:szCs w:val="21"/>
                    </w:rPr>
                  </w:pPr>
                </w:p>
              </w:tc>
              <w:tc>
                <w:tcPr>
                  <w:tcW w:w="772" w:type="pct"/>
                  <w:noWrap/>
                  <w:vAlign w:val="center"/>
                </w:tcPr>
                <w:p w14:paraId="396A837F">
                  <w:pPr>
                    <w:widowControl/>
                    <w:jc w:val="center"/>
                    <w:rPr>
                      <w:color w:val="auto"/>
                      <w:kern w:val="0"/>
                      <w:szCs w:val="21"/>
                    </w:rPr>
                  </w:pPr>
                  <w:r>
                    <w:rPr>
                      <w:rFonts w:hint="eastAsia"/>
                      <w:color w:val="auto"/>
                      <w:kern w:val="0"/>
                      <w:szCs w:val="21"/>
                    </w:rPr>
                    <w:t>注塑机</w:t>
                  </w:r>
                </w:p>
              </w:tc>
              <w:tc>
                <w:tcPr>
                  <w:tcW w:w="527" w:type="pct"/>
                  <w:shd w:val="clear" w:color="auto" w:fill="auto"/>
                  <w:vAlign w:val="center"/>
                </w:tcPr>
                <w:p w14:paraId="1F64B3C8">
                  <w:pPr>
                    <w:widowControl/>
                    <w:jc w:val="center"/>
                    <w:rPr>
                      <w:color w:val="auto"/>
                      <w:kern w:val="0"/>
                      <w:szCs w:val="21"/>
                    </w:rPr>
                  </w:pPr>
                  <w:r>
                    <w:rPr>
                      <w:rFonts w:hint="eastAsia"/>
                      <w:color w:val="auto"/>
                      <w:kern w:val="0"/>
                      <w:szCs w:val="21"/>
                    </w:rPr>
                    <w:t>250T</w:t>
                  </w:r>
                </w:p>
              </w:tc>
              <w:tc>
                <w:tcPr>
                  <w:tcW w:w="433" w:type="pct"/>
                  <w:vAlign w:val="center"/>
                </w:tcPr>
                <w:p w14:paraId="23A2E028">
                  <w:pPr>
                    <w:widowControl/>
                    <w:jc w:val="center"/>
                    <w:rPr>
                      <w:color w:val="auto"/>
                      <w:kern w:val="0"/>
                      <w:szCs w:val="21"/>
                    </w:rPr>
                  </w:pPr>
                  <w:r>
                    <w:rPr>
                      <w:rFonts w:hint="eastAsia"/>
                      <w:color w:val="auto"/>
                      <w:kern w:val="0"/>
                      <w:szCs w:val="21"/>
                    </w:rPr>
                    <w:t>台</w:t>
                  </w:r>
                </w:p>
              </w:tc>
              <w:tc>
                <w:tcPr>
                  <w:tcW w:w="540" w:type="pct"/>
                  <w:vAlign w:val="center"/>
                </w:tcPr>
                <w:p w14:paraId="3C500C1D">
                  <w:pPr>
                    <w:widowControl/>
                    <w:jc w:val="center"/>
                    <w:rPr>
                      <w:color w:val="auto"/>
                      <w:kern w:val="0"/>
                      <w:szCs w:val="21"/>
                    </w:rPr>
                  </w:pPr>
                  <w:r>
                    <w:rPr>
                      <w:rFonts w:hint="eastAsia"/>
                      <w:color w:val="auto"/>
                      <w:kern w:val="0"/>
                      <w:szCs w:val="21"/>
                    </w:rPr>
                    <w:t>0</w:t>
                  </w:r>
                </w:p>
              </w:tc>
              <w:tc>
                <w:tcPr>
                  <w:tcW w:w="583" w:type="pct"/>
                  <w:shd w:val="clear" w:color="auto" w:fill="auto"/>
                  <w:vAlign w:val="center"/>
                </w:tcPr>
                <w:p w14:paraId="239CCAB4">
                  <w:pPr>
                    <w:widowControl/>
                    <w:jc w:val="center"/>
                    <w:rPr>
                      <w:color w:val="auto"/>
                      <w:kern w:val="0"/>
                      <w:szCs w:val="21"/>
                    </w:rPr>
                  </w:pPr>
                  <w:r>
                    <w:rPr>
                      <w:rFonts w:hint="eastAsia"/>
                      <w:color w:val="auto"/>
                      <w:kern w:val="0"/>
                      <w:szCs w:val="21"/>
                    </w:rPr>
                    <w:t>2</w:t>
                  </w:r>
                </w:p>
              </w:tc>
              <w:tc>
                <w:tcPr>
                  <w:tcW w:w="512" w:type="pct"/>
                  <w:vAlign w:val="center"/>
                </w:tcPr>
                <w:p w14:paraId="6BD23ECD">
                  <w:pPr>
                    <w:widowControl/>
                    <w:jc w:val="center"/>
                    <w:rPr>
                      <w:color w:val="auto"/>
                      <w:kern w:val="0"/>
                      <w:szCs w:val="21"/>
                    </w:rPr>
                  </w:pPr>
                  <w:r>
                    <w:rPr>
                      <w:rFonts w:hint="eastAsia"/>
                      <w:color w:val="auto"/>
                      <w:kern w:val="0"/>
                      <w:szCs w:val="21"/>
                    </w:rPr>
                    <w:t>+2</w:t>
                  </w:r>
                </w:p>
              </w:tc>
              <w:tc>
                <w:tcPr>
                  <w:tcW w:w="587" w:type="pct"/>
                  <w:vAlign w:val="center"/>
                </w:tcPr>
                <w:p w14:paraId="2A19F0E6">
                  <w:pPr>
                    <w:jc w:val="center"/>
                    <w:rPr>
                      <w:color w:val="auto"/>
                      <w:kern w:val="0"/>
                      <w:szCs w:val="21"/>
                    </w:rPr>
                  </w:pPr>
                  <w:r>
                    <w:rPr>
                      <w:rFonts w:hint="eastAsia"/>
                      <w:color w:val="auto"/>
                      <w:kern w:val="0"/>
                      <w:szCs w:val="21"/>
                    </w:rPr>
                    <w:t>/</w:t>
                  </w:r>
                </w:p>
              </w:tc>
              <w:tc>
                <w:tcPr>
                  <w:tcW w:w="587" w:type="pct"/>
                  <w:vMerge w:val="continue"/>
                  <w:vAlign w:val="center"/>
                </w:tcPr>
                <w:p w14:paraId="400CD0A7">
                  <w:pPr>
                    <w:jc w:val="center"/>
                    <w:rPr>
                      <w:color w:val="auto"/>
                      <w:kern w:val="0"/>
                      <w:szCs w:val="21"/>
                    </w:rPr>
                  </w:pPr>
                </w:p>
              </w:tc>
            </w:tr>
            <w:tr w14:paraId="0368C9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continue"/>
                  <w:noWrap/>
                  <w:vAlign w:val="center"/>
                </w:tcPr>
                <w:p w14:paraId="1BB80621">
                  <w:pPr>
                    <w:widowControl/>
                    <w:jc w:val="center"/>
                    <w:rPr>
                      <w:color w:val="auto"/>
                    </w:rPr>
                  </w:pPr>
                </w:p>
              </w:tc>
              <w:tc>
                <w:tcPr>
                  <w:tcW w:w="772" w:type="pct"/>
                  <w:noWrap/>
                  <w:vAlign w:val="center"/>
                </w:tcPr>
                <w:p w14:paraId="77E0680D">
                  <w:pPr>
                    <w:widowControl/>
                    <w:jc w:val="center"/>
                    <w:rPr>
                      <w:color w:val="auto"/>
                      <w:kern w:val="0"/>
                      <w:szCs w:val="21"/>
                    </w:rPr>
                  </w:pPr>
                  <w:r>
                    <w:rPr>
                      <w:rFonts w:hint="eastAsia"/>
                      <w:color w:val="auto"/>
                      <w:kern w:val="0"/>
                      <w:szCs w:val="21"/>
                    </w:rPr>
                    <w:t>破碎机</w:t>
                  </w:r>
                </w:p>
              </w:tc>
              <w:tc>
                <w:tcPr>
                  <w:tcW w:w="527" w:type="pct"/>
                  <w:shd w:val="clear" w:color="auto" w:fill="auto"/>
                  <w:vAlign w:val="center"/>
                </w:tcPr>
                <w:p w14:paraId="40B2D89B">
                  <w:pPr>
                    <w:widowControl/>
                    <w:jc w:val="center"/>
                    <w:rPr>
                      <w:color w:val="auto"/>
                      <w:kern w:val="0"/>
                      <w:szCs w:val="21"/>
                    </w:rPr>
                  </w:pPr>
                  <w:r>
                    <w:rPr>
                      <w:rFonts w:hint="eastAsia"/>
                      <w:color w:val="auto"/>
                    </w:rPr>
                    <w:t>/</w:t>
                  </w:r>
                </w:p>
              </w:tc>
              <w:tc>
                <w:tcPr>
                  <w:tcW w:w="433" w:type="pct"/>
                  <w:vAlign w:val="center"/>
                </w:tcPr>
                <w:p w14:paraId="55BBF344">
                  <w:pPr>
                    <w:widowControl/>
                    <w:jc w:val="center"/>
                    <w:rPr>
                      <w:color w:val="auto"/>
                      <w:kern w:val="0"/>
                      <w:szCs w:val="21"/>
                    </w:rPr>
                  </w:pPr>
                  <w:r>
                    <w:rPr>
                      <w:rFonts w:hint="eastAsia"/>
                      <w:color w:val="auto"/>
                      <w:kern w:val="0"/>
                      <w:szCs w:val="21"/>
                    </w:rPr>
                    <w:t>台</w:t>
                  </w:r>
                </w:p>
              </w:tc>
              <w:tc>
                <w:tcPr>
                  <w:tcW w:w="540" w:type="pct"/>
                  <w:vAlign w:val="center"/>
                </w:tcPr>
                <w:p w14:paraId="7DE67D00">
                  <w:pPr>
                    <w:widowControl/>
                    <w:jc w:val="center"/>
                    <w:rPr>
                      <w:color w:val="auto"/>
                      <w:kern w:val="0"/>
                      <w:szCs w:val="21"/>
                    </w:rPr>
                  </w:pPr>
                  <w:r>
                    <w:rPr>
                      <w:rFonts w:hint="eastAsia"/>
                      <w:color w:val="auto"/>
                      <w:kern w:val="0"/>
                      <w:szCs w:val="21"/>
                    </w:rPr>
                    <w:t>0</w:t>
                  </w:r>
                </w:p>
              </w:tc>
              <w:tc>
                <w:tcPr>
                  <w:tcW w:w="583" w:type="pct"/>
                  <w:shd w:val="clear" w:color="auto" w:fill="auto"/>
                  <w:vAlign w:val="center"/>
                </w:tcPr>
                <w:p w14:paraId="2D028DAE">
                  <w:pPr>
                    <w:widowControl/>
                    <w:jc w:val="center"/>
                    <w:rPr>
                      <w:color w:val="auto"/>
                      <w:kern w:val="0"/>
                      <w:szCs w:val="21"/>
                    </w:rPr>
                  </w:pPr>
                  <w:r>
                    <w:rPr>
                      <w:rFonts w:hint="eastAsia"/>
                      <w:color w:val="auto"/>
                      <w:kern w:val="0"/>
                      <w:szCs w:val="21"/>
                    </w:rPr>
                    <w:t>2</w:t>
                  </w:r>
                </w:p>
              </w:tc>
              <w:tc>
                <w:tcPr>
                  <w:tcW w:w="512" w:type="pct"/>
                  <w:vAlign w:val="center"/>
                </w:tcPr>
                <w:p w14:paraId="5D0E5BDF">
                  <w:pPr>
                    <w:widowControl/>
                    <w:jc w:val="center"/>
                    <w:rPr>
                      <w:color w:val="auto"/>
                      <w:kern w:val="0"/>
                      <w:szCs w:val="21"/>
                    </w:rPr>
                  </w:pPr>
                  <w:r>
                    <w:rPr>
                      <w:rFonts w:hint="eastAsia"/>
                      <w:color w:val="auto"/>
                      <w:kern w:val="0"/>
                      <w:szCs w:val="21"/>
                    </w:rPr>
                    <w:t>+2</w:t>
                  </w:r>
                </w:p>
              </w:tc>
              <w:tc>
                <w:tcPr>
                  <w:tcW w:w="587" w:type="pct"/>
                  <w:vAlign w:val="center"/>
                </w:tcPr>
                <w:p w14:paraId="5C4DE863">
                  <w:pPr>
                    <w:jc w:val="center"/>
                    <w:rPr>
                      <w:color w:val="auto"/>
                      <w:kern w:val="0"/>
                      <w:szCs w:val="21"/>
                    </w:rPr>
                  </w:pPr>
                  <w:r>
                    <w:rPr>
                      <w:rFonts w:hint="eastAsia"/>
                      <w:color w:val="auto"/>
                      <w:kern w:val="0"/>
                      <w:szCs w:val="21"/>
                    </w:rPr>
                    <w:t>1用1备</w:t>
                  </w:r>
                </w:p>
              </w:tc>
              <w:tc>
                <w:tcPr>
                  <w:tcW w:w="587" w:type="pct"/>
                  <w:vAlign w:val="center"/>
                </w:tcPr>
                <w:p w14:paraId="23411A3F">
                  <w:pPr>
                    <w:jc w:val="center"/>
                    <w:rPr>
                      <w:color w:val="auto"/>
                      <w:kern w:val="0"/>
                      <w:szCs w:val="21"/>
                    </w:rPr>
                  </w:pPr>
                  <w:r>
                    <w:rPr>
                      <w:rFonts w:hint="eastAsia"/>
                      <w:color w:val="auto"/>
                      <w:kern w:val="0"/>
                      <w:szCs w:val="21"/>
                    </w:rPr>
                    <w:t>破碎区</w:t>
                  </w:r>
                </w:p>
              </w:tc>
            </w:tr>
            <w:tr w14:paraId="2BAC72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continue"/>
                  <w:noWrap/>
                  <w:vAlign w:val="center"/>
                </w:tcPr>
                <w:p w14:paraId="611CB6D9">
                  <w:pPr>
                    <w:widowControl/>
                    <w:adjustRightInd w:val="0"/>
                    <w:snapToGrid w:val="0"/>
                    <w:jc w:val="center"/>
                    <w:rPr>
                      <w:color w:val="auto"/>
                      <w:kern w:val="0"/>
                      <w:szCs w:val="21"/>
                    </w:rPr>
                  </w:pPr>
                </w:p>
              </w:tc>
              <w:tc>
                <w:tcPr>
                  <w:tcW w:w="772" w:type="pct"/>
                  <w:noWrap/>
                  <w:vAlign w:val="center"/>
                </w:tcPr>
                <w:p w14:paraId="47172F01">
                  <w:pPr>
                    <w:widowControl/>
                    <w:adjustRightInd w:val="0"/>
                    <w:snapToGrid w:val="0"/>
                    <w:jc w:val="center"/>
                    <w:rPr>
                      <w:color w:val="auto"/>
                      <w:kern w:val="0"/>
                      <w:szCs w:val="21"/>
                    </w:rPr>
                  </w:pPr>
                  <w:r>
                    <w:rPr>
                      <w:rFonts w:hint="eastAsia"/>
                      <w:color w:val="auto"/>
                      <w:kern w:val="0"/>
                      <w:szCs w:val="21"/>
                    </w:rPr>
                    <w:t>热转印机</w:t>
                  </w:r>
                </w:p>
              </w:tc>
              <w:tc>
                <w:tcPr>
                  <w:tcW w:w="527" w:type="pct"/>
                  <w:shd w:val="clear" w:color="auto" w:fill="auto"/>
                  <w:vAlign w:val="center"/>
                </w:tcPr>
                <w:p w14:paraId="553A8083">
                  <w:pPr>
                    <w:widowControl/>
                    <w:jc w:val="center"/>
                    <w:rPr>
                      <w:color w:val="auto"/>
                      <w:kern w:val="0"/>
                      <w:szCs w:val="21"/>
                    </w:rPr>
                  </w:pPr>
                  <w:r>
                    <w:rPr>
                      <w:rFonts w:hint="eastAsia"/>
                      <w:color w:val="auto"/>
                      <w:kern w:val="0"/>
                      <w:szCs w:val="21"/>
                    </w:rPr>
                    <w:t>/</w:t>
                  </w:r>
                </w:p>
              </w:tc>
              <w:tc>
                <w:tcPr>
                  <w:tcW w:w="433" w:type="pct"/>
                  <w:vAlign w:val="center"/>
                </w:tcPr>
                <w:p w14:paraId="7CA3C03D">
                  <w:pPr>
                    <w:widowControl/>
                    <w:jc w:val="center"/>
                    <w:rPr>
                      <w:color w:val="auto"/>
                      <w:kern w:val="0"/>
                      <w:szCs w:val="21"/>
                    </w:rPr>
                  </w:pPr>
                  <w:r>
                    <w:rPr>
                      <w:rFonts w:hint="eastAsia"/>
                      <w:color w:val="auto"/>
                      <w:kern w:val="0"/>
                      <w:szCs w:val="21"/>
                    </w:rPr>
                    <w:t>台</w:t>
                  </w:r>
                </w:p>
              </w:tc>
              <w:tc>
                <w:tcPr>
                  <w:tcW w:w="540" w:type="pct"/>
                  <w:vAlign w:val="center"/>
                </w:tcPr>
                <w:p w14:paraId="14B69A7A">
                  <w:pPr>
                    <w:widowControl/>
                    <w:jc w:val="center"/>
                    <w:rPr>
                      <w:color w:val="auto"/>
                      <w:kern w:val="0"/>
                      <w:szCs w:val="21"/>
                    </w:rPr>
                  </w:pPr>
                  <w:r>
                    <w:rPr>
                      <w:rFonts w:hint="eastAsia"/>
                      <w:color w:val="auto"/>
                      <w:kern w:val="0"/>
                      <w:szCs w:val="21"/>
                    </w:rPr>
                    <w:t>0</w:t>
                  </w:r>
                </w:p>
              </w:tc>
              <w:tc>
                <w:tcPr>
                  <w:tcW w:w="583" w:type="pct"/>
                  <w:shd w:val="clear" w:color="auto" w:fill="auto"/>
                  <w:vAlign w:val="center"/>
                </w:tcPr>
                <w:p w14:paraId="2DA4513C">
                  <w:pPr>
                    <w:widowControl/>
                    <w:jc w:val="center"/>
                    <w:rPr>
                      <w:color w:val="auto"/>
                      <w:kern w:val="0"/>
                      <w:szCs w:val="21"/>
                    </w:rPr>
                  </w:pPr>
                  <w:r>
                    <w:rPr>
                      <w:rFonts w:hint="eastAsia"/>
                      <w:color w:val="auto"/>
                      <w:kern w:val="0"/>
                      <w:szCs w:val="21"/>
                    </w:rPr>
                    <w:t>6</w:t>
                  </w:r>
                </w:p>
              </w:tc>
              <w:tc>
                <w:tcPr>
                  <w:tcW w:w="512" w:type="pct"/>
                  <w:vAlign w:val="center"/>
                </w:tcPr>
                <w:p w14:paraId="62B021BF">
                  <w:pPr>
                    <w:widowControl/>
                    <w:jc w:val="center"/>
                    <w:rPr>
                      <w:color w:val="auto"/>
                      <w:kern w:val="0"/>
                      <w:szCs w:val="21"/>
                    </w:rPr>
                  </w:pPr>
                  <w:r>
                    <w:rPr>
                      <w:rFonts w:hint="eastAsia"/>
                      <w:color w:val="auto"/>
                      <w:kern w:val="0"/>
                      <w:szCs w:val="21"/>
                    </w:rPr>
                    <w:t>+6</w:t>
                  </w:r>
                </w:p>
              </w:tc>
              <w:tc>
                <w:tcPr>
                  <w:tcW w:w="587" w:type="pct"/>
                  <w:vAlign w:val="center"/>
                </w:tcPr>
                <w:p w14:paraId="5D5B37F2">
                  <w:pPr>
                    <w:jc w:val="center"/>
                    <w:rPr>
                      <w:color w:val="auto"/>
                      <w:kern w:val="0"/>
                      <w:szCs w:val="21"/>
                    </w:rPr>
                  </w:pPr>
                  <w:r>
                    <w:rPr>
                      <w:rFonts w:hint="eastAsia"/>
                      <w:color w:val="auto"/>
                      <w:kern w:val="0"/>
                      <w:szCs w:val="21"/>
                    </w:rPr>
                    <w:t>5用1备</w:t>
                  </w:r>
                </w:p>
              </w:tc>
              <w:tc>
                <w:tcPr>
                  <w:tcW w:w="587" w:type="pct"/>
                  <w:vAlign w:val="center"/>
                </w:tcPr>
                <w:p w14:paraId="40B88182">
                  <w:pPr>
                    <w:jc w:val="center"/>
                    <w:rPr>
                      <w:color w:val="auto"/>
                      <w:kern w:val="0"/>
                      <w:szCs w:val="21"/>
                    </w:rPr>
                  </w:pPr>
                  <w:r>
                    <w:rPr>
                      <w:rFonts w:hint="eastAsia"/>
                      <w:color w:val="auto"/>
                      <w:kern w:val="0"/>
                      <w:szCs w:val="21"/>
                    </w:rPr>
                    <w:t>热转印区</w:t>
                  </w:r>
                </w:p>
              </w:tc>
            </w:tr>
            <w:tr w14:paraId="1C301F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continue"/>
                  <w:noWrap/>
                  <w:vAlign w:val="center"/>
                </w:tcPr>
                <w:p w14:paraId="78E3C0B9">
                  <w:pPr>
                    <w:widowControl/>
                    <w:adjustRightInd w:val="0"/>
                    <w:snapToGrid w:val="0"/>
                    <w:jc w:val="center"/>
                    <w:rPr>
                      <w:color w:val="auto"/>
                      <w:kern w:val="0"/>
                      <w:szCs w:val="21"/>
                    </w:rPr>
                  </w:pPr>
                </w:p>
              </w:tc>
              <w:tc>
                <w:tcPr>
                  <w:tcW w:w="772" w:type="pct"/>
                  <w:noWrap/>
                  <w:vAlign w:val="center"/>
                </w:tcPr>
                <w:p w14:paraId="0308D823">
                  <w:pPr>
                    <w:widowControl/>
                    <w:adjustRightInd w:val="0"/>
                    <w:snapToGrid w:val="0"/>
                    <w:jc w:val="center"/>
                    <w:rPr>
                      <w:color w:val="auto"/>
                      <w:kern w:val="0"/>
                      <w:szCs w:val="21"/>
                    </w:rPr>
                  </w:pPr>
                  <w:r>
                    <w:rPr>
                      <w:rFonts w:hint="eastAsia"/>
                      <w:color w:val="auto"/>
                      <w:kern w:val="0"/>
                      <w:szCs w:val="21"/>
                    </w:rPr>
                    <w:t>搅拌机</w:t>
                  </w:r>
                </w:p>
              </w:tc>
              <w:tc>
                <w:tcPr>
                  <w:tcW w:w="527" w:type="pct"/>
                  <w:shd w:val="clear" w:color="auto" w:fill="auto"/>
                  <w:vAlign w:val="center"/>
                </w:tcPr>
                <w:p w14:paraId="77288AA9">
                  <w:pPr>
                    <w:widowControl/>
                    <w:jc w:val="center"/>
                    <w:rPr>
                      <w:color w:val="auto"/>
                      <w:kern w:val="0"/>
                      <w:szCs w:val="21"/>
                    </w:rPr>
                  </w:pPr>
                  <w:r>
                    <w:rPr>
                      <w:rFonts w:hint="eastAsia"/>
                      <w:color w:val="auto"/>
                      <w:kern w:val="0"/>
                      <w:szCs w:val="21"/>
                    </w:rPr>
                    <w:t>/</w:t>
                  </w:r>
                </w:p>
              </w:tc>
              <w:tc>
                <w:tcPr>
                  <w:tcW w:w="433" w:type="pct"/>
                  <w:vAlign w:val="center"/>
                </w:tcPr>
                <w:p w14:paraId="5D31CC7A">
                  <w:pPr>
                    <w:widowControl/>
                    <w:jc w:val="center"/>
                    <w:rPr>
                      <w:color w:val="auto"/>
                      <w:kern w:val="0"/>
                      <w:szCs w:val="21"/>
                    </w:rPr>
                  </w:pPr>
                  <w:r>
                    <w:rPr>
                      <w:rFonts w:hint="eastAsia"/>
                      <w:color w:val="auto"/>
                      <w:kern w:val="0"/>
                      <w:szCs w:val="21"/>
                    </w:rPr>
                    <w:t>台</w:t>
                  </w:r>
                </w:p>
              </w:tc>
              <w:tc>
                <w:tcPr>
                  <w:tcW w:w="540" w:type="pct"/>
                  <w:vAlign w:val="center"/>
                </w:tcPr>
                <w:p w14:paraId="01892886">
                  <w:pPr>
                    <w:widowControl/>
                    <w:jc w:val="center"/>
                    <w:rPr>
                      <w:color w:val="auto"/>
                      <w:kern w:val="0"/>
                      <w:szCs w:val="21"/>
                    </w:rPr>
                  </w:pPr>
                  <w:r>
                    <w:rPr>
                      <w:rFonts w:hint="eastAsia"/>
                      <w:color w:val="auto"/>
                      <w:kern w:val="0"/>
                      <w:szCs w:val="21"/>
                    </w:rPr>
                    <w:t>0</w:t>
                  </w:r>
                </w:p>
              </w:tc>
              <w:tc>
                <w:tcPr>
                  <w:tcW w:w="583" w:type="pct"/>
                  <w:shd w:val="clear" w:color="auto" w:fill="auto"/>
                  <w:vAlign w:val="center"/>
                </w:tcPr>
                <w:p w14:paraId="71B75EB1">
                  <w:pPr>
                    <w:widowControl/>
                    <w:jc w:val="center"/>
                    <w:rPr>
                      <w:color w:val="auto"/>
                      <w:kern w:val="0"/>
                      <w:szCs w:val="21"/>
                    </w:rPr>
                  </w:pPr>
                  <w:r>
                    <w:rPr>
                      <w:rFonts w:hint="eastAsia"/>
                      <w:color w:val="auto"/>
                      <w:kern w:val="0"/>
                      <w:szCs w:val="21"/>
                    </w:rPr>
                    <w:t>1</w:t>
                  </w:r>
                </w:p>
              </w:tc>
              <w:tc>
                <w:tcPr>
                  <w:tcW w:w="512" w:type="pct"/>
                  <w:vAlign w:val="center"/>
                </w:tcPr>
                <w:p w14:paraId="6D209735">
                  <w:pPr>
                    <w:widowControl/>
                    <w:jc w:val="center"/>
                    <w:rPr>
                      <w:color w:val="auto"/>
                      <w:kern w:val="0"/>
                      <w:szCs w:val="21"/>
                    </w:rPr>
                  </w:pPr>
                  <w:r>
                    <w:rPr>
                      <w:rFonts w:hint="eastAsia"/>
                      <w:color w:val="auto"/>
                      <w:kern w:val="0"/>
                      <w:szCs w:val="21"/>
                    </w:rPr>
                    <w:t>+1</w:t>
                  </w:r>
                </w:p>
              </w:tc>
              <w:tc>
                <w:tcPr>
                  <w:tcW w:w="587" w:type="pct"/>
                  <w:vAlign w:val="center"/>
                </w:tcPr>
                <w:p w14:paraId="346F8BEB">
                  <w:pPr>
                    <w:jc w:val="center"/>
                    <w:rPr>
                      <w:color w:val="auto"/>
                      <w:kern w:val="0"/>
                      <w:szCs w:val="21"/>
                    </w:rPr>
                  </w:pPr>
                  <w:r>
                    <w:rPr>
                      <w:rFonts w:hint="eastAsia"/>
                      <w:color w:val="auto"/>
                      <w:kern w:val="0"/>
                      <w:szCs w:val="21"/>
                    </w:rPr>
                    <w:t>/</w:t>
                  </w:r>
                </w:p>
              </w:tc>
              <w:tc>
                <w:tcPr>
                  <w:tcW w:w="587" w:type="pct"/>
                  <w:vMerge w:val="restart"/>
                  <w:vAlign w:val="center"/>
                </w:tcPr>
                <w:p w14:paraId="63DB9B5B">
                  <w:pPr>
                    <w:jc w:val="center"/>
                    <w:rPr>
                      <w:color w:val="auto"/>
                      <w:kern w:val="0"/>
                      <w:szCs w:val="21"/>
                    </w:rPr>
                  </w:pPr>
                  <w:r>
                    <w:rPr>
                      <w:rFonts w:hint="eastAsia"/>
                      <w:color w:val="auto"/>
                      <w:kern w:val="0"/>
                      <w:szCs w:val="21"/>
                    </w:rPr>
                    <w:t>注塑区</w:t>
                  </w:r>
                </w:p>
              </w:tc>
            </w:tr>
            <w:tr w14:paraId="674B30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continue"/>
                  <w:noWrap/>
                  <w:vAlign w:val="center"/>
                </w:tcPr>
                <w:p w14:paraId="4425364C">
                  <w:pPr>
                    <w:widowControl/>
                    <w:adjustRightInd w:val="0"/>
                    <w:snapToGrid w:val="0"/>
                    <w:jc w:val="center"/>
                    <w:rPr>
                      <w:color w:val="auto"/>
                      <w:kern w:val="0"/>
                      <w:szCs w:val="21"/>
                    </w:rPr>
                  </w:pPr>
                </w:p>
              </w:tc>
              <w:tc>
                <w:tcPr>
                  <w:tcW w:w="772" w:type="pct"/>
                  <w:noWrap/>
                  <w:vAlign w:val="center"/>
                </w:tcPr>
                <w:p w14:paraId="11BAF96A">
                  <w:pPr>
                    <w:widowControl/>
                    <w:adjustRightInd w:val="0"/>
                    <w:snapToGrid w:val="0"/>
                    <w:jc w:val="center"/>
                    <w:rPr>
                      <w:color w:val="auto"/>
                      <w:kern w:val="0"/>
                      <w:szCs w:val="21"/>
                    </w:rPr>
                  </w:pPr>
                  <w:r>
                    <w:rPr>
                      <w:rFonts w:hint="eastAsia"/>
                      <w:color w:val="auto"/>
                      <w:kern w:val="0"/>
                      <w:szCs w:val="21"/>
                    </w:rPr>
                    <w:t>空压机</w:t>
                  </w:r>
                </w:p>
              </w:tc>
              <w:tc>
                <w:tcPr>
                  <w:tcW w:w="527" w:type="pct"/>
                  <w:shd w:val="clear" w:color="auto" w:fill="auto"/>
                  <w:vAlign w:val="center"/>
                </w:tcPr>
                <w:p w14:paraId="025C02B9">
                  <w:pPr>
                    <w:widowControl/>
                    <w:jc w:val="center"/>
                    <w:rPr>
                      <w:color w:val="auto"/>
                      <w:kern w:val="0"/>
                      <w:szCs w:val="21"/>
                    </w:rPr>
                  </w:pPr>
                  <w:r>
                    <w:rPr>
                      <w:rFonts w:hint="eastAsia"/>
                      <w:color w:val="auto"/>
                      <w:kern w:val="0"/>
                      <w:szCs w:val="21"/>
                    </w:rPr>
                    <w:t>/</w:t>
                  </w:r>
                </w:p>
              </w:tc>
              <w:tc>
                <w:tcPr>
                  <w:tcW w:w="433" w:type="pct"/>
                  <w:vAlign w:val="center"/>
                </w:tcPr>
                <w:p w14:paraId="06F5EC79">
                  <w:pPr>
                    <w:widowControl/>
                    <w:jc w:val="center"/>
                    <w:rPr>
                      <w:color w:val="auto"/>
                      <w:kern w:val="0"/>
                      <w:szCs w:val="21"/>
                    </w:rPr>
                  </w:pPr>
                  <w:r>
                    <w:rPr>
                      <w:rFonts w:hint="eastAsia"/>
                      <w:color w:val="auto"/>
                      <w:kern w:val="0"/>
                      <w:szCs w:val="21"/>
                    </w:rPr>
                    <w:t>套</w:t>
                  </w:r>
                </w:p>
              </w:tc>
              <w:tc>
                <w:tcPr>
                  <w:tcW w:w="540" w:type="pct"/>
                  <w:vAlign w:val="center"/>
                </w:tcPr>
                <w:p w14:paraId="7BDEDE89">
                  <w:pPr>
                    <w:widowControl/>
                    <w:jc w:val="center"/>
                    <w:rPr>
                      <w:color w:val="auto"/>
                      <w:kern w:val="0"/>
                      <w:szCs w:val="21"/>
                    </w:rPr>
                  </w:pPr>
                  <w:r>
                    <w:rPr>
                      <w:rFonts w:hint="eastAsia"/>
                      <w:color w:val="auto"/>
                      <w:kern w:val="0"/>
                      <w:szCs w:val="21"/>
                    </w:rPr>
                    <w:t>0</w:t>
                  </w:r>
                </w:p>
              </w:tc>
              <w:tc>
                <w:tcPr>
                  <w:tcW w:w="583" w:type="pct"/>
                  <w:shd w:val="clear" w:color="auto" w:fill="auto"/>
                  <w:vAlign w:val="center"/>
                </w:tcPr>
                <w:p w14:paraId="19E9069A">
                  <w:pPr>
                    <w:widowControl/>
                    <w:jc w:val="center"/>
                    <w:rPr>
                      <w:color w:val="auto"/>
                      <w:kern w:val="0"/>
                      <w:szCs w:val="21"/>
                    </w:rPr>
                  </w:pPr>
                  <w:r>
                    <w:rPr>
                      <w:rFonts w:hint="eastAsia"/>
                      <w:color w:val="auto"/>
                      <w:kern w:val="0"/>
                      <w:szCs w:val="21"/>
                    </w:rPr>
                    <w:t>1</w:t>
                  </w:r>
                </w:p>
              </w:tc>
              <w:tc>
                <w:tcPr>
                  <w:tcW w:w="512" w:type="pct"/>
                  <w:vAlign w:val="center"/>
                </w:tcPr>
                <w:p w14:paraId="5A8BBB2A">
                  <w:pPr>
                    <w:widowControl/>
                    <w:jc w:val="center"/>
                    <w:rPr>
                      <w:color w:val="auto"/>
                      <w:kern w:val="0"/>
                      <w:szCs w:val="21"/>
                    </w:rPr>
                  </w:pPr>
                  <w:r>
                    <w:rPr>
                      <w:rFonts w:hint="eastAsia"/>
                      <w:color w:val="auto"/>
                      <w:kern w:val="0"/>
                      <w:szCs w:val="21"/>
                    </w:rPr>
                    <w:t>+1</w:t>
                  </w:r>
                </w:p>
              </w:tc>
              <w:tc>
                <w:tcPr>
                  <w:tcW w:w="587" w:type="pct"/>
                  <w:vAlign w:val="center"/>
                </w:tcPr>
                <w:p w14:paraId="284444BB">
                  <w:pPr>
                    <w:jc w:val="center"/>
                    <w:rPr>
                      <w:color w:val="auto"/>
                      <w:kern w:val="0"/>
                      <w:szCs w:val="21"/>
                    </w:rPr>
                  </w:pPr>
                  <w:r>
                    <w:rPr>
                      <w:rFonts w:hint="eastAsia"/>
                      <w:color w:val="auto"/>
                      <w:kern w:val="0"/>
                      <w:szCs w:val="21"/>
                    </w:rPr>
                    <w:t>/</w:t>
                  </w:r>
                </w:p>
              </w:tc>
              <w:tc>
                <w:tcPr>
                  <w:tcW w:w="587" w:type="pct"/>
                  <w:vMerge w:val="continue"/>
                  <w:vAlign w:val="center"/>
                </w:tcPr>
                <w:p w14:paraId="061ACE8A">
                  <w:pPr>
                    <w:jc w:val="center"/>
                    <w:rPr>
                      <w:color w:val="auto"/>
                      <w:kern w:val="0"/>
                      <w:szCs w:val="21"/>
                    </w:rPr>
                  </w:pPr>
                </w:p>
              </w:tc>
            </w:tr>
            <w:tr w14:paraId="21E50D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continue"/>
                  <w:noWrap/>
                  <w:vAlign w:val="center"/>
                </w:tcPr>
                <w:p w14:paraId="783E9BC0">
                  <w:pPr>
                    <w:widowControl/>
                    <w:adjustRightInd w:val="0"/>
                    <w:snapToGrid w:val="0"/>
                    <w:jc w:val="center"/>
                    <w:rPr>
                      <w:color w:val="auto"/>
                      <w:kern w:val="0"/>
                      <w:szCs w:val="21"/>
                    </w:rPr>
                  </w:pPr>
                </w:p>
              </w:tc>
              <w:tc>
                <w:tcPr>
                  <w:tcW w:w="772" w:type="pct"/>
                  <w:noWrap/>
                  <w:vAlign w:val="center"/>
                </w:tcPr>
                <w:p w14:paraId="14F16840">
                  <w:pPr>
                    <w:widowControl/>
                    <w:adjustRightInd w:val="0"/>
                    <w:snapToGrid w:val="0"/>
                    <w:jc w:val="center"/>
                    <w:rPr>
                      <w:color w:val="auto"/>
                      <w:kern w:val="0"/>
                      <w:szCs w:val="21"/>
                    </w:rPr>
                  </w:pPr>
                  <w:r>
                    <w:rPr>
                      <w:rFonts w:hint="eastAsia"/>
                      <w:color w:val="auto"/>
                      <w:kern w:val="0"/>
                      <w:szCs w:val="21"/>
                    </w:rPr>
                    <w:t>循环冷却塔</w:t>
                  </w:r>
                </w:p>
              </w:tc>
              <w:tc>
                <w:tcPr>
                  <w:tcW w:w="527" w:type="pct"/>
                  <w:shd w:val="clear" w:color="auto" w:fill="auto"/>
                  <w:vAlign w:val="center"/>
                </w:tcPr>
                <w:p w14:paraId="320AC0AB">
                  <w:pPr>
                    <w:widowControl/>
                    <w:jc w:val="center"/>
                    <w:rPr>
                      <w:color w:val="auto"/>
                      <w:kern w:val="0"/>
                      <w:szCs w:val="21"/>
                    </w:rPr>
                  </w:pPr>
                  <w:r>
                    <w:rPr>
                      <w:rFonts w:hint="eastAsia"/>
                      <w:color w:val="auto"/>
                      <w:kern w:val="0"/>
                      <w:szCs w:val="21"/>
                      <w:lang w:val="en-US" w:eastAsia="zh-CN"/>
                    </w:rPr>
                    <w:t>2t</w:t>
                  </w:r>
                  <w:r>
                    <w:rPr>
                      <w:rFonts w:hint="eastAsia"/>
                      <w:color w:val="auto"/>
                      <w:kern w:val="0"/>
                      <w:szCs w:val="21"/>
                    </w:rPr>
                    <w:t>/h</w:t>
                  </w:r>
                </w:p>
              </w:tc>
              <w:tc>
                <w:tcPr>
                  <w:tcW w:w="433" w:type="pct"/>
                  <w:vAlign w:val="center"/>
                </w:tcPr>
                <w:p w14:paraId="62512493">
                  <w:pPr>
                    <w:widowControl/>
                    <w:jc w:val="center"/>
                    <w:rPr>
                      <w:color w:val="auto"/>
                      <w:kern w:val="0"/>
                      <w:szCs w:val="21"/>
                    </w:rPr>
                  </w:pPr>
                  <w:r>
                    <w:rPr>
                      <w:rFonts w:hint="eastAsia"/>
                      <w:color w:val="auto"/>
                      <w:kern w:val="0"/>
                      <w:szCs w:val="21"/>
                    </w:rPr>
                    <w:t>套</w:t>
                  </w:r>
                </w:p>
              </w:tc>
              <w:tc>
                <w:tcPr>
                  <w:tcW w:w="540" w:type="pct"/>
                  <w:vAlign w:val="center"/>
                </w:tcPr>
                <w:p w14:paraId="3EA4D647">
                  <w:pPr>
                    <w:widowControl/>
                    <w:jc w:val="center"/>
                    <w:rPr>
                      <w:color w:val="auto"/>
                      <w:kern w:val="0"/>
                      <w:szCs w:val="21"/>
                    </w:rPr>
                  </w:pPr>
                  <w:r>
                    <w:rPr>
                      <w:rFonts w:hint="eastAsia"/>
                      <w:color w:val="auto"/>
                      <w:kern w:val="0"/>
                      <w:szCs w:val="21"/>
                    </w:rPr>
                    <w:t>0</w:t>
                  </w:r>
                </w:p>
              </w:tc>
              <w:tc>
                <w:tcPr>
                  <w:tcW w:w="583" w:type="pct"/>
                  <w:shd w:val="clear" w:color="auto" w:fill="auto"/>
                  <w:vAlign w:val="center"/>
                </w:tcPr>
                <w:p w14:paraId="619AD640">
                  <w:pPr>
                    <w:widowControl/>
                    <w:jc w:val="center"/>
                    <w:rPr>
                      <w:color w:val="auto"/>
                      <w:kern w:val="0"/>
                      <w:szCs w:val="21"/>
                    </w:rPr>
                  </w:pPr>
                  <w:r>
                    <w:rPr>
                      <w:rFonts w:hint="eastAsia"/>
                      <w:color w:val="auto"/>
                      <w:kern w:val="0"/>
                      <w:szCs w:val="21"/>
                    </w:rPr>
                    <w:t>1</w:t>
                  </w:r>
                </w:p>
              </w:tc>
              <w:tc>
                <w:tcPr>
                  <w:tcW w:w="512" w:type="pct"/>
                  <w:vAlign w:val="center"/>
                </w:tcPr>
                <w:p w14:paraId="5E431ABD">
                  <w:pPr>
                    <w:widowControl/>
                    <w:jc w:val="center"/>
                    <w:rPr>
                      <w:color w:val="auto"/>
                      <w:kern w:val="0"/>
                      <w:szCs w:val="21"/>
                    </w:rPr>
                  </w:pPr>
                  <w:r>
                    <w:rPr>
                      <w:rFonts w:hint="eastAsia"/>
                      <w:color w:val="auto"/>
                      <w:kern w:val="0"/>
                      <w:szCs w:val="21"/>
                    </w:rPr>
                    <w:t>+1</w:t>
                  </w:r>
                </w:p>
              </w:tc>
              <w:tc>
                <w:tcPr>
                  <w:tcW w:w="587" w:type="pct"/>
                  <w:vAlign w:val="center"/>
                </w:tcPr>
                <w:p w14:paraId="1ED54324">
                  <w:pPr>
                    <w:jc w:val="center"/>
                    <w:rPr>
                      <w:color w:val="auto"/>
                      <w:kern w:val="0"/>
                      <w:szCs w:val="21"/>
                    </w:rPr>
                  </w:pPr>
                  <w:r>
                    <w:rPr>
                      <w:rFonts w:hint="eastAsia"/>
                      <w:color w:val="auto"/>
                      <w:kern w:val="0"/>
                      <w:szCs w:val="21"/>
                    </w:rPr>
                    <w:t>/</w:t>
                  </w:r>
                </w:p>
              </w:tc>
              <w:tc>
                <w:tcPr>
                  <w:tcW w:w="587" w:type="pct"/>
                  <w:vAlign w:val="center"/>
                </w:tcPr>
                <w:p w14:paraId="6457369C">
                  <w:pPr>
                    <w:jc w:val="center"/>
                    <w:rPr>
                      <w:color w:val="auto"/>
                      <w:kern w:val="0"/>
                      <w:szCs w:val="21"/>
                    </w:rPr>
                  </w:pPr>
                  <w:r>
                    <w:rPr>
                      <w:rFonts w:hint="eastAsia"/>
                      <w:color w:val="auto"/>
                      <w:kern w:val="0"/>
                      <w:szCs w:val="21"/>
                    </w:rPr>
                    <w:t>生产区外</w:t>
                  </w:r>
                </w:p>
              </w:tc>
            </w:tr>
            <w:tr w14:paraId="0D9864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restart"/>
                  <w:noWrap/>
                  <w:vAlign w:val="center"/>
                </w:tcPr>
                <w:p w14:paraId="1C54957D">
                  <w:pPr>
                    <w:widowControl/>
                    <w:adjustRightInd w:val="0"/>
                    <w:snapToGrid w:val="0"/>
                    <w:jc w:val="center"/>
                    <w:rPr>
                      <w:color w:val="auto"/>
                      <w:kern w:val="0"/>
                      <w:szCs w:val="21"/>
                    </w:rPr>
                  </w:pPr>
                  <w:r>
                    <w:rPr>
                      <w:rFonts w:hint="eastAsia"/>
                      <w:color w:val="auto"/>
                      <w:kern w:val="0"/>
                      <w:szCs w:val="21"/>
                    </w:rPr>
                    <w:t>铁桶</w:t>
                  </w:r>
                </w:p>
              </w:tc>
              <w:tc>
                <w:tcPr>
                  <w:tcW w:w="772" w:type="pct"/>
                  <w:noWrap/>
                  <w:vAlign w:val="center"/>
                </w:tcPr>
                <w:p w14:paraId="7F06A9A5">
                  <w:pPr>
                    <w:widowControl/>
                    <w:adjustRightInd w:val="0"/>
                    <w:snapToGrid w:val="0"/>
                    <w:jc w:val="center"/>
                    <w:rPr>
                      <w:color w:val="auto"/>
                      <w:kern w:val="0"/>
                      <w:szCs w:val="21"/>
                    </w:rPr>
                  </w:pPr>
                  <w:r>
                    <w:rPr>
                      <w:rFonts w:hint="eastAsia"/>
                      <w:color w:val="auto"/>
                      <w:kern w:val="0"/>
                      <w:szCs w:val="21"/>
                    </w:rPr>
                    <w:t>裁剪机</w:t>
                  </w:r>
                </w:p>
              </w:tc>
              <w:tc>
                <w:tcPr>
                  <w:tcW w:w="527" w:type="pct"/>
                  <w:shd w:val="clear" w:color="auto" w:fill="auto"/>
                  <w:vAlign w:val="center"/>
                </w:tcPr>
                <w:p w14:paraId="4E382FDA">
                  <w:pPr>
                    <w:widowControl/>
                    <w:jc w:val="center"/>
                    <w:rPr>
                      <w:color w:val="auto"/>
                      <w:kern w:val="0"/>
                      <w:szCs w:val="21"/>
                    </w:rPr>
                  </w:pPr>
                  <w:r>
                    <w:rPr>
                      <w:rFonts w:hint="eastAsia"/>
                      <w:color w:val="auto"/>
                      <w:kern w:val="0"/>
                      <w:szCs w:val="21"/>
                    </w:rPr>
                    <w:t>/</w:t>
                  </w:r>
                </w:p>
              </w:tc>
              <w:tc>
                <w:tcPr>
                  <w:tcW w:w="433" w:type="pct"/>
                  <w:shd w:val="clear" w:color="auto" w:fill="auto"/>
                  <w:vAlign w:val="center"/>
                </w:tcPr>
                <w:p w14:paraId="1155E5A0">
                  <w:pPr>
                    <w:widowControl/>
                    <w:jc w:val="center"/>
                    <w:rPr>
                      <w:color w:val="auto"/>
                      <w:kern w:val="0"/>
                      <w:szCs w:val="21"/>
                    </w:rPr>
                  </w:pPr>
                  <w:r>
                    <w:rPr>
                      <w:rFonts w:hint="eastAsia"/>
                      <w:color w:val="auto"/>
                      <w:kern w:val="0"/>
                      <w:szCs w:val="21"/>
                    </w:rPr>
                    <w:t>台</w:t>
                  </w:r>
                </w:p>
              </w:tc>
              <w:tc>
                <w:tcPr>
                  <w:tcW w:w="540" w:type="pct"/>
                  <w:shd w:val="clear" w:color="auto" w:fill="auto"/>
                  <w:vAlign w:val="center"/>
                </w:tcPr>
                <w:p w14:paraId="7046962E">
                  <w:pPr>
                    <w:widowControl/>
                    <w:jc w:val="center"/>
                    <w:rPr>
                      <w:color w:val="auto"/>
                      <w:kern w:val="0"/>
                      <w:szCs w:val="21"/>
                    </w:rPr>
                  </w:pPr>
                  <w:r>
                    <w:rPr>
                      <w:rFonts w:hint="eastAsia"/>
                      <w:color w:val="auto"/>
                      <w:kern w:val="0"/>
                      <w:szCs w:val="21"/>
                    </w:rPr>
                    <w:t>1</w:t>
                  </w:r>
                </w:p>
              </w:tc>
              <w:tc>
                <w:tcPr>
                  <w:tcW w:w="583" w:type="pct"/>
                  <w:shd w:val="clear" w:color="auto" w:fill="auto"/>
                  <w:vAlign w:val="center"/>
                </w:tcPr>
                <w:p w14:paraId="00E2C039">
                  <w:pPr>
                    <w:widowControl/>
                    <w:jc w:val="center"/>
                    <w:rPr>
                      <w:color w:val="auto"/>
                      <w:kern w:val="0"/>
                      <w:szCs w:val="21"/>
                    </w:rPr>
                  </w:pPr>
                  <w:r>
                    <w:rPr>
                      <w:rFonts w:hint="eastAsia"/>
                      <w:color w:val="auto"/>
                      <w:kern w:val="0"/>
                      <w:szCs w:val="21"/>
                    </w:rPr>
                    <w:t>1</w:t>
                  </w:r>
                </w:p>
              </w:tc>
              <w:tc>
                <w:tcPr>
                  <w:tcW w:w="512" w:type="pct"/>
                  <w:vAlign w:val="center"/>
                </w:tcPr>
                <w:p w14:paraId="79E543F3">
                  <w:pPr>
                    <w:widowControl/>
                    <w:jc w:val="center"/>
                    <w:rPr>
                      <w:color w:val="auto"/>
                      <w:kern w:val="0"/>
                      <w:szCs w:val="21"/>
                    </w:rPr>
                  </w:pPr>
                  <w:r>
                    <w:rPr>
                      <w:rFonts w:hint="eastAsia"/>
                      <w:color w:val="auto"/>
                      <w:kern w:val="0"/>
                      <w:szCs w:val="21"/>
                    </w:rPr>
                    <w:t>0</w:t>
                  </w:r>
                </w:p>
              </w:tc>
              <w:tc>
                <w:tcPr>
                  <w:tcW w:w="587" w:type="pct"/>
                  <w:vAlign w:val="center"/>
                </w:tcPr>
                <w:p w14:paraId="2F5AAB76">
                  <w:pPr>
                    <w:jc w:val="center"/>
                    <w:rPr>
                      <w:color w:val="auto"/>
                      <w:kern w:val="0"/>
                      <w:szCs w:val="21"/>
                    </w:rPr>
                  </w:pPr>
                  <w:r>
                    <w:rPr>
                      <w:rFonts w:hint="eastAsia"/>
                      <w:color w:val="auto"/>
                      <w:kern w:val="0"/>
                      <w:szCs w:val="21"/>
                    </w:rPr>
                    <w:t>/</w:t>
                  </w:r>
                </w:p>
              </w:tc>
              <w:tc>
                <w:tcPr>
                  <w:tcW w:w="587" w:type="pct"/>
                  <w:vMerge w:val="restart"/>
                  <w:vAlign w:val="center"/>
                </w:tcPr>
                <w:p w14:paraId="2482DE17">
                  <w:pPr>
                    <w:jc w:val="center"/>
                    <w:rPr>
                      <w:color w:val="auto"/>
                      <w:kern w:val="0"/>
                      <w:szCs w:val="21"/>
                    </w:rPr>
                  </w:pPr>
                  <w:r>
                    <w:rPr>
                      <w:rFonts w:hint="eastAsia"/>
                      <w:color w:val="auto"/>
                      <w:kern w:val="0"/>
                      <w:szCs w:val="21"/>
                    </w:rPr>
                    <w:t>铁桶生产区</w:t>
                  </w:r>
                </w:p>
              </w:tc>
            </w:tr>
            <w:tr w14:paraId="46F553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continue"/>
                  <w:noWrap/>
                  <w:vAlign w:val="center"/>
                </w:tcPr>
                <w:p w14:paraId="5AE7DCED">
                  <w:pPr>
                    <w:widowControl/>
                    <w:adjustRightInd w:val="0"/>
                    <w:snapToGrid w:val="0"/>
                    <w:jc w:val="center"/>
                    <w:rPr>
                      <w:color w:val="auto"/>
                      <w:kern w:val="0"/>
                      <w:szCs w:val="21"/>
                    </w:rPr>
                  </w:pPr>
                </w:p>
              </w:tc>
              <w:tc>
                <w:tcPr>
                  <w:tcW w:w="772" w:type="pct"/>
                  <w:noWrap/>
                  <w:vAlign w:val="center"/>
                </w:tcPr>
                <w:p w14:paraId="61450E23">
                  <w:pPr>
                    <w:widowControl/>
                    <w:adjustRightInd w:val="0"/>
                    <w:snapToGrid w:val="0"/>
                    <w:jc w:val="center"/>
                    <w:rPr>
                      <w:color w:val="auto"/>
                      <w:kern w:val="0"/>
                      <w:szCs w:val="21"/>
                    </w:rPr>
                  </w:pPr>
                  <w:r>
                    <w:rPr>
                      <w:rFonts w:hint="eastAsia"/>
                      <w:color w:val="auto"/>
                      <w:kern w:val="0"/>
                      <w:szCs w:val="21"/>
                    </w:rPr>
                    <w:t>半自动电阻缝焊机</w:t>
                  </w:r>
                </w:p>
              </w:tc>
              <w:tc>
                <w:tcPr>
                  <w:tcW w:w="527" w:type="pct"/>
                  <w:shd w:val="clear" w:color="auto" w:fill="auto"/>
                  <w:vAlign w:val="center"/>
                </w:tcPr>
                <w:p w14:paraId="0133C399">
                  <w:pPr>
                    <w:widowControl/>
                    <w:jc w:val="center"/>
                    <w:rPr>
                      <w:color w:val="auto"/>
                      <w:kern w:val="0"/>
                      <w:szCs w:val="21"/>
                    </w:rPr>
                  </w:pPr>
                  <w:r>
                    <w:rPr>
                      <w:rFonts w:hint="eastAsia"/>
                      <w:color w:val="auto"/>
                      <w:kern w:val="0"/>
                      <w:szCs w:val="21"/>
                    </w:rPr>
                    <w:t>/</w:t>
                  </w:r>
                </w:p>
              </w:tc>
              <w:tc>
                <w:tcPr>
                  <w:tcW w:w="433" w:type="pct"/>
                  <w:shd w:val="clear" w:color="auto" w:fill="auto"/>
                  <w:vAlign w:val="center"/>
                </w:tcPr>
                <w:p w14:paraId="6A433676">
                  <w:pPr>
                    <w:widowControl/>
                    <w:jc w:val="center"/>
                    <w:rPr>
                      <w:color w:val="auto"/>
                      <w:kern w:val="0"/>
                      <w:szCs w:val="21"/>
                    </w:rPr>
                  </w:pPr>
                  <w:r>
                    <w:rPr>
                      <w:rFonts w:hint="eastAsia"/>
                      <w:color w:val="auto"/>
                      <w:kern w:val="0"/>
                      <w:szCs w:val="21"/>
                    </w:rPr>
                    <w:t>台</w:t>
                  </w:r>
                </w:p>
              </w:tc>
              <w:tc>
                <w:tcPr>
                  <w:tcW w:w="540" w:type="pct"/>
                  <w:shd w:val="clear" w:color="auto" w:fill="auto"/>
                  <w:vAlign w:val="center"/>
                </w:tcPr>
                <w:p w14:paraId="6C2DDBF2">
                  <w:pPr>
                    <w:widowControl/>
                    <w:jc w:val="center"/>
                    <w:rPr>
                      <w:color w:val="auto"/>
                      <w:kern w:val="0"/>
                      <w:szCs w:val="21"/>
                    </w:rPr>
                  </w:pPr>
                  <w:r>
                    <w:rPr>
                      <w:rFonts w:hint="eastAsia"/>
                      <w:color w:val="auto"/>
                      <w:kern w:val="0"/>
                      <w:szCs w:val="21"/>
                    </w:rPr>
                    <w:t>1</w:t>
                  </w:r>
                </w:p>
              </w:tc>
              <w:tc>
                <w:tcPr>
                  <w:tcW w:w="583" w:type="pct"/>
                  <w:shd w:val="clear" w:color="auto" w:fill="auto"/>
                  <w:vAlign w:val="center"/>
                </w:tcPr>
                <w:p w14:paraId="3895F733">
                  <w:pPr>
                    <w:widowControl/>
                    <w:jc w:val="center"/>
                    <w:rPr>
                      <w:color w:val="auto"/>
                      <w:kern w:val="0"/>
                      <w:szCs w:val="21"/>
                    </w:rPr>
                  </w:pPr>
                  <w:r>
                    <w:rPr>
                      <w:rFonts w:hint="eastAsia"/>
                      <w:color w:val="auto"/>
                      <w:kern w:val="0"/>
                      <w:szCs w:val="21"/>
                    </w:rPr>
                    <w:t>1</w:t>
                  </w:r>
                </w:p>
              </w:tc>
              <w:tc>
                <w:tcPr>
                  <w:tcW w:w="512" w:type="pct"/>
                  <w:vAlign w:val="center"/>
                </w:tcPr>
                <w:p w14:paraId="557754C1">
                  <w:pPr>
                    <w:widowControl/>
                    <w:jc w:val="center"/>
                    <w:rPr>
                      <w:color w:val="auto"/>
                      <w:kern w:val="0"/>
                      <w:szCs w:val="21"/>
                    </w:rPr>
                  </w:pPr>
                  <w:r>
                    <w:rPr>
                      <w:rFonts w:hint="eastAsia"/>
                      <w:color w:val="auto"/>
                      <w:kern w:val="0"/>
                      <w:szCs w:val="21"/>
                    </w:rPr>
                    <w:t>0</w:t>
                  </w:r>
                </w:p>
              </w:tc>
              <w:tc>
                <w:tcPr>
                  <w:tcW w:w="587" w:type="pct"/>
                  <w:vAlign w:val="center"/>
                </w:tcPr>
                <w:p w14:paraId="5B80641A">
                  <w:pPr>
                    <w:jc w:val="center"/>
                    <w:rPr>
                      <w:color w:val="auto"/>
                      <w:kern w:val="0"/>
                      <w:szCs w:val="21"/>
                    </w:rPr>
                  </w:pPr>
                  <w:r>
                    <w:rPr>
                      <w:rFonts w:hint="eastAsia"/>
                      <w:color w:val="auto"/>
                      <w:kern w:val="0"/>
                      <w:szCs w:val="21"/>
                    </w:rPr>
                    <w:t>/</w:t>
                  </w:r>
                </w:p>
              </w:tc>
              <w:tc>
                <w:tcPr>
                  <w:tcW w:w="587" w:type="pct"/>
                  <w:vMerge w:val="continue"/>
                  <w:vAlign w:val="center"/>
                </w:tcPr>
                <w:p w14:paraId="19A5A7F5">
                  <w:pPr>
                    <w:jc w:val="center"/>
                    <w:rPr>
                      <w:color w:val="auto"/>
                      <w:kern w:val="0"/>
                      <w:szCs w:val="21"/>
                    </w:rPr>
                  </w:pPr>
                </w:p>
              </w:tc>
            </w:tr>
            <w:tr w14:paraId="07F933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continue"/>
                  <w:noWrap/>
                  <w:vAlign w:val="center"/>
                </w:tcPr>
                <w:p w14:paraId="5728E2A5">
                  <w:pPr>
                    <w:widowControl/>
                    <w:adjustRightInd w:val="0"/>
                    <w:snapToGrid w:val="0"/>
                    <w:jc w:val="center"/>
                    <w:rPr>
                      <w:color w:val="auto"/>
                      <w:kern w:val="0"/>
                      <w:szCs w:val="21"/>
                    </w:rPr>
                  </w:pPr>
                </w:p>
              </w:tc>
              <w:tc>
                <w:tcPr>
                  <w:tcW w:w="772" w:type="pct"/>
                  <w:noWrap/>
                  <w:vAlign w:val="center"/>
                </w:tcPr>
                <w:p w14:paraId="023E3A5D">
                  <w:pPr>
                    <w:widowControl/>
                    <w:adjustRightInd w:val="0"/>
                    <w:snapToGrid w:val="0"/>
                    <w:jc w:val="center"/>
                    <w:rPr>
                      <w:color w:val="auto"/>
                      <w:kern w:val="0"/>
                      <w:szCs w:val="21"/>
                    </w:rPr>
                  </w:pPr>
                  <w:r>
                    <w:rPr>
                      <w:rFonts w:hint="eastAsia"/>
                      <w:color w:val="auto"/>
                      <w:kern w:val="0"/>
                      <w:szCs w:val="21"/>
                    </w:rPr>
                    <w:t>液压涨筋涨锥机</w:t>
                  </w:r>
                </w:p>
              </w:tc>
              <w:tc>
                <w:tcPr>
                  <w:tcW w:w="527" w:type="pct"/>
                  <w:shd w:val="clear" w:color="auto" w:fill="auto"/>
                  <w:vAlign w:val="center"/>
                </w:tcPr>
                <w:p w14:paraId="3ACB0682">
                  <w:pPr>
                    <w:widowControl/>
                    <w:jc w:val="center"/>
                    <w:rPr>
                      <w:color w:val="auto"/>
                      <w:kern w:val="0"/>
                      <w:szCs w:val="21"/>
                    </w:rPr>
                  </w:pPr>
                  <w:r>
                    <w:rPr>
                      <w:rFonts w:hint="eastAsia"/>
                      <w:color w:val="auto"/>
                      <w:kern w:val="0"/>
                      <w:szCs w:val="21"/>
                    </w:rPr>
                    <w:t>/</w:t>
                  </w:r>
                </w:p>
              </w:tc>
              <w:tc>
                <w:tcPr>
                  <w:tcW w:w="433" w:type="pct"/>
                  <w:shd w:val="clear" w:color="auto" w:fill="auto"/>
                  <w:vAlign w:val="center"/>
                </w:tcPr>
                <w:p w14:paraId="2F85A20C">
                  <w:pPr>
                    <w:widowControl/>
                    <w:jc w:val="center"/>
                    <w:rPr>
                      <w:color w:val="auto"/>
                      <w:kern w:val="0"/>
                      <w:szCs w:val="21"/>
                    </w:rPr>
                  </w:pPr>
                  <w:r>
                    <w:rPr>
                      <w:rFonts w:hint="eastAsia"/>
                      <w:color w:val="auto"/>
                      <w:kern w:val="0"/>
                      <w:szCs w:val="21"/>
                    </w:rPr>
                    <w:t>台</w:t>
                  </w:r>
                </w:p>
              </w:tc>
              <w:tc>
                <w:tcPr>
                  <w:tcW w:w="540" w:type="pct"/>
                  <w:shd w:val="clear" w:color="auto" w:fill="auto"/>
                  <w:vAlign w:val="center"/>
                </w:tcPr>
                <w:p w14:paraId="628B453D">
                  <w:pPr>
                    <w:widowControl/>
                    <w:jc w:val="center"/>
                    <w:rPr>
                      <w:color w:val="auto"/>
                      <w:kern w:val="0"/>
                      <w:szCs w:val="21"/>
                    </w:rPr>
                  </w:pPr>
                  <w:r>
                    <w:rPr>
                      <w:rFonts w:hint="eastAsia"/>
                      <w:color w:val="auto"/>
                      <w:kern w:val="0"/>
                      <w:szCs w:val="21"/>
                    </w:rPr>
                    <w:t>1</w:t>
                  </w:r>
                </w:p>
              </w:tc>
              <w:tc>
                <w:tcPr>
                  <w:tcW w:w="583" w:type="pct"/>
                  <w:shd w:val="clear" w:color="auto" w:fill="auto"/>
                  <w:vAlign w:val="center"/>
                </w:tcPr>
                <w:p w14:paraId="6BB0B02D">
                  <w:pPr>
                    <w:widowControl/>
                    <w:jc w:val="center"/>
                    <w:rPr>
                      <w:color w:val="auto"/>
                      <w:kern w:val="0"/>
                      <w:szCs w:val="21"/>
                    </w:rPr>
                  </w:pPr>
                  <w:r>
                    <w:rPr>
                      <w:rFonts w:hint="eastAsia"/>
                      <w:color w:val="auto"/>
                      <w:kern w:val="0"/>
                      <w:szCs w:val="21"/>
                    </w:rPr>
                    <w:t>1</w:t>
                  </w:r>
                </w:p>
              </w:tc>
              <w:tc>
                <w:tcPr>
                  <w:tcW w:w="512" w:type="pct"/>
                  <w:vAlign w:val="center"/>
                </w:tcPr>
                <w:p w14:paraId="7F8A484F">
                  <w:pPr>
                    <w:widowControl/>
                    <w:jc w:val="center"/>
                    <w:rPr>
                      <w:color w:val="auto"/>
                      <w:kern w:val="0"/>
                      <w:szCs w:val="21"/>
                    </w:rPr>
                  </w:pPr>
                  <w:r>
                    <w:rPr>
                      <w:rFonts w:hint="eastAsia"/>
                      <w:color w:val="auto"/>
                      <w:kern w:val="0"/>
                      <w:szCs w:val="21"/>
                    </w:rPr>
                    <w:t>0</w:t>
                  </w:r>
                </w:p>
              </w:tc>
              <w:tc>
                <w:tcPr>
                  <w:tcW w:w="587" w:type="pct"/>
                  <w:vAlign w:val="center"/>
                </w:tcPr>
                <w:p w14:paraId="21946109">
                  <w:pPr>
                    <w:jc w:val="center"/>
                    <w:rPr>
                      <w:color w:val="auto"/>
                      <w:kern w:val="0"/>
                      <w:szCs w:val="21"/>
                    </w:rPr>
                  </w:pPr>
                  <w:r>
                    <w:rPr>
                      <w:rFonts w:hint="eastAsia"/>
                      <w:color w:val="auto"/>
                      <w:kern w:val="0"/>
                      <w:szCs w:val="21"/>
                    </w:rPr>
                    <w:t>/</w:t>
                  </w:r>
                </w:p>
              </w:tc>
              <w:tc>
                <w:tcPr>
                  <w:tcW w:w="587" w:type="pct"/>
                  <w:vMerge w:val="continue"/>
                  <w:vAlign w:val="center"/>
                </w:tcPr>
                <w:p w14:paraId="5F58028B">
                  <w:pPr>
                    <w:jc w:val="center"/>
                    <w:rPr>
                      <w:color w:val="auto"/>
                      <w:kern w:val="0"/>
                      <w:szCs w:val="21"/>
                    </w:rPr>
                  </w:pPr>
                </w:p>
              </w:tc>
            </w:tr>
            <w:tr w14:paraId="2E0585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continue"/>
                  <w:noWrap/>
                  <w:vAlign w:val="center"/>
                </w:tcPr>
                <w:p w14:paraId="7B8A834A">
                  <w:pPr>
                    <w:widowControl/>
                    <w:adjustRightInd w:val="0"/>
                    <w:snapToGrid w:val="0"/>
                    <w:jc w:val="center"/>
                    <w:rPr>
                      <w:color w:val="auto"/>
                      <w:kern w:val="0"/>
                      <w:szCs w:val="21"/>
                    </w:rPr>
                  </w:pPr>
                </w:p>
              </w:tc>
              <w:tc>
                <w:tcPr>
                  <w:tcW w:w="772" w:type="pct"/>
                  <w:noWrap/>
                  <w:vAlign w:val="center"/>
                </w:tcPr>
                <w:p w14:paraId="04DE23F9">
                  <w:pPr>
                    <w:widowControl/>
                    <w:adjustRightInd w:val="0"/>
                    <w:snapToGrid w:val="0"/>
                    <w:jc w:val="center"/>
                    <w:rPr>
                      <w:color w:val="auto"/>
                      <w:kern w:val="0"/>
                      <w:szCs w:val="21"/>
                    </w:rPr>
                  </w:pPr>
                  <w:r>
                    <w:rPr>
                      <w:rFonts w:hint="eastAsia"/>
                      <w:color w:val="auto"/>
                      <w:kern w:val="0"/>
                      <w:szCs w:val="21"/>
                    </w:rPr>
                    <w:t>液压圈口反边机</w:t>
                  </w:r>
                </w:p>
              </w:tc>
              <w:tc>
                <w:tcPr>
                  <w:tcW w:w="527" w:type="pct"/>
                  <w:shd w:val="clear" w:color="auto" w:fill="auto"/>
                  <w:vAlign w:val="center"/>
                </w:tcPr>
                <w:p w14:paraId="4D88073D">
                  <w:pPr>
                    <w:widowControl/>
                    <w:jc w:val="center"/>
                    <w:rPr>
                      <w:color w:val="auto"/>
                      <w:kern w:val="0"/>
                      <w:szCs w:val="21"/>
                    </w:rPr>
                  </w:pPr>
                  <w:r>
                    <w:rPr>
                      <w:rFonts w:hint="eastAsia"/>
                      <w:color w:val="auto"/>
                      <w:kern w:val="0"/>
                      <w:szCs w:val="21"/>
                    </w:rPr>
                    <w:t>/</w:t>
                  </w:r>
                </w:p>
              </w:tc>
              <w:tc>
                <w:tcPr>
                  <w:tcW w:w="433" w:type="pct"/>
                  <w:shd w:val="clear" w:color="auto" w:fill="auto"/>
                  <w:vAlign w:val="center"/>
                </w:tcPr>
                <w:p w14:paraId="3A1A8884">
                  <w:pPr>
                    <w:widowControl/>
                    <w:jc w:val="center"/>
                    <w:rPr>
                      <w:color w:val="auto"/>
                      <w:kern w:val="0"/>
                      <w:szCs w:val="21"/>
                    </w:rPr>
                  </w:pPr>
                  <w:r>
                    <w:rPr>
                      <w:rFonts w:hint="eastAsia"/>
                      <w:color w:val="auto"/>
                      <w:kern w:val="0"/>
                      <w:szCs w:val="21"/>
                    </w:rPr>
                    <w:t>台</w:t>
                  </w:r>
                </w:p>
              </w:tc>
              <w:tc>
                <w:tcPr>
                  <w:tcW w:w="540" w:type="pct"/>
                  <w:shd w:val="clear" w:color="auto" w:fill="auto"/>
                  <w:vAlign w:val="center"/>
                </w:tcPr>
                <w:p w14:paraId="7A2DBA09">
                  <w:pPr>
                    <w:widowControl/>
                    <w:jc w:val="center"/>
                    <w:rPr>
                      <w:color w:val="auto"/>
                      <w:kern w:val="0"/>
                      <w:szCs w:val="21"/>
                    </w:rPr>
                  </w:pPr>
                  <w:r>
                    <w:rPr>
                      <w:rFonts w:hint="eastAsia"/>
                      <w:color w:val="auto"/>
                      <w:kern w:val="0"/>
                      <w:szCs w:val="21"/>
                    </w:rPr>
                    <w:t>1</w:t>
                  </w:r>
                </w:p>
              </w:tc>
              <w:tc>
                <w:tcPr>
                  <w:tcW w:w="583" w:type="pct"/>
                  <w:shd w:val="clear" w:color="auto" w:fill="auto"/>
                  <w:vAlign w:val="center"/>
                </w:tcPr>
                <w:p w14:paraId="4B9ED53F">
                  <w:pPr>
                    <w:widowControl/>
                    <w:jc w:val="center"/>
                    <w:rPr>
                      <w:color w:val="auto"/>
                      <w:kern w:val="0"/>
                      <w:szCs w:val="21"/>
                    </w:rPr>
                  </w:pPr>
                  <w:r>
                    <w:rPr>
                      <w:rFonts w:hint="eastAsia"/>
                      <w:color w:val="auto"/>
                      <w:kern w:val="0"/>
                      <w:szCs w:val="21"/>
                    </w:rPr>
                    <w:t>1</w:t>
                  </w:r>
                </w:p>
              </w:tc>
              <w:tc>
                <w:tcPr>
                  <w:tcW w:w="512" w:type="pct"/>
                  <w:vAlign w:val="center"/>
                </w:tcPr>
                <w:p w14:paraId="44C33681">
                  <w:pPr>
                    <w:widowControl/>
                    <w:jc w:val="center"/>
                    <w:rPr>
                      <w:color w:val="auto"/>
                      <w:kern w:val="0"/>
                      <w:szCs w:val="21"/>
                    </w:rPr>
                  </w:pPr>
                  <w:r>
                    <w:rPr>
                      <w:rFonts w:hint="eastAsia"/>
                      <w:color w:val="auto"/>
                      <w:kern w:val="0"/>
                      <w:szCs w:val="21"/>
                    </w:rPr>
                    <w:t>0</w:t>
                  </w:r>
                </w:p>
              </w:tc>
              <w:tc>
                <w:tcPr>
                  <w:tcW w:w="587" w:type="pct"/>
                  <w:vAlign w:val="center"/>
                </w:tcPr>
                <w:p w14:paraId="2E4D24A2">
                  <w:pPr>
                    <w:jc w:val="center"/>
                    <w:rPr>
                      <w:color w:val="auto"/>
                      <w:kern w:val="0"/>
                      <w:szCs w:val="21"/>
                    </w:rPr>
                  </w:pPr>
                  <w:r>
                    <w:rPr>
                      <w:rFonts w:hint="eastAsia"/>
                      <w:color w:val="auto"/>
                      <w:kern w:val="0"/>
                      <w:szCs w:val="21"/>
                    </w:rPr>
                    <w:t>/</w:t>
                  </w:r>
                </w:p>
              </w:tc>
              <w:tc>
                <w:tcPr>
                  <w:tcW w:w="587" w:type="pct"/>
                  <w:vMerge w:val="continue"/>
                  <w:vAlign w:val="center"/>
                </w:tcPr>
                <w:p w14:paraId="1DF1C4D5">
                  <w:pPr>
                    <w:jc w:val="center"/>
                    <w:rPr>
                      <w:color w:val="auto"/>
                      <w:kern w:val="0"/>
                      <w:szCs w:val="21"/>
                    </w:rPr>
                  </w:pPr>
                </w:p>
              </w:tc>
            </w:tr>
            <w:tr w14:paraId="6E2EDB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continue"/>
                  <w:noWrap/>
                  <w:vAlign w:val="center"/>
                </w:tcPr>
                <w:p w14:paraId="2DD99FF9">
                  <w:pPr>
                    <w:widowControl/>
                    <w:adjustRightInd w:val="0"/>
                    <w:snapToGrid w:val="0"/>
                    <w:jc w:val="center"/>
                    <w:rPr>
                      <w:color w:val="auto"/>
                      <w:kern w:val="0"/>
                      <w:szCs w:val="21"/>
                    </w:rPr>
                  </w:pPr>
                </w:p>
              </w:tc>
              <w:tc>
                <w:tcPr>
                  <w:tcW w:w="772" w:type="pct"/>
                  <w:noWrap/>
                  <w:vAlign w:val="center"/>
                </w:tcPr>
                <w:p w14:paraId="69172A1B">
                  <w:pPr>
                    <w:widowControl/>
                    <w:adjustRightInd w:val="0"/>
                    <w:snapToGrid w:val="0"/>
                    <w:jc w:val="center"/>
                    <w:rPr>
                      <w:color w:val="auto"/>
                      <w:kern w:val="0"/>
                      <w:szCs w:val="21"/>
                    </w:rPr>
                  </w:pPr>
                  <w:r>
                    <w:rPr>
                      <w:rFonts w:hint="eastAsia"/>
                      <w:color w:val="auto"/>
                      <w:kern w:val="0"/>
                      <w:szCs w:val="21"/>
                    </w:rPr>
                    <w:t>封罐机</w:t>
                  </w:r>
                </w:p>
              </w:tc>
              <w:tc>
                <w:tcPr>
                  <w:tcW w:w="527" w:type="pct"/>
                  <w:shd w:val="clear" w:color="auto" w:fill="auto"/>
                  <w:vAlign w:val="center"/>
                </w:tcPr>
                <w:p w14:paraId="2D0EB144">
                  <w:pPr>
                    <w:widowControl/>
                    <w:jc w:val="center"/>
                    <w:rPr>
                      <w:color w:val="auto"/>
                      <w:kern w:val="0"/>
                      <w:szCs w:val="21"/>
                    </w:rPr>
                  </w:pPr>
                  <w:r>
                    <w:rPr>
                      <w:rFonts w:hint="eastAsia"/>
                      <w:color w:val="auto"/>
                      <w:kern w:val="0"/>
                      <w:szCs w:val="21"/>
                    </w:rPr>
                    <w:t>/</w:t>
                  </w:r>
                </w:p>
              </w:tc>
              <w:tc>
                <w:tcPr>
                  <w:tcW w:w="433" w:type="pct"/>
                  <w:shd w:val="clear" w:color="auto" w:fill="auto"/>
                  <w:vAlign w:val="center"/>
                </w:tcPr>
                <w:p w14:paraId="4FE2DAAA">
                  <w:pPr>
                    <w:widowControl/>
                    <w:jc w:val="center"/>
                    <w:rPr>
                      <w:color w:val="auto"/>
                      <w:kern w:val="0"/>
                      <w:szCs w:val="21"/>
                    </w:rPr>
                  </w:pPr>
                  <w:r>
                    <w:rPr>
                      <w:rFonts w:hint="eastAsia"/>
                      <w:color w:val="auto"/>
                      <w:kern w:val="0"/>
                      <w:szCs w:val="21"/>
                    </w:rPr>
                    <w:t>台</w:t>
                  </w:r>
                </w:p>
              </w:tc>
              <w:tc>
                <w:tcPr>
                  <w:tcW w:w="540" w:type="pct"/>
                  <w:shd w:val="clear" w:color="auto" w:fill="auto"/>
                  <w:vAlign w:val="center"/>
                </w:tcPr>
                <w:p w14:paraId="72BFBEE9">
                  <w:pPr>
                    <w:widowControl/>
                    <w:jc w:val="center"/>
                    <w:rPr>
                      <w:color w:val="auto"/>
                      <w:kern w:val="0"/>
                      <w:szCs w:val="21"/>
                    </w:rPr>
                  </w:pPr>
                  <w:r>
                    <w:rPr>
                      <w:rFonts w:hint="eastAsia"/>
                      <w:color w:val="auto"/>
                      <w:kern w:val="0"/>
                      <w:szCs w:val="21"/>
                    </w:rPr>
                    <w:t>1</w:t>
                  </w:r>
                </w:p>
              </w:tc>
              <w:tc>
                <w:tcPr>
                  <w:tcW w:w="583" w:type="pct"/>
                  <w:shd w:val="clear" w:color="auto" w:fill="auto"/>
                  <w:vAlign w:val="center"/>
                </w:tcPr>
                <w:p w14:paraId="443DB18B">
                  <w:pPr>
                    <w:widowControl/>
                    <w:jc w:val="center"/>
                    <w:rPr>
                      <w:color w:val="auto"/>
                      <w:kern w:val="0"/>
                      <w:szCs w:val="21"/>
                    </w:rPr>
                  </w:pPr>
                  <w:r>
                    <w:rPr>
                      <w:rFonts w:hint="eastAsia"/>
                      <w:color w:val="auto"/>
                      <w:kern w:val="0"/>
                      <w:szCs w:val="21"/>
                    </w:rPr>
                    <w:t>1</w:t>
                  </w:r>
                </w:p>
              </w:tc>
              <w:tc>
                <w:tcPr>
                  <w:tcW w:w="512" w:type="pct"/>
                  <w:vAlign w:val="center"/>
                </w:tcPr>
                <w:p w14:paraId="5B7026CC">
                  <w:pPr>
                    <w:widowControl/>
                    <w:jc w:val="center"/>
                    <w:rPr>
                      <w:color w:val="auto"/>
                      <w:kern w:val="0"/>
                      <w:szCs w:val="21"/>
                    </w:rPr>
                  </w:pPr>
                  <w:r>
                    <w:rPr>
                      <w:rFonts w:hint="eastAsia"/>
                      <w:color w:val="auto"/>
                      <w:kern w:val="0"/>
                      <w:szCs w:val="21"/>
                    </w:rPr>
                    <w:t>0</w:t>
                  </w:r>
                </w:p>
              </w:tc>
              <w:tc>
                <w:tcPr>
                  <w:tcW w:w="587" w:type="pct"/>
                  <w:vAlign w:val="center"/>
                </w:tcPr>
                <w:p w14:paraId="355D82C7">
                  <w:pPr>
                    <w:jc w:val="center"/>
                    <w:rPr>
                      <w:color w:val="auto"/>
                      <w:kern w:val="0"/>
                      <w:szCs w:val="21"/>
                    </w:rPr>
                  </w:pPr>
                  <w:r>
                    <w:rPr>
                      <w:rFonts w:hint="eastAsia"/>
                      <w:color w:val="auto"/>
                      <w:kern w:val="0"/>
                      <w:szCs w:val="21"/>
                    </w:rPr>
                    <w:t>/</w:t>
                  </w:r>
                </w:p>
              </w:tc>
              <w:tc>
                <w:tcPr>
                  <w:tcW w:w="587" w:type="pct"/>
                  <w:vMerge w:val="continue"/>
                  <w:vAlign w:val="center"/>
                </w:tcPr>
                <w:p w14:paraId="6A6999FB">
                  <w:pPr>
                    <w:jc w:val="center"/>
                    <w:rPr>
                      <w:color w:val="auto"/>
                      <w:kern w:val="0"/>
                      <w:szCs w:val="21"/>
                    </w:rPr>
                  </w:pPr>
                </w:p>
              </w:tc>
            </w:tr>
            <w:tr w14:paraId="4E88F8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3" w:type="pct"/>
                  <w:vMerge w:val="continue"/>
                  <w:noWrap/>
                  <w:vAlign w:val="center"/>
                </w:tcPr>
                <w:p w14:paraId="6F25A848">
                  <w:pPr>
                    <w:widowControl/>
                    <w:adjustRightInd w:val="0"/>
                    <w:snapToGrid w:val="0"/>
                    <w:jc w:val="center"/>
                    <w:rPr>
                      <w:color w:val="auto"/>
                      <w:kern w:val="0"/>
                      <w:szCs w:val="21"/>
                    </w:rPr>
                  </w:pPr>
                </w:p>
              </w:tc>
              <w:tc>
                <w:tcPr>
                  <w:tcW w:w="772" w:type="pct"/>
                  <w:noWrap/>
                  <w:vAlign w:val="center"/>
                </w:tcPr>
                <w:p w14:paraId="0D74E3DA">
                  <w:pPr>
                    <w:widowControl/>
                    <w:adjustRightInd w:val="0"/>
                    <w:snapToGrid w:val="0"/>
                    <w:jc w:val="center"/>
                    <w:rPr>
                      <w:color w:val="auto"/>
                      <w:kern w:val="0"/>
                      <w:szCs w:val="21"/>
                    </w:rPr>
                  </w:pPr>
                  <w:r>
                    <w:rPr>
                      <w:rFonts w:hint="eastAsia"/>
                      <w:color w:val="auto"/>
                      <w:kern w:val="0"/>
                      <w:szCs w:val="21"/>
                    </w:rPr>
                    <w:t>液压圈口涨筋机</w:t>
                  </w:r>
                </w:p>
              </w:tc>
              <w:tc>
                <w:tcPr>
                  <w:tcW w:w="527" w:type="pct"/>
                  <w:shd w:val="clear" w:color="auto" w:fill="auto"/>
                  <w:vAlign w:val="center"/>
                </w:tcPr>
                <w:p w14:paraId="027E3589">
                  <w:pPr>
                    <w:widowControl/>
                    <w:jc w:val="center"/>
                    <w:rPr>
                      <w:color w:val="auto"/>
                      <w:kern w:val="0"/>
                      <w:szCs w:val="21"/>
                    </w:rPr>
                  </w:pPr>
                  <w:r>
                    <w:rPr>
                      <w:rFonts w:hint="eastAsia"/>
                      <w:color w:val="auto"/>
                      <w:kern w:val="0"/>
                      <w:szCs w:val="21"/>
                    </w:rPr>
                    <w:t>/</w:t>
                  </w:r>
                </w:p>
              </w:tc>
              <w:tc>
                <w:tcPr>
                  <w:tcW w:w="433" w:type="pct"/>
                  <w:shd w:val="clear" w:color="auto" w:fill="auto"/>
                  <w:vAlign w:val="center"/>
                </w:tcPr>
                <w:p w14:paraId="66161F80">
                  <w:pPr>
                    <w:widowControl/>
                    <w:jc w:val="center"/>
                    <w:rPr>
                      <w:color w:val="auto"/>
                      <w:kern w:val="0"/>
                      <w:szCs w:val="21"/>
                    </w:rPr>
                  </w:pPr>
                  <w:r>
                    <w:rPr>
                      <w:rFonts w:hint="eastAsia"/>
                      <w:color w:val="auto"/>
                      <w:kern w:val="0"/>
                      <w:szCs w:val="21"/>
                    </w:rPr>
                    <w:t>台</w:t>
                  </w:r>
                </w:p>
              </w:tc>
              <w:tc>
                <w:tcPr>
                  <w:tcW w:w="540" w:type="pct"/>
                  <w:shd w:val="clear" w:color="auto" w:fill="auto"/>
                  <w:vAlign w:val="center"/>
                </w:tcPr>
                <w:p w14:paraId="667F4E26">
                  <w:pPr>
                    <w:widowControl/>
                    <w:jc w:val="center"/>
                    <w:rPr>
                      <w:color w:val="auto"/>
                      <w:kern w:val="0"/>
                      <w:szCs w:val="21"/>
                    </w:rPr>
                  </w:pPr>
                  <w:r>
                    <w:rPr>
                      <w:rFonts w:hint="eastAsia"/>
                      <w:color w:val="auto"/>
                      <w:kern w:val="0"/>
                      <w:szCs w:val="21"/>
                    </w:rPr>
                    <w:t>1</w:t>
                  </w:r>
                </w:p>
              </w:tc>
              <w:tc>
                <w:tcPr>
                  <w:tcW w:w="583" w:type="pct"/>
                  <w:shd w:val="clear" w:color="auto" w:fill="auto"/>
                  <w:vAlign w:val="center"/>
                </w:tcPr>
                <w:p w14:paraId="55AC595F">
                  <w:pPr>
                    <w:widowControl/>
                    <w:jc w:val="center"/>
                    <w:rPr>
                      <w:color w:val="auto"/>
                      <w:kern w:val="0"/>
                      <w:szCs w:val="21"/>
                    </w:rPr>
                  </w:pPr>
                  <w:r>
                    <w:rPr>
                      <w:rFonts w:hint="eastAsia"/>
                      <w:color w:val="auto"/>
                      <w:kern w:val="0"/>
                      <w:szCs w:val="21"/>
                    </w:rPr>
                    <w:t>1</w:t>
                  </w:r>
                </w:p>
              </w:tc>
              <w:tc>
                <w:tcPr>
                  <w:tcW w:w="512" w:type="pct"/>
                  <w:vAlign w:val="center"/>
                </w:tcPr>
                <w:p w14:paraId="4DE3BFDE">
                  <w:pPr>
                    <w:widowControl/>
                    <w:jc w:val="center"/>
                    <w:rPr>
                      <w:color w:val="auto"/>
                      <w:kern w:val="0"/>
                      <w:szCs w:val="21"/>
                    </w:rPr>
                  </w:pPr>
                  <w:r>
                    <w:rPr>
                      <w:rFonts w:hint="eastAsia"/>
                      <w:color w:val="auto"/>
                      <w:kern w:val="0"/>
                      <w:szCs w:val="21"/>
                    </w:rPr>
                    <w:t>0</w:t>
                  </w:r>
                </w:p>
              </w:tc>
              <w:tc>
                <w:tcPr>
                  <w:tcW w:w="587" w:type="pct"/>
                  <w:vAlign w:val="center"/>
                </w:tcPr>
                <w:p w14:paraId="126885E4">
                  <w:pPr>
                    <w:jc w:val="center"/>
                    <w:rPr>
                      <w:color w:val="auto"/>
                      <w:kern w:val="0"/>
                      <w:szCs w:val="21"/>
                    </w:rPr>
                  </w:pPr>
                  <w:r>
                    <w:rPr>
                      <w:rFonts w:hint="eastAsia"/>
                      <w:color w:val="auto"/>
                      <w:kern w:val="0"/>
                      <w:szCs w:val="21"/>
                    </w:rPr>
                    <w:t>/</w:t>
                  </w:r>
                </w:p>
              </w:tc>
              <w:tc>
                <w:tcPr>
                  <w:tcW w:w="587" w:type="pct"/>
                  <w:vMerge w:val="continue"/>
                  <w:vAlign w:val="center"/>
                </w:tcPr>
                <w:p w14:paraId="5046A5E9">
                  <w:pPr>
                    <w:jc w:val="center"/>
                    <w:rPr>
                      <w:color w:val="auto"/>
                      <w:kern w:val="0"/>
                      <w:szCs w:val="21"/>
                    </w:rPr>
                  </w:pPr>
                </w:p>
              </w:tc>
            </w:tr>
          </w:tbl>
          <w:p w14:paraId="4841CC4F">
            <w:pPr>
              <w:spacing w:before="120" w:beforeLines="50" w:line="360" w:lineRule="auto"/>
              <w:ind w:firstLine="482" w:firstLineChars="200"/>
              <w:rPr>
                <w:b/>
                <w:bCs/>
                <w:color w:val="auto"/>
                <w:sz w:val="24"/>
              </w:rPr>
            </w:pPr>
            <w:r>
              <w:rPr>
                <w:rFonts w:hint="eastAsia"/>
                <w:b/>
                <w:bCs/>
                <w:color w:val="auto"/>
                <w:sz w:val="24"/>
              </w:rPr>
              <w:t>4</w:t>
            </w:r>
            <w:r>
              <w:rPr>
                <w:b/>
                <w:bCs/>
                <w:color w:val="auto"/>
                <w:sz w:val="24"/>
              </w:rPr>
              <w:t>、项目主要原辅料</w:t>
            </w:r>
          </w:p>
          <w:p w14:paraId="17ABF332">
            <w:pPr>
              <w:spacing w:line="360" w:lineRule="auto"/>
              <w:ind w:firstLine="480" w:firstLineChars="200"/>
              <w:rPr>
                <w:color w:val="auto"/>
                <w:sz w:val="24"/>
              </w:rPr>
            </w:pPr>
            <w:r>
              <w:rPr>
                <w:rFonts w:hint="eastAsia"/>
                <w:color w:val="auto"/>
                <w:sz w:val="24"/>
              </w:rPr>
              <w:t>（1）</w:t>
            </w:r>
            <w:r>
              <w:rPr>
                <w:color w:val="auto"/>
                <w:sz w:val="24"/>
              </w:rPr>
              <w:t>项目</w:t>
            </w:r>
            <w:r>
              <w:rPr>
                <w:rFonts w:hint="eastAsia"/>
                <w:color w:val="auto"/>
                <w:sz w:val="24"/>
              </w:rPr>
              <w:t>扩建前后</w:t>
            </w:r>
            <w:r>
              <w:rPr>
                <w:color w:val="auto"/>
                <w:sz w:val="24"/>
              </w:rPr>
              <w:t>主要原辅材料及能耗情况见下表：</w:t>
            </w:r>
          </w:p>
          <w:p w14:paraId="06367489">
            <w:pPr>
              <w:pStyle w:val="66"/>
              <w:spacing w:line="240" w:lineRule="auto"/>
              <w:rPr>
                <w:rFonts w:ascii="Times New Roman" w:hAnsi="Times New Roman" w:eastAsia="宋体" w:cs="Times New Roman"/>
                <w:b/>
                <w:bCs/>
                <w:color w:val="auto"/>
                <w:szCs w:val="24"/>
              </w:rPr>
            </w:pPr>
            <w:r>
              <w:rPr>
                <w:rFonts w:ascii="Times New Roman" w:hAnsi="Times New Roman" w:eastAsia="宋体" w:cs="Times New Roman"/>
                <w:b/>
                <w:bCs/>
                <w:color w:val="auto"/>
                <w:szCs w:val="24"/>
              </w:rPr>
              <w:t>表</w:t>
            </w:r>
            <w:r>
              <w:rPr>
                <w:rFonts w:hint="eastAsia" w:ascii="Times New Roman" w:hAnsi="Times New Roman" w:eastAsia="宋体" w:cs="Times New Roman"/>
                <w:b/>
                <w:bCs/>
                <w:color w:val="auto"/>
                <w:szCs w:val="24"/>
              </w:rPr>
              <w:t>2-4</w:t>
            </w:r>
            <w:r>
              <w:rPr>
                <w:rFonts w:ascii="Times New Roman" w:hAnsi="Times New Roman" w:eastAsia="宋体" w:cs="Times New Roman"/>
                <w:b/>
                <w:bCs/>
                <w:color w:val="auto"/>
                <w:szCs w:val="24"/>
              </w:rPr>
              <w:t xml:space="preserve"> </w:t>
            </w:r>
            <w:r>
              <w:rPr>
                <w:rFonts w:hint="eastAsia" w:ascii="Times New Roman" w:hAnsi="Times New Roman" w:eastAsia="宋体" w:cs="Times New Roman"/>
                <w:b/>
                <w:bCs/>
                <w:color w:val="auto"/>
                <w:szCs w:val="24"/>
              </w:rPr>
              <w:t xml:space="preserve"> </w:t>
            </w:r>
            <w:r>
              <w:rPr>
                <w:rFonts w:ascii="Times New Roman" w:hAnsi="Times New Roman" w:eastAsia="宋体" w:cs="Times New Roman"/>
                <w:b/>
                <w:bCs/>
                <w:color w:val="auto"/>
                <w:szCs w:val="24"/>
              </w:rPr>
              <w:t>项目</w:t>
            </w:r>
            <w:r>
              <w:rPr>
                <w:rFonts w:hint="eastAsia" w:ascii="Times New Roman" w:hAnsi="Times New Roman" w:eastAsia="宋体" w:cs="Times New Roman"/>
                <w:b/>
                <w:bCs/>
                <w:color w:val="auto"/>
                <w:szCs w:val="24"/>
              </w:rPr>
              <w:t>扩建前后</w:t>
            </w:r>
            <w:r>
              <w:rPr>
                <w:rFonts w:ascii="Times New Roman" w:hAnsi="Times New Roman" w:eastAsia="宋体" w:cs="Times New Roman"/>
                <w:b/>
                <w:bCs/>
                <w:color w:val="auto"/>
                <w:szCs w:val="24"/>
              </w:rPr>
              <w:t>原、辅材料消耗一览表</w:t>
            </w:r>
          </w:p>
          <w:tbl>
            <w:tblPr>
              <w:tblStyle w:val="26"/>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05"/>
              <w:gridCol w:w="601"/>
              <w:gridCol w:w="847"/>
              <w:gridCol w:w="539"/>
              <w:gridCol w:w="847"/>
              <w:gridCol w:w="938"/>
              <w:gridCol w:w="938"/>
              <w:gridCol w:w="938"/>
              <w:gridCol w:w="1195"/>
              <w:gridCol w:w="962"/>
            </w:tblGrid>
            <w:tr w14:paraId="5CEDB3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47" w:type="pct"/>
                  <w:noWrap/>
                  <w:tcMar>
                    <w:top w:w="15" w:type="dxa"/>
                    <w:left w:w="15" w:type="dxa"/>
                    <w:right w:w="15" w:type="dxa"/>
                  </w:tcMar>
                  <w:vAlign w:val="center"/>
                </w:tcPr>
                <w:p w14:paraId="5768BACE">
                  <w:pPr>
                    <w:widowControl/>
                    <w:jc w:val="center"/>
                    <w:textAlignment w:val="center"/>
                    <w:rPr>
                      <w:b/>
                      <w:bCs/>
                      <w:color w:val="auto"/>
                      <w:szCs w:val="21"/>
                    </w:rPr>
                  </w:pPr>
                  <w:r>
                    <w:rPr>
                      <w:b/>
                      <w:bCs/>
                      <w:color w:val="auto"/>
                      <w:szCs w:val="21"/>
                    </w:rPr>
                    <w:t>类别</w:t>
                  </w:r>
                </w:p>
              </w:tc>
              <w:tc>
                <w:tcPr>
                  <w:tcW w:w="365" w:type="pct"/>
                  <w:noWrap/>
                  <w:tcMar>
                    <w:top w:w="15" w:type="dxa"/>
                    <w:left w:w="15" w:type="dxa"/>
                    <w:right w:w="15" w:type="dxa"/>
                  </w:tcMar>
                  <w:vAlign w:val="center"/>
                </w:tcPr>
                <w:p w14:paraId="3371D978">
                  <w:pPr>
                    <w:widowControl/>
                    <w:jc w:val="center"/>
                    <w:textAlignment w:val="center"/>
                    <w:rPr>
                      <w:b/>
                      <w:bCs/>
                      <w:color w:val="auto"/>
                      <w:kern w:val="0"/>
                      <w:szCs w:val="21"/>
                    </w:rPr>
                  </w:pPr>
                  <w:r>
                    <w:rPr>
                      <w:rFonts w:hint="eastAsia"/>
                      <w:b/>
                      <w:bCs/>
                      <w:color w:val="auto"/>
                      <w:kern w:val="0"/>
                      <w:szCs w:val="21"/>
                    </w:rPr>
                    <w:t>产品</w:t>
                  </w:r>
                </w:p>
              </w:tc>
              <w:tc>
                <w:tcPr>
                  <w:tcW w:w="516" w:type="pct"/>
                  <w:noWrap/>
                  <w:tcMar>
                    <w:top w:w="15" w:type="dxa"/>
                    <w:left w:w="15" w:type="dxa"/>
                    <w:right w:w="15" w:type="dxa"/>
                  </w:tcMar>
                  <w:vAlign w:val="center"/>
                </w:tcPr>
                <w:p w14:paraId="656EDAEA">
                  <w:pPr>
                    <w:widowControl/>
                    <w:jc w:val="center"/>
                    <w:textAlignment w:val="center"/>
                    <w:rPr>
                      <w:b/>
                      <w:bCs/>
                      <w:color w:val="auto"/>
                      <w:szCs w:val="21"/>
                    </w:rPr>
                  </w:pPr>
                  <w:r>
                    <w:rPr>
                      <w:b/>
                      <w:bCs/>
                      <w:color w:val="auto"/>
                      <w:kern w:val="0"/>
                      <w:szCs w:val="21"/>
                    </w:rPr>
                    <w:t>名称</w:t>
                  </w:r>
                </w:p>
              </w:tc>
              <w:tc>
                <w:tcPr>
                  <w:tcW w:w="328" w:type="pct"/>
                  <w:noWrap/>
                  <w:tcMar>
                    <w:top w:w="15" w:type="dxa"/>
                    <w:left w:w="15" w:type="dxa"/>
                    <w:right w:w="15" w:type="dxa"/>
                  </w:tcMar>
                  <w:vAlign w:val="center"/>
                </w:tcPr>
                <w:p w14:paraId="46FC8DC8">
                  <w:pPr>
                    <w:widowControl/>
                    <w:jc w:val="center"/>
                    <w:textAlignment w:val="center"/>
                    <w:rPr>
                      <w:b/>
                      <w:bCs/>
                      <w:color w:val="auto"/>
                      <w:szCs w:val="21"/>
                    </w:rPr>
                  </w:pPr>
                  <w:r>
                    <w:rPr>
                      <w:b/>
                      <w:bCs/>
                      <w:color w:val="auto"/>
                      <w:kern w:val="0"/>
                      <w:szCs w:val="21"/>
                    </w:rPr>
                    <w:t>单位</w:t>
                  </w:r>
                </w:p>
              </w:tc>
              <w:tc>
                <w:tcPr>
                  <w:tcW w:w="516" w:type="pct"/>
                  <w:noWrap/>
                  <w:tcMar>
                    <w:top w:w="15" w:type="dxa"/>
                    <w:left w:w="15" w:type="dxa"/>
                    <w:right w:w="15" w:type="dxa"/>
                  </w:tcMar>
                  <w:vAlign w:val="center"/>
                </w:tcPr>
                <w:p w14:paraId="7EC8A68B">
                  <w:pPr>
                    <w:widowControl/>
                    <w:jc w:val="center"/>
                    <w:textAlignment w:val="center"/>
                    <w:rPr>
                      <w:b/>
                      <w:bCs/>
                      <w:color w:val="auto"/>
                      <w:szCs w:val="21"/>
                    </w:rPr>
                  </w:pPr>
                  <w:r>
                    <w:rPr>
                      <w:rFonts w:hint="eastAsia"/>
                      <w:b/>
                      <w:bCs/>
                      <w:color w:val="auto"/>
                      <w:kern w:val="0"/>
                      <w:szCs w:val="21"/>
                    </w:rPr>
                    <w:t>扩建前年用量</w:t>
                  </w:r>
                </w:p>
              </w:tc>
              <w:tc>
                <w:tcPr>
                  <w:tcW w:w="571" w:type="pct"/>
                  <w:noWrap/>
                  <w:tcMar>
                    <w:top w:w="15" w:type="dxa"/>
                    <w:left w:w="15" w:type="dxa"/>
                    <w:right w:w="15" w:type="dxa"/>
                  </w:tcMar>
                  <w:vAlign w:val="center"/>
                </w:tcPr>
                <w:p w14:paraId="23686D35">
                  <w:pPr>
                    <w:widowControl/>
                    <w:jc w:val="center"/>
                    <w:textAlignment w:val="center"/>
                    <w:rPr>
                      <w:b/>
                      <w:bCs/>
                      <w:color w:val="auto"/>
                      <w:kern w:val="0"/>
                      <w:szCs w:val="21"/>
                    </w:rPr>
                  </w:pPr>
                  <w:r>
                    <w:rPr>
                      <w:rFonts w:hint="eastAsia"/>
                      <w:b/>
                      <w:bCs/>
                      <w:color w:val="auto"/>
                      <w:kern w:val="0"/>
                      <w:szCs w:val="21"/>
                    </w:rPr>
                    <w:t>扩建后年用量</w:t>
                  </w:r>
                </w:p>
              </w:tc>
              <w:tc>
                <w:tcPr>
                  <w:tcW w:w="571" w:type="pct"/>
                  <w:noWrap/>
                  <w:tcMar>
                    <w:top w:w="15" w:type="dxa"/>
                    <w:left w:w="15" w:type="dxa"/>
                    <w:right w:w="15" w:type="dxa"/>
                  </w:tcMar>
                  <w:vAlign w:val="center"/>
                </w:tcPr>
                <w:p w14:paraId="79BA6ED6">
                  <w:pPr>
                    <w:widowControl/>
                    <w:jc w:val="center"/>
                    <w:textAlignment w:val="center"/>
                    <w:rPr>
                      <w:b/>
                      <w:bCs/>
                      <w:color w:val="auto"/>
                      <w:kern w:val="0"/>
                      <w:szCs w:val="21"/>
                    </w:rPr>
                  </w:pPr>
                  <w:r>
                    <w:rPr>
                      <w:rFonts w:hint="eastAsia"/>
                      <w:b/>
                      <w:bCs/>
                      <w:color w:val="auto"/>
                      <w:kern w:val="0"/>
                      <w:szCs w:val="21"/>
                    </w:rPr>
                    <w:t>变化量</w:t>
                  </w:r>
                </w:p>
              </w:tc>
              <w:tc>
                <w:tcPr>
                  <w:tcW w:w="571" w:type="pct"/>
                  <w:noWrap/>
                  <w:tcMar>
                    <w:top w:w="15" w:type="dxa"/>
                    <w:left w:w="15" w:type="dxa"/>
                    <w:right w:w="15" w:type="dxa"/>
                  </w:tcMar>
                  <w:vAlign w:val="center"/>
                </w:tcPr>
                <w:p w14:paraId="233085C8">
                  <w:pPr>
                    <w:widowControl/>
                    <w:jc w:val="center"/>
                    <w:textAlignment w:val="center"/>
                    <w:rPr>
                      <w:b/>
                      <w:bCs/>
                      <w:color w:val="auto"/>
                      <w:kern w:val="0"/>
                      <w:szCs w:val="21"/>
                    </w:rPr>
                  </w:pPr>
                  <w:r>
                    <w:rPr>
                      <w:b/>
                      <w:bCs/>
                      <w:color w:val="auto"/>
                      <w:kern w:val="0"/>
                      <w:szCs w:val="21"/>
                    </w:rPr>
                    <w:t>最大储存量</w:t>
                  </w:r>
                </w:p>
              </w:tc>
              <w:tc>
                <w:tcPr>
                  <w:tcW w:w="728" w:type="pct"/>
                  <w:noWrap/>
                  <w:tcMar>
                    <w:top w:w="15" w:type="dxa"/>
                    <w:left w:w="15" w:type="dxa"/>
                    <w:right w:w="15" w:type="dxa"/>
                  </w:tcMar>
                  <w:vAlign w:val="center"/>
                </w:tcPr>
                <w:p w14:paraId="2D3623C7">
                  <w:pPr>
                    <w:widowControl/>
                    <w:jc w:val="center"/>
                    <w:textAlignment w:val="center"/>
                    <w:rPr>
                      <w:b/>
                      <w:bCs/>
                      <w:color w:val="auto"/>
                      <w:kern w:val="0"/>
                      <w:szCs w:val="21"/>
                    </w:rPr>
                  </w:pPr>
                  <w:r>
                    <w:rPr>
                      <w:b/>
                      <w:bCs/>
                      <w:color w:val="auto"/>
                      <w:kern w:val="0"/>
                      <w:szCs w:val="21"/>
                    </w:rPr>
                    <w:t>包装方式和规格</w:t>
                  </w:r>
                </w:p>
              </w:tc>
              <w:tc>
                <w:tcPr>
                  <w:tcW w:w="583" w:type="pct"/>
                  <w:noWrap/>
                  <w:tcMar>
                    <w:top w:w="15" w:type="dxa"/>
                    <w:left w:w="15" w:type="dxa"/>
                    <w:right w:w="15" w:type="dxa"/>
                  </w:tcMar>
                  <w:vAlign w:val="center"/>
                </w:tcPr>
                <w:p w14:paraId="57B29AFD">
                  <w:pPr>
                    <w:widowControl/>
                    <w:jc w:val="center"/>
                    <w:textAlignment w:val="center"/>
                    <w:rPr>
                      <w:b/>
                      <w:bCs/>
                      <w:color w:val="auto"/>
                      <w:kern w:val="0"/>
                      <w:szCs w:val="21"/>
                    </w:rPr>
                  </w:pPr>
                  <w:r>
                    <w:rPr>
                      <w:b/>
                      <w:bCs/>
                      <w:color w:val="auto"/>
                      <w:kern w:val="0"/>
                      <w:szCs w:val="21"/>
                    </w:rPr>
                    <w:t>来源</w:t>
                  </w:r>
                </w:p>
              </w:tc>
            </w:tr>
            <w:tr w14:paraId="7A1248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247" w:type="pct"/>
                  <w:vMerge w:val="restart"/>
                  <w:noWrap/>
                  <w:tcMar>
                    <w:top w:w="15" w:type="dxa"/>
                    <w:left w:w="15" w:type="dxa"/>
                    <w:right w:w="15" w:type="dxa"/>
                  </w:tcMar>
                  <w:vAlign w:val="center"/>
                </w:tcPr>
                <w:p w14:paraId="32E53E42">
                  <w:pPr>
                    <w:widowControl/>
                    <w:jc w:val="center"/>
                    <w:textAlignment w:val="center"/>
                    <w:rPr>
                      <w:color w:val="auto"/>
                      <w:szCs w:val="21"/>
                    </w:rPr>
                  </w:pPr>
                  <w:r>
                    <w:rPr>
                      <w:color w:val="auto"/>
                      <w:szCs w:val="21"/>
                    </w:rPr>
                    <w:t>原辅料</w:t>
                  </w:r>
                </w:p>
              </w:tc>
              <w:tc>
                <w:tcPr>
                  <w:tcW w:w="365" w:type="pct"/>
                  <w:vMerge w:val="restart"/>
                  <w:noWrap/>
                  <w:tcMar>
                    <w:top w:w="15" w:type="dxa"/>
                    <w:left w:w="15" w:type="dxa"/>
                    <w:right w:w="15" w:type="dxa"/>
                  </w:tcMar>
                  <w:vAlign w:val="center"/>
                </w:tcPr>
                <w:p w14:paraId="6CDDC64D">
                  <w:pPr>
                    <w:adjustRightInd w:val="0"/>
                    <w:snapToGrid w:val="0"/>
                    <w:jc w:val="center"/>
                    <w:rPr>
                      <w:color w:val="auto"/>
                      <w:szCs w:val="21"/>
                    </w:rPr>
                  </w:pPr>
                  <w:r>
                    <w:rPr>
                      <w:rFonts w:hint="eastAsia"/>
                      <w:color w:val="auto"/>
                      <w:szCs w:val="21"/>
                    </w:rPr>
                    <w:t>塑料桶</w:t>
                  </w:r>
                </w:p>
              </w:tc>
              <w:tc>
                <w:tcPr>
                  <w:tcW w:w="516" w:type="pct"/>
                  <w:noWrap/>
                  <w:tcMar>
                    <w:top w:w="15" w:type="dxa"/>
                    <w:left w:w="15" w:type="dxa"/>
                    <w:right w:w="15" w:type="dxa"/>
                  </w:tcMar>
                  <w:vAlign w:val="center"/>
                </w:tcPr>
                <w:p w14:paraId="5A689FB1">
                  <w:pPr>
                    <w:adjustRightInd w:val="0"/>
                    <w:snapToGrid w:val="0"/>
                    <w:jc w:val="center"/>
                    <w:rPr>
                      <w:color w:val="auto"/>
                      <w:szCs w:val="21"/>
                    </w:rPr>
                  </w:pPr>
                  <w:r>
                    <w:rPr>
                      <w:rFonts w:hint="eastAsia"/>
                      <w:color w:val="auto"/>
                      <w:szCs w:val="21"/>
                    </w:rPr>
                    <w:t>聚乙烯树脂</w:t>
                  </w:r>
                </w:p>
              </w:tc>
              <w:tc>
                <w:tcPr>
                  <w:tcW w:w="328" w:type="pct"/>
                  <w:noWrap/>
                  <w:tcMar>
                    <w:top w:w="15" w:type="dxa"/>
                    <w:left w:w="15" w:type="dxa"/>
                    <w:right w:w="15" w:type="dxa"/>
                  </w:tcMar>
                  <w:vAlign w:val="center"/>
                </w:tcPr>
                <w:p w14:paraId="3930D0AE">
                  <w:pPr>
                    <w:adjustRightInd w:val="0"/>
                    <w:snapToGrid w:val="0"/>
                    <w:jc w:val="center"/>
                    <w:rPr>
                      <w:color w:val="auto"/>
                      <w:szCs w:val="21"/>
                    </w:rPr>
                  </w:pPr>
                  <w:r>
                    <w:rPr>
                      <w:rFonts w:hint="eastAsia"/>
                      <w:color w:val="auto"/>
                      <w:szCs w:val="21"/>
                    </w:rPr>
                    <w:t>吨</w:t>
                  </w:r>
                </w:p>
              </w:tc>
              <w:tc>
                <w:tcPr>
                  <w:tcW w:w="516" w:type="pct"/>
                  <w:noWrap/>
                  <w:tcMar>
                    <w:top w:w="15" w:type="dxa"/>
                    <w:left w:w="15" w:type="dxa"/>
                    <w:right w:w="15" w:type="dxa"/>
                  </w:tcMar>
                  <w:vAlign w:val="center"/>
                </w:tcPr>
                <w:p w14:paraId="6238B3F4">
                  <w:pPr>
                    <w:adjustRightInd w:val="0"/>
                    <w:snapToGrid w:val="0"/>
                    <w:jc w:val="center"/>
                    <w:rPr>
                      <w:color w:val="auto"/>
                      <w:szCs w:val="21"/>
                    </w:rPr>
                  </w:pPr>
                  <w:r>
                    <w:rPr>
                      <w:rFonts w:hint="eastAsia"/>
                      <w:color w:val="auto"/>
                      <w:szCs w:val="21"/>
                    </w:rPr>
                    <w:t>0</w:t>
                  </w:r>
                </w:p>
              </w:tc>
              <w:tc>
                <w:tcPr>
                  <w:tcW w:w="571" w:type="pct"/>
                  <w:shd w:val="clear" w:color="auto" w:fill="auto"/>
                  <w:noWrap/>
                  <w:tcMar>
                    <w:top w:w="15" w:type="dxa"/>
                    <w:left w:w="15" w:type="dxa"/>
                    <w:right w:w="15" w:type="dxa"/>
                  </w:tcMar>
                  <w:vAlign w:val="center"/>
                </w:tcPr>
                <w:p w14:paraId="0F42503E">
                  <w:pPr>
                    <w:adjustRightInd w:val="0"/>
                    <w:snapToGrid w:val="0"/>
                    <w:jc w:val="center"/>
                    <w:rPr>
                      <w:rFonts w:hint="default"/>
                      <w:color w:val="auto"/>
                      <w:szCs w:val="21"/>
                      <w:lang w:val="en-US"/>
                    </w:rPr>
                  </w:pPr>
                  <w:r>
                    <w:rPr>
                      <w:rFonts w:hint="eastAsia"/>
                      <w:color w:val="auto"/>
                      <w:szCs w:val="21"/>
                    </w:rPr>
                    <w:t>13</w:t>
                  </w:r>
                  <w:r>
                    <w:rPr>
                      <w:rFonts w:hint="eastAsia"/>
                      <w:color w:val="auto"/>
                      <w:szCs w:val="21"/>
                      <w:lang w:val="en-US" w:eastAsia="zh-CN"/>
                    </w:rPr>
                    <w:t>69.546</w:t>
                  </w:r>
                </w:p>
              </w:tc>
              <w:tc>
                <w:tcPr>
                  <w:tcW w:w="571" w:type="pct"/>
                  <w:shd w:val="clear" w:color="auto" w:fill="auto"/>
                  <w:noWrap/>
                  <w:tcMar>
                    <w:top w:w="15" w:type="dxa"/>
                    <w:left w:w="15" w:type="dxa"/>
                    <w:right w:w="15" w:type="dxa"/>
                  </w:tcMar>
                  <w:vAlign w:val="center"/>
                </w:tcPr>
                <w:p w14:paraId="7B64BDCB">
                  <w:pPr>
                    <w:adjustRightInd w:val="0"/>
                    <w:snapToGrid w:val="0"/>
                    <w:jc w:val="center"/>
                    <w:rPr>
                      <w:color w:val="auto"/>
                      <w:szCs w:val="21"/>
                    </w:rPr>
                  </w:pPr>
                  <w:r>
                    <w:rPr>
                      <w:rFonts w:hint="eastAsia"/>
                      <w:color w:val="auto"/>
                      <w:szCs w:val="21"/>
                    </w:rPr>
                    <w:t>+1376.659</w:t>
                  </w:r>
                </w:p>
              </w:tc>
              <w:tc>
                <w:tcPr>
                  <w:tcW w:w="571" w:type="pct"/>
                  <w:noWrap/>
                  <w:tcMar>
                    <w:top w:w="15" w:type="dxa"/>
                    <w:left w:w="15" w:type="dxa"/>
                    <w:right w:w="15" w:type="dxa"/>
                  </w:tcMar>
                  <w:vAlign w:val="center"/>
                </w:tcPr>
                <w:p w14:paraId="4EE1DF4A">
                  <w:pPr>
                    <w:tabs>
                      <w:tab w:val="left" w:pos="284"/>
                    </w:tabs>
                    <w:jc w:val="center"/>
                    <w:rPr>
                      <w:color w:val="auto"/>
                      <w:szCs w:val="21"/>
                    </w:rPr>
                  </w:pPr>
                  <w:r>
                    <w:rPr>
                      <w:rFonts w:hint="eastAsia"/>
                      <w:color w:val="auto"/>
                      <w:szCs w:val="21"/>
                    </w:rPr>
                    <w:t>50</w:t>
                  </w:r>
                </w:p>
              </w:tc>
              <w:tc>
                <w:tcPr>
                  <w:tcW w:w="728" w:type="pct"/>
                  <w:noWrap/>
                  <w:tcMar>
                    <w:top w:w="15" w:type="dxa"/>
                    <w:left w:w="15" w:type="dxa"/>
                    <w:right w:w="15" w:type="dxa"/>
                  </w:tcMar>
                  <w:vAlign w:val="center"/>
                </w:tcPr>
                <w:p w14:paraId="5A494198">
                  <w:pPr>
                    <w:tabs>
                      <w:tab w:val="left" w:pos="284"/>
                    </w:tabs>
                    <w:jc w:val="center"/>
                    <w:rPr>
                      <w:color w:val="auto"/>
                      <w:szCs w:val="21"/>
                    </w:rPr>
                  </w:pPr>
                  <w:r>
                    <w:rPr>
                      <w:color w:val="auto"/>
                      <w:szCs w:val="21"/>
                    </w:rPr>
                    <w:t>25</w:t>
                  </w:r>
                  <w:r>
                    <w:rPr>
                      <w:rFonts w:hint="eastAsia"/>
                      <w:color w:val="auto"/>
                      <w:szCs w:val="21"/>
                    </w:rPr>
                    <w:t>kg</w:t>
                  </w:r>
                  <w:r>
                    <w:rPr>
                      <w:color w:val="auto"/>
                      <w:szCs w:val="21"/>
                    </w:rPr>
                    <w:t>/包</w:t>
                  </w:r>
                </w:p>
              </w:tc>
              <w:tc>
                <w:tcPr>
                  <w:tcW w:w="583" w:type="pct"/>
                  <w:noWrap/>
                  <w:tcMar>
                    <w:top w:w="15" w:type="dxa"/>
                    <w:left w:w="15" w:type="dxa"/>
                    <w:right w:w="15" w:type="dxa"/>
                  </w:tcMar>
                  <w:vAlign w:val="center"/>
                </w:tcPr>
                <w:p w14:paraId="3054473D">
                  <w:pPr>
                    <w:jc w:val="center"/>
                    <w:rPr>
                      <w:color w:val="auto"/>
                      <w:szCs w:val="21"/>
                    </w:rPr>
                  </w:pPr>
                  <w:r>
                    <w:rPr>
                      <w:rFonts w:hint="eastAsia"/>
                      <w:color w:val="auto"/>
                      <w:szCs w:val="21"/>
                    </w:rPr>
                    <w:t>外购（新料）</w:t>
                  </w:r>
                </w:p>
              </w:tc>
            </w:tr>
            <w:tr w14:paraId="53CE39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247" w:type="pct"/>
                  <w:vMerge w:val="continue"/>
                  <w:noWrap/>
                  <w:tcMar>
                    <w:top w:w="15" w:type="dxa"/>
                    <w:left w:w="15" w:type="dxa"/>
                    <w:right w:w="15" w:type="dxa"/>
                  </w:tcMar>
                  <w:vAlign w:val="center"/>
                </w:tcPr>
                <w:p w14:paraId="61CF7177">
                  <w:pPr>
                    <w:widowControl/>
                    <w:jc w:val="center"/>
                    <w:textAlignment w:val="center"/>
                    <w:rPr>
                      <w:color w:val="auto"/>
                      <w:szCs w:val="21"/>
                    </w:rPr>
                  </w:pPr>
                </w:p>
              </w:tc>
              <w:tc>
                <w:tcPr>
                  <w:tcW w:w="365" w:type="pct"/>
                  <w:vMerge w:val="continue"/>
                  <w:noWrap/>
                  <w:tcMar>
                    <w:top w:w="15" w:type="dxa"/>
                    <w:left w:w="15" w:type="dxa"/>
                    <w:right w:w="15" w:type="dxa"/>
                  </w:tcMar>
                  <w:vAlign w:val="center"/>
                </w:tcPr>
                <w:p w14:paraId="57622EF2">
                  <w:pPr>
                    <w:adjustRightInd w:val="0"/>
                    <w:snapToGrid w:val="0"/>
                    <w:jc w:val="center"/>
                    <w:rPr>
                      <w:color w:val="auto"/>
                      <w:szCs w:val="21"/>
                    </w:rPr>
                  </w:pPr>
                </w:p>
              </w:tc>
              <w:tc>
                <w:tcPr>
                  <w:tcW w:w="516" w:type="pct"/>
                  <w:noWrap/>
                  <w:tcMar>
                    <w:top w:w="15" w:type="dxa"/>
                    <w:left w:w="15" w:type="dxa"/>
                    <w:right w:w="15" w:type="dxa"/>
                  </w:tcMar>
                  <w:vAlign w:val="center"/>
                </w:tcPr>
                <w:p w14:paraId="6C45BF3E">
                  <w:pPr>
                    <w:adjustRightInd w:val="0"/>
                    <w:snapToGrid w:val="0"/>
                    <w:jc w:val="center"/>
                    <w:rPr>
                      <w:color w:val="auto"/>
                      <w:szCs w:val="21"/>
                    </w:rPr>
                  </w:pPr>
                  <w:r>
                    <w:rPr>
                      <w:rFonts w:hint="eastAsia"/>
                      <w:color w:val="auto"/>
                      <w:szCs w:val="21"/>
                    </w:rPr>
                    <w:t>聚丙烯树脂</w:t>
                  </w:r>
                </w:p>
              </w:tc>
              <w:tc>
                <w:tcPr>
                  <w:tcW w:w="328" w:type="pct"/>
                  <w:noWrap/>
                  <w:tcMar>
                    <w:top w:w="15" w:type="dxa"/>
                    <w:left w:w="15" w:type="dxa"/>
                    <w:right w:w="15" w:type="dxa"/>
                  </w:tcMar>
                  <w:vAlign w:val="center"/>
                </w:tcPr>
                <w:p w14:paraId="53C98ECD">
                  <w:pPr>
                    <w:adjustRightInd w:val="0"/>
                    <w:snapToGrid w:val="0"/>
                    <w:jc w:val="center"/>
                    <w:rPr>
                      <w:color w:val="auto"/>
                      <w:szCs w:val="21"/>
                    </w:rPr>
                  </w:pPr>
                  <w:r>
                    <w:rPr>
                      <w:rFonts w:hint="eastAsia"/>
                      <w:color w:val="auto"/>
                      <w:szCs w:val="21"/>
                    </w:rPr>
                    <w:t>吨</w:t>
                  </w:r>
                </w:p>
              </w:tc>
              <w:tc>
                <w:tcPr>
                  <w:tcW w:w="516" w:type="pct"/>
                  <w:noWrap/>
                  <w:tcMar>
                    <w:top w:w="15" w:type="dxa"/>
                    <w:left w:w="15" w:type="dxa"/>
                    <w:right w:w="15" w:type="dxa"/>
                  </w:tcMar>
                  <w:vAlign w:val="center"/>
                </w:tcPr>
                <w:p w14:paraId="24DE1944">
                  <w:pPr>
                    <w:adjustRightInd w:val="0"/>
                    <w:snapToGrid w:val="0"/>
                    <w:jc w:val="center"/>
                    <w:rPr>
                      <w:color w:val="auto"/>
                      <w:szCs w:val="21"/>
                    </w:rPr>
                  </w:pPr>
                  <w:r>
                    <w:rPr>
                      <w:rFonts w:hint="eastAsia"/>
                      <w:color w:val="auto"/>
                      <w:szCs w:val="21"/>
                    </w:rPr>
                    <w:t>0</w:t>
                  </w:r>
                </w:p>
              </w:tc>
              <w:tc>
                <w:tcPr>
                  <w:tcW w:w="571" w:type="pct"/>
                  <w:shd w:val="clear" w:color="auto" w:fill="auto"/>
                  <w:noWrap/>
                  <w:tcMar>
                    <w:top w:w="15" w:type="dxa"/>
                    <w:left w:w="15" w:type="dxa"/>
                    <w:right w:w="15" w:type="dxa"/>
                  </w:tcMar>
                  <w:vAlign w:val="center"/>
                </w:tcPr>
                <w:p w14:paraId="240C049A">
                  <w:pPr>
                    <w:adjustRightInd w:val="0"/>
                    <w:snapToGrid w:val="0"/>
                    <w:jc w:val="center"/>
                    <w:rPr>
                      <w:color w:val="auto"/>
                      <w:szCs w:val="21"/>
                    </w:rPr>
                  </w:pPr>
                  <w:r>
                    <w:rPr>
                      <w:rFonts w:hint="eastAsia"/>
                      <w:color w:val="auto"/>
                      <w:szCs w:val="21"/>
                    </w:rPr>
                    <w:t>1000</w:t>
                  </w:r>
                </w:p>
              </w:tc>
              <w:tc>
                <w:tcPr>
                  <w:tcW w:w="571" w:type="pct"/>
                  <w:shd w:val="clear" w:color="auto" w:fill="auto"/>
                  <w:noWrap/>
                  <w:tcMar>
                    <w:top w:w="15" w:type="dxa"/>
                    <w:left w:w="15" w:type="dxa"/>
                    <w:right w:w="15" w:type="dxa"/>
                  </w:tcMar>
                  <w:vAlign w:val="center"/>
                </w:tcPr>
                <w:p w14:paraId="170242DD">
                  <w:pPr>
                    <w:adjustRightInd w:val="0"/>
                    <w:snapToGrid w:val="0"/>
                    <w:jc w:val="center"/>
                    <w:rPr>
                      <w:color w:val="auto"/>
                      <w:szCs w:val="21"/>
                    </w:rPr>
                  </w:pPr>
                  <w:r>
                    <w:rPr>
                      <w:rFonts w:hint="eastAsia"/>
                      <w:color w:val="auto"/>
                      <w:szCs w:val="21"/>
                    </w:rPr>
                    <w:t>+1000</w:t>
                  </w:r>
                </w:p>
              </w:tc>
              <w:tc>
                <w:tcPr>
                  <w:tcW w:w="571" w:type="pct"/>
                  <w:noWrap/>
                  <w:tcMar>
                    <w:top w:w="15" w:type="dxa"/>
                    <w:left w:w="15" w:type="dxa"/>
                    <w:right w:w="15" w:type="dxa"/>
                  </w:tcMar>
                  <w:vAlign w:val="center"/>
                </w:tcPr>
                <w:p w14:paraId="33271181">
                  <w:pPr>
                    <w:tabs>
                      <w:tab w:val="left" w:pos="284"/>
                    </w:tabs>
                    <w:jc w:val="center"/>
                    <w:rPr>
                      <w:color w:val="auto"/>
                      <w:szCs w:val="21"/>
                    </w:rPr>
                  </w:pPr>
                  <w:r>
                    <w:rPr>
                      <w:rFonts w:hint="eastAsia"/>
                      <w:color w:val="auto"/>
                      <w:szCs w:val="21"/>
                    </w:rPr>
                    <w:t>50</w:t>
                  </w:r>
                </w:p>
              </w:tc>
              <w:tc>
                <w:tcPr>
                  <w:tcW w:w="728" w:type="pct"/>
                  <w:noWrap/>
                  <w:tcMar>
                    <w:top w:w="15" w:type="dxa"/>
                    <w:left w:w="15" w:type="dxa"/>
                    <w:right w:w="15" w:type="dxa"/>
                  </w:tcMar>
                  <w:vAlign w:val="center"/>
                </w:tcPr>
                <w:p w14:paraId="035471AD">
                  <w:pPr>
                    <w:tabs>
                      <w:tab w:val="left" w:pos="284"/>
                    </w:tabs>
                    <w:jc w:val="center"/>
                    <w:rPr>
                      <w:color w:val="auto"/>
                      <w:szCs w:val="21"/>
                    </w:rPr>
                  </w:pPr>
                  <w:r>
                    <w:rPr>
                      <w:color w:val="auto"/>
                      <w:szCs w:val="21"/>
                    </w:rPr>
                    <w:t>25</w:t>
                  </w:r>
                  <w:r>
                    <w:rPr>
                      <w:rFonts w:hint="eastAsia"/>
                      <w:color w:val="auto"/>
                      <w:szCs w:val="21"/>
                    </w:rPr>
                    <w:t>kg</w:t>
                  </w:r>
                  <w:r>
                    <w:rPr>
                      <w:color w:val="auto"/>
                      <w:szCs w:val="21"/>
                    </w:rPr>
                    <w:t>/包</w:t>
                  </w:r>
                </w:p>
              </w:tc>
              <w:tc>
                <w:tcPr>
                  <w:tcW w:w="583" w:type="pct"/>
                  <w:noWrap/>
                  <w:tcMar>
                    <w:top w:w="15" w:type="dxa"/>
                    <w:left w:w="15" w:type="dxa"/>
                    <w:right w:w="15" w:type="dxa"/>
                  </w:tcMar>
                  <w:vAlign w:val="center"/>
                </w:tcPr>
                <w:p w14:paraId="24509C23">
                  <w:pPr>
                    <w:jc w:val="center"/>
                    <w:rPr>
                      <w:color w:val="auto"/>
                      <w:szCs w:val="21"/>
                    </w:rPr>
                  </w:pPr>
                  <w:r>
                    <w:rPr>
                      <w:rFonts w:hint="eastAsia"/>
                      <w:color w:val="auto"/>
                      <w:szCs w:val="21"/>
                    </w:rPr>
                    <w:t>外购（新料）</w:t>
                  </w:r>
                </w:p>
              </w:tc>
            </w:tr>
            <w:tr w14:paraId="20B9D4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247" w:type="pct"/>
                  <w:vMerge w:val="continue"/>
                  <w:noWrap/>
                  <w:tcMar>
                    <w:top w:w="15" w:type="dxa"/>
                    <w:left w:w="15" w:type="dxa"/>
                    <w:right w:w="15" w:type="dxa"/>
                  </w:tcMar>
                  <w:vAlign w:val="center"/>
                </w:tcPr>
                <w:p w14:paraId="7949A3A5">
                  <w:pPr>
                    <w:widowControl/>
                    <w:jc w:val="center"/>
                    <w:textAlignment w:val="center"/>
                    <w:rPr>
                      <w:color w:val="auto"/>
                      <w:szCs w:val="21"/>
                    </w:rPr>
                  </w:pPr>
                </w:p>
              </w:tc>
              <w:tc>
                <w:tcPr>
                  <w:tcW w:w="365" w:type="pct"/>
                  <w:vMerge w:val="continue"/>
                  <w:noWrap/>
                  <w:tcMar>
                    <w:top w:w="15" w:type="dxa"/>
                    <w:left w:w="15" w:type="dxa"/>
                    <w:right w:w="15" w:type="dxa"/>
                  </w:tcMar>
                  <w:vAlign w:val="center"/>
                </w:tcPr>
                <w:p w14:paraId="3F11B088">
                  <w:pPr>
                    <w:adjustRightInd w:val="0"/>
                    <w:snapToGrid w:val="0"/>
                    <w:jc w:val="center"/>
                    <w:rPr>
                      <w:color w:val="auto"/>
                      <w:szCs w:val="21"/>
                    </w:rPr>
                  </w:pPr>
                </w:p>
              </w:tc>
              <w:tc>
                <w:tcPr>
                  <w:tcW w:w="516" w:type="pct"/>
                  <w:noWrap/>
                  <w:tcMar>
                    <w:top w:w="15" w:type="dxa"/>
                    <w:left w:w="15" w:type="dxa"/>
                    <w:right w:w="15" w:type="dxa"/>
                  </w:tcMar>
                  <w:vAlign w:val="center"/>
                </w:tcPr>
                <w:p w14:paraId="51BB9481">
                  <w:pPr>
                    <w:adjustRightInd w:val="0"/>
                    <w:snapToGrid w:val="0"/>
                    <w:jc w:val="center"/>
                    <w:rPr>
                      <w:color w:val="auto"/>
                      <w:szCs w:val="21"/>
                    </w:rPr>
                  </w:pPr>
                  <w:r>
                    <w:rPr>
                      <w:rFonts w:hint="eastAsia"/>
                      <w:color w:val="auto"/>
                      <w:szCs w:val="21"/>
                    </w:rPr>
                    <w:t>色母</w:t>
                  </w:r>
                </w:p>
              </w:tc>
              <w:tc>
                <w:tcPr>
                  <w:tcW w:w="328" w:type="pct"/>
                  <w:noWrap/>
                  <w:tcMar>
                    <w:top w:w="15" w:type="dxa"/>
                    <w:left w:w="15" w:type="dxa"/>
                    <w:right w:w="15" w:type="dxa"/>
                  </w:tcMar>
                  <w:vAlign w:val="center"/>
                </w:tcPr>
                <w:p w14:paraId="62638CF2">
                  <w:pPr>
                    <w:adjustRightInd w:val="0"/>
                    <w:snapToGrid w:val="0"/>
                    <w:jc w:val="center"/>
                    <w:rPr>
                      <w:color w:val="auto"/>
                      <w:szCs w:val="21"/>
                    </w:rPr>
                  </w:pPr>
                  <w:r>
                    <w:rPr>
                      <w:rFonts w:hint="eastAsia"/>
                      <w:color w:val="auto"/>
                      <w:szCs w:val="21"/>
                    </w:rPr>
                    <w:t>吨</w:t>
                  </w:r>
                </w:p>
              </w:tc>
              <w:tc>
                <w:tcPr>
                  <w:tcW w:w="516" w:type="pct"/>
                  <w:noWrap/>
                  <w:tcMar>
                    <w:top w:w="15" w:type="dxa"/>
                    <w:left w:w="15" w:type="dxa"/>
                    <w:right w:w="15" w:type="dxa"/>
                  </w:tcMar>
                  <w:vAlign w:val="center"/>
                </w:tcPr>
                <w:p w14:paraId="047D25C2">
                  <w:pPr>
                    <w:adjustRightInd w:val="0"/>
                    <w:snapToGrid w:val="0"/>
                    <w:jc w:val="center"/>
                    <w:rPr>
                      <w:color w:val="auto"/>
                      <w:szCs w:val="21"/>
                    </w:rPr>
                  </w:pPr>
                  <w:r>
                    <w:rPr>
                      <w:rFonts w:hint="eastAsia"/>
                      <w:color w:val="auto"/>
                      <w:szCs w:val="21"/>
                    </w:rPr>
                    <w:t>0</w:t>
                  </w:r>
                </w:p>
              </w:tc>
              <w:tc>
                <w:tcPr>
                  <w:tcW w:w="571" w:type="pct"/>
                  <w:shd w:val="clear" w:color="auto" w:fill="auto"/>
                  <w:noWrap/>
                  <w:tcMar>
                    <w:top w:w="15" w:type="dxa"/>
                    <w:left w:w="15" w:type="dxa"/>
                    <w:right w:w="15" w:type="dxa"/>
                  </w:tcMar>
                  <w:vAlign w:val="center"/>
                </w:tcPr>
                <w:p w14:paraId="7D829CC8">
                  <w:pPr>
                    <w:adjustRightInd w:val="0"/>
                    <w:snapToGrid w:val="0"/>
                    <w:jc w:val="center"/>
                    <w:rPr>
                      <w:color w:val="auto"/>
                      <w:szCs w:val="21"/>
                    </w:rPr>
                  </w:pPr>
                  <w:r>
                    <w:rPr>
                      <w:rFonts w:hint="eastAsia"/>
                      <w:color w:val="auto"/>
                      <w:szCs w:val="21"/>
                    </w:rPr>
                    <w:t>10</w:t>
                  </w:r>
                </w:p>
              </w:tc>
              <w:tc>
                <w:tcPr>
                  <w:tcW w:w="571" w:type="pct"/>
                  <w:shd w:val="clear" w:color="auto" w:fill="auto"/>
                  <w:noWrap/>
                  <w:tcMar>
                    <w:top w:w="15" w:type="dxa"/>
                    <w:left w:w="15" w:type="dxa"/>
                    <w:right w:w="15" w:type="dxa"/>
                  </w:tcMar>
                  <w:vAlign w:val="center"/>
                </w:tcPr>
                <w:p w14:paraId="483F5D28">
                  <w:pPr>
                    <w:adjustRightInd w:val="0"/>
                    <w:snapToGrid w:val="0"/>
                    <w:jc w:val="center"/>
                    <w:rPr>
                      <w:color w:val="auto"/>
                      <w:szCs w:val="21"/>
                    </w:rPr>
                  </w:pPr>
                  <w:r>
                    <w:rPr>
                      <w:rFonts w:hint="eastAsia"/>
                      <w:color w:val="auto"/>
                      <w:szCs w:val="21"/>
                    </w:rPr>
                    <w:t>+10</w:t>
                  </w:r>
                </w:p>
              </w:tc>
              <w:tc>
                <w:tcPr>
                  <w:tcW w:w="571" w:type="pct"/>
                  <w:noWrap/>
                  <w:tcMar>
                    <w:top w:w="15" w:type="dxa"/>
                    <w:left w:w="15" w:type="dxa"/>
                    <w:right w:w="15" w:type="dxa"/>
                  </w:tcMar>
                  <w:vAlign w:val="center"/>
                </w:tcPr>
                <w:p w14:paraId="3AA92794">
                  <w:pPr>
                    <w:tabs>
                      <w:tab w:val="left" w:pos="284"/>
                    </w:tabs>
                    <w:jc w:val="center"/>
                    <w:rPr>
                      <w:color w:val="auto"/>
                      <w:szCs w:val="21"/>
                    </w:rPr>
                  </w:pPr>
                  <w:r>
                    <w:rPr>
                      <w:rFonts w:hint="eastAsia"/>
                      <w:color w:val="auto"/>
                      <w:szCs w:val="21"/>
                    </w:rPr>
                    <w:t>1</w:t>
                  </w:r>
                </w:p>
              </w:tc>
              <w:tc>
                <w:tcPr>
                  <w:tcW w:w="728" w:type="pct"/>
                  <w:noWrap/>
                  <w:tcMar>
                    <w:top w:w="15" w:type="dxa"/>
                    <w:left w:w="15" w:type="dxa"/>
                    <w:right w:w="15" w:type="dxa"/>
                  </w:tcMar>
                  <w:vAlign w:val="center"/>
                </w:tcPr>
                <w:p w14:paraId="429BF0EF">
                  <w:pPr>
                    <w:tabs>
                      <w:tab w:val="left" w:pos="284"/>
                    </w:tabs>
                    <w:jc w:val="center"/>
                    <w:rPr>
                      <w:color w:val="auto"/>
                      <w:szCs w:val="21"/>
                    </w:rPr>
                  </w:pPr>
                  <w:r>
                    <w:rPr>
                      <w:color w:val="auto"/>
                      <w:szCs w:val="21"/>
                    </w:rPr>
                    <w:t>25</w:t>
                  </w:r>
                  <w:r>
                    <w:rPr>
                      <w:rFonts w:hint="eastAsia"/>
                      <w:color w:val="auto"/>
                      <w:szCs w:val="21"/>
                    </w:rPr>
                    <w:t>kg</w:t>
                  </w:r>
                  <w:r>
                    <w:rPr>
                      <w:color w:val="auto"/>
                      <w:szCs w:val="21"/>
                    </w:rPr>
                    <w:t>/包</w:t>
                  </w:r>
                </w:p>
              </w:tc>
              <w:tc>
                <w:tcPr>
                  <w:tcW w:w="583" w:type="pct"/>
                  <w:noWrap/>
                  <w:tcMar>
                    <w:top w:w="15" w:type="dxa"/>
                    <w:left w:w="15" w:type="dxa"/>
                    <w:right w:w="15" w:type="dxa"/>
                  </w:tcMar>
                  <w:vAlign w:val="center"/>
                </w:tcPr>
                <w:p w14:paraId="7823D062">
                  <w:pPr>
                    <w:jc w:val="center"/>
                    <w:rPr>
                      <w:color w:val="auto"/>
                      <w:szCs w:val="21"/>
                    </w:rPr>
                  </w:pPr>
                  <w:r>
                    <w:rPr>
                      <w:rFonts w:hint="eastAsia"/>
                      <w:color w:val="auto"/>
                      <w:szCs w:val="21"/>
                    </w:rPr>
                    <w:t>外购</w:t>
                  </w:r>
                </w:p>
              </w:tc>
            </w:tr>
            <w:tr w14:paraId="43070C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247" w:type="pct"/>
                  <w:vMerge w:val="continue"/>
                  <w:noWrap/>
                  <w:tcMar>
                    <w:top w:w="15" w:type="dxa"/>
                    <w:left w:w="15" w:type="dxa"/>
                    <w:right w:w="15" w:type="dxa"/>
                  </w:tcMar>
                  <w:vAlign w:val="center"/>
                </w:tcPr>
                <w:p w14:paraId="76409405">
                  <w:pPr>
                    <w:widowControl/>
                    <w:jc w:val="center"/>
                    <w:textAlignment w:val="center"/>
                    <w:rPr>
                      <w:color w:val="auto"/>
                      <w:szCs w:val="21"/>
                    </w:rPr>
                  </w:pPr>
                </w:p>
              </w:tc>
              <w:tc>
                <w:tcPr>
                  <w:tcW w:w="365" w:type="pct"/>
                  <w:vMerge w:val="continue"/>
                  <w:noWrap/>
                  <w:tcMar>
                    <w:top w:w="15" w:type="dxa"/>
                    <w:left w:w="15" w:type="dxa"/>
                    <w:right w:w="15" w:type="dxa"/>
                  </w:tcMar>
                  <w:vAlign w:val="center"/>
                </w:tcPr>
                <w:p w14:paraId="51D1C5FC">
                  <w:pPr>
                    <w:adjustRightInd w:val="0"/>
                    <w:snapToGrid w:val="0"/>
                    <w:jc w:val="center"/>
                    <w:rPr>
                      <w:color w:val="auto"/>
                      <w:szCs w:val="21"/>
                    </w:rPr>
                  </w:pPr>
                </w:p>
              </w:tc>
              <w:tc>
                <w:tcPr>
                  <w:tcW w:w="516" w:type="pct"/>
                  <w:shd w:val="clear" w:color="auto" w:fill="auto"/>
                  <w:noWrap/>
                  <w:tcMar>
                    <w:top w:w="15" w:type="dxa"/>
                    <w:left w:w="15" w:type="dxa"/>
                    <w:right w:w="15" w:type="dxa"/>
                  </w:tcMar>
                  <w:vAlign w:val="center"/>
                </w:tcPr>
                <w:p w14:paraId="49EE9EB0">
                  <w:pPr>
                    <w:adjustRightInd w:val="0"/>
                    <w:snapToGrid w:val="0"/>
                    <w:jc w:val="center"/>
                    <w:rPr>
                      <w:color w:val="auto"/>
                      <w:szCs w:val="21"/>
                    </w:rPr>
                  </w:pPr>
                  <w:r>
                    <w:rPr>
                      <w:rFonts w:hint="eastAsia"/>
                      <w:color w:val="auto"/>
                      <w:szCs w:val="21"/>
                    </w:rPr>
                    <w:t>把手</w:t>
                  </w:r>
                </w:p>
              </w:tc>
              <w:tc>
                <w:tcPr>
                  <w:tcW w:w="328" w:type="pct"/>
                  <w:shd w:val="clear" w:color="auto" w:fill="auto"/>
                  <w:noWrap/>
                  <w:tcMar>
                    <w:top w:w="15" w:type="dxa"/>
                    <w:left w:w="15" w:type="dxa"/>
                    <w:right w:w="15" w:type="dxa"/>
                  </w:tcMar>
                  <w:vAlign w:val="center"/>
                </w:tcPr>
                <w:p w14:paraId="43DEBEA3">
                  <w:pPr>
                    <w:adjustRightInd w:val="0"/>
                    <w:snapToGrid w:val="0"/>
                    <w:jc w:val="center"/>
                    <w:rPr>
                      <w:color w:val="auto"/>
                      <w:szCs w:val="21"/>
                    </w:rPr>
                  </w:pPr>
                  <w:r>
                    <w:rPr>
                      <w:rFonts w:hint="eastAsia"/>
                      <w:color w:val="auto"/>
                      <w:szCs w:val="21"/>
                    </w:rPr>
                    <w:t>吨</w:t>
                  </w:r>
                </w:p>
              </w:tc>
              <w:tc>
                <w:tcPr>
                  <w:tcW w:w="516" w:type="pct"/>
                  <w:shd w:val="clear" w:color="auto" w:fill="auto"/>
                  <w:noWrap/>
                  <w:tcMar>
                    <w:top w:w="15" w:type="dxa"/>
                    <w:left w:w="15" w:type="dxa"/>
                    <w:right w:w="15" w:type="dxa"/>
                  </w:tcMar>
                  <w:vAlign w:val="center"/>
                </w:tcPr>
                <w:p w14:paraId="6BB1B267">
                  <w:pPr>
                    <w:adjustRightInd w:val="0"/>
                    <w:snapToGrid w:val="0"/>
                    <w:jc w:val="center"/>
                    <w:rPr>
                      <w:color w:val="auto"/>
                      <w:szCs w:val="21"/>
                    </w:rPr>
                  </w:pPr>
                  <w:r>
                    <w:rPr>
                      <w:rFonts w:hint="eastAsia"/>
                      <w:color w:val="auto"/>
                      <w:szCs w:val="21"/>
                    </w:rPr>
                    <w:t>0</w:t>
                  </w:r>
                </w:p>
              </w:tc>
              <w:tc>
                <w:tcPr>
                  <w:tcW w:w="571" w:type="pct"/>
                  <w:shd w:val="clear" w:color="auto" w:fill="auto"/>
                  <w:noWrap/>
                  <w:tcMar>
                    <w:top w:w="15" w:type="dxa"/>
                    <w:left w:w="15" w:type="dxa"/>
                    <w:right w:w="15" w:type="dxa"/>
                  </w:tcMar>
                  <w:vAlign w:val="center"/>
                </w:tcPr>
                <w:p w14:paraId="31A81D99">
                  <w:pPr>
                    <w:adjustRightInd w:val="0"/>
                    <w:snapToGrid w:val="0"/>
                    <w:jc w:val="center"/>
                    <w:rPr>
                      <w:color w:val="auto"/>
                      <w:szCs w:val="21"/>
                    </w:rPr>
                  </w:pPr>
                  <w:r>
                    <w:rPr>
                      <w:rFonts w:hint="eastAsia"/>
                      <w:color w:val="auto"/>
                      <w:szCs w:val="21"/>
                    </w:rPr>
                    <w:t>100</w:t>
                  </w:r>
                </w:p>
              </w:tc>
              <w:tc>
                <w:tcPr>
                  <w:tcW w:w="571" w:type="pct"/>
                  <w:shd w:val="clear" w:color="auto" w:fill="auto"/>
                  <w:noWrap/>
                  <w:tcMar>
                    <w:top w:w="15" w:type="dxa"/>
                    <w:left w:w="15" w:type="dxa"/>
                    <w:right w:w="15" w:type="dxa"/>
                  </w:tcMar>
                  <w:vAlign w:val="center"/>
                </w:tcPr>
                <w:p w14:paraId="5A343BBD">
                  <w:pPr>
                    <w:adjustRightInd w:val="0"/>
                    <w:snapToGrid w:val="0"/>
                    <w:jc w:val="center"/>
                    <w:rPr>
                      <w:color w:val="auto"/>
                      <w:szCs w:val="21"/>
                    </w:rPr>
                  </w:pPr>
                  <w:r>
                    <w:rPr>
                      <w:rFonts w:hint="eastAsia"/>
                      <w:color w:val="auto"/>
                      <w:szCs w:val="21"/>
                    </w:rPr>
                    <w:t>+100</w:t>
                  </w:r>
                </w:p>
              </w:tc>
              <w:tc>
                <w:tcPr>
                  <w:tcW w:w="571" w:type="pct"/>
                  <w:shd w:val="clear" w:color="auto" w:fill="auto"/>
                  <w:noWrap/>
                  <w:tcMar>
                    <w:top w:w="15" w:type="dxa"/>
                    <w:left w:w="15" w:type="dxa"/>
                    <w:right w:w="15" w:type="dxa"/>
                  </w:tcMar>
                  <w:vAlign w:val="center"/>
                </w:tcPr>
                <w:p w14:paraId="54F222CE">
                  <w:pPr>
                    <w:tabs>
                      <w:tab w:val="left" w:pos="284"/>
                    </w:tabs>
                    <w:jc w:val="center"/>
                    <w:rPr>
                      <w:color w:val="auto"/>
                      <w:szCs w:val="21"/>
                    </w:rPr>
                  </w:pPr>
                  <w:r>
                    <w:rPr>
                      <w:rFonts w:hint="eastAsia"/>
                      <w:color w:val="auto"/>
                      <w:szCs w:val="21"/>
                    </w:rPr>
                    <w:t>10</w:t>
                  </w:r>
                </w:p>
              </w:tc>
              <w:tc>
                <w:tcPr>
                  <w:tcW w:w="728" w:type="pct"/>
                  <w:shd w:val="clear" w:color="auto" w:fill="auto"/>
                  <w:noWrap/>
                  <w:tcMar>
                    <w:top w:w="15" w:type="dxa"/>
                    <w:left w:w="15" w:type="dxa"/>
                    <w:right w:w="15" w:type="dxa"/>
                  </w:tcMar>
                  <w:vAlign w:val="center"/>
                </w:tcPr>
                <w:p w14:paraId="76FC0E00">
                  <w:pPr>
                    <w:tabs>
                      <w:tab w:val="left" w:pos="284"/>
                    </w:tabs>
                    <w:jc w:val="center"/>
                    <w:rPr>
                      <w:color w:val="auto"/>
                      <w:szCs w:val="21"/>
                    </w:rPr>
                  </w:pPr>
                  <w:r>
                    <w:rPr>
                      <w:color w:val="auto"/>
                      <w:szCs w:val="21"/>
                    </w:rPr>
                    <w:t>25</w:t>
                  </w:r>
                  <w:r>
                    <w:rPr>
                      <w:rFonts w:hint="eastAsia"/>
                      <w:color w:val="auto"/>
                      <w:szCs w:val="21"/>
                    </w:rPr>
                    <w:t>kg</w:t>
                  </w:r>
                  <w:r>
                    <w:rPr>
                      <w:color w:val="auto"/>
                      <w:szCs w:val="21"/>
                    </w:rPr>
                    <w:t>/包</w:t>
                  </w:r>
                </w:p>
              </w:tc>
              <w:tc>
                <w:tcPr>
                  <w:tcW w:w="583" w:type="pct"/>
                  <w:shd w:val="clear" w:color="auto" w:fill="auto"/>
                  <w:noWrap/>
                  <w:tcMar>
                    <w:top w:w="15" w:type="dxa"/>
                    <w:left w:w="15" w:type="dxa"/>
                    <w:right w:w="15" w:type="dxa"/>
                  </w:tcMar>
                  <w:vAlign w:val="center"/>
                </w:tcPr>
                <w:p w14:paraId="302C3464">
                  <w:pPr>
                    <w:jc w:val="center"/>
                    <w:rPr>
                      <w:color w:val="auto"/>
                      <w:szCs w:val="21"/>
                    </w:rPr>
                  </w:pPr>
                  <w:r>
                    <w:rPr>
                      <w:rFonts w:hint="eastAsia"/>
                      <w:color w:val="auto"/>
                      <w:szCs w:val="21"/>
                    </w:rPr>
                    <w:t>外购</w:t>
                  </w:r>
                </w:p>
              </w:tc>
            </w:tr>
            <w:tr w14:paraId="32AC93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247" w:type="pct"/>
                  <w:vMerge w:val="continue"/>
                  <w:noWrap/>
                  <w:tcMar>
                    <w:top w:w="15" w:type="dxa"/>
                    <w:left w:w="15" w:type="dxa"/>
                    <w:right w:w="15" w:type="dxa"/>
                  </w:tcMar>
                  <w:vAlign w:val="center"/>
                </w:tcPr>
                <w:p w14:paraId="44318E4D">
                  <w:pPr>
                    <w:widowControl/>
                    <w:jc w:val="center"/>
                    <w:textAlignment w:val="center"/>
                    <w:rPr>
                      <w:color w:val="auto"/>
                      <w:szCs w:val="21"/>
                    </w:rPr>
                  </w:pPr>
                </w:p>
              </w:tc>
              <w:tc>
                <w:tcPr>
                  <w:tcW w:w="365" w:type="pct"/>
                  <w:vMerge w:val="continue"/>
                  <w:noWrap/>
                  <w:tcMar>
                    <w:top w:w="15" w:type="dxa"/>
                    <w:left w:w="15" w:type="dxa"/>
                    <w:right w:w="15" w:type="dxa"/>
                  </w:tcMar>
                  <w:vAlign w:val="center"/>
                </w:tcPr>
                <w:p w14:paraId="568EADF3">
                  <w:pPr>
                    <w:adjustRightInd w:val="0"/>
                    <w:snapToGrid w:val="0"/>
                    <w:jc w:val="center"/>
                    <w:rPr>
                      <w:color w:val="auto"/>
                      <w:szCs w:val="21"/>
                    </w:rPr>
                  </w:pPr>
                </w:p>
              </w:tc>
              <w:tc>
                <w:tcPr>
                  <w:tcW w:w="516" w:type="pct"/>
                  <w:noWrap/>
                  <w:tcMar>
                    <w:top w:w="15" w:type="dxa"/>
                    <w:left w:w="15" w:type="dxa"/>
                    <w:right w:w="15" w:type="dxa"/>
                  </w:tcMar>
                  <w:vAlign w:val="center"/>
                </w:tcPr>
                <w:p w14:paraId="60D2EB01">
                  <w:pPr>
                    <w:adjustRightInd w:val="0"/>
                    <w:snapToGrid w:val="0"/>
                    <w:jc w:val="center"/>
                    <w:rPr>
                      <w:color w:val="auto"/>
                      <w:szCs w:val="21"/>
                    </w:rPr>
                  </w:pPr>
                  <w:r>
                    <w:rPr>
                      <w:rFonts w:hint="eastAsia"/>
                      <w:color w:val="auto"/>
                      <w:szCs w:val="21"/>
                    </w:rPr>
                    <w:t>热转印膜</w:t>
                  </w:r>
                </w:p>
              </w:tc>
              <w:tc>
                <w:tcPr>
                  <w:tcW w:w="328" w:type="pct"/>
                  <w:noWrap/>
                  <w:tcMar>
                    <w:top w:w="15" w:type="dxa"/>
                    <w:left w:w="15" w:type="dxa"/>
                    <w:right w:w="15" w:type="dxa"/>
                  </w:tcMar>
                  <w:vAlign w:val="center"/>
                </w:tcPr>
                <w:p w14:paraId="50FCE201">
                  <w:pPr>
                    <w:adjustRightInd w:val="0"/>
                    <w:snapToGrid w:val="0"/>
                    <w:jc w:val="center"/>
                    <w:rPr>
                      <w:color w:val="auto"/>
                      <w:szCs w:val="21"/>
                    </w:rPr>
                  </w:pPr>
                  <w:r>
                    <w:rPr>
                      <w:rFonts w:hint="eastAsia"/>
                      <w:color w:val="auto"/>
                      <w:szCs w:val="21"/>
                    </w:rPr>
                    <w:t>万张</w:t>
                  </w:r>
                </w:p>
              </w:tc>
              <w:tc>
                <w:tcPr>
                  <w:tcW w:w="516" w:type="pct"/>
                  <w:noWrap/>
                  <w:tcMar>
                    <w:top w:w="15" w:type="dxa"/>
                    <w:left w:w="15" w:type="dxa"/>
                    <w:right w:w="15" w:type="dxa"/>
                  </w:tcMar>
                  <w:vAlign w:val="center"/>
                </w:tcPr>
                <w:p w14:paraId="2F584195">
                  <w:pPr>
                    <w:adjustRightInd w:val="0"/>
                    <w:snapToGrid w:val="0"/>
                    <w:jc w:val="center"/>
                    <w:rPr>
                      <w:color w:val="auto"/>
                      <w:szCs w:val="21"/>
                    </w:rPr>
                  </w:pPr>
                  <w:r>
                    <w:rPr>
                      <w:rFonts w:hint="eastAsia"/>
                      <w:color w:val="auto"/>
                      <w:szCs w:val="21"/>
                    </w:rPr>
                    <w:t>0</w:t>
                  </w:r>
                </w:p>
              </w:tc>
              <w:tc>
                <w:tcPr>
                  <w:tcW w:w="571" w:type="pct"/>
                  <w:shd w:val="clear" w:color="auto" w:fill="auto"/>
                  <w:noWrap/>
                  <w:tcMar>
                    <w:top w:w="15" w:type="dxa"/>
                    <w:left w:w="15" w:type="dxa"/>
                    <w:right w:w="15" w:type="dxa"/>
                  </w:tcMar>
                  <w:vAlign w:val="center"/>
                </w:tcPr>
                <w:p w14:paraId="32129132">
                  <w:pPr>
                    <w:adjustRightInd w:val="0"/>
                    <w:snapToGrid w:val="0"/>
                    <w:jc w:val="center"/>
                    <w:rPr>
                      <w:color w:val="auto"/>
                      <w:szCs w:val="21"/>
                    </w:rPr>
                  </w:pPr>
                  <w:r>
                    <w:rPr>
                      <w:rFonts w:hint="eastAsia"/>
                      <w:color w:val="auto"/>
                      <w:szCs w:val="21"/>
                    </w:rPr>
                    <w:t>100</w:t>
                  </w:r>
                </w:p>
              </w:tc>
              <w:tc>
                <w:tcPr>
                  <w:tcW w:w="571" w:type="pct"/>
                  <w:shd w:val="clear" w:color="auto" w:fill="auto"/>
                  <w:noWrap/>
                  <w:tcMar>
                    <w:top w:w="15" w:type="dxa"/>
                    <w:left w:w="15" w:type="dxa"/>
                    <w:right w:w="15" w:type="dxa"/>
                  </w:tcMar>
                  <w:vAlign w:val="center"/>
                </w:tcPr>
                <w:p w14:paraId="7E1657C7">
                  <w:pPr>
                    <w:adjustRightInd w:val="0"/>
                    <w:snapToGrid w:val="0"/>
                    <w:jc w:val="center"/>
                    <w:rPr>
                      <w:color w:val="auto"/>
                      <w:szCs w:val="21"/>
                    </w:rPr>
                  </w:pPr>
                  <w:r>
                    <w:rPr>
                      <w:rFonts w:hint="eastAsia"/>
                      <w:color w:val="auto"/>
                      <w:szCs w:val="21"/>
                    </w:rPr>
                    <w:t>+100</w:t>
                  </w:r>
                </w:p>
              </w:tc>
              <w:tc>
                <w:tcPr>
                  <w:tcW w:w="571" w:type="pct"/>
                  <w:noWrap/>
                  <w:tcMar>
                    <w:top w:w="15" w:type="dxa"/>
                    <w:left w:w="15" w:type="dxa"/>
                    <w:right w:w="15" w:type="dxa"/>
                  </w:tcMar>
                  <w:vAlign w:val="center"/>
                </w:tcPr>
                <w:p w14:paraId="01CCD572">
                  <w:pPr>
                    <w:tabs>
                      <w:tab w:val="left" w:pos="284"/>
                    </w:tabs>
                    <w:jc w:val="center"/>
                    <w:rPr>
                      <w:color w:val="auto"/>
                      <w:szCs w:val="21"/>
                    </w:rPr>
                  </w:pPr>
                  <w:r>
                    <w:rPr>
                      <w:rFonts w:hint="eastAsia"/>
                      <w:color w:val="auto"/>
                      <w:szCs w:val="21"/>
                    </w:rPr>
                    <w:t>100</w:t>
                  </w:r>
                </w:p>
              </w:tc>
              <w:tc>
                <w:tcPr>
                  <w:tcW w:w="728" w:type="pct"/>
                  <w:noWrap/>
                  <w:tcMar>
                    <w:top w:w="15" w:type="dxa"/>
                    <w:left w:w="15" w:type="dxa"/>
                    <w:right w:w="15" w:type="dxa"/>
                  </w:tcMar>
                  <w:vAlign w:val="center"/>
                </w:tcPr>
                <w:p w14:paraId="2A688EB4">
                  <w:pPr>
                    <w:tabs>
                      <w:tab w:val="left" w:pos="284"/>
                    </w:tabs>
                    <w:jc w:val="center"/>
                    <w:rPr>
                      <w:color w:val="auto"/>
                      <w:szCs w:val="21"/>
                    </w:rPr>
                  </w:pPr>
                  <w:r>
                    <w:rPr>
                      <w:rFonts w:hint="eastAsia"/>
                      <w:color w:val="auto"/>
                      <w:szCs w:val="21"/>
                    </w:rPr>
                    <w:t>/</w:t>
                  </w:r>
                </w:p>
              </w:tc>
              <w:tc>
                <w:tcPr>
                  <w:tcW w:w="583" w:type="pct"/>
                  <w:noWrap/>
                  <w:tcMar>
                    <w:top w:w="15" w:type="dxa"/>
                    <w:left w:w="15" w:type="dxa"/>
                    <w:right w:w="15" w:type="dxa"/>
                  </w:tcMar>
                  <w:vAlign w:val="center"/>
                </w:tcPr>
                <w:p w14:paraId="5D22CC4B">
                  <w:pPr>
                    <w:jc w:val="center"/>
                    <w:rPr>
                      <w:color w:val="auto"/>
                      <w:szCs w:val="21"/>
                    </w:rPr>
                  </w:pPr>
                  <w:r>
                    <w:rPr>
                      <w:rFonts w:hint="eastAsia"/>
                      <w:color w:val="auto"/>
                      <w:szCs w:val="21"/>
                    </w:rPr>
                    <w:t>外购</w:t>
                  </w:r>
                </w:p>
              </w:tc>
            </w:tr>
            <w:tr w14:paraId="4FF537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247" w:type="pct"/>
                  <w:vMerge w:val="continue"/>
                  <w:noWrap/>
                  <w:tcMar>
                    <w:top w:w="15" w:type="dxa"/>
                    <w:left w:w="15" w:type="dxa"/>
                    <w:right w:w="15" w:type="dxa"/>
                  </w:tcMar>
                  <w:vAlign w:val="center"/>
                </w:tcPr>
                <w:p w14:paraId="61C4C8A0">
                  <w:pPr>
                    <w:widowControl/>
                    <w:jc w:val="center"/>
                    <w:textAlignment w:val="center"/>
                    <w:rPr>
                      <w:color w:val="auto"/>
                      <w:szCs w:val="21"/>
                    </w:rPr>
                  </w:pPr>
                </w:p>
              </w:tc>
              <w:tc>
                <w:tcPr>
                  <w:tcW w:w="365" w:type="pct"/>
                  <w:vMerge w:val="restart"/>
                  <w:noWrap/>
                  <w:tcMar>
                    <w:top w:w="15" w:type="dxa"/>
                    <w:left w:w="15" w:type="dxa"/>
                    <w:right w:w="15" w:type="dxa"/>
                  </w:tcMar>
                  <w:vAlign w:val="center"/>
                </w:tcPr>
                <w:p w14:paraId="3CAB9567">
                  <w:pPr>
                    <w:adjustRightInd w:val="0"/>
                    <w:snapToGrid w:val="0"/>
                    <w:jc w:val="center"/>
                    <w:rPr>
                      <w:color w:val="auto"/>
                      <w:szCs w:val="21"/>
                    </w:rPr>
                  </w:pPr>
                  <w:r>
                    <w:rPr>
                      <w:rFonts w:hint="eastAsia"/>
                      <w:color w:val="auto"/>
                      <w:szCs w:val="21"/>
                    </w:rPr>
                    <w:t>铁桶</w:t>
                  </w:r>
                </w:p>
              </w:tc>
              <w:tc>
                <w:tcPr>
                  <w:tcW w:w="516" w:type="pct"/>
                  <w:noWrap/>
                  <w:tcMar>
                    <w:top w:w="15" w:type="dxa"/>
                    <w:left w:w="15" w:type="dxa"/>
                    <w:right w:w="15" w:type="dxa"/>
                  </w:tcMar>
                  <w:vAlign w:val="center"/>
                </w:tcPr>
                <w:p w14:paraId="6364B11A">
                  <w:pPr>
                    <w:adjustRightInd w:val="0"/>
                    <w:snapToGrid w:val="0"/>
                    <w:jc w:val="center"/>
                    <w:rPr>
                      <w:color w:val="auto"/>
                      <w:szCs w:val="21"/>
                    </w:rPr>
                  </w:pPr>
                  <w:r>
                    <w:rPr>
                      <w:color w:val="auto"/>
                      <w:szCs w:val="21"/>
                    </w:rPr>
                    <w:t>成品铁皮</w:t>
                  </w:r>
                </w:p>
              </w:tc>
              <w:tc>
                <w:tcPr>
                  <w:tcW w:w="328" w:type="pct"/>
                  <w:noWrap/>
                  <w:tcMar>
                    <w:top w:w="15" w:type="dxa"/>
                    <w:left w:w="15" w:type="dxa"/>
                    <w:right w:w="15" w:type="dxa"/>
                  </w:tcMar>
                  <w:vAlign w:val="center"/>
                </w:tcPr>
                <w:p w14:paraId="36BE5AB5">
                  <w:pPr>
                    <w:adjustRightInd w:val="0"/>
                    <w:snapToGrid w:val="0"/>
                    <w:jc w:val="center"/>
                    <w:rPr>
                      <w:color w:val="auto"/>
                      <w:szCs w:val="21"/>
                    </w:rPr>
                  </w:pPr>
                  <w:r>
                    <w:rPr>
                      <w:rFonts w:hint="eastAsia"/>
                      <w:color w:val="auto"/>
                      <w:szCs w:val="21"/>
                    </w:rPr>
                    <w:t>吨</w:t>
                  </w:r>
                </w:p>
              </w:tc>
              <w:tc>
                <w:tcPr>
                  <w:tcW w:w="516" w:type="pct"/>
                  <w:noWrap/>
                  <w:tcMar>
                    <w:top w:w="15" w:type="dxa"/>
                    <w:left w:w="15" w:type="dxa"/>
                    <w:right w:w="15" w:type="dxa"/>
                  </w:tcMar>
                  <w:vAlign w:val="center"/>
                </w:tcPr>
                <w:p w14:paraId="28FE3CF2">
                  <w:pPr>
                    <w:adjustRightInd w:val="0"/>
                    <w:snapToGrid w:val="0"/>
                    <w:jc w:val="center"/>
                    <w:rPr>
                      <w:color w:val="auto"/>
                      <w:szCs w:val="21"/>
                    </w:rPr>
                  </w:pPr>
                  <w:r>
                    <w:rPr>
                      <w:rFonts w:hint="eastAsia"/>
                      <w:color w:val="auto"/>
                      <w:szCs w:val="21"/>
                    </w:rPr>
                    <w:t>92</w:t>
                  </w:r>
                </w:p>
              </w:tc>
              <w:tc>
                <w:tcPr>
                  <w:tcW w:w="571" w:type="pct"/>
                  <w:shd w:val="clear" w:color="auto" w:fill="auto"/>
                  <w:noWrap/>
                  <w:tcMar>
                    <w:top w:w="15" w:type="dxa"/>
                    <w:left w:w="15" w:type="dxa"/>
                    <w:right w:w="15" w:type="dxa"/>
                  </w:tcMar>
                  <w:vAlign w:val="center"/>
                </w:tcPr>
                <w:p w14:paraId="5AB6EB3F">
                  <w:pPr>
                    <w:adjustRightInd w:val="0"/>
                    <w:snapToGrid w:val="0"/>
                    <w:jc w:val="center"/>
                    <w:rPr>
                      <w:color w:val="auto"/>
                      <w:szCs w:val="21"/>
                    </w:rPr>
                  </w:pPr>
                  <w:r>
                    <w:rPr>
                      <w:rFonts w:hint="eastAsia"/>
                      <w:color w:val="auto"/>
                      <w:szCs w:val="21"/>
                    </w:rPr>
                    <w:t>92</w:t>
                  </w:r>
                </w:p>
              </w:tc>
              <w:tc>
                <w:tcPr>
                  <w:tcW w:w="571" w:type="pct"/>
                  <w:noWrap/>
                  <w:tcMar>
                    <w:top w:w="15" w:type="dxa"/>
                    <w:left w:w="15" w:type="dxa"/>
                    <w:right w:w="15" w:type="dxa"/>
                  </w:tcMar>
                  <w:vAlign w:val="center"/>
                </w:tcPr>
                <w:p w14:paraId="5513CB5C">
                  <w:pPr>
                    <w:adjustRightInd w:val="0"/>
                    <w:snapToGrid w:val="0"/>
                    <w:jc w:val="center"/>
                    <w:rPr>
                      <w:color w:val="auto"/>
                      <w:szCs w:val="21"/>
                    </w:rPr>
                  </w:pPr>
                  <w:r>
                    <w:rPr>
                      <w:rFonts w:hint="eastAsia"/>
                      <w:color w:val="auto"/>
                      <w:szCs w:val="21"/>
                    </w:rPr>
                    <w:t>0</w:t>
                  </w:r>
                </w:p>
              </w:tc>
              <w:tc>
                <w:tcPr>
                  <w:tcW w:w="571" w:type="pct"/>
                  <w:noWrap/>
                  <w:tcMar>
                    <w:top w:w="15" w:type="dxa"/>
                    <w:left w:w="15" w:type="dxa"/>
                    <w:right w:w="15" w:type="dxa"/>
                  </w:tcMar>
                  <w:vAlign w:val="center"/>
                </w:tcPr>
                <w:p w14:paraId="0325D1C2">
                  <w:pPr>
                    <w:tabs>
                      <w:tab w:val="left" w:pos="284"/>
                    </w:tabs>
                    <w:jc w:val="center"/>
                    <w:rPr>
                      <w:color w:val="auto"/>
                      <w:szCs w:val="21"/>
                    </w:rPr>
                  </w:pPr>
                  <w:r>
                    <w:rPr>
                      <w:rFonts w:hint="eastAsia"/>
                      <w:color w:val="auto"/>
                      <w:szCs w:val="21"/>
                    </w:rPr>
                    <w:t>50</w:t>
                  </w:r>
                </w:p>
              </w:tc>
              <w:tc>
                <w:tcPr>
                  <w:tcW w:w="728" w:type="pct"/>
                  <w:noWrap/>
                  <w:tcMar>
                    <w:top w:w="15" w:type="dxa"/>
                    <w:left w:w="15" w:type="dxa"/>
                    <w:right w:w="15" w:type="dxa"/>
                  </w:tcMar>
                  <w:vAlign w:val="center"/>
                </w:tcPr>
                <w:p w14:paraId="728671A0">
                  <w:pPr>
                    <w:tabs>
                      <w:tab w:val="left" w:pos="284"/>
                    </w:tabs>
                    <w:jc w:val="center"/>
                    <w:rPr>
                      <w:color w:val="auto"/>
                      <w:szCs w:val="21"/>
                    </w:rPr>
                  </w:pPr>
                  <w:r>
                    <w:rPr>
                      <w:rFonts w:hint="eastAsia"/>
                      <w:color w:val="auto"/>
                      <w:szCs w:val="21"/>
                    </w:rPr>
                    <w:t>1吨/捆</w:t>
                  </w:r>
                </w:p>
              </w:tc>
              <w:tc>
                <w:tcPr>
                  <w:tcW w:w="583" w:type="pct"/>
                  <w:noWrap/>
                  <w:tcMar>
                    <w:top w:w="15" w:type="dxa"/>
                    <w:left w:w="15" w:type="dxa"/>
                    <w:right w:w="15" w:type="dxa"/>
                  </w:tcMar>
                  <w:vAlign w:val="center"/>
                </w:tcPr>
                <w:p w14:paraId="4CC32FA4">
                  <w:pPr>
                    <w:jc w:val="center"/>
                    <w:rPr>
                      <w:color w:val="auto"/>
                      <w:szCs w:val="21"/>
                    </w:rPr>
                  </w:pPr>
                  <w:r>
                    <w:rPr>
                      <w:rFonts w:hint="eastAsia"/>
                      <w:color w:val="auto"/>
                      <w:szCs w:val="21"/>
                    </w:rPr>
                    <w:t>外购</w:t>
                  </w:r>
                </w:p>
              </w:tc>
            </w:tr>
            <w:tr w14:paraId="6BA6C0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247" w:type="pct"/>
                  <w:vMerge w:val="continue"/>
                  <w:noWrap/>
                  <w:tcMar>
                    <w:top w:w="15" w:type="dxa"/>
                    <w:left w:w="15" w:type="dxa"/>
                    <w:right w:w="15" w:type="dxa"/>
                  </w:tcMar>
                  <w:vAlign w:val="center"/>
                </w:tcPr>
                <w:p w14:paraId="62B1DA0C">
                  <w:pPr>
                    <w:widowControl/>
                    <w:jc w:val="center"/>
                    <w:textAlignment w:val="center"/>
                    <w:rPr>
                      <w:color w:val="auto"/>
                      <w:szCs w:val="21"/>
                    </w:rPr>
                  </w:pPr>
                </w:p>
              </w:tc>
              <w:tc>
                <w:tcPr>
                  <w:tcW w:w="365" w:type="pct"/>
                  <w:vMerge w:val="continue"/>
                  <w:noWrap/>
                  <w:tcMar>
                    <w:top w:w="15" w:type="dxa"/>
                    <w:left w:w="15" w:type="dxa"/>
                    <w:right w:w="15" w:type="dxa"/>
                  </w:tcMar>
                  <w:vAlign w:val="center"/>
                </w:tcPr>
                <w:p w14:paraId="3D1440A3">
                  <w:pPr>
                    <w:adjustRightInd w:val="0"/>
                    <w:snapToGrid w:val="0"/>
                    <w:jc w:val="center"/>
                    <w:rPr>
                      <w:color w:val="auto"/>
                      <w:szCs w:val="21"/>
                    </w:rPr>
                  </w:pPr>
                </w:p>
              </w:tc>
              <w:tc>
                <w:tcPr>
                  <w:tcW w:w="516" w:type="pct"/>
                  <w:shd w:val="clear" w:color="auto" w:fill="auto"/>
                  <w:noWrap/>
                  <w:tcMar>
                    <w:top w:w="15" w:type="dxa"/>
                    <w:left w:w="15" w:type="dxa"/>
                    <w:right w:w="15" w:type="dxa"/>
                  </w:tcMar>
                  <w:vAlign w:val="center"/>
                </w:tcPr>
                <w:p w14:paraId="7C1AE966">
                  <w:pPr>
                    <w:jc w:val="center"/>
                    <w:rPr>
                      <w:color w:val="auto"/>
                      <w:szCs w:val="21"/>
                    </w:rPr>
                  </w:pPr>
                  <w:r>
                    <w:rPr>
                      <w:rFonts w:hint="eastAsia"/>
                      <w:color w:val="auto"/>
                      <w:szCs w:val="21"/>
                    </w:rPr>
                    <w:t>铁盖/底</w:t>
                  </w:r>
                </w:p>
              </w:tc>
              <w:tc>
                <w:tcPr>
                  <w:tcW w:w="328" w:type="pct"/>
                  <w:shd w:val="clear" w:color="auto" w:fill="auto"/>
                  <w:noWrap/>
                  <w:tcMar>
                    <w:top w:w="15" w:type="dxa"/>
                    <w:left w:w="15" w:type="dxa"/>
                    <w:right w:w="15" w:type="dxa"/>
                  </w:tcMar>
                  <w:vAlign w:val="center"/>
                </w:tcPr>
                <w:p w14:paraId="2C5D1E2B">
                  <w:pPr>
                    <w:tabs>
                      <w:tab w:val="left" w:pos="284"/>
                    </w:tabs>
                    <w:jc w:val="center"/>
                    <w:rPr>
                      <w:color w:val="auto"/>
                      <w:szCs w:val="21"/>
                    </w:rPr>
                  </w:pPr>
                  <w:r>
                    <w:rPr>
                      <w:rFonts w:hint="eastAsia"/>
                      <w:color w:val="auto"/>
                      <w:szCs w:val="21"/>
                    </w:rPr>
                    <w:t>吨</w:t>
                  </w:r>
                </w:p>
              </w:tc>
              <w:tc>
                <w:tcPr>
                  <w:tcW w:w="516" w:type="pct"/>
                  <w:shd w:val="clear" w:color="auto" w:fill="auto"/>
                  <w:noWrap/>
                  <w:tcMar>
                    <w:top w:w="15" w:type="dxa"/>
                    <w:left w:w="15" w:type="dxa"/>
                    <w:right w:w="15" w:type="dxa"/>
                  </w:tcMar>
                  <w:vAlign w:val="center"/>
                </w:tcPr>
                <w:p w14:paraId="049DB36A">
                  <w:pPr>
                    <w:jc w:val="center"/>
                    <w:rPr>
                      <w:color w:val="auto"/>
                      <w:szCs w:val="21"/>
                    </w:rPr>
                  </w:pPr>
                  <w:r>
                    <w:rPr>
                      <w:rFonts w:hint="eastAsia"/>
                      <w:color w:val="auto"/>
                      <w:szCs w:val="21"/>
                    </w:rPr>
                    <w:t>12</w:t>
                  </w:r>
                </w:p>
              </w:tc>
              <w:tc>
                <w:tcPr>
                  <w:tcW w:w="571" w:type="pct"/>
                  <w:shd w:val="clear" w:color="auto" w:fill="auto"/>
                  <w:noWrap/>
                  <w:tcMar>
                    <w:top w:w="15" w:type="dxa"/>
                    <w:left w:w="15" w:type="dxa"/>
                    <w:right w:w="15" w:type="dxa"/>
                  </w:tcMar>
                  <w:vAlign w:val="center"/>
                </w:tcPr>
                <w:p w14:paraId="4FA71386">
                  <w:pPr>
                    <w:jc w:val="center"/>
                    <w:rPr>
                      <w:color w:val="auto"/>
                      <w:szCs w:val="21"/>
                    </w:rPr>
                  </w:pPr>
                  <w:r>
                    <w:rPr>
                      <w:rFonts w:hint="eastAsia"/>
                      <w:color w:val="auto"/>
                      <w:szCs w:val="21"/>
                    </w:rPr>
                    <w:t>12</w:t>
                  </w:r>
                </w:p>
              </w:tc>
              <w:tc>
                <w:tcPr>
                  <w:tcW w:w="571" w:type="pct"/>
                  <w:shd w:val="clear" w:color="auto" w:fill="auto"/>
                  <w:noWrap/>
                  <w:tcMar>
                    <w:top w:w="15" w:type="dxa"/>
                    <w:left w:w="15" w:type="dxa"/>
                    <w:right w:w="15" w:type="dxa"/>
                  </w:tcMar>
                  <w:vAlign w:val="center"/>
                </w:tcPr>
                <w:p w14:paraId="7E981588">
                  <w:pPr>
                    <w:jc w:val="center"/>
                    <w:rPr>
                      <w:color w:val="auto"/>
                      <w:szCs w:val="21"/>
                    </w:rPr>
                  </w:pPr>
                  <w:r>
                    <w:rPr>
                      <w:rFonts w:hint="eastAsia"/>
                      <w:color w:val="auto"/>
                      <w:szCs w:val="21"/>
                    </w:rPr>
                    <w:t>0</w:t>
                  </w:r>
                </w:p>
              </w:tc>
              <w:tc>
                <w:tcPr>
                  <w:tcW w:w="571" w:type="pct"/>
                  <w:shd w:val="clear" w:color="auto" w:fill="auto"/>
                  <w:noWrap/>
                  <w:tcMar>
                    <w:top w:w="15" w:type="dxa"/>
                    <w:left w:w="15" w:type="dxa"/>
                    <w:right w:w="15" w:type="dxa"/>
                  </w:tcMar>
                  <w:vAlign w:val="center"/>
                </w:tcPr>
                <w:p w14:paraId="644FA41C">
                  <w:pPr>
                    <w:tabs>
                      <w:tab w:val="left" w:pos="284"/>
                    </w:tabs>
                    <w:jc w:val="center"/>
                    <w:rPr>
                      <w:color w:val="auto"/>
                      <w:szCs w:val="21"/>
                    </w:rPr>
                  </w:pPr>
                  <w:r>
                    <w:rPr>
                      <w:rFonts w:hint="eastAsia"/>
                      <w:color w:val="auto"/>
                      <w:szCs w:val="21"/>
                    </w:rPr>
                    <w:t>10</w:t>
                  </w:r>
                </w:p>
              </w:tc>
              <w:tc>
                <w:tcPr>
                  <w:tcW w:w="728" w:type="pct"/>
                  <w:shd w:val="clear" w:color="auto" w:fill="auto"/>
                  <w:noWrap/>
                  <w:tcMar>
                    <w:top w:w="15" w:type="dxa"/>
                    <w:left w:w="15" w:type="dxa"/>
                    <w:right w:w="15" w:type="dxa"/>
                  </w:tcMar>
                  <w:vAlign w:val="center"/>
                </w:tcPr>
                <w:p w14:paraId="13FC146E">
                  <w:pPr>
                    <w:tabs>
                      <w:tab w:val="left" w:pos="284"/>
                    </w:tabs>
                    <w:jc w:val="center"/>
                    <w:rPr>
                      <w:color w:val="auto"/>
                      <w:szCs w:val="21"/>
                    </w:rPr>
                  </w:pPr>
                  <w:r>
                    <w:rPr>
                      <w:rFonts w:hint="eastAsia"/>
                      <w:color w:val="auto"/>
                      <w:szCs w:val="21"/>
                    </w:rPr>
                    <w:t>100个/袋</w:t>
                  </w:r>
                </w:p>
              </w:tc>
              <w:tc>
                <w:tcPr>
                  <w:tcW w:w="583" w:type="pct"/>
                  <w:shd w:val="clear" w:color="auto" w:fill="auto"/>
                  <w:noWrap/>
                  <w:tcMar>
                    <w:top w:w="15" w:type="dxa"/>
                    <w:left w:w="15" w:type="dxa"/>
                    <w:right w:w="15" w:type="dxa"/>
                  </w:tcMar>
                  <w:vAlign w:val="center"/>
                </w:tcPr>
                <w:p w14:paraId="6CE26FB7">
                  <w:pPr>
                    <w:jc w:val="center"/>
                    <w:rPr>
                      <w:color w:val="auto"/>
                      <w:szCs w:val="21"/>
                    </w:rPr>
                  </w:pPr>
                  <w:r>
                    <w:rPr>
                      <w:rFonts w:hint="eastAsia"/>
                      <w:color w:val="auto"/>
                      <w:szCs w:val="21"/>
                    </w:rPr>
                    <w:t>外购</w:t>
                  </w:r>
                </w:p>
              </w:tc>
            </w:tr>
            <w:tr w14:paraId="47896F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247" w:type="pct"/>
                  <w:vMerge w:val="continue"/>
                  <w:noWrap/>
                  <w:tcMar>
                    <w:top w:w="15" w:type="dxa"/>
                    <w:left w:w="15" w:type="dxa"/>
                    <w:right w:w="15" w:type="dxa"/>
                  </w:tcMar>
                  <w:vAlign w:val="center"/>
                </w:tcPr>
                <w:p w14:paraId="6ED79A08">
                  <w:pPr>
                    <w:widowControl/>
                    <w:jc w:val="center"/>
                    <w:textAlignment w:val="center"/>
                    <w:rPr>
                      <w:color w:val="auto"/>
                      <w:szCs w:val="21"/>
                    </w:rPr>
                  </w:pPr>
                </w:p>
              </w:tc>
              <w:tc>
                <w:tcPr>
                  <w:tcW w:w="365" w:type="pct"/>
                  <w:vMerge w:val="continue"/>
                  <w:noWrap/>
                  <w:tcMar>
                    <w:top w:w="15" w:type="dxa"/>
                    <w:left w:w="15" w:type="dxa"/>
                    <w:right w:w="15" w:type="dxa"/>
                  </w:tcMar>
                  <w:vAlign w:val="center"/>
                </w:tcPr>
                <w:p w14:paraId="47523E99">
                  <w:pPr>
                    <w:jc w:val="center"/>
                    <w:rPr>
                      <w:color w:val="auto"/>
                      <w:szCs w:val="21"/>
                    </w:rPr>
                  </w:pPr>
                </w:p>
              </w:tc>
              <w:tc>
                <w:tcPr>
                  <w:tcW w:w="516" w:type="pct"/>
                  <w:noWrap/>
                  <w:tcMar>
                    <w:top w:w="15" w:type="dxa"/>
                    <w:left w:w="15" w:type="dxa"/>
                    <w:right w:w="15" w:type="dxa"/>
                  </w:tcMar>
                  <w:vAlign w:val="center"/>
                </w:tcPr>
                <w:p w14:paraId="1EFAAD30">
                  <w:pPr>
                    <w:jc w:val="center"/>
                    <w:rPr>
                      <w:color w:val="auto"/>
                      <w:szCs w:val="21"/>
                    </w:rPr>
                  </w:pPr>
                  <w:r>
                    <w:rPr>
                      <w:rFonts w:hint="eastAsia"/>
                      <w:color w:val="auto"/>
                      <w:szCs w:val="21"/>
                    </w:rPr>
                    <w:t>铜焊丝</w:t>
                  </w:r>
                </w:p>
              </w:tc>
              <w:tc>
                <w:tcPr>
                  <w:tcW w:w="328" w:type="pct"/>
                  <w:noWrap/>
                  <w:tcMar>
                    <w:top w:w="15" w:type="dxa"/>
                    <w:left w:w="15" w:type="dxa"/>
                    <w:right w:w="15" w:type="dxa"/>
                  </w:tcMar>
                  <w:vAlign w:val="center"/>
                </w:tcPr>
                <w:p w14:paraId="7B0F0D2E">
                  <w:pPr>
                    <w:tabs>
                      <w:tab w:val="left" w:pos="284"/>
                    </w:tabs>
                    <w:jc w:val="center"/>
                    <w:rPr>
                      <w:color w:val="auto"/>
                      <w:szCs w:val="21"/>
                    </w:rPr>
                  </w:pPr>
                  <w:r>
                    <w:rPr>
                      <w:rFonts w:hint="eastAsia"/>
                      <w:color w:val="auto"/>
                      <w:szCs w:val="21"/>
                    </w:rPr>
                    <w:t>吨</w:t>
                  </w:r>
                </w:p>
              </w:tc>
              <w:tc>
                <w:tcPr>
                  <w:tcW w:w="516" w:type="pct"/>
                  <w:noWrap/>
                  <w:tcMar>
                    <w:top w:w="15" w:type="dxa"/>
                    <w:left w:w="15" w:type="dxa"/>
                    <w:right w:w="15" w:type="dxa"/>
                  </w:tcMar>
                  <w:vAlign w:val="center"/>
                </w:tcPr>
                <w:p w14:paraId="081CB597">
                  <w:pPr>
                    <w:jc w:val="center"/>
                    <w:rPr>
                      <w:color w:val="auto"/>
                      <w:szCs w:val="21"/>
                    </w:rPr>
                  </w:pPr>
                  <w:r>
                    <w:rPr>
                      <w:rFonts w:hint="eastAsia"/>
                      <w:color w:val="auto"/>
                      <w:szCs w:val="21"/>
                    </w:rPr>
                    <w:t>0.2</w:t>
                  </w:r>
                </w:p>
              </w:tc>
              <w:tc>
                <w:tcPr>
                  <w:tcW w:w="571" w:type="pct"/>
                  <w:shd w:val="clear" w:color="auto" w:fill="auto"/>
                  <w:noWrap/>
                  <w:tcMar>
                    <w:top w:w="15" w:type="dxa"/>
                    <w:left w:w="15" w:type="dxa"/>
                    <w:right w:w="15" w:type="dxa"/>
                  </w:tcMar>
                  <w:vAlign w:val="center"/>
                </w:tcPr>
                <w:p w14:paraId="43950FCE">
                  <w:pPr>
                    <w:jc w:val="center"/>
                    <w:rPr>
                      <w:color w:val="auto"/>
                      <w:szCs w:val="21"/>
                    </w:rPr>
                  </w:pPr>
                  <w:r>
                    <w:rPr>
                      <w:rFonts w:hint="eastAsia"/>
                      <w:color w:val="auto"/>
                      <w:szCs w:val="21"/>
                    </w:rPr>
                    <w:t>0.2</w:t>
                  </w:r>
                </w:p>
              </w:tc>
              <w:tc>
                <w:tcPr>
                  <w:tcW w:w="571" w:type="pct"/>
                  <w:noWrap/>
                  <w:tcMar>
                    <w:top w:w="15" w:type="dxa"/>
                    <w:left w:w="15" w:type="dxa"/>
                    <w:right w:w="15" w:type="dxa"/>
                  </w:tcMar>
                  <w:vAlign w:val="center"/>
                </w:tcPr>
                <w:p w14:paraId="68A466FD">
                  <w:pPr>
                    <w:jc w:val="center"/>
                    <w:rPr>
                      <w:color w:val="auto"/>
                      <w:szCs w:val="21"/>
                    </w:rPr>
                  </w:pPr>
                  <w:r>
                    <w:rPr>
                      <w:rFonts w:hint="eastAsia"/>
                      <w:color w:val="auto"/>
                      <w:szCs w:val="21"/>
                    </w:rPr>
                    <w:t>0</w:t>
                  </w:r>
                </w:p>
              </w:tc>
              <w:tc>
                <w:tcPr>
                  <w:tcW w:w="571" w:type="pct"/>
                  <w:noWrap/>
                  <w:tcMar>
                    <w:top w:w="15" w:type="dxa"/>
                    <w:left w:w="15" w:type="dxa"/>
                    <w:right w:w="15" w:type="dxa"/>
                  </w:tcMar>
                  <w:vAlign w:val="center"/>
                </w:tcPr>
                <w:p w14:paraId="77B7AC47">
                  <w:pPr>
                    <w:tabs>
                      <w:tab w:val="left" w:pos="284"/>
                    </w:tabs>
                    <w:jc w:val="center"/>
                    <w:rPr>
                      <w:color w:val="auto"/>
                      <w:szCs w:val="21"/>
                    </w:rPr>
                  </w:pPr>
                  <w:r>
                    <w:rPr>
                      <w:rFonts w:hint="eastAsia"/>
                      <w:color w:val="auto"/>
                      <w:szCs w:val="21"/>
                    </w:rPr>
                    <w:t>0.2</w:t>
                  </w:r>
                </w:p>
              </w:tc>
              <w:tc>
                <w:tcPr>
                  <w:tcW w:w="728" w:type="pct"/>
                  <w:noWrap/>
                  <w:tcMar>
                    <w:top w:w="15" w:type="dxa"/>
                    <w:left w:w="15" w:type="dxa"/>
                    <w:right w:w="15" w:type="dxa"/>
                  </w:tcMar>
                  <w:vAlign w:val="center"/>
                </w:tcPr>
                <w:p w14:paraId="70E08AD4">
                  <w:pPr>
                    <w:tabs>
                      <w:tab w:val="left" w:pos="284"/>
                    </w:tabs>
                    <w:jc w:val="center"/>
                    <w:rPr>
                      <w:color w:val="auto"/>
                      <w:szCs w:val="21"/>
                    </w:rPr>
                  </w:pPr>
                  <w:r>
                    <w:rPr>
                      <w:rFonts w:hint="eastAsia"/>
                      <w:color w:val="auto"/>
                      <w:szCs w:val="21"/>
                    </w:rPr>
                    <w:t>/</w:t>
                  </w:r>
                </w:p>
              </w:tc>
              <w:tc>
                <w:tcPr>
                  <w:tcW w:w="583" w:type="pct"/>
                  <w:noWrap/>
                  <w:tcMar>
                    <w:top w:w="15" w:type="dxa"/>
                    <w:left w:w="15" w:type="dxa"/>
                    <w:right w:w="15" w:type="dxa"/>
                  </w:tcMar>
                  <w:vAlign w:val="center"/>
                </w:tcPr>
                <w:p w14:paraId="1F2B7F5D">
                  <w:pPr>
                    <w:jc w:val="center"/>
                    <w:rPr>
                      <w:color w:val="auto"/>
                      <w:szCs w:val="21"/>
                    </w:rPr>
                  </w:pPr>
                  <w:r>
                    <w:rPr>
                      <w:rFonts w:hint="eastAsia"/>
                      <w:color w:val="auto"/>
                      <w:szCs w:val="21"/>
                    </w:rPr>
                    <w:t>外购</w:t>
                  </w:r>
                </w:p>
              </w:tc>
            </w:tr>
            <w:tr w14:paraId="2A16D7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613" w:type="pct"/>
                  <w:gridSpan w:val="2"/>
                  <w:vMerge w:val="restart"/>
                  <w:noWrap/>
                  <w:tcMar>
                    <w:top w:w="15" w:type="dxa"/>
                    <w:left w:w="15" w:type="dxa"/>
                    <w:right w:w="15" w:type="dxa"/>
                  </w:tcMar>
                  <w:vAlign w:val="center"/>
                </w:tcPr>
                <w:p w14:paraId="61970398">
                  <w:pPr>
                    <w:jc w:val="center"/>
                    <w:rPr>
                      <w:color w:val="auto"/>
                      <w:szCs w:val="21"/>
                    </w:rPr>
                  </w:pPr>
                  <w:r>
                    <w:rPr>
                      <w:color w:val="auto"/>
                      <w:kern w:val="0"/>
                      <w:szCs w:val="21"/>
                    </w:rPr>
                    <w:t>能源</w:t>
                  </w:r>
                </w:p>
              </w:tc>
              <w:tc>
                <w:tcPr>
                  <w:tcW w:w="516" w:type="pct"/>
                  <w:tcMar>
                    <w:top w:w="15" w:type="dxa"/>
                    <w:left w:w="15" w:type="dxa"/>
                    <w:right w:w="15" w:type="dxa"/>
                  </w:tcMar>
                  <w:vAlign w:val="center"/>
                </w:tcPr>
                <w:p w14:paraId="49B62192">
                  <w:pPr>
                    <w:jc w:val="center"/>
                    <w:rPr>
                      <w:color w:val="auto"/>
                      <w:szCs w:val="21"/>
                    </w:rPr>
                  </w:pPr>
                  <w:r>
                    <w:rPr>
                      <w:rFonts w:hint="eastAsia"/>
                      <w:color w:val="auto"/>
                      <w:szCs w:val="21"/>
                    </w:rPr>
                    <w:t>机油</w:t>
                  </w:r>
                </w:p>
              </w:tc>
              <w:tc>
                <w:tcPr>
                  <w:tcW w:w="328" w:type="pct"/>
                  <w:noWrap/>
                  <w:tcMar>
                    <w:top w:w="15" w:type="dxa"/>
                    <w:left w:w="15" w:type="dxa"/>
                    <w:right w:w="15" w:type="dxa"/>
                  </w:tcMar>
                  <w:vAlign w:val="center"/>
                </w:tcPr>
                <w:p w14:paraId="4F281BAE">
                  <w:pPr>
                    <w:jc w:val="center"/>
                    <w:rPr>
                      <w:color w:val="auto"/>
                      <w:szCs w:val="21"/>
                    </w:rPr>
                  </w:pPr>
                  <w:r>
                    <w:rPr>
                      <w:rFonts w:hint="eastAsia"/>
                      <w:color w:val="auto"/>
                      <w:szCs w:val="21"/>
                    </w:rPr>
                    <w:t>吨</w:t>
                  </w:r>
                </w:p>
              </w:tc>
              <w:tc>
                <w:tcPr>
                  <w:tcW w:w="516" w:type="pct"/>
                  <w:noWrap/>
                  <w:tcMar>
                    <w:top w:w="15" w:type="dxa"/>
                    <w:left w:w="15" w:type="dxa"/>
                    <w:right w:w="15" w:type="dxa"/>
                  </w:tcMar>
                  <w:vAlign w:val="center"/>
                </w:tcPr>
                <w:p w14:paraId="373439F5">
                  <w:pPr>
                    <w:jc w:val="center"/>
                    <w:rPr>
                      <w:color w:val="auto"/>
                      <w:szCs w:val="21"/>
                    </w:rPr>
                  </w:pPr>
                  <w:r>
                    <w:rPr>
                      <w:rFonts w:hint="eastAsia"/>
                      <w:color w:val="auto"/>
                      <w:szCs w:val="21"/>
                    </w:rPr>
                    <w:t>0.2</w:t>
                  </w:r>
                </w:p>
              </w:tc>
              <w:tc>
                <w:tcPr>
                  <w:tcW w:w="571" w:type="pct"/>
                  <w:noWrap/>
                  <w:tcMar>
                    <w:top w:w="15" w:type="dxa"/>
                    <w:left w:w="15" w:type="dxa"/>
                    <w:right w:w="15" w:type="dxa"/>
                  </w:tcMar>
                  <w:vAlign w:val="center"/>
                </w:tcPr>
                <w:p w14:paraId="04AF4573">
                  <w:pPr>
                    <w:jc w:val="center"/>
                    <w:rPr>
                      <w:color w:val="auto"/>
                      <w:szCs w:val="21"/>
                    </w:rPr>
                  </w:pPr>
                  <w:r>
                    <w:rPr>
                      <w:rFonts w:hint="eastAsia"/>
                      <w:color w:val="auto"/>
                      <w:szCs w:val="21"/>
                    </w:rPr>
                    <w:t>0.8</w:t>
                  </w:r>
                </w:p>
              </w:tc>
              <w:tc>
                <w:tcPr>
                  <w:tcW w:w="571" w:type="pct"/>
                  <w:noWrap/>
                  <w:tcMar>
                    <w:top w:w="15" w:type="dxa"/>
                    <w:left w:w="15" w:type="dxa"/>
                    <w:right w:w="15" w:type="dxa"/>
                  </w:tcMar>
                  <w:vAlign w:val="center"/>
                </w:tcPr>
                <w:p w14:paraId="59AFA0AE">
                  <w:pPr>
                    <w:jc w:val="center"/>
                    <w:rPr>
                      <w:color w:val="auto"/>
                      <w:szCs w:val="21"/>
                    </w:rPr>
                  </w:pPr>
                  <w:r>
                    <w:rPr>
                      <w:rFonts w:hint="eastAsia"/>
                      <w:color w:val="auto"/>
                      <w:szCs w:val="21"/>
                    </w:rPr>
                    <w:t>+0.6</w:t>
                  </w:r>
                </w:p>
              </w:tc>
              <w:tc>
                <w:tcPr>
                  <w:tcW w:w="571" w:type="pct"/>
                  <w:noWrap/>
                  <w:tcMar>
                    <w:top w:w="15" w:type="dxa"/>
                    <w:left w:w="15" w:type="dxa"/>
                    <w:right w:w="15" w:type="dxa"/>
                  </w:tcMar>
                  <w:vAlign w:val="center"/>
                </w:tcPr>
                <w:p w14:paraId="32905ED4">
                  <w:pPr>
                    <w:jc w:val="center"/>
                    <w:rPr>
                      <w:color w:val="auto"/>
                      <w:szCs w:val="21"/>
                    </w:rPr>
                  </w:pPr>
                  <w:r>
                    <w:rPr>
                      <w:rFonts w:hint="eastAsia"/>
                      <w:color w:val="auto"/>
                      <w:szCs w:val="21"/>
                    </w:rPr>
                    <w:t>0.2</w:t>
                  </w:r>
                </w:p>
              </w:tc>
              <w:tc>
                <w:tcPr>
                  <w:tcW w:w="728" w:type="pct"/>
                  <w:noWrap/>
                  <w:tcMar>
                    <w:top w:w="15" w:type="dxa"/>
                    <w:left w:w="15" w:type="dxa"/>
                    <w:right w:w="15" w:type="dxa"/>
                  </w:tcMar>
                  <w:vAlign w:val="center"/>
                </w:tcPr>
                <w:p w14:paraId="2ECBAF84">
                  <w:pPr>
                    <w:jc w:val="center"/>
                    <w:rPr>
                      <w:color w:val="auto"/>
                      <w:szCs w:val="21"/>
                    </w:rPr>
                  </w:pPr>
                  <w:r>
                    <w:rPr>
                      <w:rFonts w:hint="eastAsia"/>
                      <w:color w:val="auto"/>
                      <w:szCs w:val="21"/>
                    </w:rPr>
                    <w:t>200L/桶</w:t>
                  </w:r>
                </w:p>
              </w:tc>
              <w:tc>
                <w:tcPr>
                  <w:tcW w:w="583" w:type="pct"/>
                  <w:noWrap/>
                  <w:tcMar>
                    <w:top w:w="15" w:type="dxa"/>
                    <w:left w:w="15" w:type="dxa"/>
                    <w:right w:w="15" w:type="dxa"/>
                  </w:tcMar>
                  <w:vAlign w:val="center"/>
                </w:tcPr>
                <w:p w14:paraId="7C165EFE">
                  <w:pPr>
                    <w:widowControl/>
                    <w:jc w:val="center"/>
                    <w:textAlignment w:val="center"/>
                    <w:rPr>
                      <w:color w:val="auto"/>
                      <w:kern w:val="0"/>
                      <w:szCs w:val="21"/>
                    </w:rPr>
                  </w:pPr>
                  <w:r>
                    <w:rPr>
                      <w:rFonts w:hint="eastAsia"/>
                      <w:color w:val="auto"/>
                      <w:kern w:val="0"/>
                      <w:szCs w:val="21"/>
                    </w:rPr>
                    <w:t>外购</w:t>
                  </w:r>
                </w:p>
              </w:tc>
            </w:tr>
            <w:tr w14:paraId="7493FB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613" w:type="pct"/>
                  <w:gridSpan w:val="2"/>
                  <w:vMerge w:val="continue"/>
                  <w:noWrap/>
                  <w:tcMar>
                    <w:top w:w="15" w:type="dxa"/>
                    <w:left w:w="15" w:type="dxa"/>
                    <w:right w:w="15" w:type="dxa"/>
                  </w:tcMar>
                  <w:vAlign w:val="center"/>
                </w:tcPr>
                <w:p w14:paraId="27BD741C">
                  <w:pPr>
                    <w:jc w:val="center"/>
                    <w:rPr>
                      <w:color w:val="auto"/>
                      <w:szCs w:val="21"/>
                    </w:rPr>
                  </w:pPr>
                </w:p>
              </w:tc>
              <w:tc>
                <w:tcPr>
                  <w:tcW w:w="516" w:type="pct"/>
                  <w:tcMar>
                    <w:top w:w="15" w:type="dxa"/>
                    <w:left w:w="15" w:type="dxa"/>
                    <w:right w:w="15" w:type="dxa"/>
                  </w:tcMar>
                  <w:vAlign w:val="center"/>
                </w:tcPr>
                <w:p w14:paraId="10F2CC12">
                  <w:pPr>
                    <w:jc w:val="center"/>
                    <w:rPr>
                      <w:color w:val="auto"/>
                      <w:szCs w:val="21"/>
                    </w:rPr>
                  </w:pPr>
                  <w:r>
                    <w:rPr>
                      <w:color w:val="auto"/>
                      <w:szCs w:val="21"/>
                    </w:rPr>
                    <w:t>水</w:t>
                  </w:r>
                </w:p>
              </w:tc>
              <w:tc>
                <w:tcPr>
                  <w:tcW w:w="328" w:type="pct"/>
                  <w:noWrap/>
                  <w:tcMar>
                    <w:top w:w="15" w:type="dxa"/>
                    <w:left w:w="15" w:type="dxa"/>
                    <w:right w:w="15" w:type="dxa"/>
                  </w:tcMar>
                  <w:vAlign w:val="center"/>
                </w:tcPr>
                <w:p w14:paraId="665B4B8A">
                  <w:pPr>
                    <w:jc w:val="center"/>
                    <w:rPr>
                      <w:color w:val="auto"/>
                      <w:szCs w:val="21"/>
                    </w:rPr>
                  </w:pPr>
                  <w:r>
                    <w:rPr>
                      <w:color w:val="auto"/>
                      <w:szCs w:val="21"/>
                    </w:rPr>
                    <w:t>吨</w:t>
                  </w:r>
                </w:p>
              </w:tc>
              <w:tc>
                <w:tcPr>
                  <w:tcW w:w="516" w:type="pct"/>
                  <w:noWrap/>
                  <w:tcMar>
                    <w:top w:w="15" w:type="dxa"/>
                    <w:left w:w="15" w:type="dxa"/>
                    <w:right w:w="15" w:type="dxa"/>
                  </w:tcMar>
                  <w:vAlign w:val="center"/>
                </w:tcPr>
                <w:p w14:paraId="21A9DDC2">
                  <w:pPr>
                    <w:jc w:val="center"/>
                    <w:rPr>
                      <w:color w:val="auto"/>
                      <w:szCs w:val="21"/>
                    </w:rPr>
                  </w:pPr>
                  <w:r>
                    <w:rPr>
                      <w:rFonts w:hint="eastAsia"/>
                      <w:color w:val="auto"/>
                      <w:szCs w:val="21"/>
                    </w:rPr>
                    <w:t>300</w:t>
                  </w:r>
                </w:p>
              </w:tc>
              <w:tc>
                <w:tcPr>
                  <w:tcW w:w="571" w:type="pct"/>
                  <w:noWrap/>
                  <w:tcMar>
                    <w:top w:w="15" w:type="dxa"/>
                    <w:left w:w="15" w:type="dxa"/>
                    <w:right w:w="15" w:type="dxa"/>
                  </w:tcMar>
                  <w:vAlign w:val="center"/>
                </w:tcPr>
                <w:p w14:paraId="21729F3D">
                  <w:pPr>
                    <w:jc w:val="center"/>
                    <w:rPr>
                      <w:color w:val="auto"/>
                      <w:szCs w:val="21"/>
                    </w:rPr>
                  </w:pPr>
                  <w:r>
                    <w:rPr>
                      <w:rFonts w:hint="eastAsia"/>
                      <w:color w:val="auto"/>
                      <w:szCs w:val="21"/>
                    </w:rPr>
                    <w:t>866.8</w:t>
                  </w:r>
                </w:p>
              </w:tc>
              <w:tc>
                <w:tcPr>
                  <w:tcW w:w="571" w:type="pct"/>
                  <w:noWrap/>
                  <w:tcMar>
                    <w:top w:w="15" w:type="dxa"/>
                    <w:left w:w="15" w:type="dxa"/>
                    <w:right w:w="15" w:type="dxa"/>
                  </w:tcMar>
                  <w:vAlign w:val="center"/>
                </w:tcPr>
                <w:p w14:paraId="471D479A">
                  <w:pPr>
                    <w:jc w:val="center"/>
                    <w:rPr>
                      <w:color w:val="auto"/>
                      <w:szCs w:val="21"/>
                    </w:rPr>
                  </w:pPr>
                  <w:r>
                    <w:rPr>
                      <w:rFonts w:hint="eastAsia"/>
                      <w:color w:val="auto"/>
                      <w:szCs w:val="21"/>
                    </w:rPr>
                    <w:t>+566.8</w:t>
                  </w:r>
                </w:p>
              </w:tc>
              <w:tc>
                <w:tcPr>
                  <w:tcW w:w="571" w:type="pct"/>
                  <w:noWrap/>
                  <w:tcMar>
                    <w:top w:w="15" w:type="dxa"/>
                    <w:left w:w="15" w:type="dxa"/>
                    <w:right w:w="15" w:type="dxa"/>
                  </w:tcMar>
                  <w:vAlign w:val="center"/>
                </w:tcPr>
                <w:p w14:paraId="4D70878F">
                  <w:pPr>
                    <w:jc w:val="center"/>
                    <w:rPr>
                      <w:color w:val="auto"/>
                      <w:szCs w:val="21"/>
                    </w:rPr>
                  </w:pPr>
                  <w:r>
                    <w:rPr>
                      <w:rFonts w:hint="eastAsia"/>
                      <w:color w:val="auto"/>
                      <w:szCs w:val="21"/>
                    </w:rPr>
                    <w:t>/</w:t>
                  </w:r>
                </w:p>
              </w:tc>
              <w:tc>
                <w:tcPr>
                  <w:tcW w:w="728" w:type="pct"/>
                  <w:noWrap/>
                  <w:tcMar>
                    <w:top w:w="15" w:type="dxa"/>
                    <w:left w:w="15" w:type="dxa"/>
                    <w:right w:w="15" w:type="dxa"/>
                  </w:tcMar>
                  <w:vAlign w:val="center"/>
                </w:tcPr>
                <w:p w14:paraId="093B9C6E">
                  <w:pPr>
                    <w:jc w:val="center"/>
                    <w:rPr>
                      <w:color w:val="auto"/>
                      <w:szCs w:val="21"/>
                    </w:rPr>
                  </w:pPr>
                  <w:r>
                    <w:rPr>
                      <w:rFonts w:hint="eastAsia"/>
                      <w:color w:val="auto"/>
                      <w:szCs w:val="21"/>
                    </w:rPr>
                    <w:t>/</w:t>
                  </w:r>
                </w:p>
              </w:tc>
              <w:tc>
                <w:tcPr>
                  <w:tcW w:w="583" w:type="pct"/>
                  <w:noWrap/>
                  <w:tcMar>
                    <w:top w:w="15" w:type="dxa"/>
                    <w:left w:w="15" w:type="dxa"/>
                    <w:right w:w="15" w:type="dxa"/>
                  </w:tcMar>
                  <w:vAlign w:val="center"/>
                </w:tcPr>
                <w:p w14:paraId="359659F5">
                  <w:pPr>
                    <w:widowControl/>
                    <w:jc w:val="center"/>
                    <w:textAlignment w:val="center"/>
                    <w:rPr>
                      <w:color w:val="auto"/>
                      <w:kern w:val="0"/>
                      <w:szCs w:val="21"/>
                    </w:rPr>
                  </w:pPr>
                  <w:r>
                    <w:rPr>
                      <w:color w:val="auto"/>
                      <w:kern w:val="0"/>
                      <w:szCs w:val="21"/>
                    </w:rPr>
                    <w:t>市政供水</w:t>
                  </w:r>
                </w:p>
              </w:tc>
            </w:tr>
            <w:tr w14:paraId="5D85E8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613" w:type="pct"/>
                  <w:gridSpan w:val="2"/>
                  <w:vMerge w:val="continue"/>
                  <w:noWrap/>
                  <w:tcMar>
                    <w:top w:w="15" w:type="dxa"/>
                    <w:left w:w="15" w:type="dxa"/>
                    <w:right w:w="15" w:type="dxa"/>
                  </w:tcMar>
                  <w:vAlign w:val="center"/>
                </w:tcPr>
                <w:p w14:paraId="6045730D">
                  <w:pPr>
                    <w:jc w:val="center"/>
                    <w:rPr>
                      <w:color w:val="auto"/>
                      <w:szCs w:val="21"/>
                    </w:rPr>
                  </w:pPr>
                </w:p>
              </w:tc>
              <w:tc>
                <w:tcPr>
                  <w:tcW w:w="516" w:type="pct"/>
                  <w:tcMar>
                    <w:top w:w="15" w:type="dxa"/>
                    <w:left w:w="15" w:type="dxa"/>
                    <w:right w:w="15" w:type="dxa"/>
                  </w:tcMar>
                  <w:vAlign w:val="center"/>
                </w:tcPr>
                <w:p w14:paraId="07245F79">
                  <w:pPr>
                    <w:jc w:val="center"/>
                    <w:rPr>
                      <w:color w:val="auto"/>
                      <w:szCs w:val="21"/>
                    </w:rPr>
                  </w:pPr>
                  <w:r>
                    <w:rPr>
                      <w:color w:val="auto"/>
                      <w:szCs w:val="21"/>
                    </w:rPr>
                    <w:t>电</w:t>
                  </w:r>
                </w:p>
              </w:tc>
              <w:tc>
                <w:tcPr>
                  <w:tcW w:w="328" w:type="pct"/>
                  <w:noWrap/>
                  <w:tcMar>
                    <w:top w:w="15" w:type="dxa"/>
                    <w:left w:w="15" w:type="dxa"/>
                    <w:right w:w="15" w:type="dxa"/>
                  </w:tcMar>
                  <w:vAlign w:val="center"/>
                </w:tcPr>
                <w:p w14:paraId="61955843">
                  <w:pPr>
                    <w:jc w:val="center"/>
                    <w:rPr>
                      <w:color w:val="auto"/>
                      <w:szCs w:val="21"/>
                    </w:rPr>
                  </w:pPr>
                  <w:r>
                    <w:rPr>
                      <w:rFonts w:hint="eastAsia"/>
                      <w:color w:val="auto"/>
                      <w:szCs w:val="21"/>
                    </w:rPr>
                    <w:t>kW·h</w:t>
                  </w:r>
                </w:p>
              </w:tc>
              <w:tc>
                <w:tcPr>
                  <w:tcW w:w="516" w:type="pct"/>
                  <w:noWrap/>
                  <w:tcMar>
                    <w:top w:w="15" w:type="dxa"/>
                    <w:left w:w="15" w:type="dxa"/>
                    <w:right w:w="15" w:type="dxa"/>
                  </w:tcMar>
                  <w:vAlign w:val="center"/>
                </w:tcPr>
                <w:p w14:paraId="37295FAC">
                  <w:pPr>
                    <w:jc w:val="center"/>
                    <w:rPr>
                      <w:color w:val="auto"/>
                      <w:szCs w:val="21"/>
                    </w:rPr>
                  </w:pPr>
                  <w:r>
                    <w:rPr>
                      <w:rFonts w:hint="eastAsia"/>
                      <w:color w:val="auto"/>
                      <w:szCs w:val="21"/>
                    </w:rPr>
                    <w:t>40万</w:t>
                  </w:r>
                </w:p>
              </w:tc>
              <w:tc>
                <w:tcPr>
                  <w:tcW w:w="571" w:type="pct"/>
                  <w:noWrap/>
                  <w:tcMar>
                    <w:top w:w="15" w:type="dxa"/>
                    <w:left w:w="15" w:type="dxa"/>
                    <w:right w:w="15" w:type="dxa"/>
                  </w:tcMar>
                  <w:vAlign w:val="center"/>
                </w:tcPr>
                <w:p w14:paraId="65996FE3">
                  <w:pPr>
                    <w:jc w:val="center"/>
                    <w:rPr>
                      <w:color w:val="auto"/>
                      <w:szCs w:val="21"/>
                    </w:rPr>
                  </w:pPr>
                  <w:r>
                    <w:rPr>
                      <w:rFonts w:hint="eastAsia"/>
                      <w:color w:val="auto"/>
                      <w:szCs w:val="21"/>
                    </w:rPr>
                    <w:t>120万</w:t>
                  </w:r>
                </w:p>
              </w:tc>
              <w:tc>
                <w:tcPr>
                  <w:tcW w:w="571" w:type="pct"/>
                  <w:noWrap/>
                  <w:tcMar>
                    <w:top w:w="15" w:type="dxa"/>
                    <w:left w:w="15" w:type="dxa"/>
                    <w:right w:w="15" w:type="dxa"/>
                  </w:tcMar>
                  <w:vAlign w:val="center"/>
                </w:tcPr>
                <w:p w14:paraId="5AC7788F">
                  <w:pPr>
                    <w:jc w:val="center"/>
                    <w:rPr>
                      <w:color w:val="auto"/>
                      <w:szCs w:val="21"/>
                    </w:rPr>
                  </w:pPr>
                  <w:r>
                    <w:rPr>
                      <w:rFonts w:hint="eastAsia"/>
                      <w:color w:val="auto"/>
                      <w:szCs w:val="21"/>
                    </w:rPr>
                    <w:t>+80万</w:t>
                  </w:r>
                </w:p>
              </w:tc>
              <w:tc>
                <w:tcPr>
                  <w:tcW w:w="571" w:type="pct"/>
                  <w:noWrap/>
                  <w:tcMar>
                    <w:top w:w="15" w:type="dxa"/>
                    <w:left w:w="15" w:type="dxa"/>
                    <w:right w:w="15" w:type="dxa"/>
                  </w:tcMar>
                  <w:vAlign w:val="center"/>
                </w:tcPr>
                <w:p w14:paraId="14B4924F">
                  <w:pPr>
                    <w:jc w:val="center"/>
                    <w:rPr>
                      <w:color w:val="auto"/>
                      <w:szCs w:val="21"/>
                    </w:rPr>
                  </w:pPr>
                  <w:r>
                    <w:rPr>
                      <w:rFonts w:hint="eastAsia"/>
                      <w:color w:val="auto"/>
                      <w:szCs w:val="21"/>
                    </w:rPr>
                    <w:t>/</w:t>
                  </w:r>
                </w:p>
              </w:tc>
              <w:tc>
                <w:tcPr>
                  <w:tcW w:w="728" w:type="pct"/>
                  <w:noWrap/>
                  <w:tcMar>
                    <w:top w:w="15" w:type="dxa"/>
                    <w:left w:w="15" w:type="dxa"/>
                    <w:right w:w="15" w:type="dxa"/>
                  </w:tcMar>
                  <w:vAlign w:val="center"/>
                </w:tcPr>
                <w:p w14:paraId="7575684C">
                  <w:pPr>
                    <w:jc w:val="center"/>
                    <w:rPr>
                      <w:color w:val="auto"/>
                      <w:szCs w:val="21"/>
                    </w:rPr>
                  </w:pPr>
                  <w:r>
                    <w:rPr>
                      <w:rFonts w:hint="eastAsia"/>
                      <w:color w:val="auto"/>
                      <w:szCs w:val="21"/>
                    </w:rPr>
                    <w:t>/</w:t>
                  </w:r>
                </w:p>
              </w:tc>
              <w:tc>
                <w:tcPr>
                  <w:tcW w:w="583" w:type="pct"/>
                  <w:noWrap/>
                  <w:tcMar>
                    <w:top w:w="15" w:type="dxa"/>
                    <w:left w:w="15" w:type="dxa"/>
                    <w:right w:w="15" w:type="dxa"/>
                  </w:tcMar>
                  <w:vAlign w:val="center"/>
                </w:tcPr>
                <w:p w14:paraId="5A494C41">
                  <w:pPr>
                    <w:widowControl/>
                    <w:jc w:val="center"/>
                    <w:textAlignment w:val="center"/>
                    <w:rPr>
                      <w:color w:val="auto"/>
                      <w:kern w:val="0"/>
                      <w:szCs w:val="21"/>
                    </w:rPr>
                  </w:pPr>
                  <w:r>
                    <w:rPr>
                      <w:color w:val="auto"/>
                      <w:kern w:val="0"/>
                      <w:szCs w:val="21"/>
                    </w:rPr>
                    <w:t>市政电网</w:t>
                  </w:r>
                </w:p>
              </w:tc>
            </w:tr>
            <w:tr w14:paraId="165E4B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00" w:type="pct"/>
                  <w:gridSpan w:val="10"/>
                  <w:noWrap/>
                  <w:tcMar>
                    <w:top w:w="15" w:type="dxa"/>
                    <w:left w:w="15" w:type="dxa"/>
                    <w:right w:w="15" w:type="dxa"/>
                  </w:tcMar>
                  <w:vAlign w:val="center"/>
                </w:tcPr>
                <w:p w14:paraId="095861DC">
                  <w:pPr>
                    <w:widowControl/>
                    <w:textAlignment w:val="center"/>
                    <w:rPr>
                      <w:color w:val="auto"/>
                      <w:kern w:val="0"/>
                      <w:szCs w:val="21"/>
                    </w:rPr>
                  </w:pPr>
                  <w:r>
                    <w:rPr>
                      <w:rFonts w:hint="eastAsia"/>
                      <w:color w:val="auto"/>
                      <w:kern w:val="0"/>
                      <w:szCs w:val="21"/>
                    </w:rPr>
                    <w:t>注：热转印膜单张约25g，热转印膜年用量25t/a</w:t>
                  </w:r>
                </w:p>
              </w:tc>
            </w:tr>
          </w:tbl>
          <w:p w14:paraId="54C8FC27">
            <w:pPr>
              <w:spacing w:before="120" w:beforeLines="50" w:line="360" w:lineRule="auto"/>
              <w:ind w:firstLine="480" w:firstLineChars="200"/>
              <w:rPr>
                <w:b/>
                <w:bCs/>
                <w:color w:val="auto"/>
                <w:sz w:val="24"/>
              </w:rPr>
            </w:pPr>
            <w:r>
              <w:rPr>
                <w:rFonts w:hint="eastAsia"/>
                <w:color w:val="auto"/>
                <w:sz w:val="24"/>
              </w:rPr>
              <w:t>（2）主要原辅材料理化性质：</w:t>
            </w:r>
          </w:p>
          <w:p w14:paraId="2996AA12">
            <w:pPr>
              <w:ind w:firstLine="482" w:firstLineChars="200"/>
              <w:jc w:val="center"/>
              <w:rPr>
                <w:color w:val="auto"/>
                <w:sz w:val="24"/>
              </w:rPr>
            </w:pPr>
            <w:r>
              <w:rPr>
                <w:rFonts w:hint="eastAsia"/>
                <w:b/>
                <w:bCs/>
                <w:color w:val="auto"/>
                <w:sz w:val="24"/>
              </w:rPr>
              <w:t>表2-5  项目主要原辅材料理化性质一览表</w:t>
            </w:r>
          </w:p>
          <w:tbl>
            <w:tblPr>
              <w:tblStyle w:val="26"/>
              <w:tblW w:w="821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7124"/>
            </w:tblGrid>
            <w:tr w14:paraId="18DBBE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7" w:type="dxa"/>
                  <w:vAlign w:val="center"/>
                </w:tcPr>
                <w:p w14:paraId="2EC60D09">
                  <w:pPr>
                    <w:jc w:val="center"/>
                    <w:rPr>
                      <w:b/>
                      <w:bCs/>
                      <w:color w:val="auto"/>
                      <w:szCs w:val="21"/>
                    </w:rPr>
                  </w:pPr>
                  <w:r>
                    <w:rPr>
                      <w:rFonts w:hint="eastAsia"/>
                      <w:b/>
                      <w:bCs/>
                      <w:color w:val="auto"/>
                      <w:szCs w:val="21"/>
                    </w:rPr>
                    <w:t>名称</w:t>
                  </w:r>
                </w:p>
              </w:tc>
              <w:tc>
                <w:tcPr>
                  <w:tcW w:w="7124" w:type="dxa"/>
                  <w:vAlign w:val="center"/>
                </w:tcPr>
                <w:p w14:paraId="7B88484C">
                  <w:pPr>
                    <w:jc w:val="center"/>
                    <w:rPr>
                      <w:b/>
                      <w:bCs/>
                      <w:color w:val="auto"/>
                      <w:szCs w:val="21"/>
                    </w:rPr>
                  </w:pPr>
                  <w:r>
                    <w:rPr>
                      <w:rFonts w:hint="eastAsia"/>
                      <w:b/>
                      <w:bCs/>
                      <w:color w:val="auto"/>
                      <w:szCs w:val="21"/>
                    </w:rPr>
                    <w:t>理化性质</w:t>
                  </w:r>
                </w:p>
              </w:tc>
            </w:tr>
            <w:tr w14:paraId="75A09C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087" w:type="dxa"/>
                  <w:vAlign w:val="center"/>
                </w:tcPr>
                <w:p w14:paraId="721025EF">
                  <w:pPr>
                    <w:jc w:val="center"/>
                    <w:rPr>
                      <w:color w:val="auto"/>
                      <w:szCs w:val="21"/>
                    </w:rPr>
                  </w:pPr>
                  <w:r>
                    <w:rPr>
                      <w:rFonts w:hint="eastAsia"/>
                      <w:color w:val="auto"/>
                      <w:szCs w:val="21"/>
                    </w:rPr>
                    <w:t>聚丙烯</w:t>
                  </w:r>
                </w:p>
              </w:tc>
              <w:tc>
                <w:tcPr>
                  <w:tcW w:w="7124" w:type="dxa"/>
                  <w:vAlign w:val="center"/>
                </w:tcPr>
                <w:p w14:paraId="798B1D49">
                  <w:pPr>
                    <w:rPr>
                      <w:color w:val="auto"/>
                      <w:szCs w:val="21"/>
                    </w:rPr>
                  </w:pPr>
                  <w:r>
                    <w:rPr>
                      <w:rStyle w:val="81"/>
                      <w:color w:val="auto"/>
                      <w:sz w:val="21"/>
                      <w:szCs w:val="21"/>
                    </w:rPr>
                    <w:t>聚丙烯</w:t>
                  </w:r>
                  <w:r>
                    <w:rPr>
                      <w:rStyle w:val="81"/>
                      <w:rFonts w:hint="eastAsia"/>
                      <w:color w:val="auto"/>
                      <w:sz w:val="21"/>
                      <w:szCs w:val="21"/>
                    </w:rPr>
                    <w:t>（</w:t>
                  </w:r>
                  <w:r>
                    <w:rPr>
                      <w:rStyle w:val="81"/>
                      <w:color w:val="auto"/>
                      <w:sz w:val="21"/>
                      <w:szCs w:val="21"/>
                    </w:rPr>
                    <w:t>PP</w:t>
                  </w:r>
                  <w:r>
                    <w:rPr>
                      <w:rStyle w:val="81"/>
                      <w:rFonts w:hint="eastAsia"/>
                      <w:color w:val="auto"/>
                      <w:sz w:val="21"/>
                      <w:szCs w:val="21"/>
                    </w:rPr>
                    <w:t>）</w:t>
                  </w:r>
                  <w:r>
                    <w:rPr>
                      <w:rStyle w:val="81"/>
                      <w:color w:val="auto"/>
                      <w:sz w:val="21"/>
                      <w:szCs w:val="21"/>
                    </w:rPr>
                    <w:t>是丙烯通过加聚反应而成的聚合物。化学式为(C</w:t>
                  </w:r>
                  <w:r>
                    <w:rPr>
                      <w:rStyle w:val="81"/>
                      <w:color w:val="auto"/>
                      <w:sz w:val="21"/>
                      <w:szCs w:val="21"/>
                      <w:vertAlign w:val="subscript"/>
                    </w:rPr>
                    <w:t>3</w:t>
                  </w:r>
                  <w:r>
                    <w:rPr>
                      <w:rStyle w:val="81"/>
                      <w:color w:val="auto"/>
                      <w:sz w:val="21"/>
                      <w:szCs w:val="21"/>
                    </w:rPr>
                    <w:t>H</w:t>
                  </w:r>
                  <w:r>
                    <w:rPr>
                      <w:rStyle w:val="81"/>
                      <w:color w:val="auto"/>
                      <w:sz w:val="21"/>
                      <w:szCs w:val="21"/>
                      <w:vertAlign w:val="subscript"/>
                    </w:rPr>
                    <w:t>6</w:t>
                  </w:r>
                  <w:r>
                    <w:rPr>
                      <w:rStyle w:val="81"/>
                      <w:color w:val="auto"/>
                      <w:sz w:val="21"/>
                      <w:szCs w:val="21"/>
                    </w:rPr>
                    <w:t>)</w:t>
                  </w:r>
                  <w:r>
                    <w:rPr>
                      <w:rStyle w:val="81"/>
                      <w:color w:val="auto"/>
                      <w:sz w:val="21"/>
                      <w:szCs w:val="21"/>
                      <w:vertAlign w:val="subscript"/>
                    </w:rPr>
                    <w:t>n</w:t>
                  </w:r>
                  <w:r>
                    <w:rPr>
                      <w:rStyle w:val="81"/>
                      <w:color w:val="auto"/>
                      <w:sz w:val="21"/>
                      <w:szCs w:val="21"/>
                    </w:rPr>
                    <w:t>，密度为0.89~0.91g/cm</w:t>
                  </w:r>
                  <w:r>
                    <w:rPr>
                      <w:rStyle w:val="81"/>
                      <w:color w:val="auto"/>
                      <w:sz w:val="21"/>
                      <w:szCs w:val="21"/>
                      <w:vertAlign w:val="superscript"/>
                    </w:rPr>
                    <w:t>3</w:t>
                  </w:r>
                  <w:r>
                    <w:rPr>
                      <w:rStyle w:val="81"/>
                      <w:color w:val="auto"/>
                      <w:sz w:val="21"/>
                      <w:szCs w:val="21"/>
                    </w:rPr>
                    <w:t>，易燃，熔点为150~176℃。在80℃以下能耐酸、碱、盐液及多种有机溶剂的腐蚀，能在高温和氧化作用下分解。裂解温度&gt;350℃。</w:t>
                  </w:r>
                </w:p>
              </w:tc>
            </w:tr>
            <w:tr w14:paraId="5FBD27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87" w:type="dxa"/>
                  <w:vAlign w:val="center"/>
                </w:tcPr>
                <w:p w14:paraId="49D6FFF1">
                  <w:pPr>
                    <w:jc w:val="center"/>
                    <w:rPr>
                      <w:color w:val="auto"/>
                      <w:szCs w:val="21"/>
                    </w:rPr>
                  </w:pPr>
                  <w:r>
                    <w:rPr>
                      <w:rFonts w:hint="eastAsia"/>
                      <w:color w:val="auto"/>
                      <w:szCs w:val="21"/>
                    </w:rPr>
                    <w:t>聚乙烯</w:t>
                  </w:r>
                </w:p>
              </w:tc>
              <w:tc>
                <w:tcPr>
                  <w:tcW w:w="7124" w:type="dxa"/>
                  <w:vAlign w:val="center"/>
                </w:tcPr>
                <w:p w14:paraId="7EECB684">
                  <w:pPr>
                    <w:rPr>
                      <w:color w:val="auto"/>
                      <w:szCs w:val="21"/>
                    </w:rPr>
                  </w:pPr>
                  <w:r>
                    <w:rPr>
                      <w:rFonts w:hint="eastAsia"/>
                      <w:color w:val="auto"/>
                      <w:szCs w:val="21"/>
                    </w:rPr>
                    <w:t>聚乙烯（PE）是乙烯单体经聚合反应制得的一种热塑性树脂。化学式为(C</w:t>
                  </w:r>
                  <w:r>
                    <w:rPr>
                      <w:rFonts w:hint="eastAsia"/>
                      <w:color w:val="auto"/>
                      <w:szCs w:val="21"/>
                      <w:vertAlign w:val="subscript"/>
                    </w:rPr>
                    <w:t>2</w:t>
                  </w:r>
                  <w:r>
                    <w:rPr>
                      <w:rFonts w:hint="eastAsia"/>
                      <w:color w:val="auto"/>
                      <w:szCs w:val="21"/>
                    </w:rPr>
                    <w:t>H</w:t>
                  </w:r>
                  <w:r>
                    <w:rPr>
                      <w:rFonts w:hint="eastAsia"/>
                      <w:color w:val="auto"/>
                      <w:szCs w:val="21"/>
                      <w:vertAlign w:val="subscript"/>
                    </w:rPr>
                    <w:t>4</w:t>
                  </w:r>
                  <w:r>
                    <w:rPr>
                      <w:rFonts w:hint="eastAsia"/>
                      <w:color w:val="auto"/>
                      <w:szCs w:val="21"/>
                    </w:rPr>
                    <w:t>)</w:t>
                  </w:r>
                  <w:r>
                    <w:rPr>
                      <w:rFonts w:hint="eastAsia"/>
                      <w:color w:val="auto"/>
                      <w:szCs w:val="21"/>
                      <w:vertAlign w:val="subscript"/>
                    </w:rPr>
                    <w:t>n</w:t>
                  </w:r>
                  <w:r>
                    <w:rPr>
                      <w:rStyle w:val="81"/>
                      <w:color w:val="auto"/>
                      <w:sz w:val="21"/>
                      <w:szCs w:val="21"/>
                    </w:rPr>
                    <w:t>，密度为0.</w:t>
                  </w:r>
                  <w:r>
                    <w:rPr>
                      <w:rStyle w:val="81"/>
                      <w:rFonts w:hint="eastAsia"/>
                      <w:color w:val="auto"/>
                      <w:sz w:val="21"/>
                      <w:szCs w:val="21"/>
                    </w:rPr>
                    <w:t>91</w:t>
                  </w:r>
                  <w:r>
                    <w:rPr>
                      <w:rStyle w:val="81"/>
                      <w:color w:val="auto"/>
                      <w:sz w:val="21"/>
                      <w:szCs w:val="21"/>
                    </w:rPr>
                    <w:t>~0.9</w:t>
                  </w:r>
                  <w:r>
                    <w:rPr>
                      <w:rStyle w:val="81"/>
                      <w:rFonts w:hint="eastAsia"/>
                      <w:color w:val="auto"/>
                      <w:sz w:val="21"/>
                      <w:szCs w:val="21"/>
                    </w:rPr>
                    <w:t>6</w:t>
                  </w:r>
                  <w:r>
                    <w:rPr>
                      <w:rStyle w:val="81"/>
                      <w:color w:val="auto"/>
                      <w:sz w:val="21"/>
                      <w:szCs w:val="21"/>
                    </w:rPr>
                    <w:t>g/cm</w:t>
                  </w:r>
                  <w:r>
                    <w:rPr>
                      <w:rStyle w:val="81"/>
                      <w:color w:val="auto"/>
                      <w:sz w:val="21"/>
                      <w:szCs w:val="21"/>
                      <w:vertAlign w:val="superscript"/>
                    </w:rPr>
                    <w:t>3</w:t>
                  </w:r>
                  <w:r>
                    <w:rPr>
                      <w:rStyle w:val="81"/>
                      <w:color w:val="auto"/>
                      <w:sz w:val="21"/>
                      <w:szCs w:val="21"/>
                    </w:rPr>
                    <w:t>，</w:t>
                  </w:r>
                  <w:r>
                    <w:rPr>
                      <w:rStyle w:val="81"/>
                      <w:rFonts w:hint="eastAsia"/>
                      <w:color w:val="auto"/>
                      <w:sz w:val="21"/>
                      <w:szCs w:val="21"/>
                    </w:rPr>
                    <w:t>熔点108℃～126℃。不溶于水，微溶于烃类等。能耐大多数酸碱的侵蚀，吸水性小，在低温时仍能保持柔软性，电绝缘性高。</w:t>
                  </w:r>
                </w:p>
              </w:tc>
            </w:tr>
          </w:tbl>
          <w:p w14:paraId="3F2681E5">
            <w:pPr>
              <w:adjustRightInd w:val="0"/>
              <w:snapToGrid w:val="0"/>
              <w:spacing w:before="120" w:beforeLines="50" w:line="360" w:lineRule="auto"/>
              <w:ind w:firstLine="482" w:firstLineChars="200"/>
              <w:rPr>
                <w:b/>
                <w:bCs/>
                <w:color w:val="auto"/>
                <w:sz w:val="24"/>
              </w:rPr>
            </w:pPr>
            <w:r>
              <w:rPr>
                <w:rFonts w:hint="eastAsia"/>
                <w:b/>
                <w:bCs/>
                <w:color w:val="auto"/>
                <w:sz w:val="24"/>
              </w:rPr>
              <w:t>5</w:t>
            </w:r>
            <w:r>
              <w:rPr>
                <w:b/>
                <w:bCs/>
                <w:color w:val="auto"/>
                <w:sz w:val="24"/>
              </w:rPr>
              <w:t>、</w:t>
            </w:r>
            <w:r>
              <w:rPr>
                <w:rFonts w:hint="eastAsia"/>
                <w:b/>
                <w:bCs/>
                <w:color w:val="auto"/>
                <w:sz w:val="24"/>
              </w:rPr>
              <w:t>物料平衡</w:t>
            </w:r>
          </w:p>
          <w:p w14:paraId="7B299E2C">
            <w:pPr>
              <w:adjustRightInd w:val="0"/>
              <w:snapToGrid w:val="0"/>
              <w:spacing w:line="360" w:lineRule="auto"/>
              <w:ind w:firstLine="480" w:firstLineChars="200"/>
              <w:rPr>
                <w:b/>
                <w:color w:val="auto"/>
                <w:sz w:val="24"/>
              </w:rPr>
            </w:pPr>
            <w:r>
              <w:rPr>
                <w:bCs/>
                <w:color w:val="auto"/>
                <w:sz w:val="24"/>
              </w:rPr>
              <w:t>本项目物料转移去向除产品外，还包括废气和固体废物等，</w:t>
            </w:r>
            <w:r>
              <w:rPr>
                <w:rFonts w:hint="eastAsia"/>
                <w:bCs/>
                <w:color w:val="auto"/>
                <w:sz w:val="24"/>
              </w:rPr>
              <w:t>塑料桶生产</w:t>
            </w:r>
            <w:r>
              <w:rPr>
                <w:bCs/>
                <w:color w:val="auto"/>
                <w:sz w:val="24"/>
              </w:rPr>
              <w:t>物料平衡核算概况如表2-</w:t>
            </w:r>
            <w:r>
              <w:rPr>
                <w:rFonts w:hint="eastAsia"/>
                <w:bCs/>
                <w:color w:val="auto"/>
                <w:sz w:val="24"/>
              </w:rPr>
              <w:t>6</w:t>
            </w:r>
            <w:r>
              <w:rPr>
                <w:bCs/>
                <w:color w:val="auto"/>
                <w:sz w:val="24"/>
              </w:rPr>
              <w:t>所示。</w:t>
            </w:r>
          </w:p>
          <w:p w14:paraId="11DBEA21">
            <w:pPr>
              <w:adjustRightInd w:val="0"/>
              <w:snapToGrid w:val="0"/>
              <w:jc w:val="center"/>
              <w:rPr>
                <w:b/>
                <w:color w:val="auto"/>
                <w:sz w:val="24"/>
              </w:rPr>
            </w:pPr>
            <w:r>
              <w:rPr>
                <w:b/>
                <w:color w:val="auto"/>
                <w:sz w:val="24"/>
              </w:rPr>
              <w:t>表2-</w:t>
            </w:r>
            <w:r>
              <w:rPr>
                <w:rFonts w:hint="eastAsia"/>
                <w:b/>
                <w:color w:val="auto"/>
                <w:sz w:val="24"/>
              </w:rPr>
              <w:t>6</w:t>
            </w:r>
            <w:r>
              <w:rPr>
                <w:b/>
                <w:color w:val="auto"/>
                <w:sz w:val="24"/>
              </w:rPr>
              <w:t xml:space="preserve">  </w:t>
            </w:r>
            <w:r>
              <w:rPr>
                <w:rFonts w:hint="eastAsia"/>
                <w:b/>
                <w:color w:val="auto"/>
                <w:sz w:val="24"/>
              </w:rPr>
              <w:t>塑料桶生产</w:t>
            </w:r>
            <w:r>
              <w:rPr>
                <w:b/>
                <w:color w:val="auto"/>
                <w:sz w:val="24"/>
              </w:rPr>
              <w:t>物料平衡表</w:t>
            </w:r>
          </w:p>
          <w:tbl>
            <w:tblPr>
              <w:tblStyle w:val="27"/>
              <w:tblW w:w="84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1517"/>
              <w:gridCol w:w="1514"/>
              <w:gridCol w:w="436"/>
              <w:gridCol w:w="887"/>
              <w:gridCol w:w="1515"/>
              <w:gridCol w:w="1396"/>
            </w:tblGrid>
            <w:tr w14:paraId="48517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5" w:type="dxa"/>
                  <w:vAlign w:val="center"/>
                </w:tcPr>
                <w:p w14:paraId="102E0E2D">
                  <w:pPr>
                    <w:pStyle w:val="25"/>
                    <w:spacing w:after="0"/>
                    <w:ind w:left="0" w:leftChars="0" w:firstLine="0" w:firstLineChars="0"/>
                    <w:jc w:val="center"/>
                    <w:rPr>
                      <w:b/>
                      <w:bCs/>
                      <w:color w:val="auto"/>
                      <w:sz w:val="21"/>
                      <w:szCs w:val="21"/>
                    </w:rPr>
                  </w:pPr>
                  <w:r>
                    <w:rPr>
                      <w:b/>
                      <w:bCs/>
                      <w:color w:val="auto"/>
                      <w:sz w:val="21"/>
                      <w:szCs w:val="21"/>
                    </w:rPr>
                    <w:t>产品名称</w:t>
                  </w:r>
                </w:p>
              </w:tc>
              <w:tc>
                <w:tcPr>
                  <w:tcW w:w="3031" w:type="dxa"/>
                  <w:gridSpan w:val="2"/>
                  <w:vAlign w:val="center"/>
                </w:tcPr>
                <w:p w14:paraId="7D6B82DD">
                  <w:pPr>
                    <w:pStyle w:val="25"/>
                    <w:spacing w:after="0"/>
                    <w:ind w:left="0" w:leftChars="0" w:firstLine="0" w:firstLineChars="0"/>
                    <w:jc w:val="center"/>
                    <w:rPr>
                      <w:b/>
                      <w:bCs/>
                      <w:color w:val="auto"/>
                      <w:sz w:val="21"/>
                      <w:szCs w:val="21"/>
                    </w:rPr>
                  </w:pPr>
                  <w:r>
                    <w:rPr>
                      <w:b/>
                      <w:bCs/>
                      <w:color w:val="auto"/>
                      <w:sz w:val="21"/>
                      <w:szCs w:val="21"/>
                    </w:rPr>
                    <w:t>投入（t/a）</w:t>
                  </w:r>
                </w:p>
              </w:tc>
              <w:tc>
                <w:tcPr>
                  <w:tcW w:w="4234" w:type="dxa"/>
                  <w:gridSpan w:val="4"/>
                  <w:vAlign w:val="center"/>
                </w:tcPr>
                <w:p w14:paraId="684F0DFB">
                  <w:pPr>
                    <w:pStyle w:val="25"/>
                    <w:spacing w:after="0"/>
                    <w:ind w:left="0" w:leftChars="0" w:firstLine="0" w:firstLineChars="0"/>
                    <w:jc w:val="center"/>
                    <w:rPr>
                      <w:b/>
                      <w:bCs/>
                      <w:color w:val="auto"/>
                      <w:sz w:val="21"/>
                      <w:szCs w:val="21"/>
                    </w:rPr>
                  </w:pPr>
                  <w:r>
                    <w:rPr>
                      <w:b/>
                      <w:bCs/>
                      <w:color w:val="auto"/>
                      <w:sz w:val="21"/>
                      <w:szCs w:val="21"/>
                    </w:rPr>
                    <w:t>产出（t/a）</w:t>
                  </w:r>
                </w:p>
              </w:tc>
            </w:tr>
            <w:tr w14:paraId="5825F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5" w:type="dxa"/>
                  <w:vMerge w:val="restart"/>
                  <w:vAlign w:val="center"/>
                </w:tcPr>
                <w:p w14:paraId="19824965">
                  <w:pPr>
                    <w:pStyle w:val="25"/>
                    <w:spacing w:after="0"/>
                    <w:ind w:left="0" w:leftChars="0" w:firstLine="0" w:firstLineChars="0"/>
                    <w:jc w:val="center"/>
                    <w:rPr>
                      <w:color w:val="auto"/>
                      <w:sz w:val="21"/>
                      <w:szCs w:val="21"/>
                    </w:rPr>
                  </w:pPr>
                  <w:r>
                    <w:rPr>
                      <w:color w:val="auto"/>
                      <w:sz w:val="21"/>
                      <w:szCs w:val="21"/>
                    </w:rPr>
                    <w:t>塑料</w:t>
                  </w:r>
                  <w:r>
                    <w:rPr>
                      <w:rFonts w:hint="eastAsia"/>
                      <w:color w:val="auto"/>
                      <w:sz w:val="21"/>
                      <w:szCs w:val="21"/>
                    </w:rPr>
                    <w:t>桶</w:t>
                  </w:r>
                </w:p>
              </w:tc>
              <w:tc>
                <w:tcPr>
                  <w:tcW w:w="1517" w:type="dxa"/>
                  <w:vAlign w:val="center"/>
                </w:tcPr>
                <w:p w14:paraId="4DFEE855">
                  <w:pPr>
                    <w:pStyle w:val="25"/>
                    <w:spacing w:after="0"/>
                    <w:ind w:left="0" w:leftChars="0" w:firstLine="0" w:firstLineChars="0"/>
                    <w:jc w:val="center"/>
                    <w:rPr>
                      <w:color w:val="auto"/>
                      <w:sz w:val="21"/>
                      <w:szCs w:val="21"/>
                    </w:rPr>
                  </w:pPr>
                  <w:r>
                    <w:rPr>
                      <w:color w:val="auto"/>
                      <w:sz w:val="21"/>
                      <w:szCs w:val="21"/>
                    </w:rPr>
                    <w:t>名称</w:t>
                  </w:r>
                </w:p>
              </w:tc>
              <w:tc>
                <w:tcPr>
                  <w:tcW w:w="1514" w:type="dxa"/>
                  <w:vAlign w:val="center"/>
                </w:tcPr>
                <w:p w14:paraId="7A2BF961">
                  <w:pPr>
                    <w:pStyle w:val="25"/>
                    <w:spacing w:after="0"/>
                    <w:ind w:left="0" w:leftChars="0" w:firstLine="0" w:firstLineChars="0"/>
                    <w:jc w:val="center"/>
                    <w:rPr>
                      <w:color w:val="auto"/>
                      <w:sz w:val="21"/>
                      <w:szCs w:val="21"/>
                    </w:rPr>
                  </w:pPr>
                  <w:r>
                    <w:rPr>
                      <w:color w:val="auto"/>
                      <w:sz w:val="21"/>
                      <w:szCs w:val="21"/>
                    </w:rPr>
                    <w:t>数量</w:t>
                  </w:r>
                </w:p>
              </w:tc>
              <w:tc>
                <w:tcPr>
                  <w:tcW w:w="2838" w:type="dxa"/>
                  <w:gridSpan w:val="3"/>
                  <w:vAlign w:val="center"/>
                </w:tcPr>
                <w:p w14:paraId="0F7A6C03">
                  <w:pPr>
                    <w:pStyle w:val="25"/>
                    <w:spacing w:after="0"/>
                    <w:ind w:left="0" w:leftChars="0" w:firstLine="0" w:firstLineChars="0"/>
                    <w:jc w:val="center"/>
                    <w:rPr>
                      <w:color w:val="auto"/>
                      <w:sz w:val="21"/>
                      <w:szCs w:val="21"/>
                    </w:rPr>
                  </w:pPr>
                  <w:r>
                    <w:rPr>
                      <w:color w:val="auto"/>
                      <w:sz w:val="21"/>
                      <w:szCs w:val="21"/>
                    </w:rPr>
                    <w:t>名称</w:t>
                  </w:r>
                </w:p>
              </w:tc>
              <w:tc>
                <w:tcPr>
                  <w:tcW w:w="1396" w:type="dxa"/>
                  <w:vAlign w:val="center"/>
                </w:tcPr>
                <w:p w14:paraId="6F20A11F">
                  <w:pPr>
                    <w:pStyle w:val="25"/>
                    <w:spacing w:after="0"/>
                    <w:ind w:left="0" w:leftChars="0" w:firstLine="0" w:firstLineChars="0"/>
                    <w:jc w:val="center"/>
                    <w:rPr>
                      <w:color w:val="auto"/>
                      <w:sz w:val="21"/>
                      <w:szCs w:val="21"/>
                    </w:rPr>
                  </w:pPr>
                  <w:r>
                    <w:rPr>
                      <w:color w:val="auto"/>
                      <w:sz w:val="21"/>
                      <w:szCs w:val="21"/>
                    </w:rPr>
                    <w:t>数量</w:t>
                  </w:r>
                </w:p>
              </w:tc>
            </w:tr>
            <w:tr w14:paraId="15F79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5" w:type="dxa"/>
                  <w:vMerge w:val="continue"/>
                  <w:vAlign w:val="center"/>
                </w:tcPr>
                <w:p w14:paraId="77CFC753">
                  <w:pPr>
                    <w:pStyle w:val="25"/>
                    <w:spacing w:after="0"/>
                    <w:ind w:left="0" w:leftChars="0" w:firstLine="0" w:firstLineChars="0"/>
                    <w:jc w:val="center"/>
                    <w:rPr>
                      <w:color w:val="auto"/>
                      <w:sz w:val="21"/>
                      <w:szCs w:val="21"/>
                    </w:rPr>
                  </w:pPr>
                </w:p>
              </w:tc>
              <w:tc>
                <w:tcPr>
                  <w:tcW w:w="1517" w:type="dxa"/>
                  <w:vAlign w:val="center"/>
                </w:tcPr>
                <w:p w14:paraId="37F7FCF4">
                  <w:pPr>
                    <w:pStyle w:val="25"/>
                    <w:spacing w:after="0"/>
                    <w:ind w:left="0" w:leftChars="0" w:firstLine="0" w:firstLineChars="0"/>
                    <w:jc w:val="center"/>
                    <w:rPr>
                      <w:color w:val="auto"/>
                      <w:sz w:val="21"/>
                      <w:szCs w:val="21"/>
                    </w:rPr>
                  </w:pPr>
                  <w:r>
                    <w:rPr>
                      <w:rStyle w:val="81"/>
                      <w:color w:val="auto"/>
                      <w:sz w:val="21"/>
                      <w:szCs w:val="21"/>
                    </w:rPr>
                    <w:t>聚丙烯树脂</w:t>
                  </w:r>
                </w:p>
              </w:tc>
              <w:tc>
                <w:tcPr>
                  <w:tcW w:w="1514" w:type="dxa"/>
                  <w:vAlign w:val="center"/>
                </w:tcPr>
                <w:p w14:paraId="169DA7A8">
                  <w:pPr>
                    <w:pStyle w:val="25"/>
                    <w:spacing w:after="0"/>
                    <w:ind w:left="0" w:leftChars="0" w:firstLine="0" w:firstLineChars="0"/>
                    <w:jc w:val="center"/>
                    <w:rPr>
                      <w:color w:val="auto"/>
                      <w:sz w:val="21"/>
                      <w:szCs w:val="21"/>
                    </w:rPr>
                  </w:pPr>
                  <w:r>
                    <w:rPr>
                      <w:rFonts w:hint="eastAsia"/>
                      <w:color w:val="auto"/>
                      <w:sz w:val="21"/>
                      <w:szCs w:val="21"/>
                    </w:rPr>
                    <w:t>1000</w:t>
                  </w:r>
                </w:p>
              </w:tc>
              <w:tc>
                <w:tcPr>
                  <w:tcW w:w="1323" w:type="dxa"/>
                  <w:gridSpan w:val="2"/>
                  <w:vAlign w:val="center"/>
                </w:tcPr>
                <w:p w14:paraId="11AA6A8E">
                  <w:pPr>
                    <w:pStyle w:val="25"/>
                    <w:spacing w:after="0"/>
                    <w:ind w:left="0" w:leftChars="0" w:firstLine="0" w:firstLineChars="0"/>
                    <w:jc w:val="center"/>
                    <w:rPr>
                      <w:color w:val="auto"/>
                      <w:sz w:val="21"/>
                      <w:szCs w:val="21"/>
                    </w:rPr>
                  </w:pPr>
                  <w:r>
                    <w:rPr>
                      <w:color w:val="auto"/>
                      <w:sz w:val="21"/>
                      <w:szCs w:val="21"/>
                    </w:rPr>
                    <w:t>产品</w:t>
                  </w:r>
                </w:p>
              </w:tc>
              <w:tc>
                <w:tcPr>
                  <w:tcW w:w="1515" w:type="dxa"/>
                  <w:vAlign w:val="center"/>
                </w:tcPr>
                <w:p w14:paraId="4DD822F1">
                  <w:pPr>
                    <w:pStyle w:val="25"/>
                    <w:spacing w:after="0"/>
                    <w:ind w:left="0" w:leftChars="0" w:firstLine="0" w:firstLineChars="0"/>
                    <w:jc w:val="center"/>
                    <w:rPr>
                      <w:rFonts w:hint="eastAsia" w:eastAsia="宋体"/>
                      <w:color w:val="auto"/>
                      <w:sz w:val="21"/>
                      <w:szCs w:val="21"/>
                      <w:lang w:eastAsia="zh-CN"/>
                    </w:rPr>
                  </w:pPr>
                  <w:r>
                    <w:rPr>
                      <w:color w:val="auto"/>
                      <w:sz w:val="21"/>
                      <w:szCs w:val="21"/>
                      <w:highlight w:val="none"/>
                    </w:rPr>
                    <w:t>塑料</w:t>
                  </w:r>
                  <w:r>
                    <w:rPr>
                      <w:rFonts w:hint="eastAsia"/>
                      <w:color w:val="auto"/>
                      <w:sz w:val="21"/>
                      <w:szCs w:val="21"/>
                      <w:highlight w:val="none"/>
                      <w:lang w:val="en-US" w:eastAsia="zh-CN"/>
                    </w:rPr>
                    <w:t>桶</w:t>
                  </w:r>
                </w:p>
              </w:tc>
              <w:tc>
                <w:tcPr>
                  <w:tcW w:w="1396" w:type="dxa"/>
                  <w:vAlign w:val="center"/>
                </w:tcPr>
                <w:p w14:paraId="13314D47">
                  <w:pPr>
                    <w:pStyle w:val="25"/>
                    <w:spacing w:after="0"/>
                    <w:ind w:left="0" w:leftChars="0" w:firstLine="0" w:firstLineChars="0"/>
                    <w:jc w:val="center"/>
                    <w:rPr>
                      <w:color w:val="auto"/>
                      <w:sz w:val="21"/>
                      <w:szCs w:val="21"/>
                    </w:rPr>
                  </w:pPr>
                  <w:r>
                    <w:rPr>
                      <w:rFonts w:hint="eastAsia"/>
                      <w:color w:val="auto"/>
                      <w:sz w:val="21"/>
                      <w:szCs w:val="21"/>
                    </w:rPr>
                    <w:t>2500</w:t>
                  </w:r>
                </w:p>
              </w:tc>
            </w:tr>
            <w:tr w14:paraId="1D0D1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5" w:type="dxa"/>
                  <w:vMerge w:val="continue"/>
                  <w:vAlign w:val="center"/>
                </w:tcPr>
                <w:p w14:paraId="12EFBF35">
                  <w:pPr>
                    <w:pStyle w:val="25"/>
                    <w:spacing w:after="0"/>
                    <w:ind w:left="0" w:leftChars="0" w:firstLine="0" w:firstLineChars="0"/>
                    <w:jc w:val="center"/>
                    <w:rPr>
                      <w:color w:val="auto"/>
                      <w:sz w:val="21"/>
                      <w:szCs w:val="21"/>
                    </w:rPr>
                  </w:pPr>
                </w:p>
              </w:tc>
              <w:tc>
                <w:tcPr>
                  <w:tcW w:w="1517" w:type="dxa"/>
                  <w:vAlign w:val="center"/>
                </w:tcPr>
                <w:p w14:paraId="68ABC062">
                  <w:pPr>
                    <w:pStyle w:val="25"/>
                    <w:spacing w:after="0"/>
                    <w:ind w:left="0" w:leftChars="0" w:firstLine="0" w:firstLineChars="0"/>
                    <w:jc w:val="center"/>
                    <w:rPr>
                      <w:color w:val="auto"/>
                      <w:sz w:val="21"/>
                      <w:szCs w:val="21"/>
                    </w:rPr>
                  </w:pPr>
                  <w:r>
                    <w:rPr>
                      <w:rFonts w:hint="eastAsia"/>
                      <w:color w:val="auto"/>
                      <w:sz w:val="21"/>
                      <w:szCs w:val="21"/>
                    </w:rPr>
                    <w:t>聚乙烯树脂</w:t>
                  </w:r>
                </w:p>
              </w:tc>
              <w:tc>
                <w:tcPr>
                  <w:tcW w:w="1514" w:type="dxa"/>
                  <w:vAlign w:val="center"/>
                </w:tcPr>
                <w:p w14:paraId="5E6A301C">
                  <w:pPr>
                    <w:pStyle w:val="25"/>
                    <w:spacing w:after="0"/>
                    <w:ind w:left="0" w:leftChars="0" w:firstLine="0" w:firstLineChars="0"/>
                    <w:jc w:val="center"/>
                    <w:rPr>
                      <w:rFonts w:hint="default" w:eastAsia="宋体"/>
                      <w:color w:val="auto"/>
                      <w:sz w:val="21"/>
                      <w:szCs w:val="21"/>
                      <w:lang w:val="en-US" w:eastAsia="zh-CN"/>
                    </w:rPr>
                  </w:pPr>
                  <w:r>
                    <w:rPr>
                      <w:rFonts w:hint="eastAsia"/>
                      <w:color w:val="auto"/>
                      <w:sz w:val="21"/>
                      <w:szCs w:val="21"/>
                    </w:rPr>
                    <w:t>13</w:t>
                  </w:r>
                  <w:r>
                    <w:rPr>
                      <w:rFonts w:hint="eastAsia"/>
                      <w:color w:val="auto"/>
                      <w:sz w:val="21"/>
                      <w:szCs w:val="21"/>
                      <w:lang w:val="en-US" w:eastAsia="zh-CN"/>
                    </w:rPr>
                    <w:t>69.546</w:t>
                  </w:r>
                </w:p>
              </w:tc>
              <w:tc>
                <w:tcPr>
                  <w:tcW w:w="436" w:type="dxa"/>
                  <w:vMerge w:val="restart"/>
                  <w:vAlign w:val="center"/>
                </w:tcPr>
                <w:p w14:paraId="5C0AE481">
                  <w:pPr>
                    <w:pStyle w:val="25"/>
                    <w:spacing w:after="0"/>
                    <w:ind w:left="0" w:leftChars="0" w:firstLine="0" w:firstLineChars="0"/>
                    <w:jc w:val="center"/>
                    <w:rPr>
                      <w:color w:val="auto"/>
                      <w:sz w:val="21"/>
                      <w:szCs w:val="21"/>
                    </w:rPr>
                  </w:pPr>
                  <w:r>
                    <w:rPr>
                      <w:color w:val="auto"/>
                      <w:sz w:val="21"/>
                      <w:szCs w:val="21"/>
                    </w:rPr>
                    <w:t>废气</w:t>
                  </w:r>
                </w:p>
              </w:tc>
              <w:tc>
                <w:tcPr>
                  <w:tcW w:w="887" w:type="dxa"/>
                  <w:vAlign w:val="center"/>
                </w:tcPr>
                <w:p w14:paraId="47848253">
                  <w:pPr>
                    <w:pStyle w:val="25"/>
                    <w:spacing w:after="0"/>
                    <w:ind w:left="0" w:leftChars="0" w:firstLine="0" w:firstLineChars="0"/>
                    <w:jc w:val="center"/>
                    <w:rPr>
                      <w:rFonts w:hint="eastAsia" w:eastAsia="宋体"/>
                      <w:color w:val="auto"/>
                      <w:sz w:val="21"/>
                      <w:szCs w:val="21"/>
                      <w:lang w:val="en-US" w:eastAsia="zh-CN"/>
                    </w:rPr>
                  </w:pPr>
                  <w:r>
                    <w:rPr>
                      <w:rFonts w:hint="eastAsia"/>
                      <w:color w:val="auto"/>
                      <w:sz w:val="21"/>
                      <w:szCs w:val="21"/>
                      <w:lang w:val="en-US" w:eastAsia="zh-CN"/>
                    </w:rPr>
                    <w:t>有组织</w:t>
                  </w:r>
                </w:p>
              </w:tc>
              <w:tc>
                <w:tcPr>
                  <w:tcW w:w="1515" w:type="dxa"/>
                  <w:vAlign w:val="center"/>
                </w:tcPr>
                <w:p w14:paraId="3EBF2C13">
                  <w:pPr>
                    <w:pStyle w:val="25"/>
                    <w:spacing w:after="0"/>
                    <w:ind w:left="0" w:leftChars="0" w:firstLine="0" w:firstLineChars="0"/>
                    <w:jc w:val="center"/>
                    <w:rPr>
                      <w:color w:val="auto"/>
                      <w:sz w:val="21"/>
                      <w:szCs w:val="21"/>
                    </w:rPr>
                  </w:pPr>
                  <w:r>
                    <w:rPr>
                      <w:color w:val="auto"/>
                      <w:sz w:val="21"/>
                      <w:szCs w:val="21"/>
                    </w:rPr>
                    <w:t>非甲烷总烃</w:t>
                  </w:r>
                </w:p>
              </w:tc>
              <w:tc>
                <w:tcPr>
                  <w:tcW w:w="1396" w:type="dxa"/>
                  <w:vAlign w:val="center"/>
                </w:tcPr>
                <w:p w14:paraId="3BC5296F">
                  <w:pPr>
                    <w:pStyle w:val="25"/>
                    <w:spacing w:after="0"/>
                    <w:ind w:left="0" w:leftChars="0" w:firstLine="0" w:firstLineChars="0"/>
                    <w:jc w:val="center"/>
                    <w:rPr>
                      <w:rFonts w:hint="default" w:eastAsia="宋体"/>
                      <w:color w:val="auto"/>
                      <w:sz w:val="21"/>
                      <w:szCs w:val="21"/>
                      <w:lang w:val="en-US" w:eastAsia="zh-CN"/>
                    </w:rPr>
                  </w:pPr>
                  <w:r>
                    <w:rPr>
                      <w:rFonts w:hint="eastAsia"/>
                      <w:color w:val="auto"/>
                      <w:sz w:val="21"/>
                      <w:szCs w:val="21"/>
                      <w:lang w:val="en-US" w:eastAsia="zh-CN"/>
                    </w:rPr>
                    <w:t>2.66</w:t>
                  </w:r>
                </w:p>
              </w:tc>
            </w:tr>
            <w:tr w14:paraId="3015B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5" w:type="dxa"/>
                  <w:vMerge w:val="continue"/>
                  <w:vAlign w:val="center"/>
                </w:tcPr>
                <w:p w14:paraId="46B8D887">
                  <w:pPr>
                    <w:pStyle w:val="25"/>
                    <w:spacing w:after="0"/>
                    <w:ind w:left="0" w:leftChars="0" w:firstLine="0" w:firstLineChars="0"/>
                    <w:jc w:val="center"/>
                    <w:rPr>
                      <w:color w:val="auto"/>
                      <w:sz w:val="21"/>
                      <w:szCs w:val="21"/>
                    </w:rPr>
                  </w:pPr>
                </w:p>
              </w:tc>
              <w:tc>
                <w:tcPr>
                  <w:tcW w:w="1517" w:type="dxa"/>
                  <w:shd w:val="clear" w:color="auto" w:fill="auto"/>
                  <w:vAlign w:val="center"/>
                </w:tcPr>
                <w:p w14:paraId="603A4E86">
                  <w:pPr>
                    <w:pStyle w:val="25"/>
                    <w:spacing w:after="0"/>
                    <w:ind w:left="0" w:leftChars="0"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rPr>
                    <w:t>色母</w:t>
                  </w:r>
                </w:p>
              </w:tc>
              <w:tc>
                <w:tcPr>
                  <w:tcW w:w="1514" w:type="dxa"/>
                  <w:shd w:val="clear" w:color="auto" w:fill="auto"/>
                  <w:vAlign w:val="center"/>
                </w:tcPr>
                <w:p w14:paraId="20B9B0A6">
                  <w:pPr>
                    <w:pStyle w:val="25"/>
                    <w:spacing w:after="0"/>
                    <w:ind w:left="0" w:leftChars="0"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rPr>
                    <w:t>10</w:t>
                  </w:r>
                </w:p>
              </w:tc>
              <w:tc>
                <w:tcPr>
                  <w:tcW w:w="436" w:type="dxa"/>
                  <w:vMerge w:val="continue"/>
                  <w:vAlign w:val="center"/>
                </w:tcPr>
                <w:p w14:paraId="0BCF7632">
                  <w:pPr>
                    <w:pStyle w:val="25"/>
                    <w:spacing w:after="0"/>
                    <w:ind w:left="0" w:leftChars="0" w:firstLine="0" w:firstLineChars="0"/>
                    <w:jc w:val="center"/>
                    <w:rPr>
                      <w:color w:val="auto"/>
                      <w:sz w:val="21"/>
                      <w:szCs w:val="21"/>
                    </w:rPr>
                  </w:pPr>
                </w:p>
              </w:tc>
              <w:tc>
                <w:tcPr>
                  <w:tcW w:w="887" w:type="dxa"/>
                  <w:vAlign w:val="center"/>
                </w:tcPr>
                <w:p w14:paraId="384ADF68">
                  <w:pPr>
                    <w:pStyle w:val="25"/>
                    <w:spacing w:after="0"/>
                    <w:ind w:left="0" w:leftChars="0" w:firstLine="0" w:firstLineChars="0"/>
                    <w:jc w:val="center"/>
                    <w:rPr>
                      <w:rFonts w:hint="eastAsia" w:eastAsia="宋体"/>
                      <w:color w:val="auto"/>
                      <w:sz w:val="21"/>
                      <w:szCs w:val="21"/>
                      <w:lang w:val="en-US" w:eastAsia="zh-CN"/>
                    </w:rPr>
                  </w:pPr>
                  <w:r>
                    <w:rPr>
                      <w:rFonts w:hint="eastAsia"/>
                      <w:color w:val="auto"/>
                      <w:sz w:val="21"/>
                      <w:szCs w:val="21"/>
                      <w:lang w:val="en-US" w:eastAsia="zh-CN"/>
                    </w:rPr>
                    <w:t>无组织</w:t>
                  </w:r>
                </w:p>
              </w:tc>
              <w:tc>
                <w:tcPr>
                  <w:tcW w:w="1515" w:type="dxa"/>
                  <w:vAlign w:val="center"/>
                </w:tcPr>
                <w:p w14:paraId="67B45458">
                  <w:pPr>
                    <w:pStyle w:val="25"/>
                    <w:spacing w:after="0"/>
                    <w:ind w:left="0" w:leftChars="0" w:firstLine="0" w:firstLineChars="0"/>
                    <w:jc w:val="center"/>
                    <w:rPr>
                      <w:color w:val="auto"/>
                      <w:sz w:val="21"/>
                      <w:szCs w:val="21"/>
                    </w:rPr>
                  </w:pPr>
                  <w:r>
                    <w:rPr>
                      <w:color w:val="auto"/>
                      <w:sz w:val="21"/>
                      <w:szCs w:val="21"/>
                    </w:rPr>
                    <w:t>非甲烷总烃</w:t>
                  </w:r>
                </w:p>
              </w:tc>
              <w:tc>
                <w:tcPr>
                  <w:tcW w:w="1396" w:type="dxa"/>
                  <w:vAlign w:val="center"/>
                </w:tcPr>
                <w:p w14:paraId="1CA55A14">
                  <w:pPr>
                    <w:pStyle w:val="25"/>
                    <w:spacing w:after="0"/>
                    <w:ind w:left="0" w:leftChars="0" w:firstLine="0" w:firstLineChars="0"/>
                    <w:jc w:val="center"/>
                    <w:rPr>
                      <w:rFonts w:hint="default" w:eastAsia="宋体"/>
                      <w:color w:val="auto"/>
                      <w:sz w:val="21"/>
                      <w:szCs w:val="21"/>
                      <w:lang w:val="en-US" w:eastAsia="zh-CN"/>
                    </w:rPr>
                  </w:pPr>
                  <w:r>
                    <w:rPr>
                      <w:rFonts w:hint="eastAsia"/>
                      <w:color w:val="auto"/>
                      <w:sz w:val="21"/>
                      <w:szCs w:val="21"/>
                      <w:lang w:val="en-US" w:eastAsia="zh-CN"/>
                    </w:rPr>
                    <w:t>1.35</w:t>
                  </w:r>
                </w:p>
              </w:tc>
            </w:tr>
            <w:tr w14:paraId="44F88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5" w:type="dxa"/>
                  <w:vMerge w:val="continue"/>
                  <w:vAlign w:val="center"/>
                </w:tcPr>
                <w:p w14:paraId="2CCC880D">
                  <w:pPr>
                    <w:pStyle w:val="25"/>
                    <w:spacing w:after="0"/>
                    <w:ind w:left="0" w:leftChars="0" w:firstLine="0" w:firstLineChars="0"/>
                    <w:jc w:val="center"/>
                    <w:rPr>
                      <w:color w:val="auto"/>
                      <w:sz w:val="21"/>
                      <w:szCs w:val="21"/>
                    </w:rPr>
                  </w:pPr>
                </w:p>
              </w:tc>
              <w:tc>
                <w:tcPr>
                  <w:tcW w:w="1517" w:type="dxa"/>
                  <w:shd w:val="clear" w:color="auto" w:fill="auto"/>
                  <w:vAlign w:val="center"/>
                </w:tcPr>
                <w:p w14:paraId="228FE642">
                  <w:pPr>
                    <w:pStyle w:val="25"/>
                    <w:spacing w:after="0"/>
                    <w:ind w:left="0" w:leftChars="0" w:firstLine="0" w:firstLineChars="0"/>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把手</w:t>
                  </w:r>
                </w:p>
              </w:tc>
              <w:tc>
                <w:tcPr>
                  <w:tcW w:w="1514" w:type="dxa"/>
                  <w:shd w:val="clear" w:color="auto" w:fill="auto"/>
                  <w:vAlign w:val="center"/>
                </w:tcPr>
                <w:p w14:paraId="162A5F1B">
                  <w:pPr>
                    <w:pStyle w:val="25"/>
                    <w:spacing w:after="0"/>
                    <w:ind w:left="0" w:leftChars="0" w:firstLine="0" w:firstLineChars="0"/>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100</w:t>
                  </w:r>
                </w:p>
              </w:tc>
              <w:tc>
                <w:tcPr>
                  <w:tcW w:w="436" w:type="dxa"/>
                  <w:vMerge w:val="continue"/>
                  <w:vAlign w:val="center"/>
                </w:tcPr>
                <w:p w14:paraId="596A53A9">
                  <w:pPr>
                    <w:pStyle w:val="25"/>
                    <w:spacing w:after="0"/>
                    <w:ind w:left="0" w:leftChars="0" w:firstLine="0" w:firstLineChars="0"/>
                    <w:jc w:val="center"/>
                    <w:rPr>
                      <w:color w:val="auto"/>
                      <w:sz w:val="21"/>
                      <w:szCs w:val="21"/>
                    </w:rPr>
                  </w:pPr>
                </w:p>
              </w:tc>
              <w:tc>
                <w:tcPr>
                  <w:tcW w:w="887" w:type="dxa"/>
                  <w:vAlign w:val="center"/>
                </w:tcPr>
                <w:p w14:paraId="0D6E2706">
                  <w:pPr>
                    <w:pStyle w:val="25"/>
                    <w:spacing w:after="0"/>
                    <w:ind w:left="0" w:leftChars="0" w:firstLine="0" w:firstLineChars="0"/>
                    <w:jc w:val="center"/>
                    <w:rPr>
                      <w:rFonts w:hint="eastAsia" w:eastAsia="宋体"/>
                      <w:color w:val="auto"/>
                      <w:sz w:val="21"/>
                      <w:szCs w:val="21"/>
                      <w:lang w:val="en-US" w:eastAsia="zh-CN"/>
                    </w:rPr>
                  </w:pPr>
                  <w:r>
                    <w:rPr>
                      <w:rFonts w:hint="eastAsia"/>
                      <w:color w:val="auto"/>
                      <w:sz w:val="21"/>
                      <w:szCs w:val="21"/>
                      <w:lang w:val="en-US" w:eastAsia="zh-CN"/>
                    </w:rPr>
                    <w:t>无组织</w:t>
                  </w:r>
                </w:p>
              </w:tc>
              <w:tc>
                <w:tcPr>
                  <w:tcW w:w="1515" w:type="dxa"/>
                  <w:vAlign w:val="center"/>
                </w:tcPr>
                <w:p w14:paraId="1FAA2801">
                  <w:pPr>
                    <w:pStyle w:val="25"/>
                    <w:spacing w:after="0"/>
                    <w:ind w:left="0" w:leftChars="0" w:firstLine="0" w:firstLineChars="0"/>
                    <w:jc w:val="center"/>
                    <w:rPr>
                      <w:color w:val="auto"/>
                      <w:sz w:val="21"/>
                      <w:szCs w:val="21"/>
                    </w:rPr>
                  </w:pPr>
                  <w:r>
                    <w:rPr>
                      <w:rFonts w:hint="eastAsia"/>
                      <w:color w:val="auto"/>
                      <w:sz w:val="21"/>
                      <w:szCs w:val="21"/>
                    </w:rPr>
                    <w:t>颗粒物</w:t>
                  </w:r>
                </w:p>
              </w:tc>
              <w:tc>
                <w:tcPr>
                  <w:tcW w:w="1396" w:type="dxa"/>
                  <w:vAlign w:val="center"/>
                </w:tcPr>
                <w:p w14:paraId="4C960E71">
                  <w:pPr>
                    <w:pStyle w:val="25"/>
                    <w:spacing w:after="0"/>
                    <w:ind w:left="0" w:leftChars="0" w:firstLine="0" w:firstLineChars="0"/>
                    <w:jc w:val="center"/>
                    <w:rPr>
                      <w:color w:val="auto"/>
                      <w:sz w:val="21"/>
                      <w:szCs w:val="21"/>
                    </w:rPr>
                  </w:pPr>
                  <w:r>
                    <w:rPr>
                      <w:rFonts w:hint="eastAsia"/>
                      <w:color w:val="auto"/>
                      <w:sz w:val="21"/>
                      <w:szCs w:val="21"/>
                    </w:rPr>
                    <w:t>4.51×10</w:t>
                  </w:r>
                  <w:r>
                    <w:rPr>
                      <w:rFonts w:hint="eastAsia"/>
                      <w:color w:val="auto"/>
                      <w:sz w:val="21"/>
                      <w:szCs w:val="21"/>
                      <w:vertAlign w:val="superscript"/>
                    </w:rPr>
                    <w:t>-4</w:t>
                  </w:r>
                </w:p>
              </w:tc>
            </w:tr>
            <w:tr w14:paraId="63202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165" w:type="dxa"/>
                  <w:vMerge w:val="continue"/>
                  <w:vAlign w:val="center"/>
                </w:tcPr>
                <w:p w14:paraId="1AC3FB9A">
                  <w:pPr>
                    <w:pStyle w:val="25"/>
                    <w:spacing w:after="0"/>
                    <w:ind w:left="0" w:leftChars="0" w:firstLine="0" w:firstLineChars="0"/>
                    <w:jc w:val="center"/>
                    <w:rPr>
                      <w:color w:val="auto"/>
                      <w:sz w:val="21"/>
                      <w:szCs w:val="21"/>
                    </w:rPr>
                  </w:pPr>
                </w:p>
              </w:tc>
              <w:tc>
                <w:tcPr>
                  <w:tcW w:w="1517" w:type="dxa"/>
                  <w:shd w:val="clear" w:color="auto" w:fill="auto"/>
                  <w:vAlign w:val="center"/>
                </w:tcPr>
                <w:p w14:paraId="66444053">
                  <w:pPr>
                    <w:pStyle w:val="25"/>
                    <w:spacing w:after="0"/>
                    <w:ind w:left="0" w:leftChars="0" w:firstLine="0" w:firstLineChars="0"/>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热转印膜</w:t>
                  </w:r>
                </w:p>
              </w:tc>
              <w:tc>
                <w:tcPr>
                  <w:tcW w:w="1514" w:type="dxa"/>
                  <w:shd w:val="clear" w:color="auto" w:fill="auto"/>
                  <w:vAlign w:val="center"/>
                </w:tcPr>
                <w:p w14:paraId="64E77D66">
                  <w:pPr>
                    <w:pStyle w:val="25"/>
                    <w:spacing w:after="0"/>
                    <w:ind w:left="0" w:leftChars="0" w:firstLine="0" w:firstLineChars="0"/>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25</w:t>
                  </w:r>
                </w:p>
              </w:tc>
              <w:tc>
                <w:tcPr>
                  <w:tcW w:w="436" w:type="dxa"/>
                  <w:shd w:val="clear" w:color="auto" w:fill="auto"/>
                  <w:vAlign w:val="center"/>
                </w:tcPr>
                <w:p w14:paraId="1A345F12">
                  <w:pPr>
                    <w:pStyle w:val="25"/>
                    <w:spacing w:after="0"/>
                    <w:ind w:left="0" w:leftChars="0" w:firstLine="0" w:firstLineChars="0"/>
                    <w:jc w:val="center"/>
                    <w:rPr>
                      <w:color w:val="auto"/>
                      <w:sz w:val="21"/>
                      <w:szCs w:val="21"/>
                    </w:rPr>
                  </w:pPr>
                  <w:r>
                    <w:rPr>
                      <w:rFonts w:hint="eastAsia"/>
                      <w:color w:val="auto"/>
                      <w:sz w:val="21"/>
                      <w:szCs w:val="21"/>
                    </w:rPr>
                    <w:t>固废</w:t>
                  </w:r>
                </w:p>
              </w:tc>
              <w:tc>
                <w:tcPr>
                  <w:tcW w:w="887" w:type="dxa"/>
                  <w:shd w:val="clear" w:color="auto" w:fill="auto"/>
                  <w:vAlign w:val="center"/>
                </w:tcPr>
                <w:p w14:paraId="75F88E65">
                  <w:pPr>
                    <w:pStyle w:val="25"/>
                    <w:spacing w:after="0"/>
                    <w:ind w:left="0" w:leftChars="0"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w:t>
                  </w:r>
                </w:p>
              </w:tc>
              <w:tc>
                <w:tcPr>
                  <w:tcW w:w="1515" w:type="dxa"/>
                  <w:shd w:val="clear" w:color="auto" w:fill="auto"/>
                  <w:vAlign w:val="center"/>
                </w:tcPr>
                <w:p w14:paraId="75F85F05">
                  <w:pPr>
                    <w:pStyle w:val="25"/>
                    <w:spacing w:after="0"/>
                    <w:ind w:left="0" w:leftChars="0" w:firstLine="0" w:firstLineChars="0"/>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废转印膜</w:t>
                  </w:r>
                </w:p>
              </w:tc>
              <w:tc>
                <w:tcPr>
                  <w:tcW w:w="1396" w:type="dxa"/>
                  <w:shd w:val="clear" w:color="auto" w:fill="auto"/>
                  <w:vAlign w:val="center"/>
                </w:tcPr>
                <w:p w14:paraId="09AEF564">
                  <w:pPr>
                    <w:pStyle w:val="25"/>
                    <w:spacing w:after="0"/>
                    <w:ind w:left="0" w:lef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rPr>
                    <w:t>0.535</w:t>
                  </w:r>
                  <w:r>
                    <w:rPr>
                      <w:rFonts w:hint="eastAsia"/>
                      <w:color w:val="auto"/>
                      <w:sz w:val="21"/>
                      <w:szCs w:val="21"/>
                      <w:lang w:val="en-US" w:eastAsia="zh-CN"/>
                    </w:rPr>
                    <w:t>549</w:t>
                  </w:r>
                </w:p>
              </w:tc>
            </w:tr>
            <w:tr w14:paraId="489CA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5" w:type="dxa"/>
                  <w:vAlign w:val="center"/>
                </w:tcPr>
                <w:p w14:paraId="0BB895B6">
                  <w:pPr>
                    <w:pStyle w:val="25"/>
                    <w:spacing w:after="0"/>
                    <w:ind w:left="0" w:leftChars="0" w:firstLine="0" w:firstLineChars="0"/>
                    <w:jc w:val="center"/>
                    <w:rPr>
                      <w:color w:val="auto"/>
                      <w:sz w:val="21"/>
                      <w:szCs w:val="21"/>
                    </w:rPr>
                  </w:pPr>
                  <w:r>
                    <w:rPr>
                      <w:color w:val="auto"/>
                      <w:sz w:val="21"/>
                      <w:szCs w:val="21"/>
                    </w:rPr>
                    <w:t>合计</w:t>
                  </w:r>
                </w:p>
              </w:tc>
              <w:tc>
                <w:tcPr>
                  <w:tcW w:w="1517" w:type="dxa"/>
                  <w:vAlign w:val="center"/>
                </w:tcPr>
                <w:p w14:paraId="1F3E0824">
                  <w:pPr>
                    <w:pStyle w:val="25"/>
                    <w:spacing w:after="0"/>
                    <w:ind w:left="0" w:leftChars="0" w:firstLine="0" w:firstLineChars="0"/>
                    <w:jc w:val="center"/>
                    <w:rPr>
                      <w:color w:val="auto"/>
                      <w:sz w:val="21"/>
                      <w:szCs w:val="21"/>
                    </w:rPr>
                  </w:pPr>
                  <w:r>
                    <w:rPr>
                      <w:rFonts w:hint="eastAsia"/>
                      <w:color w:val="auto"/>
                      <w:sz w:val="21"/>
                      <w:szCs w:val="21"/>
                    </w:rPr>
                    <w:t>/</w:t>
                  </w:r>
                </w:p>
              </w:tc>
              <w:tc>
                <w:tcPr>
                  <w:tcW w:w="1514" w:type="dxa"/>
                  <w:vAlign w:val="center"/>
                </w:tcPr>
                <w:p w14:paraId="73BA4774">
                  <w:pPr>
                    <w:pStyle w:val="25"/>
                    <w:spacing w:after="0"/>
                    <w:ind w:left="0" w:leftChars="0" w:firstLine="0" w:firstLineChars="0"/>
                    <w:jc w:val="center"/>
                    <w:rPr>
                      <w:color w:val="auto"/>
                      <w:sz w:val="21"/>
                      <w:szCs w:val="21"/>
                    </w:rPr>
                  </w:pPr>
                  <w:r>
                    <w:rPr>
                      <w:rFonts w:hint="eastAsia"/>
                      <w:color w:val="auto"/>
                      <w:sz w:val="21"/>
                      <w:szCs w:val="21"/>
                    </w:rPr>
                    <w:t>25</w:t>
                  </w:r>
                  <w:r>
                    <w:rPr>
                      <w:rFonts w:hint="eastAsia"/>
                      <w:color w:val="auto"/>
                      <w:sz w:val="21"/>
                      <w:szCs w:val="21"/>
                      <w:lang w:val="en-US" w:eastAsia="zh-CN"/>
                    </w:rPr>
                    <w:t>04.546</w:t>
                  </w:r>
                </w:p>
              </w:tc>
              <w:tc>
                <w:tcPr>
                  <w:tcW w:w="1323" w:type="dxa"/>
                  <w:gridSpan w:val="2"/>
                  <w:vAlign w:val="center"/>
                </w:tcPr>
                <w:p w14:paraId="7D5225A3">
                  <w:pPr>
                    <w:pStyle w:val="25"/>
                    <w:spacing w:after="0"/>
                    <w:ind w:left="0" w:leftChars="0" w:firstLine="0" w:firstLineChars="0"/>
                    <w:jc w:val="center"/>
                    <w:rPr>
                      <w:color w:val="auto"/>
                      <w:sz w:val="21"/>
                      <w:szCs w:val="21"/>
                    </w:rPr>
                  </w:pPr>
                  <w:r>
                    <w:rPr>
                      <w:color w:val="auto"/>
                      <w:sz w:val="21"/>
                      <w:szCs w:val="21"/>
                    </w:rPr>
                    <w:t>合计</w:t>
                  </w:r>
                </w:p>
              </w:tc>
              <w:tc>
                <w:tcPr>
                  <w:tcW w:w="1515" w:type="dxa"/>
                  <w:vAlign w:val="center"/>
                </w:tcPr>
                <w:p w14:paraId="0A0F79E6">
                  <w:pPr>
                    <w:pStyle w:val="25"/>
                    <w:spacing w:after="0"/>
                    <w:ind w:left="0" w:leftChars="0" w:firstLine="0" w:firstLineChars="0"/>
                    <w:jc w:val="center"/>
                    <w:rPr>
                      <w:color w:val="auto"/>
                      <w:sz w:val="21"/>
                      <w:szCs w:val="21"/>
                    </w:rPr>
                  </w:pPr>
                  <w:r>
                    <w:rPr>
                      <w:rFonts w:hint="eastAsia"/>
                      <w:color w:val="auto"/>
                      <w:sz w:val="21"/>
                      <w:szCs w:val="21"/>
                    </w:rPr>
                    <w:t>/</w:t>
                  </w:r>
                </w:p>
              </w:tc>
              <w:tc>
                <w:tcPr>
                  <w:tcW w:w="1396" w:type="dxa"/>
                  <w:vAlign w:val="center"/>
                </w:tcPr>
                <w:p w14:paraId="7330109B">
                  <w:pPr>
                    <w:pStyle w:val="25"/>
                    <w:spacing w:after="0"/>
                    <w:ind w:left="0" w:leftChars="0" w:firstLine="0" w:firstLineChars="0"/>
                    <w:jc w:val="center"/>
                    <w:rPr>
                      <w:rFonts w:hint="default" w:eastAsia="宋体"/>
                      <w:color w:val="auto"/>
                      <w:sz w:val="21"/>
                      <w:szCs w:val="21"/>
                      <w:lang w:val="en-US" w:eastAsia="zh-CN"/>
                    </w:rPr>
                  </w:pPr>
                  <w:r>
                    <w:rPr>
                      <w:rFonts w:hint="eastAsia"/>
                      <w:color w:val="auto"/>
                      <w:sz w:val="21"/>
                      <w:szCs w:val="21"/>
                    </w:rPr>
                    <w:t>25</w:t>
                  </w:r>
                  <w:r>
                    <w:rPr>
                      <w:rFonts w:hint="eastAsia"/>
                      <w:color w:val="auto"/>
                      <w:sz w:val="21"/>
                      <w:szCs w:val="21"/>
                      <w:lang w:val="en-US" w:eastAsia="zh-CN"/>
                    </w:rPr>
                    <w:t>04.546</w:t>
                  </w:r>
                </w:p>
              </w:tc>
            </w:tr>
          </w:tbl>
          <w:p w14:paraId="51E2068A">
            <w:pPr>
              <w:adjustRightInd w:val="0"/>
              <w:snapToGrid w:val="0"/>
              <w:spacing w:before="120" w:beforeLines="50" w:line="360" w:lineRule="auto"/>
              <w:ind w:firstLine="482" w:firstLineChars="200"/>
              <w:rPr>
                <w:b/>
                <w:bCs/>
                <w:color w:val="auto"/>
                <w:sz w:val="24"/>
              </w:rPr>
            </w:pPr>
            <w:r>
              <w:rPr>
                <w:rFonts w:hint="eastAsia"/>
                <w:b/>
                <w:bCs/>
                <w:color w:val="auto"/>
                <w:sz w:val="24"/>
              </w:rPr>
              <w:t>5</w:t>
            </w:r>
            <w:r>
              <w:rPr>
                <w:b/>
                <w:bCs/>
                <w:color w:val="auto"/>
                <w:sz w:val="24"/>
              </w:rPr>
              <w:t>、平面布置</w:t>
            </w:r>
          </w:p>
          <w:p w14:paraId="44379551">
            <w:pPr>
              <w:widowControl/>
              <w:adjustRightInd w:val="0"/>
              <w:snapToGrid w:val="0"/>
              <w:spacing w:line="360" w:lineRule="auto"/>
              <w:ind w:firstLine="480" w:firstLineChars="200"/>
              <w:rPr>
                <w:color w:val="auto"/>
                <w:sz w:val="24"/>
              </w:rPr>
            </w:pPr>
            <w:r>
              <w:rPr>
                <w:rFonts w:hint="eastAsia"/>
                <w:color w:val="auto"/>
                <w:sz w:val="24"/>
              </w:rPr>
              <w:t>本项目租赁沣东新城斗门街道花园村村东独院，生产区分为铁桶生产区</w:t>
            </w:r>
            <w:r>
              <w:rPr>
                <w:rFonts w:hint="eastAsia"/>
                <w:color w:val="auto"/>
                <w:sz w:val="24"/>
                <w:lang w:val="en-US" w:eastAsia="zh-CN"/>
              </w:rPr>
              <w:t>塑料桶生产区，在已建厂房内塑料桶生产区由北至南依次分布</w:t>
            </w:r>
            <w:r>
              <w:rPr>
                <w:rFonts w:hint="eastAsia"/>
                <w:color w:val="auto"/>
                <w:sz w:val="24"/>
              </w:rPr>
              <w:t>热转印区、</w:t>
            </w:r>
            <w:r>
              <w:rPr>
                <w:rFonts w:hint="eastAsia"/>
                <w:color w:val="auto"/>
                <w:sz w:val="24"/>
                <w:lang w:val="en-US" w:eastAsia="zh-CN"/>
              </w:rPr>
              <w:t>成品盖子区、</w:t>
            </w:r>
            <w:r>
              <w:rPr>
                <w:rFonts w:hint="eastAsia"/>
                <w:color w:val="auto"/>
                <w:sz w:val="24"/>
              </w:rPr>
              <w:t>原料区</w:t>
            </w:r>
            <w:r>
              <w:rPr>
                <w:rFonts w:hint="eastAsia"/>
                <w:color w:val="auto"/>
                <w:sz w:val="24"/>
                <w:lang w:eastAsia="zh-CN"/>
              </w:rPr>
              <w:t>、</w:t>
            </w:r>
            <w:r>
              <w:rPr>
                <w:rFonts w:hint="eastAsia"/>
                <w:color w:val="auto"/>
                <w:sz w:val="24"/>
              </w:rPr>
              <w:t>注塑区、成品库</w:t>
            </w:r>
            <w:r>
              <w:rPr>
                <w:rFonts w:hint="eastAsia"/>
                <w:color w:val="auto"/>
                <w:sz w:val="24"/>
                <w:lang w:val="en-US" w:eastAsia="zh-CN"/>
              </w:rPr>
              <w:t>2、成品库3</w:t>
            </w:r>
            <w:r>
              <w:rPr>
                <w:rFonts w:hint="eastAsia"/>
                <w:color w:val="auto"/>
                <w:sz w:val="24"/>
              </w:rPr>
              <w:t>、破碎区，分布既满足项目的生产又便于管理，使设备排列合理、流畅、操作方便。平面布</w:t>
            </w:r>
            <w:r>
              <w:rPr>
                <w:rFonts w:hint="eastAsia"/>
                <w:color w:val="auto"/>
                <w:sz w:val="24"/>
              </w:rPr>
              <w:t>置功能分区明确，生产流程顺畅，物料运输顺畅。从总体来看，项目总平面布置合理，具体平面布置见附图2。</w:t>
            </w:r>
          </w:p>
          <w:p w14:paraId="38A31030">
            <w:pPr>
              <w:adjustRightInd w:val="0"/>
              <w:snapToGrid w:val="0"/>
              <w:spacing w:line="360" w:lineRule="auto"/>
              <w:ind w:firstLine="482" w:firstLineChars="200"/>
              <w:rPr>
                <w:b/>
                <w:color w:val="auto"/>
                <w:sz w:val="24"/>
              </w:rPr>
            </w:pPr>
            <w:r>
              <w:rPr>
                <w:rFonts w:hint="eastAsia"/>
                <w:b/>
                <w:color w:val="auto"/>
                <w:sz w:val="24"/>
              </w:rPr>
              <w:t>6</w:t>
            </w:r>
            <w:r>
              <w:rPr>
                <w:b/>
                <w:color w:val="auto"/>
                <w:sz w:val="24"/>
              </w:rPr>
              <w:t>、</w:t>
            </w:r>
            <w:r>
              <w:rPr>
                <w:rFonts w:hint="eastAsia"/>
                <w:b/>
                <w:color w:val="auto"/>
                <w:sz w:val="24"/>
              </w:rPr>
              <w:t>劳动定员</w:t>
            </w:r>
            <w:r>
              <w:rPr>
                <w:b/>
                <w:color w:val="auto"/>
                <w:sz w:val="24"/>
              </w:rPr>
              <w:t>及工作制度</w:t>
            </w:r>
          </w:p>
          <w:p w14:paraId="5D45F85E">
            <w:pPr>
              <w:adjustRightInd w:val="0"/>
              <w:snapToGrid w:val="0"/>
              <w:spacing w:line="360" w:lineRule="auto"/>
              <w:ind w:firstLine="480" w:firstLineChars="200"/>
              <w:jc w:val="left"/>
              <w:rPr>
                <w:color w:val="auto"/>
                <w:sz w:val="24"/>
              </w:rPr>
            </w:pPr>
            <w:r>
              <w:rPr>
                <w:color w:val="auto"/>
                <w:sz w:val="24"/>
              </w:rPr>
              <w:t>本项目</w:t>
            </w:r>
            <w:r>
              <w:rPr>
                <w:rFonts w:hint="eastAsia"/>
                <w:color w:val="auto"/>
                <w:sz w:val="24"/>
              </w:rPr>
              <w:t>新增劳动定员5</w:t>
            </w:r>
            <w:r>
              <w:rPr>
                <w:color w:val="auto"/>
                <w:sz w:val="24"/>
              </w:rPr>
              <w:t>人，年</w:t>
            </w:r>
            <w:r>
              <w:rPr>
                <w:rFonts w:hint="eastAsia"/>
                <w:color w:val="auto"/>
                <w:sz w:val="24"/>
              </w:rPr>
              <w:t>工作330</w:t>
            </w:r>
            <w:r>
              <w:rPr>
                <w:color w:val="auto"/>
                <w:sz w:val="24"/>
              </w:rPr>
              <w:t>d，</w:t>
            </w:r>
            <w:r>
              <w:rPr>
                <w:rFonts w:hint="eastAsia"/>
                <w:color w:val="auto"/>
                <w:sz w:val="24"/>
              </w:rPr>
              <w:t>每天工作时间为24h（2班制）。住宿20人，不设食堂</w:t>
            </w:r>
            <w:r>
              <w:rPr>
                <w:color w:val="auto"/>
                <w:sz w:val="24"/>
              </w:rPr>
              <w:t>。</w:t>
            </w:r>
          </w:p>
          <w:p w14:paraId="4C971865">
            <w:pPr>
              <w:spacing w:line="360" w:lineRule="auto"/>
              <w:ind w:firstLine="482" w:firstLineChars="200"/>
              <w:rPr>
                <w:b/>
                <w:bCs/>
                <w:color w:val="auto"/>
                <w:sz w:val="24"/>
              </w:rPr>
            </w:pPr>
            <w:r>
              <w:rPr>
                <w:rFonts w:hint="eastAsia"/>
                <w:b/>
                <w:bCs/>
                <w:color w:val="auto"/>
                <w:sz w:val="24"/>
              </w:rPr>
              <w:t>7</w:t>
            </w:r>
            <w:r>
              <w:rPr>
                <w:b/>
                <w:bCs/>
                <w:color w:val="auto"/>
                <w:sz w:val="24"/>
              </w:rPr>
              <w:t>、</w:t>
            </w:r>
            <w:r>
              <w:rPr>
                <w:rFonts w:hint="eastAsia"/>
                <w:b/>
                <w:bCs/>
                <w:color w:val="auto"/>
                <w:sz w:val="24"/>
              </w:rPr>
              <w:t>公用工程</w:t>
            </w:r>
          </w:p>
          <w:p w14:paraId="4A8C0C6B">
            <w:pPr>
              <w:pStyle w:val="65"/>
              <w:spacing w:line="360" w:lineRule="auto"/>
              <w:rPr>
                <w:rFonts w:hAnsi="Times New Roman" w:cs="Times New Roman"/>
                <w:color w:val="auto"/>
                <w:szCs w:val="24"/>
              </w:rPr>
            </w:pPr>
            <w:r>
              <w:rPr>
                <w:rFonts w:hAnsi="Times New Roman" w:cs="Times New Roman"/>
                <w:color w:val="auto"/>
                <w:szCs w:val="24"/>
              </w:rPr>
              <w:t>（1）给</w:t>
            </w:r>
            <w:r>
              <w:rPr>
                <w:rFonts w:hint="eastAsia" w:hAnsi="Times New Roman" w:cs="Times New Roman"/>
                <w:color w:val="auto"/>
                <w:szCs w:val="24"/>
              </w:rPr>
              <w:t>排</w:t>
            </w:r>
            <w:r>
              <w:rPr>
                <w:rFonts w:hAnsi="Times New Roman" w:cs="Times New Roman"/>
                <w:color w:val="auto"/>
                <w:szCs w:val="24"/>
              </w:rPr>
              <w:t>水</w:t>
            </w:r>
          </w:p>
          <w:p w14:paraId="33175008">
            <w:pPr>
              <w:pStyle w:val="65"/>
              <w:spacing w:line="360" w:lineRule="auto"/>
              <w:rPr>
                <w:color w:val="auto"/>
                <w:kern w:val="0"/>
              </w:rPr>
            </w:pPr>
            <w:r>
              <w:rPr>
                <w:rFonts w:hint="eastAsia"/>
                <w:color w:val="auto"/>
                <w:kern w:val="0"/>
              </w:rPr>
              <w:t>项目用水由市政供水管网提供，主要用水为生活用水和冷却用水。项目排水主要为生活污水。</w:t>
            </w:r>
          </w:p>
          <w:p w14:paraId="5142458A">
            <w:pPr>
              <w:pStyle w:val="65"/>
              <w:spacing w:line="360" w:lineRule="auto"/>
              <w:rPr>
                <w:rFonts w:hAnsi="Times New Roman" w:cs="Times New Roman"/>
                <w:color w:val="auto"/>
                <w:szCs w:val="24"/>
              </w:rPr>
            </w:pPr>
            <w:r>
              <w:rPr>
                <w:rFonts w:hint="eastAsia" w:hAnsi="Times New Roman" w:cs="Times New Roman"/>
                <w:color w:val="auto"/>
                <w:szCs w:val="24"/>
              </w:rPr>
              <w:t>①生活用水</w:t>
            </w:r>
          </w:p>
          <w:p w14:paraId="4F08A5B5">
            <w:pPr>
              <w:pStyle w:val="65"/>
              <w:spacing w:line="360" w:lineRule="auto"/>
              <w:rPr>
                <w:rFonts w:hAnsi="Times New Roman" w:cs="Times New Roman"/>
                <w:snapToGrid w:val="0"/>
                <w:color w:val="auto"/>
                <w:szCs w:val="24"/>
              </w:rPr>
            </w:pPr>
            <w:r>
              <w:rPr>
                <w:rFonts w:hint="eastAsia" w:hAnsi="Times New Roman" w:cs="Times New Roman"/>
                <w:color w:val="auto"/>
                <w:szCs w:val="24"/>
              </w:rPr>
              <w:t>项目新增</w:t>
            </w:r>
            <w:r>
              <w:rPr>
                <w:rFonts w:hint="eastAsia"/>
                <w:color w:val="auto"/>
              </w:rPr>
              <w:t>劳动定员</w:t>
            </w:r>
            <w:r>
              <w:rPr>
                <w:rFonts w:hint="eastAsia" w:hAnsi="Times New Roman" w:cs="Times New Roman"/>
                <w:color w:val="auto"/>
                <w:szCs w:val="24"/>
              </w:rPr>
              <w:t>5人，年工作330天</w:t>
            </w:r>
            <w:r>
              <w:rPr>
                <w:rFonts w:hAnsi="Times New Roman" w:cs="Times New Roman"/>
                <w:color w:val="auto"/>
                <w:szCs w:val="24"/>
              </w:rPr>
              <w:t>。</w:t>
            </w:r>
            <w:r>
              <w:rPr>
                <w:rFonts w:hint="eastAsia" w:hAnsi="Times New Roman" w:cs="Times New Roman"/>
                <w:color w:val="auto"/>
                <w:szCs w:val="24"/>
              </w:rPr>
              <w:t>根据</w:t>
            </w:r>
            <w:r>
              <w:rPr>
                <w:rFonts w:hAnsi="Times New Roman" w:cs="Times New Roman"/>
                <w:snapToGrid w:val="0"/>
                <w:color w:val="auto"/>
                <w:szCs w:val="24"/>
              </w:rPr>
              <w:t>陕西省《行业用水定额》（DB 61/T 943-2020）</w:t>
            </w:r>
            <w:r>
              <w:rPr>
                <w:rFonts w:hint="eastAsia" w:hAnsi="Times New Roman" w:cs="Times New Roman"/>
                <w:snapToGrid w:val="0"/>
                <w:color w:val="auto"/>
                <w:szCs w:val="24"/>
              </w:rPr>
              <w:t>中表B.17，行政办公用水通用值定额为25m</w:t>
            </w:r>
            <w:r>
              <w:rPr>
                <w:rFonts w:hint="eastAsia" w:hAnsi="Times New Roman" w:cs="Times New Roman"/>
                <w:snapToGrid w:val="0"/>
                <w:color w:val="auto"/>
                <w:szCs w:val="24"/>
                <w:vertAlign w:val="superscript"/>
              </w:rPr>
              <w:t>3</w:t>
            </w:r>
            <w:r>
              <w:rPr>
                <w:rFonts w:hint="eastAsia" w:hAnsi="Times New Roman" w:cs="Times New Roman"/>
                <w:snapToGrid w:val="0"/>
                <w:color w:val="auto"/>
                <w:szCs w:val="24"/>
              </w:rPr>
              <w:t>/（人·a），则本</w:t>
            </w:r>
            <w:r>
              <w:rPr>
                <w:rFonts w:hAnsi="Times New Roman" w:cs="Times New Roman"/>
                <w:color w:val="auto"/>
              </w:rPr>
              <w:t>项目生活用水量为</w:t>
            </w:r>
            <w:r>
              <w:rPr>
                <w:rFonts w:hint="eastAsia" w:hAnsi="Times New Roman" w:cs="Times New Roman"/>
                <w:snapToGrid w:val="0"/>
                <w:color w:val="auto"/>
                <w:szCs w:val="24"/>
              </w:rPr>
              <w:t>0.38</w:t>
            </w:r>
            <w:r>
              <w:rPr>
                <w:rFonts w:hAnsi="Times New Roman" w:cs="Times New Roman"/>
                <w:snapToGrid w:val="0"/>
                <w:color w:val="auto"/>
                <w:szCs w:val="24"/>
              </w:rPr>
              <w:t>m</w:t>
            </w:r>
            <w:r>
              <w:rPr>
                <w:rFonts w:hAnsi="Times New Roman" w:cs="Times New Roman"/>
                <w:snapToGrid w:val="0"/>
                <w:color w:val="auto"/>
                <w:szCs w:val="24"/>
                <w:vertAlign w:val="superscript"/>
              </w:rPr>
              <w:t>3</w:t>
            </w:r>
            <w:r>
              <w:rPr>
                <w:rFonts w:hAnsi="Times New Roman" w:cs="Times New Roman"/>
                <w:snapToGrid w:val="0"/>
                <w:color w:val="auto"/>
                <w:szCs w:val="24"/>
              </w:rPr>
              <w:t>/d</w:t>
            </w:r>
            <w:r>
              <w:rPr>
                <w:rFonts w:hint="eastAsia" w:hAnsi="Times New Roman" w:cs="Times New Roman"/>
                <w:snapToGrid w:val="0"/>
                <w:color w:val="auto"/>
                <w:szCs w:val="24"/>
              </w:rPr>
              <w:t>（125</w:t>
            </w:r>
            <w:r>
              <w:rPr>
                <w:rFonts w:hAnsi="Times New Roman" w:cs="Times New Roman"/>
                <w:snapToGrid w:val="0"/>
                <w:color w:val="auto"/>
                <w:szCs w:val="24"/>
              </w:rPr>
              <w:t>m</w:t>
            </w:r>
            <w:r>
              <w:rPr>
                <w:rFonts w:hAnsi="Times New Roman" w:cs="Times New Roman"/>
                <w:snapToGrid w:val="0"/>
                <w:color w:val="auto"/>
                <w:szCs w:val="24"/>
                <w:vertAlign w:val="superscript"/>
              </w:rPr>
              <w:t>3</w:t>
            </w:r>
            <w:r>
              <w:rPr>
                <w:rFonts w:hAnsi="Times New Roman" w:cs="Times New Roman"/>
                <w:snapToGrid w:val="0"/>
                <w:color w:val="auto"/>
                <w:szCs w:val="24"/>
              </w:rPr>
              <w:t>/a</w:t>
            </w:r>
            <w:r>
              <w:rPr>
                <w:rFonts w:hint="eastAsia" w:hAnsi="Times New Roman" w:cs="Times New Roman"/>
                <w:snapToGrid w:val="0"/>
                <w:color w:val="auto"/>
                <w:szCs w:val="24"/>
              </w:rPr>
              <w:t>）</w:t>
            </w:r>
            <w:r>
              <w:rPr>
                <w:rFonts w:hAnsi="Times New Roman" w:cs="Times New Roman"/>
                <w:snapToGrid w:val="0"/>
                <w:color w:val="auto"/>
                <w:szCs w:val="24"/>
              </w:rPr>
              <w:t>。</w:t>
            </w:r>
          </w:p>
          <w:p w14:paraId="4329294D">
            <w:pPr>
              <w:pStyle w:val="65"/>
              <w:spacing w:line="360" w:lineRule="auto"/>
              <w:rPr>
                <w:rFonts w:hAnsi="Times New Roman" w:cs="Times New Roman"/>
                <w:color w:val="auto"/>
                <w:szCs w:val="24"/>
              </w:rPr>
            </w:pPr>
            <w:r>
              <w:rPr>
                <w:rFonts w:hAnsi="Times New Roman" w:cs="Times New Roman"/>
                <w:color w:val="auto"/>
              </w:rPr>
              <w:t>生活污水产生量按照新鲜用水量的80%计算，则生活污水量为</w:t>
            </w:r>
            <w:r>
              <w:rPr>
                <w:rFonts w:hint="eastAsia" w:hAnsi="Times New Roman" w:cs="Times New Roman"/>
                <w:color w:val="auto"/>
              </w:rPr>
              <w:t>0.3</w:t>
            </w:r>
            <w:r>
              <w:rPr>
                <w:rFonts w:hAnsi="Times New Roman" w:cs="Times New Roman"/>
                <w:color w:val="auto"/>
              </w:rPr>
              <w:t>m</w:t>
            </w:r>
            <w:r>
              <w:rPr>
                <w:rFonts w:hAnsi="Times New Roman" w:cs="Times New Roman"/>
                <w:color w:val="auto"/>
                <w:vertAlign w:val="superscript"/>
              </w:rPr>
              <w:t>3</w:t>
            </w:r>
            <w:r>
              <w:rPr>
                <w:rFonts w:hAnsi="Times New Roman" w:cs="Times New Roman"/>
                <w:color w:val="auto"/>
              </w:rPr>
              <w:t>/d（</w:t>
            </w:r>
            <w:r>
              <w:rPr>
                <w:rFonts w:hint="eastAsia" w:hAnsi="Times New Roman" w:cs="Times New Roman"/>
                <w:color w:val="auto"/>
              </w:rPr>
              <w:t>100</w:t>
            </w:r>
            <w:r>
              <w:rPr>
                <w:rFonts w:hAnsi="Times New Roman" w:cs="Times New Roman"/>
                <w:color w:val="auto"/>
              </w:rPr>
              <w:t>m</w:t>
            </w:r>
            <w:r>
              <w:rPr>
                <w:rFonts w:hAnsi="Times New Roman" w:cs="Times New Roman"/>
                <w:color w:val="auto"/>
                <w:vertAlign w:val="superscript"/>
              </w:rPr>
              <w:t>3</w:t>
            </w:r>
            <w:r>
              <w:rPr>
                <w:rFonts w:hAnsi="Times New Roman" w:cs="Times New Roman"/>
                <w:color w:val="auto"/>
              </w:rPr>
              <w:t>/a）。主要污染物为</w:t>
            </w:r>
            <w:r>
              <w:rPr>
                <w:rFonts w:hint="eastAsia" w:hAnsi="Times New Roman" w:cs="Times New Roman"/>
                <w:color w:val="auto"/>
              </w:rPr>
              <w:t>pH值、</w:t>
            </w:r>
            <w:r>
              <w:rPr>
                <w:rFonts w:hAnsi="Times New Roman" w:cs="Times New Roman"/>
                <w:color w:val="auto"/>
              </w:rPr>
              <w:t>COD、BOD</w:t>
            </w:r>
            <w:r>
              <w:rPr>
                <w:rFonts w:hAnsi="Times New Roman" w:cs="Times New Roman"/>
                <w:color w:val="auto"/>
                <w:vertAlign w:val="subscript"/>
              </w:rPr>
              <w:t>5</w:t>
            </w:r>
            <w:r>
              <w:rPr>
                <w:rFonts w:hAnsi="Times New Roman" w:cs="Times New Roman"/>
                <w:color w:val="auto"/>
              </w:rPr>
              <w:t>、SS、氨氮</w:t>
            </w:r>
            <w:r>
              <w:rPr>
                <w:rFonts w:hint="eastAsia" w:hAnsi="Times New Roman" w:cs="Times New Roman"/>
                <w:color w:val="auto"/>
              </w:rPr>
              <w:t>、TN、TP</w:t>
            </w:r>
            <w:r>
              <w:rPr>
                <w:rFonts w:hAnsi="Times New Roman" w:cs="Times New Roman"/>
                <w:color w:val="auto"/>
              </w:rPr>
              <w:t>等。生活污水</w:t>
            </w:r>
            <w:r>
              <w:rPr>
                <w:rFonts w:hint="eastAsia" w:hAnsi="Times New Roman" w:cs="Times New Roman"/>
                <w:color w:val="auto"/>
              </w:rPr>
              <w:t>经租赁厂区</w:t>
            </w:r>
            <w:r>
              <w:rPr>
                <w:rFonts w:hint="eastAsia" w:hAnsi="Times New Roman" w:cs="Times New Roman"/>
                <w:color w:val="auto"/>
                <w:lang w:val="en-US" w:eastAsia="zh-CN"/>
              </w:rPr>
              <w:t>防渗</w:t>
            </w:r>
            <w:r>
              <w:rPr>
                <w:rFonts w:hint="eastAsia" w:hAnsi="Times New Roman" w:cs="Times New Roman"/>
                <w:color w:val="auto"/>
                <w:lang w:eastAsia="zh-CN"/>
              </w:rPr>
              <w:t>旱厕</w:t>
            </w:r>
            <w:r>
              <w:rPr>
                <w:rFonts w:hint="eastAsia" w:hAnsi="Times New Roman" w:cs="Times New Roman"/>
                <w:color w:val="auto"/>
              </w:rPr>
              <w:t>处理后</w:t>
            </w:r>
            <w:r>
              <w:rPr>
                <w:rFonts w:hint="eastAsia" w:hAnsi="Times New Roman" w:cs="Times New Roman"/>
                <w:color w:val="auto"/>
              </w:rPr>
              <w:t>，定期清掏用于周边农地，不外排。</w:t>
            </w:r>
          </w:p>
          <w:p w14:paraId="0B706EBC">
            <w:pPr>
              <w:pStyle w:val="65"/>
              <w:spacing w:line="360" w:lineRule="auto"/>
              <w:rPr>
                <w:rFonts w:hAnsi="Times New Roman" w:cs="Times New Roman"/>
                <w:color w:val="auto"/>
                <w:szCs w:val="24"/>
              </w:rPr>
            </w:pPr>
            <w:r>
              <w:rPr>
                <w:rFonts w:hint="eastAsia" w:hAnsi="Times New Roman" w:cs="Times New Roman"/>
                <w:color w:val="auto"/>
                <w:szCs w:val="24"/>
              </w:rPr>
              <w:t>②</w:t>
            </w:r>
            <w:r>
              <w:rPr>
                <w:rFonts w:hint="eastAsia" w:ascii="宋体"/>
                <w:color w:val="auto"/>
                <w:szCs w:val="24"/>
              </w:rPr>
              <w:t>冷却水：</w:t>
            </w:r>
            <w:r>
              <w:rPr>
                <w:rFonts w:hint="eastAsia" w:hAnsi="Times New Roman" w:cs="Times New Roman"/>
                <w:color w:val="auto"/>
                <w:szCs w:val="24"/>
              </w:rPr>
              <w:t>项目使用1台2t/h的冷却塔，参考《建筑给水排水设计规范》（GB50015-2009）中“3.11.14补充水水量（m</w:t>
            </w:r>
            <w:r>
              <w:rPr>
                <w:rFonts w:hint="eastAsia" w:hAnsi="Times New Roman" w:cs="Times New Roman"/>
                <w:color w:val="auto"/>
                <w:szCs w:val="24"/>
                <w:vertAlign w:val="superscript"/>
              </w:rPr>
              <w:t>3</w:t>
            </w:r>
            <w:r>
              <w:rPr>
                <w:rFonts w:hint="eastAsia" w:hAnsi="Times New Roman" w:cs="Times New Roman"/>
                <w:color w:val="auto"/>
                <w:szCs w:val="24"/>
              </w:rPr>
              <w:t>/h）应按冷却水循环水量的1%~2%确定”，本环评取2%计算。注塑机生产使用时间为24h/d，年工作330天；总循环水量为15840t/a，新鲜水补充量为0.96m</w:t>
            </w:r>
            <w:r>
              <w:rPr>
                <w:rFonts w:hint="eastAsia" w:hAnsi="Times New Roman" w:cs="Times New Roman"/>
                <w:color w:val="auto"/>
                <w:szCs w:val="24"/>
                <w:vertAlign w:val="superscript"/>
              </w:rPr>
              <w:t>3</w:t>
            </w:r>
            <w:r>
              <w:rPr>
                <w:rFonts w:hint="eastAsia" w:hAnsi="Times New Roman" w:cs="Times New Roman"/>
                <w:color w:val="auto"/>
                <w:szCs w:val="24"/>
              </w:rPr>
              <w:t>/d（316.8m</w:t>
            </w:r>
            <w:r>
              <w:rPr>
                <w:rFonts w:hint="eastAsia" w:hAnsi="Times New Roman" w:cs="Times New Roman"/>
                <w:color w:val="auto"/>
                <w:szCs w:val="24"/>
                <w:vertAlign w:val="superscript"/>
              </w:rPr>
              <w:t>3</w:t>
            </w:r>
            <w:r>
              <w:rPr>
                <w:rFonts w:hint="eastAsia" w:hAnsi="Times New Roman" w:cs="Times New Roman"/>
                <w:color w:val="auto"/>
                <w:szCs w:val="24"/>
              </w:rPr>
              <w:t>/a）。设备冷却水循环使用，不外排。</w:t>
            </w:r>
          </w:p>
          <w:p w14:paraId="20B61ABD">
            <w:pPr>
              <w:pStyle w:val="65"/>
              <w:spacing w:line="360" w:lineRule="auto"/>
              <w:rPr>
                <w:rFonts w:hAnsi="Times New Roman" w:cs="Times New Roman"/>
                <w:color w:val="auto"/>
                <w:szCs w:val="24"/>
              </w:rPr>
            </w:pPr>
            <w:r>
              <w:rPr>
                <w:rFonts w:hint="eastAsia" w:hAnsi="Times New Roman" w:cs="Times New Roman"/>
                <w:color w:val="auto"/>
                <w:szCs w:val="24"/>
              </w:rPr>
              <w:t>项目用水、排水情况见表2-7，水平衡图见图2-1：</w:t>
            </w:r>
          </w:p>
          <w:p w14:paraId="0F11070A">
            <w:pPr>
              <w:pStyle w:val="65"/>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2-7</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项目给排水情况一览表</w:t>
            </w:r>
          </w:p>
          <w:tbl>
            <w:tblPr>
              <w:tblStyle w:val="26"/>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83"/>
              <w:gridCol w:w="1711"/>
              <w:gridCol w:w="1485"/>
              <w:gridCol w:w="1595"/>
              <w:gridCol w:w="1437"/>
            </w:tblGrid>
            <w:tr w14:paraId="419B3F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7" w:type="pct"/>
                  <w:vMerge w:val="restart"/>
                  <w:vAlign w:val="center"/>
                </w:tcPr>
                <w:p w14:paraId="73FC62BA">
                  <w:pPr>
                    <w:adjustRightInd w:val="0"/>
                    <w:snapToGrid w:val="0"/>
                    <w:jc w:val="center"/>
                    <w:rPr>
                      <w:b/>
                      <w:bCs/>
                      <w:color w:val="auto"/>
                      <w:szCs w:val="21"/>
                    </w:rPr>
                  </w:pPr>
                  <w:r>
                    <w:rPr>
                      <w:b/>
                      <w:bCs/>
                      <w:color w:val="auto"/>
                      <w:szCs w:val="21"/>
                    </w:rPr>
                    <w:t>用水环节</w:t>
                  </w:r>
                </w:p>
              </w:tc>
              <w:tc>
                <w:tcPr>
                  <w:tcW w:w="1945" w:type="pct"/>
                  <w:gridSpan w:val="2"/>
                  <w:vAlign w:val="center"/>
                </w:tcPr>
                <w:p w14:paraId="3D623060">
                  <w:pPr>
                    <w:adjustRightInd w:val="0"/>
                    <w:snapToGrid w:val="0"/>
                    <w:jc w:val="center"/>
                    <w:rPr>
                      <w:b/>
                      <w:bCs/>
                      <w:color w:val="auto"/>
                      <w:szCs w:val="21"/>
                    </w:rPr>
                  </w:pPr>
                  <w:r>
                    <w:rPr>
                      <w:rFonts w:hint="eastAsia"/>
                      <w:b/>
                      <w:bCs/>
                      <w:color w:val="auto"/>
                      <w:szCs w:val="21"/>
                    </w:rPr>
                    <w:t>用水量(</w:t>
                  </w:r>
                  <w:r>
                    <w:rPr>
                      <w:b/>
                      <w:bCs/>
                      <w:color w:val="auto"/>
                      <w:szCs w:val="21"/>
                    </w:rPr>
                    <w:t>m</w:t>
                  </w:r>
                  <w:r>
                    <w:rPr>
                      <w:b/>
                      <w:bCs/>
                      <w:color w:val="auto"/>
                      <w:szCs w:val="21"/>
                      <w:vertAlign w:val="superscript"/>
                    </w:rPr>
                    <w:t>3</w:t>
                  </w:r>
                  <w:r>
                    <w:rPr>
                      <w:b/>
                      <w:bCs/>
                      <w:color w:val="auto"/>
                      <w:szCs w:val="21"/>
                    </w:rPr>
                    <w:t>/</w:t>
                  </w:r>
                  <w:r>
                    <w:rPr>
                      <w:rFonts w:hint="eastAsia"/>
                      <w:b/>
                      <w:bCs/>
                      <w:color w:val="auto"/>
                      <w:szCs w:val="21"/>
                    </w:rPr>
                    <w:t>d)</w:t>
                  </w:r>
                </w:p>
              </w:tc>
              <w:tc>
                <w:tcPr>
                  <w:tcW w:w="971" w:type="pct"/>
                  <w:vMerge w:val="restart"/>
                  <w:vAlign w:val="center"/>
                </w:tcPr>
                <w:p w14:paraId="0C05348F">
                  <w:pPr>
                    <w:adjustRightInd w:val="0"/>
                    <w:snapToGrid w:val="0"/>
                    <w:jc w:val="center"/>
                    <w:rPr>
                      <w:b/>
                      <w:bCs/>
                      <w:color w:val="auto"/>
                      <w:szCs w:val="21"/>
                    </w:rPr>
                  </w:pPr>
                  <w:r>
                    <w:rPr>
                      <w:rFonts w:hint="eastAsia"/>
                      <w:b/>
                      <w:bCs/>
                      <w:color w:val="auto"/>
                      <w:szCs w:val="21"/>
                    </w:rPr>
                    <w:t>损耗量(</w:t>
                  </w:r>
                  <w:r>
                    <w:rPr>
                      <w:b/>
                      <w:bCs/>
                      <w:color w:val="auto"/>
                      <w:szCs w:val="21"/>
                    </w:rPr>
                    <w:t>m</w:t>
                  </w:r>
                  <w:r>
                    <w:rPr>
                      <w:b/>
                      <w:bCs/>
                      <w:color w:val="auto"/>
                      <w:szCs w:val="21"/>
                      <w:vertAlign w:val="superscript"/>
                    </w:rPr>
                    <w:t>3</w:t>
                  </w:r>
                  <w:r>
                    <w:rPr>
                      <w:b/>
                      <w:bCs/>
                      <w:color w:val="auto"/>
                      <w:szCs w:val="21"/>
                    </w:rPr>
                    <w:t>/</w:t>
                  </w:r>
                  <w:r>
                    <w:rPr>
                      <w:rFonts w:hint="eastAsia"/>
                      <w:b/>
                      <w:bCs/>
                      <w:color w:val="auto"/>
                      <w:szCs w:val="21"/>
                    </w:rPr>
                    <w:t>d)</w:t>
                  </w:r>
                </w:p>
              </w:tc>
              <w:tc>
                <w:tcPr>
                  <w:tcW w:w="875" w:type="pct"/>
                  <w:vMerge w:val="restart"/>
                  <w:vAlign w:val="center"/>
                </w:tcPr>
                <w:p w14:paraId="0F46B56E">
                  <w:pPr>
                    <w:adjustRightInd w:val="0"/>
                    <w:snapToGrid w:val="0"/>
                    <w:jc w:val="center"/>
                    <w:rPr>
                      <w:b/>
                      <w:bCs/>
                      <w:color w:val="auto"/>
                      <w:szCs w:val="21"/>
                    </w:rPr>
                  </w:pPr>
                  <w:r>
                    <w:rPr>
                      <w:rFonts w:hint="eastAsia"/>
                      <w:b/>
                      <w:bCs/>
                      <w:color w:val="auto"/>
                      <w:szCs w:val="21"/>
                    </w:rPr>
                    <w:t>排水量(</w:t>
                  </w:r>
                  <w:r>
                    <w:rPr>
                      <w:b/>
                      <w:bCs/>
                      <w:color w:val="auto"/>
                      <w:szCs w:val="21"/>
                    </w:rPr>
                    <w:t>m</w:t>
                  </w:r>
                  <w:r>
                    <w:rPr>
                      <w:b/>
                      <w:bCs/>
                      <w:color w:val="auto"/>
                      <w:szCs w:val="21"/>
                      <w:vertAlign w:val="superscript"/>
                    </w:rPr>
                    <w:t>3</w:t>
                  </w:r>
                  <w:r>
                    <w:rPr>
                      <w:b/>
                      <w:bCs/>
                      <w:color w:val="auto"/>
                      <w:szCs w:val="21"/>
                    </w:rPr>
                    <w:t>/</w:t>
                  </w:r>
                  <w:r>
                    <w:rPr>
                      <w:rFonts w:hint="eastAsia"/>
                      <w:b/>
                      <w:bCs/>
                      <w:color w:val="auto"/>
                      <w:szCs w:val="21"/>
                    </w:rPr>
                    <w:t>d)</w:t>
                  </w:r>
                </w:p>
              </w:tc>
            </w:tr>
            <w:tr w14:paraId="37D7EC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7" w:type="pct"/>
                  <w:vMerge w:val="continue"/>
                  <w:vAlign w:val="center"/>
                </w:tcPr>
                <w:p w14:paraId="3B6A3ACD">
                  <w:pPr>
                    <w:adjustRightInd w:val="0"/>
                    <w:snapToGrid w:val="0"/>
                    <w:jc w:val="center"/>
                    <w:rPr>
                      <w:b/>
                      <w:bCs/>
                      <w:color w:val="auto"/>
                      <w:szCs w:val="21"/>
                    </w:rPr>
                  </w:pPr>
                </w:p>
              </w:tc>
              <w:tc>
                <w:tcPr>
                  <w:tcW w:w="1041" w:type="pct"/>
                  <w:vAlign w:val="center"/>
                </w:tcPr>
                <w:p w14:paraId="64C16F20">
                  <w:pPr>
                    <w:adjustRightInd w:val="0"/>
                    <w:snapToGrid w:val="0"/>
                    <w:jc w:val="center"/>
                    <w:rPr>
                      <w:b/>
                      <w:bCs/>
                      <w:color w:val="auto"/>
                      <w:szCs w:val="21"/>
                    </w:rPr>
                  </w:pPr>
                  <w:r>
                    <w:rPr>
                      <w:rFonts w:hint="eastAsia"/>
                      <w:b/>
                      <w:bCs/>
                      <w:color w:val="auto"/>
                      <w:szCs w:val="21"/>
                    </w:rPr>
                    <w:t>新鲜水</w:t>
                  </w:r>
                </w:p>
              </w:tc>
              <w:tc>
                <w:tcPr>
                  <w:tcW w:w="903" w:type="pct"/>
                  <w:vAlign w:val="center"/>
                </w:tcPr>
                <w:p w14:paraId="7034505D">
                  <w:pPr>
                    <w:adjustRightInd w:val="0"/>
                    <w:snapToGrid w:val="0"/>
                    <w:jc w:val="center"/>
                    <w:rPr>
                      <w:b/>
                      <w:bCs/>
                      <w:color w:val="auto"/>
                      <w:szCs w:val="21"/>
                    </w:rPr>
                  </w:pPr>
                  <w:r>
                    <w:rPr>
                      <w:rFonts w:hint="eastAsia"/>
                      <w:b/>
                      <w:bCs/>
                      <w:color w:val="auto"/>
                      <w:szCs w:val="21"/>
                    </w:rPr>
                    <w:t>循环水</w:t>
                  </w:r>
                </w:p>
              </w:tc>
              <w:tc>
                <w:tcPr>
                  <w:tcW w:w="971" w:type="pct"/>
                  <w:vMerge w:val="continue"/>
                  <w:vAlign w:val="center"/>
                </w:tcPr>
                <w:p w14:paraId="6948EF20">
                  <w:pPr>
                    <w:adjustRightInd w:val="0"/>
                    <w:snapToGrid w:val="0"/>
                    <w:jc w:val="center"/>
                    <w:rPr>
                      <w:b/>
                      <w:bCs/>
                      <w:color w:val="auto"/>
                      <w:szCs w:val="21"/>
                    </w:rPr>
                  </w:pPr>
                </w:p>
              </w:tc>
              <w:tc>
                <w:tcPr>
                  <w:tcW w:w="875" w:type="pct"/>
                  <w:vMerge w:val="continue"/>
                  <w:vAlign w:val="center"/>
                </w:tcPr>
                <w:p w14:paraId="52F4F2A0">
                  <w:pPr>
                    <w:adjustRightInd w:val="0"/>
                    <w:snapToGrid w:val="0"/>
                    <w:jc w:val="center"/>
                    <w:rPr>
                      <w:b/>
                      <w:bCs/>
                      <w:color w:val="auto"/>
                      <w:szCs w:val="21"/>
                    </w:rPr>
                  </w:pPr>
                </w:p>
              </w:tc>
            </w:tr>
            <w:tr w14:paraId="3BD94C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7" w:type="pct"/>
                  <w:vAlign w:val="center"/>
                </w:tcPr>
                <w:p w14:paraId="360481B2">
                  <w:pPr>
                    <w:adjustRightInd w:val="0"/>
                    <w:snapToGrid w:val="0"/>
                    <w:jc w:val="center"/>
                    <w:rPr>
                      <w:snapToGrid w:val="0"/>
                      <w:color w:val="auto"/>
                      <w:szCs w:val="21"/>
                    </w:rPr>
                  </w:pPr>
                  <w:r>
                    <w:rPr>
                      <w:rFonts w:hint="eastAsia"/>
                      <w:snapToGrid w:val="0"/>
                      <w:color w:val="auto"/>
                      <w:szCs w:val="21"/>
                    </w:rPr>
                    <w:t>生活用水</w:t>
                  </w:r>
                </w:p>
              </w:tc>
              <w:tc>
                <w:tcPr>
                  <w:tcW w:w="1041" w:type="pct"/>
                  <w:vAlign w:val="center"/>
                </w:tcPr>
                <w:p w14:paraId="30829530">
                  <w:pPr>
                    <w:adjustRightInd w:val="0"/>
                    <w:snapToGrid w:val="0"/>
                    <w:jc w:val="center"/>
                    <w:rPr>
                      <w:snapToGrid w:val="0"/>
                      <w:color w:val="auto"/>
                      <w:szCs w:val="21"/>
                    </w:rPr>
                  </w:pPr>
                  <w:r>
                    <w:rPr>
                      <w:rFonts w:hint="eastAsia"/>
                      <w:snapToGrid w:val="0"/>
                      <w:color w:val="auto"/>
                      <w:szCs w:val="21"/>
                    </w:rPr>
                    <w:t>0.38</w:t>
                  </w:r>
                </w:p>
              </w:tc>
              <w:tc>
                <w:tcPr>
                  <w:tcW w:w="903" w:type="pct"/>
                  <w:vAlign w:val="center"/>
                </w:tcPr>
                <w:p w14:paraId="65AF41C4">
                  <w:pPr>
                    <w:adjustRightInd w:val="0"/>
                    <w:snapToGrid w:val="0"/>
                    <w:jc w:val="center"/>
                    <w:rPr>
                      <w:snapToGrid w:val="0"/>
                      <w:color w:val="auto"/>
                      <w:szCs w:val="21"/>
                    </w:rPr>
                  </w:pPr>
                  <w:r>
                    <w:rPr>
                      <w:rFonts w:hint="eastAsia"/>
                      <w:snapToGrid w:val="0"/>
                      <w:color w:val="auto"/>
                      <w:szCs w:val="21"/>
                    </w:rPr>
                    <w:t>0</w:t>
                  </w:r>
                </w:p>
              </w:tc>
              <w:tc>
                <w:tcPr>
                  <w:tcW w:w="971" w:type="pct"/>
                  <w:vAlign w:val="center"/>
                </w:tcPr>
                <w:p w14:paraId="271DA346">
                  <w:pPr>
                    <w:adjustRightInd w:val="0"/>
                    <w:snapToGrid w:val="0"/>
                    <w:jc w:val="center"/>
                    <w:rPr>
                      <w:snapToGrid w:val="0"/>
                      <w:color w:val="auto"/>
                      <w:szCs w:val="21"/>
                    </w:rPr>
                  </w:pPr>
                  <w:r>
                    <w:rPr>
                      <w:rFonts w:hint="eastAsia"/>
                      <w:snapToGrid w:val="0"/>
                      <w:color w:val="auto"/>
                      <w:szCs w:val="21"/>
                    </w:rPr>
                    <w:t>0.08</w:t>
                  </w:r>
                </w:p>
              </w:tc>
              <w:tc>
                <w:tcPr>
                  <w:tcW w:w="875" w:type="pct"/>
                  <w:vAlign w:val="center"/>
                </w:tcPr>
                <w:p w14:paraId="01224D2E">
                  <w:pPr>
                    <w:adjustRightInd w:val="0"/>
                    <w:snapToGrid w:val="0"/>
                    <w:jc w:val="center"/>
                    <w:rPr>
                      <w:snapToGrid w:val="0"/>
                      <w:color w:val="auto"/>
                      <w:szCs w:val="21"/>
                    </w:rPr>
                  </w:pPr>
                  <w:r>
                    <w:rPr>
                      <w:rFonts w:hint="eastAsia"/>
                      <w:snapToGrid w:val="0"/>
                      <w:color w:val="auto"/>
                      <w:szCs w:val="21"/>
                    </w:rPr>
                    <w:t>0.3</w:t>
                  </w:r>
                </w:p>
              </w:tc>
            </w:tr>
            <w:tr w14:paraId="145F62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7" w:type="pct"/>
                  <w:vAlign w:val="center"/>
                </w:tcPr>
                <w:p w14:paraId="6BF47F8B">
                  <w:pPr>
                    <w:adjustRightInd w:val="0"/>
                    <w:snapToGrid w:val="0"/>
                    <w:jc w:val="center"/>
                    <w:rPr>
                      <w:snapToGrid w:val="0"/>
                      <w:color w:val="auto"/>
                      <w:szCs w:val="21"/>
                    </w:rPr>
                  </w:pPr>
                  <w:r>
                    <w:rPr>
                      <w:rFonts w:hint="eastAsia"/>
                      <w:snapToGrid w:val="0"/>
                      <w:color w:val="auto"/>
                      <w:szCs w:val="21"/>
                    </w:rPr>
                    <w:t>冷却用水</w:t>
                  </w:r>
                </w:p>
              </w:tc>
              <w:tc>
                <w:tcPr>
                  <w:tcW w:w="1041" w:type="pct"/>
                  <w:vAlign w:val="center"/>
                </w:tcPr>
                <w:p w14:paraId="798378C7">
                  <w:pPr>
                    <w:adjustRightInd w:val="0"/>
                    <w:snapToGrid w:val="0"/>
                    <w:jc w:val="center"/>
                    <w:rPr>
                      <w:snapToGrid w:val="0"/>
                      <w:color w:val="auto"/>
                      <w:szCs w:val="21"/>
                    </w:rPr>
                  </w:pPr>
                  <w:r>
                    <w:rPr>
                      <w:rFonts w:hint="eastAsia"/>
                      <w:snapToGrid w:val="0"/>
                      <w:color w:val="auto"/>
                      <w:szCs w:val="21"/>
                    </w:rPr>
                    <w:t>0.96</w:t>
                  </w:r>
                </w:p>
              </w:tc>
              <w:tc>
                <w:tcPr>
                  <w:tcW w:w="903" w:type="pct"/>
                  <w:vAlign w:val="center"/>
                </w:tcPr>
                <w:p w14:paraId="54D9AD6C">
                  <w:pPr>
                    <w:adjustRightInd w:val="0"/>
                    <w:snapToGrid w:val="0"/>
                    <w:jc w:val="center"/>
                    <w:rPr>
                      <w:snapToGrid w:val="0"/>
                      <w:color w:val="auto"/>
                      <w:szCs w:val="21"/>
                    </w:rPr>
                  </w:pPr>
                  <w:r>
                    <w:rPr>
                      <w:rFonts w:hint="eastAsia"/>
                      <w:snapToGrid w:val="0"/>
                      <w:color w:val="auto"/>
                      <w:szCs w:val="21"/>
                    </w:rPr>
                    <w:t>40</w:t>
                  </w:r>
                </w:p>
              </w:tc>
              <w:tc>
                <w:tcPr>
                  <w:tcW w:w="971" w:type="pct"/>
                  <w:vAlign w:val="center"/>
                </w:tcPr>
                <w:p w14:paraId="3269A27D">
                  <w:pPr>
                    <w:adjustRightInd w:val="0"/>
                    <w:snapToGrid w:val="0"/>
                    <w:jc w:val="center"/>
                    <w:rPr>
                      <w:snapToGrid w:val="0"/>
                      <w:color w:val="auto"/>
                      <w:szCs w:val="21"/>
                    </w:rPr>
                  </w:pPr>
                  <w:r>
                    <w:rPr>
                      <w:rFonts w:hint="eastAsia"/>
                      <w:snapToGrid w:val="0"/>
                      <w:color w:val="auto"/>
                      <w:szCs w:val="21"/>
                    </w:rPr>
                    <w:t>0.96</w:t>
                  </w:r>
                </w:p>
              </w:tc>
              <w:tc>
                <w:tcPr>
                  <w:tcW w:w="875" w:type="pct"/>
                  <w:vAlign w:val="center"/>
                </w:tcPr>
                <w:p w14:paraId="3E7061C3">
                  <w:pPr>
                    <w:adjustRightInd w:val="0"/>
                    <w:snapToGrid w:val="0"/>
                    <w:jc w:val="center"/>
                    <w:rPr>
                      <w:snapToGrid w:val="0"/>
                      <w:color w:val="auto"/>
                      <w:szCs w:val="21"/>
                    </w:rPr>
                  </w:pPr>
                  <w:r>
                    <w:rPr>
                      <w:rFonts w:hint="eastAsia"/>
                      <w:snapToGrid w:val="0"/>
                      <w:color w:val="auto"/>
                      <w:szCs w:val="21"/>
                    </w:rPr>
                    <w:t>0</w:t>
                  </w:r>
                </w:p>
              </w:tc>
            </w:tr>
            <w:tr w14:paraId="488993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7" w:type="pct"/>
                  <w:vAlign w:val="center"/>
                </w:tcPr>
                <w:p w14:paraId="5DCB2329">
                  <w:pPr>
                    <w:adjustRightInd w:val="0"/>
                    <w:snapToGrid w:val="0"/>
                    <w:jc w:val="center"/>
                    <w:rPr>
                      <w:color w:val="auto"/>
                      <w:szCs w:val="21"/>
                    </w:rPr>
                  </w:pPr>
                  <w:r>
                    <w:rPr>
                      <w:rFonts w:hint="eastAsia"/>
                      <w:color w:val="auto"/>
                      <w:szCs w:val="21"/>
                    </w:rPr>
                    <w:t>合计</w:t>
                  </w:r>
                </w:p>
              </w:tc>
              <w:tc>
                <w:tcPr>
                  <w:tcW w:w="1041" w:type="pct"/>
                  <w:vAlign w:val="center"/>
                </w:tcPr>
                <w:p w14:paraId="20A3B48E">
                  <w:pPr>
                    <w:adjustRightInd w:val="0"/>
                    <w:snapToGrid w:val="0"/>
                    <w:jc w:val="center"/>
                    <w:rPr>
                      <w:snapToGrid w:val="0"/>
                      <w:color w:val="auto"/>
                      <w:szCs w:val="21"/>
                    </w:rPr>
                  </w:pPr>
                  <w:r>
                    <w:rPr>
                      <w:rFonts w:hint="eastAsia"/>
                      <w:snapToGrid w:val="0"/>
                      <w:color w:val="auto"/>
                      <w:szCs w:val="21"/>
                    </w:rPr>
                    <w:t>1.34</w:t>
                  </w:r>
                </w:p>
              </w:tc>
              <w:tc>
                <w:tcPr>
                  <w:tcW w:w="903" w:type="pct"/>
                  <w:vAlign w:val="center"/>
                </w:tcPr>
                <w:p w14:paraId="54DA8969">
                  <w:pPr>
                    <w:adjustRightInd w:val="0"/>
                    <w:snapToGrid w:val="0"/>
                    <w:jc w:val="center"/>
                    <w:rPr>
                      <w:snapToGrid w:val="0"/>
                      <w:color w:val="auto"/>
                      <w:szCs w:val="21"/>
                    </w:rPr>
                  </w:pPr>
                  <w:r>
                    <w:rPr>
                      <w:rFonts w:hint="eastAsia"/>
                      <w:snapToGrid w:val="0"/>
                      <w:color w:val="auto"/>
                      <w:szCs w:val="21"/>
                    </w:rPr>
                    <w:t>40</w:t>
                  </w:r>
                </w:p>
              </w:tc>
              <w:tc>
                <w:tcPr>
                  <w:tcW w:w="971" w:type="pct"/>
                  <w:vAlign w:val="center"/>
                </w:tcPr>
                <w:p w14:paraId="538C9CCF">
                  <w:pPr>
                    <w:adjustRightInd w:val="0"/>
                    <w:snapToGrid w:val="0"/>
                    <w:jc w:val="center"/>
                    <w:rPr>
                      <w:snapToGrid w:val="0"/>
                      <w:color w:val="auto"/>
                      <w:szCs w:val="21"/>
                    </w:rPr>
                  </w:pPr>
                  <w:r>
                    <w:rPr>
                      <w:rFonts w:hint="eastAsia"/>
                      <w:snapToGrid w:val="0"/>
                      <w:color w:val="auto"/>
                      <w:szCs w:val="21"/>
                    </w:rPr>
                    <w:t>1.04</w:t>
                  </w:r>
                </w:p>
              </w:tc>
              <w:tc>
                <w:tcPr>
                  <w:tcW w:w="875" w:type="pct"/>
                  <w:vAlign w:val="center"/>
                </w:tcPr>
                <w:p w14:paraId="45C88A52">
                  <w:pPr>
                    <w:adjustRightInd w:val="0"/>
                    <w:snapToGrid w:val="0"/>
                    <w:jc w:val="center"/>
                    <w:rPr>
                      <w:snapToGrid w:val="0"/>
                      <w:color w:val="auto"/>
                      <w:szCs w:val="21"/>
                    </w:rPr>
                  </w:pPr>
                  <w:r>
                    <w:rPr>
                      <w:rFonts w:hint="eastAsia"/>
                      <w:snapToGrid w:val="0"/>
                      <w:color w:val="auto"/>
                      <w:szCs w:val="21"/>
                    </w:rPr>
                    <w:t>0.3</w:t>
                  </w:r>
                </w:p>
              </w:tc>
            </w:tr>
          </w:tbl>
          <w:p w14:paraId="0FA0834A">
            <w:pPr>
              <w:pStyle w:val="80"/>
              <w:ind w:firstLine="0" w:firstLineChars="0"/>
              <w:jc w:val="center"/>
              <w:rPr>
                <w:b/>
                <w:bCs/>
                <w:color w:val="auto"/>
              </w:rPr>
            </w:pPr>
            <w:r>
              <w:rPr>
                <w:rFonts w:hint="eastAsia"/>
                <w:b/>
                <w:bCs/>
                <w:color w:val="auto"/>
              </w:rPr>
              <w:object>
                <v:shape id="_x0000_i1025" o:spt="75" type="#_x0000_t75" style="height:121.9pt;width:334.1pt;" o:ole="t" filled="f" o:preferrelative="t" stroked="f" coordsize="21600,21600">
                  <v:path/>
                  <v:fill on="f" focussize="0,0"/>
                  <v:stroke on="f"/>
                  <v:imagedata r:id="rId12" croptop="-4029f" cropbottom="27860f" o:title=""/>
                  <o:lock v:ext="edit" aspectratio="t"/>
                  <w10:wrap type="none"/>
                  <w10:anchorlock/>
                </v:shape>
                <o:OLEObject Type="Embed" ProgID="Visio.Drawing.11" ShapeID="_x0000_i1025" DrawAspect="Content" ObjectID="_1468075725" r:id="rId11">
                  <o:LockedField>false</o:LockedField>
                </o:OLEObject>
              </w:object>
            </w:r>
          </w:p>
          <w:p w14:paraId="0E56D3CC">
            <w:pPr>
              <w:pStyle w:val="80"/>
              <w:ind w:firstLine="0" w:firstLineChars="0"/>
              <w:jc w:val="center"/>
              <w:rPr>
                <w:color w:val="auto"/>
              </w:rPr>
            </w:pPr>
            <w:r>
              <w:rPr>
                <w:rFonts w:hint="eastAsia"/>
                <w:b/>
                <w:bCs/>
                <w:color w:val="auto"/>
              </w:rPr>
              <w:t>图2-1</w:t>
            </w:r>
            <w:r>
              <w:rPr>
                <w:b/>
                <w:bCs/>
                <w:color w:val="auto"/>
              </w:rPr>
              <w:t xml:space="preserve"> </w:t>
            </w:r>
            <w:r>
              <w:rPr>
                <w:rFonts w:hint="eastAsia"/>
                <w:b/>
                <w:bCs/>
                <w:color w:val="auto"/>
              </w:rPr>
              <w:t xml:space="preserve"> 项目水平衡图   单位：m</w:t>
            </w:r>
            <w:r>
              <w:rPr>
                <w:rFonts w:hint="eastAsia"/>
                <w:b/>
                <w:bCs/>
                <w:color w:val="auto"/>
                <w:vertAlign w:val="superscript"/>
              </w:rPr>
              <w:t>3</w:t>
            </w:r>
            <w:r>
              <w:rPr>
                <w:rFonts w:hint="eastAsia"/>
                <w:b/>
                <w:bCs/>
                <w:color w:val="auto"/>
              </w:rPr>
              <w:t>/d</w:t>
            </w:r>
          </w:p>
          <w:p w14:paraId="4B359EB5">
            <w:pPr>
              <w:pStyle w:val="80"/>
              <w:ind w:firstLine="480"/>
              <w:rPr>
                <w:color w:val="auto"/>
              </w:rPr>
            </w:pPr>
            <w:r>
              <w:rPr>
                <w:color w:val="auto"/>
              </w:rPr>
              <w:t>（2）供电</w:t>
            </w:r>
          </w:p>
          <w:p w14:paraId="4D09CE70">
            <w:pPr>
              <w:pStyle w:val="80"/>
              <w:ind w:firstLine="480"/>
              <w:rPr>
                <w:color w:val="auto"/>
                <w:szCs w:val="21"/>
              </w:rPr>
            </w:pPr>
            <w:r>
              <w:rPr>
                <w:color w:val="auto"/>
              </w:rPr>
              <w:t>项目供电由市政</w:t>
            </w:r>
            <w:r>
              <w:rPr>
                <w:rFonts w:hint="eastAsia"/>
                <w:color w:val="auto"/>
              </w:rPr>
              <w:t>电网</w:t>
            </w:r>
            <w:r>
              <w:rPr>
                <w:color w:val="auto"/>
              </w:rPr>
              <w:t>供给</w:t>
            </w:r>
            <w:r>
              <w:rPr>
                <w:color w:val="auto"/>
                <w:szCs w:val="21"/>
              </w:rPr>
              <w:t>。</w:t>
            </w:r>
          </w:p>
          <w:p w14:paraId="28C380D1">
            <w:pPr>
              <w:pStyle w:val="80"/>
              <w:ind w:firstLine="480"/>
              <w:rPr>
                <w:color w:val="auto"/>
                <w:szCs w:val="21"/>
              </w:rPr>
            </w:pPr>
            <w:r>
              <w:rPr>
                <w:color w:val="auto"/>
                <w:szCs w:val="21"/>
              </w:rPr>
              <w:t>（3）</w:t>
            </w:r>
            <w:r>
              <w:rPr>
                <w:color w:val="auto"/>
              </w:rPr>
              <w:t>供暖制冷</w:t>
            </w:r>
          </w:p>
          <w:p w14:paraId="5490E9F7">
            <w:pPr>
              <w:spacing w:line="360" w:lineRule="auto"/>
              <w:ind w:firstLine="480" w:firstLineChars="200"/>
              <w:rPr>
                <w:color w:val="auto"/>
              </w:rPr>
            </w:pPr>
            <w:r>
              <w:rPr>
                <w:rFonts w:hint="eastAsia"/>
                <w:color w:val="auto"/>
                <w:sz w:val="24"/>
                <w:szCs w:val="32"/>
              </w:rPr>
              <w:t>生活及办公区域制冷、供暖采用空调</w:t>
            </w:r>
            <w:r>
              <w:rPr>
                <w:color w:val="auto"/>
                <w:sz w:val="24"/>
                <w:szCs w:val="32"/>
              </w:rPr>
              <w:t>，</w:t>
            </w:r>
            <w:r>
              <w:rPr>
                <w:rFonts w:hint="eastAsia"/>
                <w:color w:val="auto"/>
                <w:sz w:val="24"/>
              </w:rPr>
              <w:t>生产制冷</w:t>
            </w:r>
            <w:r>
              <w:rPr>
                <w:rFonts w:hint="eastAsia"/>
                <w:color w:val="auto"/>
                <w:sz w:val="24"/>
                <w:szCs w:val="32"/>
              </w:rPr>
              <w:t>采用冷却塔。</w:t>
            </w:r>
          </w:p>
        </w:tc>
      </w:tr>
      <w:tr w14:paraId="034EA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14" w:type="dxa"/>
            <w:vAlign w:val="center"/>
          </w:tcPr>
          <w:p w14:paraId="1B0B2BA1">
            <w:pPr>
              <w:pStyle w:val="23"/>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工艺流程和产排污环节</w:t>
            </w:r>
          </w:p>
        </w:tc>
        <w:tc>
          <w:tcPr>
            <w:tcW w:w="8346" w:type="dxa"/>
          </w:tcPr>
          <w:p w14:paraId="314C529B">
            <w:pPr>
              <w:pStyle w:val="65"/>
              <w:spacing w:before="120" w:beforeLines="50" w:line="360" w:lineRule="auto"/>
              <w:ind w:firstLine="482"/>
              <w:rPr>
                <w:rFonts w:hAnsi="Times New Roman" w:cs="Times New Roman"/>
                <w:b/>
                <w:bCs/>
                <w:color w:val="auto"/>
                <w:szCs w:val="24"/>
              </w:rPr>
            </w:pPr>
            <w:r>
              <w:rPr>
                <w:rFonts w:hint="eastAsia" w:hAnsi="Times New Roman" w:cs="Times New Roman"/>
                <w:b/>
                <w:bCs/>
                <w:color w:val="auto"/>
                <w:szCs w:val="24"/>
              </w:rPr>
              <w:t>1</w:t>
            </w:r>
            <w:r>
              <w:rPr>
                <w:rFonts w:hAnsi="Times New Roman" w:cs="Times New Roman"/>
                <w:b/>
                <w:bCs/>
                <w:color w:val="auto"/>
                <w:szCs w:val="24"/>
              </w:rPr>
              <w:t>、</w:t>
            </w:r>
            <w:r>
              <w:rPr>
                <w:rFonts w:hint="eastAsia" w:hAnsi="Times New Roman" w:cs="Times New Roman"/>
                <w:b/>
                <w:bCs/>
                <w:color w:val="auto"/>
                <w:szCs w:val="24"/>
              </w:rPr>
              <w:t>施工期</w:t>
            </w:r>
            <w:r>
              <w:rPr>
                <w:rFonts w:hAnsi="Times New Roman" w:cs="Times New Roman"/>
                <w:b/>
                <w:bCs/>
                <w:color w:val="auto"/>
                <w:szCs w:val="24"/>
              </w:rPr>
              <w:t>工艺流程</w:t>
            </w:r>
          </w:p>
          <w:p w14:paraId="2ED0713B">
            <w:pPr>
              <w:pStyle w:val="6"/>
              <w:spacing w:line="360" w:lineRule="auto"/>
              <w:ind w:firstLine="480" w:firstLineChars="200"/>
              <w:jc w:val="left"/>
              <w:rPr>
                <w:color w:val="auto"/>
              </w:rPr>
            </w:pPr>
            <w:r>
              <w:rPr>
                <w:rFonts w:hint="eastAsia"/>
                <w:color w:val="auto"/>
                <w:kern w:val="0"/>
              </w:rPr>
              <w:t>本项目为扩建项目，在租赁的已建建筑内进行项目建设，</w:t>
            </w:r>
            <w:r>
              <w:rPr>
                <w:color w:val="auto"/>
              </w:rPr>
              <w:t>施工期不进行土建施工，</w:t>
            </w:r>
            <w:r>
              <w:rPr>
                <w:rFonts w:hint="eastAsia"/>
                <w:color w:val="auto"/>
              </w:rPr>
              <w:t>主要为生产设备及环保设备的</w:t>
            </w:r>
            <w:r>
              <w:rPr>
                <w:color w:val="auto"/>
              </w:rPr>
              <w:t>安装与调试</w:t>
            </w:r>
            <w:r>
              <w:rPr>
                <w:rFonts w:hint="eastAsia"/>
                <w:color w:val="auto"/>
              </w:rPr>
              <w:t>。</w:t>
            </w:r>
          </w:p>
          <w:p w14:paraId="6FDF4A68">
            <w:pPr>
              <w:adjustRightInd w:val="0"/>
              <w:snapToGrid w:val="0"/>
              <w:spacing w:line="360" w:lineRule="auto"/>
              <w:rPr>
                <w:bCs/>
                <w:color w:val="auto"/>
                <w:sz w:val="24"/>
              </w:rPr>
            </w:pPr>
            <w:r>
              <w:rPr>
                <w:color w:val="auto"/>
                <w:sz w:val="24"/>
              </w:rPr>
              <mc:AlternateContent>
                <mc:Choice Requires="wpc">
                  <w:drawing>
                    <wp:inline distT="0" distB="0" distL="114300" distR="114300">
                      <wp:extent cx="5045075" cy="1090930"/>
                      <wp:effectExtent l="0" t="0" r="0" b="0"/>
                      <wp:docPr id="13" name="画布 13"/>
                      <wp:cNvGraphicFramePr/>
                      <a:graphic xmlns:a="http://schemas.openxmlformats.org/drawingml/2006/main">
                        <a:graphicData uri="http://schemas.microsoft.com/office/word/2010/wordprocessingCanvas">
                          <wpc:wpc>
                            <wpc:bg>
                              <a:noFill/>
                            </wpc:bg>
                            <wpc:whole>
                              <a:ln>
                                <a:noFill/>
                              </a:ln>
                            </wpc:whole>
                            <wps:wsp>
                              <wps:cNvPr id="5" name="矩形 5"/>
                              <wps:cNvSpPr/>
                              <wps:spPr>
                                <a:xfrm>
                                  <a:off x="774700" y="570865"/>
                                  <a:ext cx="2061210" cy="414655"/>
                                </a:xfrm>
                                <a:prstGeom prst="rect">
                                  <a:avLst/>
                                </a:prstGeom>
                                <a:noFill/>
                                <a:ln w="9525" cap="flat" cmpd="sng">
                                  <a:solidFill>
                                    <a:srgbClr val="000000"/>
                                  </a:solidFill>
                                  <a:prstDash val="solid"/>
                                  <a:miter/>
                                  <a:headEnd type="none" w="med" len="med"/>
                                  <a:tailEnd type="none" w="med" len="med"/>
                                </a:ln>
                              </wps:spPr>
                              <wps:txbx>
                                <w:txbxContent>
                                  <w:p w14:paraId="2ED9A5C1">
                                    <w:pPr>
                                      <w:spacing w:before="120" w:beforeLines="50"/>
                                    </w:pPr>
                                    <w:r>
                                      <w:rPr>
                                        <w:rFonts w:hint="eastAsia"/>
                                      </w:rPr>
                                      <w:t>生产设备及环保设备安装、调试</w:t>
                                    </w:r>
                                  </w:p>
                                </w:txbxContent>
                              </wps:txbx>
                              <wps:bodyPr upright="1"/>
                            </wps:wsp>
                            <wps:wsp>
                              <wps:cNvPr id="7" name="矩形 7"/>
                              <wps:cNvSpPr/>
                              <wps:spPr>
                                <a:xfrm>
                                  <a:off x="3378200" y="570230"/>
                                  <a:ext cx="744220" cy="406400"/>
                                </a:xfrm>
                                <a:prstGeom prst="rect">
                                  <a:avLst/>
                                </a:prstGeom>
                                <a:noFill/>
                                <a:ln w="9525" cap="flat" cmpd="sng">
                                  <a:solidFill>
                                    <a:srgbClr val="000000"/>
                                  </a:solidFill>
                                  <a:prstDash val="solid"/>
                                  <a:miter/>
                                  <a:headEnd type="none" w="med" len="med"/>
                                  <a:tailEnd type="none" w="med" len="med"/>
                                </a:ln>
                              </wps:spPr>
                              <wps:txbx>
                                <w:txbxContent>
                                  <w:p w14:paraId="61765479">
                                    <w:pPr>
                                      <w:spacing w:before="120" w:beforeLines="50"/>
                                    </w:pPr>
                                    <w:r>
                                      <w:rPr>
                                        <w:rFonts w:hint="eastAsia"/>
                                      </w:rPr>
                                      <w:t>运营使用</w:t>
                                    </w:r>
                                  </w:p>
                                </w:txbxContent>
                              </wps:txbx>
                              <wps:bodyPr upright="1"/>
                            </wps:wsp>
                            <wps:wsp>
                              <wps:cNvPr id="9" name="直接箭头连接符 9"/>
                              <wps:cNvCnPr/>
                              <wps:spPr>
                                <a:xfrm flipV="1">
                                  <a:off x="2835910" y="773430"/>
                                  <a:ext cx="542290" cy="5080"/>
                                </a:xfrm>
                                <a:prstGeom prst="straightConnector1">
                                  <a:avLst/>
                                </a:prstGeom>
                                <a:ln w="9525" cap="flat" cmpd="sng">
                                  <a:solidFill>
                                    <a:srgbClr val="000000"/>
                                  </a:solidFill>
                                  <a:prstDash val="solid"/>
                                  <a:miter/>
                                  <a:headEnd type="none" w="med" len="med"/>
                                  <a:tailEnd type="arrow" w="med" len="med"/>
                                </a:ln>
                              </wps:spPr>
                              <wps:bodyPr/>
                            </wps:wsp>
                            <wps:wsp>
                              <wps:cNvPr id="10" name="矩形 10"/>
                              <wps:cNvSpPr/>
                              <wps:spPr>
                                <a:xfrm>
                                  <a:off x="948690" y="27940"/>
                                  <a:ext cx="1704340" cy="320675"/>
                                </a:xfrm>
                                <a:prstGeom prst="rect">
                                  <a:avLst/>
                                </a:prstGeom>
                                <a:noFill/>
                                <a:ln>
                                  <a:noFill/>
                                </a:ln>
                              </wps:spPr>
                              <wps:txbx>
                                <w:txbxContent>
                                  <w:p w14:paraId="14C4B783">
                                    <w:pPr>
                                      <w:spacing w:before="120" w:beforeLines="50"/>
                                    </w:pPr>
                                    <w:r>
                                      <w:rPr>
                                        <w:rFonts w:hint="eastAsia"/>
                                      </w:rPr>
                                      <w:t>废水、废气、噪声、固废</w:t>
                                    </w:r>
                                  </w:p>
                                </w:txbxContent>
                              </wps:txbx>
                              <wps:bodyPr upright="1"/>
                            </wps:wsp>
                            <wps:wsp>
                              <wps:cNvPr id="12" name="直接箭头连接符 12"/>
                              <wps:cNvCnPr/>
                              <wps:spPr>
                                <a:xfrm flipH="1" flipV="1">
                                  <a:off x="1800860" y="348615"/>
                                  <a:ext cx="4445" cy="222250"/>
                                </a:xfrm>
                                <a:prstGeom prst="straightConnector1">
                                  <a:avLst/>
                                </a:prstGeom>
                                <a:ln w="9525" cap="flat" cmpd="sng">
                                  <a:solidFill>
                                    <a:srgbClr val="000000"/>
                                  </a:solidFill>
                                  <a:prstDash val="dash"/>
                                  <a:miter/>
                                  <a:headEnd type="none" w="med" len="med"/>
                                  <a:tailEnd type="arrow" w="med" len="med"/>
                                </a:ln>
                              </wps:spPr>
                              <wps:bodyPr/>
                            </wps:wsp>
                          </wpc:wpc>
                        </a:graphicData>
                      </a:graphic>
                    </wp:inline>
                  </w:drawing>
                </mc:Choice>
                <mc:Fallback>
                  <w:pict>
                    <v:group id="_x0000_s1026" o:spid="_x0000_s1026" o:spt="203" style="height:85.9pt;width:397.25pt;" coordsize="5045075,1090930" editas="canvas" o:gfxdata="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">
                      <o:lock v:ext="edit" aspectratio="f"/>
                      <v:shape id="_x0000_s1026" o:spid="_x0000_s1026" style="position:absolute;left:0;top:0;height:1090930;width:5045075;" filled="f" stroked="f" coordsize="21600,21600" o:gfxdata="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">
                        <v:fill on="f" focussize="0,0"/>
                        <v:stroke on="f"/>
                        <v:imagedata o:title=""/>
                        <o:lock v:ext="edit" aspectratio="f"/>
                      </v:shape>
                      <v:rect id="_x0000_s1026" o:spid="_x0000_s1026" o:spt="1" style="position:absolute;left:774700;top:570865;height:414655;width:2061210;" filled="f" stroked="t" coordsize="21600,21600" o:gfxdata="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3GDkBNUAAAAFAQAADwAAAAAAAAABACAAAAAiAAAAZHJz&#10;L2Rvd25yZXYueG1sUEsBAhQAFAAAAAgAh07iQLeLr0QHAgAACgQAAA4AAAAAAAAAAQAgAAAAJAEA&#10;AGRycy9lMm9Eb2MueG1sUEsFBgAAAAAGAAYAWQEAAJ0FAAAAAA==&#10;">
                        <v:fill on="f" focussize="0,0"/>
                        <v:stroke color="#000000" joinstyle="miter"/>
                        <v:imagedata o:title=""/>
                        <o:lock v:ext="edit" aspectratio="f"/>
                        <v:textbox>
                          <w:txbxContent>
                            <w:p w14:paraId="2ED9A5C1">
                              <w:pPr>
                                <w:spacing w:before="120" w:beforeLines="50"/>
                              </w:pPr>
                              <w:r>
                                <w:rPr>
                                  <w:rFonts w:hint="eastAsia"/>
                                </w:rPr>
                                <w:t>生产设备及环保设备安装、调试</w:t>
                              </w:r>
                            </w:p>
                          </w:txbxContent>
                        </v:textbox>
                      </v:rect>
                      <v:rect id="_x0000_s1026" o:spid="_x0000_s1026" o:spt="1" style="position:absolute;left:3378200;top:570230;height:406400;width:744220;" filled="f" stroked="t" coordsize="21600,21600" o:gfxdata="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3GDkBNUAAAAFAQAADwAAAAAAAAABACAAAAAiAAAAZHJz&#10;L2Rvd25yZXYueG1sUEsBAhQAFAAAAAgAh07iQIMHtQ0HAgAACgQAAA4AAAAAAAAAAQAgAAAAJAEA&#10;AGRycy9lMm9Eb2MueG1sUEsFBgAAAAAGAAYAWQEAAJ0FAAAAAA==&#10;">
                        <v:fill on="f" focussize="0,0"/>
                        <v:stroke color="#000000" joinstyle="miter"/>
                        <v:imagedata o:title=""/>
                        <o:lock v:ext="edit" aspectratio="f"/>
                        <v:textbox>
                          <w:txbxContent>
                            <w:p w14:paraId="61765479">
                              <w:pPr>
                                <w:spacing w:before="120" w:beforeLines="50"/>
                              </w:pPr>
                              <w:r>
                                <w:rPr>
                                  <w:rFonts w:hint="eastAsia"/>
                                </w:rPr>
                                <w:t>运营使用</w:t>
                              </w:r>
                            </w:p>
                          </w:txbxContent>
                        </v:textbox>
                      </v:rect>
                      <v:shape id="_x0000_s1026" o:spid="_x0000_s1026" o:spt="32" type="#_x0000_t32" style="position:absolute;left:2835910;top:773430;flip:y;height:5080;width:542290;" filled="f" stroked="t" coordsize="21600,21600" o:gfxdata="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8zWz19UAAAAF&#10;AQAADwAAAAAAAAABACAAAAAiAAAAZHJzL2Rvd25yZXYueG1sUEsBAhQAFAAAAAgAh07iQLFVuy0f&#10;AgAADgQAAA4AAAAAAAAAAQAgAAAAJAEAAGRycy9lMm9Eb2MueG1sUEsFBgAAAAAGAAYAWQEAALUF&#10;AAAAAA==&#10;">
                        <v:fill on="f" focussize="0,0"/>
                        <v:stroke color="#000000" joinstyle="miter" endarrow="open"/>
                        <v:imagedata o:title=""/>
                        <o:lock v:ext="edit" aspectratio="f"/>
                      </v:shape>
                      <v:rect id="_x0000_s1026" o:spid="_x0000_s1026" o:spt="1" style="position:absolute;left:948690;top:27940;height:320675;width:1704340;" filled="f" stroked="f" coordsize="21600,21600" o:gfxdata="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AEnd31wAA&#10;AAUBAAAPAAAAAAAAAAEAIAAAACIAAABkcnMvZG93bnJldi54bWxQSwECFAAUAAAACACHTuJA426x&#10;ba0BAABMAwAADgAAAAAAAAABACAAAAAmAQAAZHJzL2Uyb0RvYy54bWxQSwUGAAAAAAYABgBZAQAA&#10;RQUAAAAA&#10;">
                        <v:fill on="f" focussize="0,0"/>
                        <v:stroke on="f"/>
                        <v:imagedata o:title=""/>
                        <o:lock v:ext="edit" aspectratio="f"/>
                        <v:textbox>
                          <w:txbxContent>
                            <w:p w14:paraId="14C4B783">
                              <w:pPr>
                                <w:spacing w:before="120" w:beforeLines="50"/>
                              </w:pPr>
                              <w:r>
                                <w:rPr>
                                  <w:rFonts w:hint="eastAsia"/>
                                </w:rPr>
                                <w:t>废水、废气、噪声、固废</w:t>
                              </w:r>
                            </w:p>
                          </w:txbxContent>
                        </v:textbox>
                      </v:rect>
                      <v:shape id="_x0000_s1026" o:spid="_x0000_s1026" o:spt="32" type="#_x0000_t32" style="position:absolute;left:1800860;top:348615;flip:x y;height:222250;width:4445;" filled="f" stroked="t" coordsize="21600,21600" o:gfxdata="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MTnz41AAA&#10;AAUBAAAPAAAAAAAAAAEAIAAAACIAAABkcnMvZG93bnJldi54bWxQSwECFAAUAAAACACHTuJA7Mm0&#10;wCICAAAZBAAADgAAAAAAAAABACAAAAAjAQAAZHJzL2Uyb0RvYy54bWxQSwUGAAAAAAYABgBZAQAA&#10;twUAAAAA&#10;">
                        <v:fill on="f" focussize="0,0"/>
                        <v:stroke color="#000000" joinstyle="miter" dashstyle="dash" endarrow="open"/>
                        <v:imagedata o:title=""/>
                        <o:lock v:ext="edit" aspectratio="f"/>
                      </v:shape>
                      <w10:wrap type="none"/>
                      <w10:anchorlock/>
                    </v:group>
                  </w:pict>
                </mc:Fallback>
              </mc:AlternateContent>
            </w:r>
          </w:p>
          <w:p w14:paraId="3DAA185D">
            <w:pPr>
              <w:adjustRightInd w:val="0"/>
              <w:snapToGrid w:val="0"/>
              <w:spacing w:line="360" w:lineRule="auto"/>
              <w:jc w:val="center"/>
              <w:rPr>
                <w:b/>
                <w:color w:val="auto"/>
                <w:sz w:val="24"/>
              </w:rPr>
            </w:pPr>
            <w:r>
              <w:rPr>
                <w:rFonts w:hint="eastAsia"/>
                <w:b/>
                <w:color w:val="auto"/>
                <w:sz w:val="24"/>
              </w:rPr>
              <w:t>图2-2  施工期工艺流程及产污环节</w:t>
            </w:r>
          </w:p>
          <w:p w14:paraId="1A48BC83">
            <w:pPr>
              <w:pStyle w:val="6"/>
              <w:spacing w:line="360" w:lineRule="auto"/>
              <w:ind w:firstLine="480" w:firstLineChars="200"/>
              <w:jc w:val="left"/>
              <w:rPr>
                <w:color w:val="auto"/>
                <w:kern w:val="0"/>
              </w:rPr>
            </w:pPr>
            <w:r>
              <w:rPr>
                <w:color w:val="auto"/>
              </w:rPr>
              <w:t>施工期污染主要为设备安装人员生活污水、设备安装过程产生的噪声、废包装材料、生活垃圾等，所有安装施工在室内进行</w:t>
            </w:r>
            <w:r>
              <w:rPr>
                <w:rFonts w:hint="eastAsia"/>
                <w:color w:val="auto"/>
              </w:rPr>
              <w:t>。</w:t>
            </w:r>
          </w:p>
          <w:p w14:paraId="02AFA935">
            <w:pPr>
              <w:pStyle w:val="65"/>
              <w:spacing w:before="120" w:beforeLines="50" w:line="360" w:lineRule="auto"/>
              <w:ind w:firstLine="482"/>
              <w:rPr>
                <w:rFonts w:hAnsi="Times New Roman" w:cs="Times New Roman"/>
                <w:b/>
                <w:bCs/>
                <w:color w:val="auto"/>
                <w:szCs w:val="24"/>
              </w:rPr>
            </w:pPr>
            <w:r>
              <w:rPr>
                <w:rFonts w:hint="eastAsia" w:hAnsi="Times New Roman" w:cs="Times New Roman"/>
                <w:b/>
                <w:bCs/>
                <w:color w:val="auto"/>
                <w:szCs w:val="24"/>
              </w:rPr>
              <w:t>2</w:t>
            </w:r>
            <w:r>
              <w:rPr>
                <w:rFonts w:hAnsi="Times New Roman" w:cs="Times New Roman"/>
                <w:b/>
                <w:bCs/>
                <w:color w:val="auto"/>
                <w:szCs w:val="24"/>
              </w:rPr>
              <w:t>、运营期工艺流程</w:t>
            </w:r>
          </w:p>
          <w:p w14:paraId="4D664A0A">
            <w:pPr>
              <w:pStyle w:val="6"/>
              <w:spacing w:line="360" w:lineRule="auto"/>
              <w:ind w:firstLine="480" w:firstLineChars="200"/>
              <w:jc w:val="left"/>
              <w:rPr>
                <w:color w:val="auto"/>
                <w:kern w:val="0"/>
              </w:rPr>
            </w:pPr>
            <w:r>
              <w:rPr>
                <w:rFonts w:hint="eastAsia"/>
                <w:color w:val="auto"/>
                <w:kern w:val="0"/>
              </w:rPr>
              <w:t>塑料桶生产工艺流程图见下图：</w:t>
            </w:r>
          </w:p>
          <w:p w14:paraId="3AB86626">
            <w:pPr>
              <w:pStyle w:val="6"/>
              <w:spacing w:line="360" w:lineRule="auto"/>
              <w:ind w:firstLine="0"/>
              <w:jc w:val="center"/>
              <w:rPr>
                <w:color w:val="auto"/>
                <w:szCs w:val="24"/>
              </w:rPr>
            </w:pPr>
            <w:r>
              <w:rPr>
                <w:rFonts w:hint="eastAsia"/>
                <w:color w:val="auto"/>
                <w:szCs w:val="24"/>
              </w:rPr>
              <w:drawing>
                <wp:inline distT="0" distB="0" distL="114300" distR="114300">
                  <wp:extent cx="4331970" cy="2948305"/>
                  <wp:effectExtent l="0" t="0" r="0" b="0"/>
                  <wp:docPr id="2" name="ECB019B1-382A-4266-B25C-5B523AA43C14-1" descr="C:/Users/Lenovo/AppData/Local/Temp/wps.IsAWGY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CB019B1-382A-4266-B25C-5B523AA43C14-1" descr="C:/Users/Lenovo/AppData/Local/Temp/wps.IsAWGYwps"/>
                          <pic:cNvPicPr>
                            <a:picLocks noChangeAspect="1"/>
                          </pic:cNvPicPr>
                        </pic:nvPicPr>
                        <pic:blipFill>
                          <a:blip r:embed="rId13"/>
                          <a:stretch>
                            <a:fillRect/>
                          </a:stretch>
                        </pic:blipFill>
                        <pic:spPr>
                          <a:xfrm>
                            <a:off x="0" y="0"/>
                            <a:ext cx="4331970" cy="2948305"/>
                          </a:xfrm>
                          <a:prstGeom prst="rect">
                            <a:avLst/>
                          </a:prstGeom>
                        </pic:spPr>
                      </pic:pic>
                    </a:graphicData>
                  </a:graphic>
                </wp:inline>
              </w:drawing>
            </w:r>
          </w:p>
          <w:p w14:paraId="71894079">
            <w:pPr>
              <w:pStyle w:val="6"/>
              <w:spacing w:line="360" w:lineRule="auto"/>
              <w:ind w:firstLine="0"/>
              <w:jc w:val="center"/>
              <w:rPr>
                <w:color w:val="auto"/>
                <w:kern w:val="0"/>
              </w:rPr>
            </w:pPr>
            <w:r>
              <w:rPr>
                <w:b/>
                <w:bCs/>
                <w:color w:val="auto"/>
                <w:szCs w:val="24"/>
              </w:rPr>
              <w:t>图</w:t>
            </w:r>
            <w:r>
              <w:rPr>
                <w:rFonts w:hint="eastAsia"/>
                <w:b/>
                <w:bCs/>
                <w:color w:val="auto"/>
                <w:szCs w:val="24"/>
              </w:rPr>
              <w:t>2-3</w:t>
            </w:r>
            <w:r>
              <w:rPr>
                <w:b/>
                <w:bCs/>
                <w:color w:val="auto"/>
                <w:szCs w:val="24"/>
              </w:rPr>
              <w:t xml:space="preserve"> </w:t>
            </w:r>
            <w:r>
              <w:rPr>
                <w:rFonts w:hint="eastAsia"/>
                <w:b/>
                <w:bCs/>
                <w:color w:val="auto"/>
                <w:szCs w:val="24"/>
              </w:rPr>
              <w:t xml:space="preserve"> 塑料桶生产工艺流程及产污环节图</w:t>
            </w:r>
          </w:p>
          <w:p w14:paraId="42538A82">
            <w:pPr>
              <w:pStyle w:val="6"/>
              <w:spacing w:line="360" w:lineRule="auto"/>
              <w:ind w:firstLine="480" w:firstLineChars="200"/>
              <w:jc w:val="left"/>
              <w:rPr>
                <w:color w:val="auto"/>
                <w:kern w:val="0"/>
              </w:rPr>
            </w:pPr>
            <w:r>
              <w:rPr>
                <w:rFonts w:hint="eastAsia"/>
                <w:color w:val="auto"/>
                <w:kern w:val="0"/>
              </w:rPr>
              <w:t>工艺流程简述：</w:t>
            </w:r>
          </w:p>
          <w:p w14:paraId="4E10E34F">
            <w:pPr>
              <w:pStyle w:val="6"/>
              <w:spacing w:line="360" w:lineRule="auto"/>
              <w:ind w:firstLine="480" w:firstLineChars="200"/>
              <w:jc w:val="left"/>
              <w:rPr>
                <w:color w:val="auto"/>
                <w:kern w:val="0"/>
              </w:rPr>
            </w:pPr>
            <w:r>
              <w:rPr>
                <w:rFonts w:hint="eastAsia"/>
                <w:color w:val="auto"/>
                <w:kern w:val="0"/>
              </w:rPr>
              <w:t>①混料、投料</w:t>
            </w:r>
          </w:p>
          <w:p w14:paraId="61E3FD3E">
            <w:pPr>
              <w:pStyle w:val="6"/>
              <w:spacing w:line="360" w:lineRule="auto"/>
              <w:ind w:firstLine="480" w:firstLineChars="200"/>
              <w:jc w:val="left"/>
              <w:rPr>
                <w:color w:val="auto"/>
                <w:kern w:val="0"/>
              </w:rPr>
            </w:pPr>
            <w:r>
              <w:rPr>
                <w:rFonts w:hint="eastAsia"/>
                <w:color w:val="auto"/>
                <w:kern w:val="0"/>
              </w:rPr>
              <w:t>聚丙烯、聚乙烯树脂和色母采用搅拌机进行搅拌，原料聚丙烯、聚乙烯、色母颗粒袋装，其粒径较大，因此混料粉尘产生量极小。上料采用密闭管道负压上料，因此。此工序产生设备噪声。</w:t>
            </w:r>
          </w:p>
          <w:p w14:paraId="56B71C90">
            <w:pPr>
              <w:pStyle w:val="6"/>
              <w:spacing w:line="360" w:lineRule="auto"/>
              <w:ind w:firstLine="480" w:firstLineChars="200"/>
              <w:jc w:val="left"/>
              <w:rPr>
                <w:color w:val="auto"/>
                <w:kern w:val="0"/>
              </w:rPr>
            </w:pPr>
            <w:r>
              <w:rPr>
                <w:rFonts w:hint="eastAsia"/>
                <w:color w:val="auto"/>
                <w:kern w:val="0"/>
              </w:rPr>
              <w:t>②注塑工序</w:t>
            </w:r>
          </w:p>
          <w:p w14:paraId="1CF42FD7">
            <w:pPr>
              <w:pStyle w:val="6"/>
              <w:spacing w:line="360" w:lineRule="auto"/>
              <w:ind w:firstLine="480" w:firstLineChars="200"/>
              <w:rPr>
                <w:color w:val="auto"/>
                <w:kern w:val="0"/>
              </w:rPr>
            </w:pPr>
            <w:r>
              <w:rPr>
                <w:rFonts w:hint="eastAsia"/>
                <w:color w:val="auto"/>
                <w:kern w:val="0"/>
              </w:rPr>
              <w:t>项目将混合后的混合料经螺杆输送机压入料斗中加热至熔融状态，加热温度为250-300℃，熔融状态的塑料经注射入预先调整好的模具内充满模具内部。熔料充满模腔达到最大压力之后，使物料压实，这时压力螺杆位置保持不动，头部的熔料压力及喷嘴压力相对稳定，保持压力基本不变。同时，模具温度随冷却系统的冷却开始下降（间接冷却，冷却水循环使用），使物料温度相对下降并收缩。此时，由于保压作用，有少量的熔料进入模体进行补料，使制品的密度增大。当物料冷却到制品热变形温度以下进行冲压脱模，即为成品。此工序产生有机废气、噪声，废气处理过程中会产生废活性炭。</w:t>
            </w:r>
          </w:p>
          <w:p w14:paraId="10AB4E8F">
            <w:pPr>
              <w:pStyle w:val="6"/>
              <w:spacing w:line="360" w:lineRule="auto"/>
              <w:ind w:firstLine="480" w:firstLineChars="200"/>
              <w:jc w:val="left"/>
              <w:rPr>
                <w:color w:val="auto"/>
                <w:kern w:val="0"/>
              </w:rPr>
            </w:pPr>
            <w:r>
              <w:rPr>
                <w:rFonts w:hint="eastAsia"/>
                <w:color w:val="auto"/>
                <w:kern w:val="0"/>
              </w:rPr>
              <w:t>③检验</w:t>
            </w:r>
          </w:p>
          <w:p w14:paraId="62780374">
            <w:pPr>
              <w:pStyle w:val="6"/>
              <w:spacing w:line="360" w:lineRule="auto"/>
              <w:ind w:firstLine="480" w:firstLineChars="200"/>
              <w:rPr>
                <w:color w:val="auto"/>
                <w:kern w:val="0"/>
              </w:rPr>
            </w:pPr>
            <w:r>
              <w:rPr>
                <w:rFonts w:hint="eastAsia"/>
                <w:color w:val="auto"/>
                <w:kern w:val="0"/>
              </w:rPr>
              <w:t>注塑完成的产品采用人工对其外观进行检验，合格产品按需求进行热转印，此工序产生不合格品和废边角料，不合格品和废边角料在破碎间暂存定期进行破碎。</w:t>
            </w:r>
          </w:p>
          <w:p w14:paraId="7ED3A492">
            <w:pPr>
              <w:pStyle w:val="6"/>
              <w:spacing w:line="360" w:lineRule="auto"/>
              <w:ind w:firstLine="480" w:firstLineChars="200"/>
              <w:jc w:val="left"/>
              <w:rPr>
                <w:color w:val="auto"/>
                <w:kern w:val="0"/>
              </w:rPr>
            </w:pPr>
            <w:r>
              <w:rPr>
                <w:rFonts w:hint="eastAsia"/>
                <w:color w:val="auto"/>
                <w:kern w:val="0"/>
              </w:rPr>
              <w:t>④破碎</w:t>
            </w:r>
          </w:p>
          <w:p w14:paraId="7D66B63C">
            <w:pPr>
              <w:pStyle w:val="6"/>
              <w:spacing w:line="360" w:lineRule="auto"/>
              <w:ind w:firstLine="480" w:firstLineChars="200"/>
              <w:jc w:val="left"/>
              <w:rPr>
                <w:color w:val="auto"/>
                <w:kern w:val="0"/>
              </w:rPr>
            </w:pPr>
            <w:r>
              <w:rPr>
                <w:rFonts w:hint="eastAsia"/>
                <w:color w:val="auto"/>
                <w:kern w:val="0"/>
              </w:rPr>
              <w:t>检验不合格品和废边角料在破碎间暂存定期进行破碎，破碎后回用于生产。此工序产生破碎粉尘和噪声，废气处理过程中会产生除尘器收尘。</w:t>
            </w:r>
          </w:p>
          <w:p w14:paraId="7A73485B">
            <w:pPr>
              <w:pStyle w:val="6"/>
              <w:spacing w:line="360" w:lineRule="auto"/>
              <w:ind w:firstLine="480" w:firstLineChars="200"/>
              <w:jc w:val="left"/>
              <w:rPr>
                <w:color w:val="auto"/>
                <w:kern w:val="0"/>
              </w:rPr>
            </w:pPr>
            <w:r>
              <w:rPr>
                <w:rFonts w:hint="eastAsia"/>
                <w:color w:val="auto"/>
                <w:kern w:val="0"/>
              </w:rPr>
              <w:t>⑤热转印</w:t>
            </w:r>
          </w:p>
          <w:p w14:paraId="531B9D02">
            <w:pPr>
              <w:pStyle w:val="6"/>
              <w:spacing w:line="360" w:lineRule="auto"/>
              <w:ind w:firstLine="480" w:firstLineChars="200"/>
              <w:jc w:val="left"/>
              <w:rPr>
                <w:color w:val="auto"/>
                <w:kern w:val="0"/>
              </w:rPr>
            </w:pPr>
            <w:r>
              <w:rPr>
                <w:rFonts w:hint="eastAsia"/>
                <w:color w:val="auto"/>
                <w:kern w:val="0"/>
              </w:rPr>
              <w:t>合格的产品按需求印制需要的热转印膜，通过热转印机，在高温（自动热转印温度200-250℃，手动热转印温度为450℃）高压的条件下，将膜上的图案转印到塑料桶表面。转印膜外购，无转印膜制作过程。</w:t>
            </w:r>
            <w:r>
              <w:rPr>
                <w:rFonts w:hint="eastAsia"/>
                <w:color w:val="auto"/>
              </w:rPr>
              <w:t>此工序会产生有机废气和废包装材料（废转印膜）。</w:t>
            </w:r>
          </w:p>
          <w:p w14:paraId="550B1BBA">
            <w:pPr>
              <w:pStyle w:val="6"/>
              <w:spacing w:line="360" w:lineRule="auto"/>
              <w:ind w:firstLine="480" w:firstLineChars="200"/>
              <w:jc w:val="left"/>
              <w:rPr>
                <w:color w:val="auto"/>
                <w:kern w:val="0"/>
              </w:rPr>
            </w:pPr>
            <w:r>
              <w:rPr>
                <w:rFonts w:hint="eastAsia"/>
                <w:color w:val="auto"/>
                <w:kern w:val="0"/>
              </w:rPr>
              <w:t>⑥安装</w:t>
            </w:r>
          </w:p>
          <w:p w14:paraId="55986A8D">
            <w:pPr>
              <w:pStyle w:val="6"/>
              <w:spacing w:line="360" w:lineRule="auto"/>
              <w:ind w:firstLine="480" w:firstLineChars="200"/>
              <w:jc w:val="left"/>
              <w:rPr>
                <w:color w:val="auto"/>
                <w:kern w:val="0"/>
              </w:rPr>
            </w:pPr>
            <w:r>
              <w:rPr>
                <w:rFonts w:hint="eastAsia"/>
                <w:color w:val="auto"/>
                <w:kern w:val="0"/>
              </w:rPr>
              <w:t>将热转印完成后的塑料桶采用人工安装把手，形成成品塑料桶进行入库暂存。</w:t>
            </w:r>
          </w:p>
          <w:p w14:paraId="36767B0E">
            <w:pPr>
              <w:pStyle w:val="6"/>
              <w:spacing w:line="360" w:lineRule="auto"/>
              <w:ind w:firstLine="480" w:firstLineChars="200"/>
              <w:jc w:val="left"/>
              <w:rPr>
                <w:color w:val="auto"/>
                <w:kern w:val="0"/>
              </w:rPr>
            </w:pPr>
            <w:r>
              <w:rPr>
                <w:rFonts w:hint="eastAsia"/>
                <w:color w:val="auto"/>
                <w:kern w:val="0"/>
              </w:rPr>
              <w:t>⑦入库</w:t>
            </w:r>
          </w:p>
          <w:p w14:paraId="33D26B7A">
            <w:pPr>
              <w:pStyle w:val="6"/>
              <w:spacing w:line="360" w:lineRule="auto"/>
              <w:ind w:firstLine="480" w:firstLineChars="200"/>
              <w:jc w:val="left"/>
              <w:rPr>
                <w:color w:val="auto"/>
                <w:kern w:val="0"/>
              </w:rPr>
            </w:pPr>
            <w:r>
              <w:rPr>
                <w:rFonts w:hint="eastAsia"/>
                <w:color w:val="auto"/>
                <w:kern w:val="0"/>
              </w:rPr>
              <w:t>产品进行入库暂存。</w:t>
            </w:r>
          </w:p>
          <w:p w14:paraId="01C35800">
            <w:pPr>
              <w:spacing w:line="360" w:lineRule="auto"/>
              <w:ind w:firstLine="470" w:firstLineChars="200"/>
              <w:rPr>
                <w:b/>
                <w:bCs/>
                <w:color w:val="auto"/>
                <w:spacing w:val="-3"/>
                <w:sz w:val="24"/>
              </w:rPr>
            </w:pPr>
            <w:r>
              <w:rPr>
                <w:rFonts w:hint="eastAsia"/>
                <w:b/>
                <w:bCs/>
                <w:color w:val="auto"/>
                <w:spacing w:val="-3"/>
                <w:sz w:val="24"/>
              </w:rPr>
              <w:t>2、项目产污环节</w:t>
            </w:r>
          </w:p>
          <w:p w14:paraId="1FDAB979">
            <w:pPr>
              <w:spacing w:line="360" w:lineRule="auto"/>
              <w:ind w:firstLine="468" w:firstLineChars="200"/>
              <w:rPr>
                <w:color w:val="auto"/>
                <w:spacing w:val="-3"/>
                <w:sz w:val="24"/>
              </w:rPr>
            </w:pPr>
            <w:r>
              <w:rPr>
                <w:rFonts w:hint="eastAsia"/>
                <w:color w:val="auto"/>
                <w:spacing w:val="-3"/>
                <w:sz w:val="24"/>
              </w:rPr>
              <w:t>除了上述分析产污环节及污染物外，项目运营过程中还会产生生活垃圾、生活污水和设备维护产生的废机油、废抹布。</w:t>
            </w:r>
            <w:r>
              <w:rPr>
                <w:color w:val="auto"/>
                <w:spacing w:val="-3"/>
                <w:sz w:val="24"/>
              </w:rPr>
              <w:t>本项目运营期主要产污环节见下表：</w:t>
            </w:r>
          </w:p>
          <w:p w14:paraId="045040AA">
            <w:pPr>
              <w:pStyle w:val="65"/>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2-8</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运营期主要污染工序一览表</w:t>
            </w:r>
          </w:p>
          <w:tbl>
            <w:tblPr>
              <w:tblStyle w:val="26"/>
              <w:tblW w:w="821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8"/>
              <w:gridCol w:w="1491"/>
              <w:gridCol w:w="1782"/>
              <w:gridCol w:w="1627"/>
              <w:gridCol w:w="2632"/>
            </w:tblGrid>
            <w:tr w14:paraId="4211AD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Align w:val="center"/>
                </w:tcPr>
                <w:p w14:paraId="3AB005B1">
                  <w:pPr>
                    <w:jc w:val="center"/>
                    <w:rPr>
                      <w:b/>
                      <w:bCs/>
                      <w:color w:val="auto"/>
                      <w:szCs w:val="21"/>
                    </w:rPr>
                  </w:pPr>
                  <w:r>
                    <w:rPr>
                      <w:b/>
                      <w:bCs/>
                      <w:color w:val="auto"/>
                      <w:szCs w:val="21"/>
                    </w:rPr>
                    <w:t>污染类别</w:t>
                  </w:r>
                </w:p>
              </w:tc>
              <w:tc>
                <w:tcPr>
                  <w:tcW w:w="908" w:type="pct"/>
                  <w:vAlign w:val="center"/>
                </w:tcPr>
                <w:p w14:paraId="16335EDD">
                  <w:pPr>
                    <w:jc w:val="center"/>
                    <w:rPr>
                      <w:b/>
                      <w:bCs/>
                      <w:color w:val="auto"/>
                      <w:szCs w:val="21"/>
                    </w:rPr>
                  </w:pPr>
                  <w:r>
                    <w:rPr>
                      <w:b/>
                      <w:bCs/>
                      <w:color w:val="auto"/>
                      <w:szCs w:val="21"/>
                    </w:rPr>
                    <w:t>污染源名称</w:t>
                  </w:r>
                </w:p>
              </w:tc>
              <w:tc>
                <w:tcPr>
                  <w:tcW w:w="1085" w:type="pct"/>
                  <w:vAlign w:val="center"/>
                </w:tcPr>
                <w:p w14:paraId="3769601B">
                  <w:pPr>
                    <w:jc w:val="center"/>
                    <w:rPr>
                      <w:b/>
                      <w:bCs/>
                      <w:color w:val="auto"/>
                      <w:szCs w:val="21"/>
                    </w:rPr>
                  </w:pPr>
                  <w:r>
                    <w:rPr>
                      <w:b/>
                      <w:bCs/>
                      <w:color w:val="auto"/>
                      <w:szCs w:val="21"/>
                    </w:rPr>
                    <w:t>产污环节</w:t>
                  </w:r>
                </w:p>
              </w:tc>
              <w:tc>
                <w:tcPr>
                  <w:tcW w:w="990" w:type="pct"/>
                  <w:vAlign w:val="center"/>
                </w:tcPr>
                <w:p w14:paraId="66948FA3">
                  <w:pPr>
                    <w:jc w:val="center"/>
                    <w:rPr>
                      <w:b/>
                      <w:bCs/>
                      <w:color w:val="auto"/>
                      <w:szCs w:val="21"/>
                    </w:rPr>
                  </w:pPr>
                  <w:r>
                    <w:rPr>
                      <w:b/>
                      <w:bCs/>
                      <w:color w:val="auto"/>
                      <w:szCs w:val="21"/>
                    </w:rPr>
                    <w:t>主要污染因子</w:t>
                  </w:r>
                </w:p>
              </w:tc>
              <w:tc>
                <w:tcPr>
                  <w:tcW w:w="1602" w:type="pct"/>
                  <w:vAlign w:val="center"/>
                </w:tcPr>
                <w:p w14:paraId="74423A59">
                  <w:pPr>
                    <w:jc w:val="center"/>
                    <w:rPr>
                      <w:b/>
                      <w:bCs/>
                      <w:color w:val="auto"/>
                      <w:szCs w:val="21"/>
                    </w:rPr>
                  </w:pPr>
                  <w:r>
                    <w:rPr>
                      <w:rFonts w:hint="eastAsia"/>
                      <w:b/>
                      <w:bCs/>
                      <w:color w:val="auto"/>
                      <w:szCs w:val="21"/>
                    </w:rPr>
                    <w:t>处置去向</w:t>
                  </w:r>
                </w:p>
              </w:tc>
            </w:tr>
            <w:tr w14:paraId="72199A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restart"/>
                  <w:vAlign w:val="center"/>
                </w:tcPr>
                <w:p w14:paraId="6FC651C1">
                  <w:pPr>
                    <w:jc w:val="center"/>
                    <w:rPr>
                      <w:color w:val="auto"/>
                      <w:szCs w:val="21"/>
                    </w:rPr>
                  </w:pPr>
                  <w:r>
                    <w:rPr>
                      <w:rFonts w:hint="eastAsia"/>
                      <w:color w:val="auto"/>
                      <w:szCs w:val="21"/>
                    </w:rPr>
                    <w:t>废气</w:t>
                  </w:r>
                </w:p>
              </w:tc>
              <w:tc>
                <w:tcPr>
                  <w:tcW w:w="908" w:type="pct"/>
                  <w:vAlign w:val="center"/>
                </w:tcPr>
                <w:p w14:paraId="0EDC9B29">
                  <w:pPr>
                    <w:jc w:val="center"/>
                    <w:rPr>
                      <w:color w:val="auto"/>
                      <w:szCs w:val="21"/>
                    </w:rPr>
                  </w:pPr>
                  <w:r>
                    <w:rPr>
                      <w:rFonts w:hint="eastAsia"/>
                      <w:color w:val="auto"/>
                      <w:szCs w:val="21"/>
                    </w:rPr>
                    <w:t>注塑机</w:t>
                  </w:r>
                </w:p>
              </w:tc>
              <w:tc>
                <w:tcPr>
                  <w:tcW w:w="1085" w:type="pct"/>
                  <w:vAlign w:val="center"/>
                </w:tcPr>
                <w:p w14:paraId="2825995B">
                  <w:pPr>
                    <w:jc w:val="center"/>
                    <w:rPr>
                      <w:color w:val="auto"/>
                      <w:szCs w:val="21"/>
                    </w:rPr>
                  </w:pPr>
                  <w:r>
                    <w:rPr>
                      <w:rFonts w:hint="eastAsia"/>
                      <w:color w:val="auto"/>
                      <w:szCs w:val="21"/>
                    </w:rPr>
                    <w:t>注塑</w:t>
                  </w:r>
                </w:p>
              </w:tc>
              <w:tc>
                <w:tcPr>
                  <w:tcW w:w="990" w:type="pct"/>
                  <w:vMerge w:val="restart"/>
                  <w:vAlign w:val="center"/>
                </w:tcPr>
                <w:p w14:paraId="1C1D8226">
                  <w:pPr>
                    <w:jc w:val="center"/>
                    <w:rPr>
                      <w:color w:val="auto"/>
                      <w:szCs w:val="21"/>
                    </w:rPr>
                  </w:pPr>
                  <w:r>
                    <w:rPr>
                      <w:rFonts w:hint="eastAsia"/>
                      <w:color w:val="auto"/>
                      <w:szCs w:val="21"/>
                    </w:rPr>
                    <w:t>非甲烷总烃</w:t>
                  </w:r>
                </w:p>
              </w:tc>
              <w:tc>
                <w:tcPr>
                  <w:tcW w:w="1602" w:type="pct"/>
                  <w:vAlign w:val="center"/>
                </w:tcPr>
                <w:p w14:paraId="7A4A9A0D">
                  <w:pPr>
                    <w:jc w:val="center"/>
                    <w:rPr>
                      <w:color w:val="auto"/>
                      <w:szCs w:val="21"/>
                    </w:rPr>
                  </w:pPr>
                  <w:r>
                    <w:rPr>
                      <w:rFonts w:hint="eastAsia"/>
                      <w:color w:val="auto"/>
                      <w:szCs w:val="21"/>
                    </w:rPr>
                    <w:t>集气罩+软帘+</w:t>
                  </w:r>
                  <w:r>
                    <w:rPr>
                      <w:rFonts w:hint="eastAsia"/>
                      <w:color w:val="auto"/>
                      <w:szCs w:val="21"/>
                      <w:lang w:val="en-US" w:eastAsia="zh-CN"/>
                    </w:rPr>
                    <w:t>三</w:t>
                  </w:r>
                  <w:r>
                    <w:rPr>
                      <w:rFonts w:hint="eastAsia"/>
                      <w:color w:val="auto"/>
                      <w:szCs w:val="21"/>
                    </w:rPr>
                    <w:t>级活性炭吸附+15m高排气筒排放</w:t>
                  </w:r>
                </w:p>
              </w:tc>
            </w:tr>
            <w:tr w14:paraId="03202D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vAlign w:val="center"/>
                </w:tcPr>
                <w:p w14:paraId="18C5FD7B">
                  <w:pPr>
                    <w:jc w:val="center"/>
                    <w:rPr>
                      <w:color w:val="auto"/>
                      <w:szCs w:val="21"/>
                    </w:rPr>
                  </w:pPr>
                </w:p>
              </w:tc>
              <w:tc>
                <w:tcPr>
                  <w:tcW w:w="908" w:type="pct"/>
                  <w:vAlign w:val="center"/>
                </w:tcPr>
                <w:p w14:paraId="00FB658C">
                  <w:pPr>
                    <w:jc w:val="center"/>
                    <w:rPr>
                      <w:color w:val="auto"/>
                      <w:szCs w:val="21"/>
                    </w:rPr>
                  </w:pPr>
                  <w:r>
                    <w:rPr>
                      <w:rFonts w:hint="eastAsia"/>
                      <w:color w:val="auto"/>
                      <w:szCs w:val="21"/>
                    </w:rPr>
                    <w:t>热转印机</w:t>
                  </w:r>
                </w:p>
              </w:tc>
              <w:tc>
                <w:tcPr>
                  <w:tcW w:w="1085" w:type="pct"/>
                  <w:vAlign w:val="center"/>
                </w:tcPr>
                <w:p w14:paraId="5239900D">
                  <w:pPr>
                    <w:jc w:val="center"/>
                    <w:rPr>
                      <w:color w:val="auto"/>
                      <w:szCs w:val="21"/>
                    </w:rPr>
                  </w:pPr>
                  <w:r>
                    <w:rPr>
                      <w:rFonts w:hint="eastAsia"/>
                      <w:color w:val="auto"/>
                      <w:szCs w:val="21"/>
                    </w:rPr>
                    <w:t>热转印</w:t>
                  </w:r>
                </w:p>
              </w:tc>
              <w:tc>
                <w:tcPr>
                  <w:tcW w:w="990" w:type="pct"/>
                  <w:vMerge w:val="continue"/>
                  <w:vAlign w:val="center"/>
                </w:tcPr>
                <w:p w14:paraId="669D1CD5">
                  <w:pPr>
                    <w:jc w:val="center"/>
                    <w:rPr>
                      <w:color w:val="auto"/>
                      <w:szCs w:val="21"/>
                    </w:rPr>
                  </w:pPr>
                </w:p>
              </w:tc>
              <w:tc>
                <w:tcPr>
                  <w:tcW w:w="1602" w:type="pct"/>
                  <w:vAlign w:val="center"/>
                </w:tcPr>
                <w:p w14:paraId="755E33F9">
                  <w:pPr>
                    <w:jc w:val="center"/>
                    <w:rPr>
                      <w:color w:val="auto"/>
                      <w:szCs w:val="21"/>
                    </w:rPr>
                  </w:pPr>
                  <w:r>
                    <w:rPr>
                      <w:rFonts w:hint="eastAsia"/>
                      <w:color w:val="auto"/>
                      <w:szCs w:val="21"/>
                    </w:rPr>
                    <w:t>车间内无组织排放</w:t>
                  </w:r>
                </w:p>
              </w:tc>
            </w:tr>
            <w:tr w14:paraId="3711BB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Merge w:val="continue"/>
                  <w:vAlign w:val="center"/>
                </w:tcPr>
                <w:p w14:paraId="0668A3C2">
                  <w:pPr>
                    <w:jc w:val="center"/>
                    <w:rPr>
                      <w:color w:val="auto"/>
                      <w:szCs w:val="21"/>
                    </w:rPr>
                  </w:pPr>
                </w:p>
              </w:tc>
              <w:tc>
                <w:tcPr>
                  <w:tcW w:w="908" w:type="pct"/>
                  <w:vAlign w:val="center"/>
                </w:tcPr>
                <w:p w14:paraId="7123DB1E">
                  <w:pPr>
                    <w:jc w:val="center"/>
                    <w:rPr>
                      <w:color w:val="auto"/>
                      <w:szCs w:val="21"/>
                    </w:rPr>
                  </w:pPr>
                  <w:r>
                    <w:rPr>
                      <w:rFonts w:hint="eastAsia"/>
                      <w:color w:val="auto"/>
                      <w:szCs w:val="21"/>
                    </w:rPr>
                    <w:t>破碎机</w:t>
                  </w:r>
                </w:p>
              </w:tc>
              <w:tc>
                <w:tcPr>
                  <w:tcW w:w="1085" w:type="pct"/>
                  <w:vAlign w:val="center"/>
                </w:tcPr>
                <w:p w14:paraId="36BE4075">
                  <w:pPr>
                    <w:jc w:val="center"/>
                    <w:rPr>
                      <w:color w:val="auto"/>
                      <w:szCs w:val="21"/>
                    </w:rPr>
                  </w:pPr>
                  <w:r>
                    <w:rPr>
                      <w:rFonts w:hint="eastAsia"/>
                      <w:color w:val="auto"/>
                      <w:szCs w:val="21"/>
                    </w:rPr>
                    <w:t>破碎</w:t>
                  </w:r>
                </w:p>
              </w:tc>
              <w:tc>
                <w:tcPr>
                  <w:tcW w:w="990" w:type="pct"/>
                  <w:vAlign w:val="center"/>
                </w:tcPr>
                <w:p w14:paraId="15E690F3">
                  <w:pPr>
                    <w:jc w:val="center"/>
                    <w:rPr>
                      <w:color w:val="auto"/>
                      <w:szCs w:val="21"/>
                    </w:rPr>
                  </w:pPr>
                  <w:r>
                    <w:rPr>
                      <w:rFonts w:hint="eastAsia"/>
                      <w:color w:val="auto"/>
                      <w:szCs w:val="21"/>
                    </w:rPr>
                    <w:t>颗粒物</w:t>
                  </w:r>
                </w:p>
              </w:tc>
              <w:tc>
                <w:tcPr>
                  <w:tcW w:w="1602" w:type="pct"/>
                  <w:vAlign w:val="center"/>
                </w:tcPr>
                <w:p w14:paraId="3911C534">
                  <w:pPr>
                    <w:jc w:val="center"/>
                    <w:rPr>
                      <w:color w:val="auto"/>
                      <w:szCs w:val="21"/>
                    </w:rPr>
                  </w:pPr>
                  <w:r>
                    <w:rPr>
                      <w:rFonts w:hint="eastAsia"/>
                      <w:color w:val="auto"/>
                      <w:szCs w:val="21"/>
                    </w:rPr>
                    <w:t>集气罩+袋式除尘器</w:t>
                  </w:r>
                </w:p>
              </w:tc>
            </w:tr>
            <w:tr w14:paraId="346AA6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restart"/>
                  <w:vAlign w:val="center"/>
                </w:tcPr>
                <w:p w14:paraId="170494D5">
                  <w:pPr>
                    <w:jc w:val="center"/>
                    <w:rPr>
                      <w:color w:val="auto"/>
                      <w:szCs w:val="21"/>
                    </w:rPr>
                  </w:pPr>
                  <w:r>
                    <w:rPr>
                      <w:rFonts w:hint="eastAsia"/>
                      <w:color w:val="auto"/>
                      <w:szCs w:val="21"/>
                    </w:rPr>
                    <w:t>废水</w:t>
                  </w:r>
                </w:p>
              </w:tc>
              <w:tc>
                <w:tcPr>
                  <w:tcW w:w="908" w:type="pct"/>
                  <w:vAlign w:val="center"/>
                </w:tcPr>
                <w:p w14:paraId="2F693D8F">
                  <w:pPr>
                    <w:jc w:val="center"/>
                    <w:rPr>
                      <w:color w:val="auto"/>
                      <w:szCs w:val="21"/>
                    </w:rPr>
                  </w:pPr>
                  <w:r>
                    <w:rPr>
                      <w:rFonts w:hint="eastAsia"/>
                      <w:color w:val="auto"/>
                      <w:szCs w:val="21"/>
                    </w:rPr>
                    <w:t>生活污水</w:t>
                  </w:r>
                </w:p>
              </w:tc>
              <w:tc>
                <w:tcPr>
                  <w:tcW w:w="1085" w:type="pct"/>
                  <w:vAlign w:val="center"/>
                </w:tcPr>
                <w:p w14:paraId="7E2BC7DE">
                  <w:pPr>
                    <w:jc w:val="center"/>
                    <w:rPr>
                      <w:color w:val="auto"/>
                      <w:szCs w:val="21"/>
                    </w:rPr>
                  </w:pPr>
                  <w:r>
                    <w:rPr>
                      <w:rFonts w:hint="eastAsia"/>
                      <w:color w:val="auto"/>
                      <w:szCs w:val="21"/>
                    </w:rPr>
                    <w:t>员工生活、办公</w:t>
                  </w:r>
                </w:p>
              </w:tc>
              <w:tc>
                <w:tcPr>
                  <w:tcW w:w="990" w:type="pct"/>
                  <w:vAlign w:val="center"/>
                </w:tcPr>
                <w:p w14:paraId="5BBEF984">
                  <w:pPr>
                    <w:jc w:val="center"/>
                    <w:rPr>
                      <w:color w:val="auto"/>
                      <w:szCs w:val="21"/>
                    </w:rPr>
                  </w:pPr>
                  <w:r>
                    <w:rPr>
                      <w:rFonts w:hint="eastAsia"/>
                      <w:color w:val="auto"/>
                      <w:szCs w:val="21"/>
                    </w:rPr>
                    <w:t>COD、氨氮、SS、BOD</w:t>
                  </w:r>
                  <w:r>
                    <w:rPr>
                      <w:rFonts w:hint="eastAsia"/>
                      <w:color w:val="auto"/>
                      <w:szCs w:val="21"/>
                      <w:vertAlign w:val="subscript"/>
                    </w:rPr>
                    <w:t>5</w:t>
                  </w:r>
                  <w:r>
                    <w:rPr>
                      <w:rFonts w:hint="eastAsia"/>
                      <w:color w:val="auto"/>
                      <w:szCs w:val="21"/>
                    </w:rPr>
                    <w:t>、TN、TP</w:t>
                  </w:r>
                </w:p>
              </w:tc>
              <w:tc>
                <w:tcPr>
                  <w:tcW w:w="1602" w:type="pct"/>
                  <w:vAlign w:val="center"/>
                </w:tcPr>
                <w:p w14:paraId="14FBB047">
                  <w:pPr>
                    <w:jc w:val="center"/>
                    <w:rPr>
                      <w:color w:val="auto"/>
                      <w:szCs w:val="21"/>
                    </w:rPr>
                  </w:pPr>
                  <w:r>
                    <w:rPr>
                      <w:rFonts w:hint="eastAsia"/>
                      <w:color w:val="auto"/>
                      <w:szCs w:val="21"/>
                    </w:rPr>
                    <w:t>依托租赁厂区</w:t>
                  </w:r>
                  <w:r>
                    <w:rPr>
                      <w:rFonts w:hint="eastAsia"/>
                      <w:color w:val="auto"/>
                      <w:szCs w:val="21"/>
                      <w:lang w:val="en-US" w:eastAsia="zh-CN"/>
                    </w:rPr>
                    <w:t>防渗</w:t>
                  </w:r>
                  <w:r>
                    <w:rPr>
                      <w:rFonts w:hint="eastAsia"/>
                      <w:color w:val="auto"/>
                      <w:szCs w:val="21"/>
                      <w:lang w:eastAsia="zh-CN"/>
                    </w:rPr>
                    <w:t>旱厕</w:t>
                  </w:r>
                  <w:r>
                    <w:rPr>
                      <w:rFonts w:hint="eastAsia"/>
                      <w:color w:val="auto"/>
                      <w:szCs w:val="21"/>
                    </w:rPr>
                    <w:t>处理后，</w:t>
                  </w:r>
                  <w:r>
                    <w:rPr>
                      <w:rFonts w:hint="eastAsia"/>
                      <w:color w:val="auto"/>
                    </w:rPr>
                    <w:t>定期清掏用于周边农地，不外排</w:t>
                  </w:r>
                </w:p>
              </w:tc>
            </w:tr>
            <w:tr w14:paraId="17E87E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Merge w:val="continue"/>
                  <w:vAlign w:val="center"/>
                </w:tcPr>
                <w:p w14:paraId="79466946">
                  <w:pPr>
                    <w:jc w:val="center"/>
                    <w:rPr>
                      <w:color w:val="auto"/>
                      <w:szCs w:val="21"/>
                    </w:rPr>
                  </w:pPr>
                </w:p>
              </w:tc>
              <w:tc>
                <w:tcPr>
                  <w:tcW w:w="908" w:type="pct"/>
                  <w:vAlign w:val="center"/>
                </w:tcPr>
                <w:p w14:paraId="6A6D827A">
                  <w:pPr>
                    <w:jc w:val="center"/>
                    <w:rPr>
                      <w:color w:val="auto"/>
                      <w:szCs w:val="21"/>
                    </w:rPr>
                  </w:pPr>
                  <w:r>
                    <w:rPr>
                      <w:rFonts w:hint="eastAsia"/>
                      <w:color w:val="auto"/>
                      <w:szCs w:val="21"/>
                    </w:rPr>
                    <w:t>生产用水</w:t>
                  </w:r>
                </w:p>
              </w:tc>
              <w:tc>
                <w:tcPr>
                  <w:tcW w:w="1085" w:type="pct"/>
                  <w:vAlign w:val="center"/>
                </w:tcPr>
                <w:p w14:paraId="66D58E2A">
                  <w:pPr>
                    <w:jc w:val="center"/>
                    <w:rPr>
                      <w:color w:val="auto"/>
                      <w:szCs w:val="21"/>
                    </w:rPr>
                  </w:pPr>
                  <w:r>
                    <w:rPr>
                      <w:rFonts w:hint="eastAsia"/>
                      <w:color w:val="auto"/>
                      <w:szCs w:val="21"/>
                    </w:rPr>
                    <w:t>冷却</w:t>
                  </w:r>
                </w:p>
              </w:tc>
              <w:tc>
                <w:tcPr>
                  <w:tcW w:w="990" w:type="pct"/>
                  <w:vAlign w:val="center"/>
                </w:tcPr>
                <w:p w14:paraId="7463E974">
                  <w:pPr>
                    <w:jc w:val="center"/>
                    <w:rPr>
                      <w:color w:val="auto"/>
                      <w:szCs w:val="21"/>
                    </w:rPr>
                  </w:pPr>
                  <w:r>
                    <w:rPr>
                      <w:rFonts w:hint="eastAsia"/>
                      <w:color w:val="auto"/>
                    </w:rPr>
                    <w:t>SS</w:t>
                  </w:r>
                </w:p>
              </w:tc>
              <w:tc>
                <w:tcPr>
                  <w:tcW w:w="1602" w:type="pct"/>
                  <w:vAlign w:val="center"/>
                </w:tcPr>
                <w:p w14:paraId="35031DA0">
                  <w:pPr>
                    <w:jc w:val="center"/>
                    <w:rPr>
                      <w:color w:val="auto"/>
                      <w:szCs w:val="21"/>
                    </w:rPr>
                  </w:pPr>
                  <w:r>
                    <w:rPr>
                      <w:rFonts w:hint="eastAsia"/>
                      <w:color w:val="auto"/>
                      <w:szCs w:val="21"/>
                    </w:rPr>
                    <w:t>冷却水循环使用，不外排</w:t>
                  </w:r>
                </w:p>
              </w:tc>
            </w:tr>
            <w:tr w14:paraId="244D72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2" w:type="pct"/>
                  <w:vAlign w:val="center"/>
                </w:tcPr>
                <w:p w14:paraId="20444226">
                  <w:pPr>
                    <w:jc w:val="center"/>
                    <w:rPr>
                      <w:color w:val="auto"/>
                      <w:szCs w:val="21"/>
                    </w:rPr>
                  </w:pPr>
                  <w:r>
                    <w:rPr>
                      <w:color w:val="auto"/>
                      <w:szCs w:val="21"/>
                    </w:rPr>
                    <w:t>噪声</w:t>
                  </w:r>
                </w:p>
              </w:tc>
              <w:tc>
                <w:tcPr>
                  <w:tcW w:w="908" w:type="pct"/>
                  <w:vAlign w:val="center"/>
                </w:tcPr>
                <w:p w14:paraId="11AAAD44">
                  <w:pPr>
                    <w:jc w:val="center"/>
                    <w:rPr>
                      <w:color w:val="auto"/>
                      <w:szCs w:val="21"/>
                    </w:rPr>
                  </w:pPr>
                  <w:r>
                    <w:rPr>
                      <w:rFonts w:hint="eastAsia"/>
                      <w:color w:val="auto"/>
                      <w:szCs w:val="21"/>
                    </w:rPr>
                    <w:t>生产</w:t>
                  </w:r>
                  <w:r>
                    <w:rPr>
                      <w:color w:val="auto"/>
                      <w:szCs w:val="21"/>
                    </w:rPr>
                    <w:t>设备</w:t>
                  </w:r>
                  <w:r>
                    <w:rPr>
                      <w:rFonts w:hint="eastAsia"/>
                      <w:color w:val="auto"/>
                      <w:szCs w:val="21"/>
                    </w:rPr>
                    <w:t>及环保设备</w:t>
                  </w:r>
                  <w:r>
                    <w:rPr>
                      <w:color w:val="auto"/>
                      <w:szCs w:val="21"/>
                    </w:rPr>
                    <w:t>噪声</w:t>
                  </w:r>
                </w:p>
              </w:tc>
              <w:tc>
                <w:tcPr>
                  <w:tcW w:w="1085" w:type="pct"/>
                  <w:vAlign w:val="center"/>
                </w:tcPr>
                <w:p w14:paraId="3474BD3A">
                  <w:pPr>
                    <w:jc w:val="center"/>
                    <w:rPr>
                      <w:color w:val="auto"/>
                      <w:szCs w:val="21"/>
                    </w:rPr>
                  </w:pPr>
                  <w:r>
                    <w:rPr>
                      <w:rFonts w:hint="eastAsia"/>
                      <w:color w:val="auto"/>
                      <w:szCs w:val="21"/>
                    </w:rPr>
                    <w:t>生产</w:t>
                  </w:r>
                  <w:r>
                    <w:rPr>
                      <w:color w:val="auto"/>
                      <w:szCs w:val="21"/>
                    </w:rPr>
                    <w:t>活动</w:t>
                  </w:r>
                </w:p>
              </w:tc>
              <w:tc>
                <w:tcPr>
                  <w:tcW w:w="990" w:type="pct"/>
                  <w:vAlign w:val="center"/>
                </w:tcPr>
                <w:p w14:paraId="0784F907">
                  <w:pPr>
                    <w:jc w:val="center"/>
                    <w:rPr>
                      <w:color w:val="auto"/>
                      <w:szCs w:val="21"/>
                    </w:rPr>
                  </w:pPr>
                  <w:r>
                    <w:rPr>
                      <w:color w:val="auto"/>
                      <w:szCs w:val="21"/>
                    </w:rPr>
                    <w:t>机械噪声</w:t>
                  </w:r>
                </w:p>
              </w:tc>
              <w:tc>
                <w:tcPr>
                  <w:tcW w:w="1602" w:type="pct"/>
                  <w:vAlign w:val="center"/>
                </w:tcPr>
                <w:p w14:paraId="17464B31">
                  <w:pPr>
                    <w:jc w:val="center"/>
                    <w:rPr>
                      <w:color w:val="auto"/>
                      <w:szCs w:val="21"/>
                    </w:rPr>
                  </w:pPr>
                  <w:r>
                    <w:rPr>
                      <w:rFonts w:hint="eastAsia"/>
                      <w:color w:val="auto"/>
                      <w:szCs w:val="21"/>
                    </w:rPr>
                    <w:t>厂房隔声、低噪声设备、设置基础减振等</w:t>
                  </w:r>
                </w:p>
              </w:tc>
            </w:tr>
            <w:tr w14:paraId="3AB672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restart"/>
                  <w:vAlign w:val="center"/>
                </w:tcPr>
                <w:p w14:paraId="58E591FE">
                  <w:pPr>
                    <w:jc w:val="center"/>
                    <w:rPr>
                      <w:color w:val="auto"/>
                      <w:szCs w:val="21"/>
                    </w:rPr>
                  </w:pPr>
                  <w:r>
                    <w:rPr>
                      <w:color w:val="auto"/>
                      <w:szCs w:val="21"/>
                    </w:rPr>
                    <w:t>固废</w:t>
                  </w:r>
                </w:p>
              </w:tc>
              <w:tc>
                <w:tcPr>
                  <w:tcW w:w="908" w:type="pct"/>
                  <w:vAlign w:val="center"/>
                </w:tcPr>
                <w:p w14:paraId="4543E5C1">
                  <w:pPr>
                    <w:jc w:val="center"/>
                    <w:rPr>
                      <w:color w:val="auto"/>
                      <w:szCs w:val="21"/>
                    </w:rPr>
                  </w:pPr>
                  <w:r>
                    <w:rPr>
                      <w:rFonts w:hint="eastAsia"/>
                      <w:color w:val="auto"/>
                      <w:szCs w:val="21"/>
                    </w:rPr>
                    <w:t>生活垃圾</w:t>
                  </w:r>
                </w:p>
              </w:tc>
              <w:tc>
                <w:tcPr>
                  <w:tcW w:w="1085" w:type="pct"/>
                  <w:vAlign w:val="center"/>
                </w:tcPr>
                <w:p w14:paraId="3A059913">
                  <w:pPr>
                    <w:jc w:val="center"/>
                    <w:rPr>
                      <w:color w:val="auto"/>
                      <w:szCs w:val="21"/>
                    </w:rPr>
                  </w:pPr>
                  <w:r>
                    <w:rPr>
                      <w:rFonts w:hint="eastAsia"/>
                      <w:color w:val="auto"/>
                      <w:szCs w:val="21"/>
                    </w:rPr>
                    <w:t>员工生活、办公</w:t>
                  </w:r>
                </w:p>
              </w:tc>
              <w:tc>
                <w:tcPr>
                  <w:tcW w:w="990" w:type="pct"/>
                  <w:vAlign w:val="center"/>
                </w:tcPr>
                <w:p w14:paraId="695239B1">
                  <w:pPr>
                    <w:jc w:val="center"/>
                    <w:rPr>
                      <w:color w:val="auto"/>
                      <w:szCs w:val="21"/>
                    </w:rPr>
                  </w:pPr>
                  <w:r>
                    <w:rPr>
                      <w:rFonts w:hint="eastAsia"/>
                      <w:color w:val="auto"/>
                      <w:szCs w:val="21"/>
                    </w:rPr>
                    <w:t>生活垃圾</w:t>
                  </w:r>
                </w:p>
              </w:tc>
              <w:tc>
                <w:tcPr>
                  <w:tcW w:w="1602" w:type="pct"/>
                  <w:vAlign w:val="center"/>
                </w:tcPr>
                <w:p w14:paraId="17E161DC">
                  <w:pPr>
                    <w:jc w:val="center"/>
                    <w:rPr>
                      <w:color w:val="auto"/>
                      <w:szCs w:val="21"/>
                    </w:rPr>
                  </w:pPr>
                  <w:r>
                    <w:rPr>
                      <w:rFonts w:hint="eastAsia"/>
                      <w:color w:val="auto"/>
                      <w:szCs w:val="21"/>
                    </w:rPr>
                    <w:t>由环卫部门统一清运</w:t>
                  </w:r>
                </w:p>
              </w:tc>
            </w:tr>
            <w:tr w14:paraId="6F96CE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vAlign w:val="center"/>
                </w:tcPr>
                <w:p w14:paraId="372458AC">
                  <w:pPr>
                    <w:jc w:val="center"/>
                    <w:rPr>
                      <w:color w:val="auto"/>
                      <w:szCs w:val="21"/>
                    </w:rPr>
                  </w:pPr>
                </w:p>
              </w:tc>
              <w:tc>
                <w:tcPr>
                  <w:tcW w:w="908" w:type="pct"/>
                  <w:vMerge w:val="restart"/>
                  <w:vAlign w:val="center"/>
                </w:tcPr>
                <w:p w14:paraId="73B0900F">
                  <w:pPr>
                    <w:jc w:val="center"/>
                    <w:rPr>
                      <w:color w:val="auto"/>
                      <w:szCs w:val="21"/>
                    </w:rPr>
                  </w:pPr>
                  <w:r>
                    <w:rPr>
                      <w:rFonts w:hint="eastAsia"/>
                      <w:color w:val="auto"/>
                      <w:szCs w:val="21"/>
                    </w:rPr>
                    <w:t>生产</w:t>
                  </w:r>
                </w:p>
              </w:tc>
              <w:tc>
                <w:tcPr>
                  <w:tcW w:w="1085" w:type="pct"/>
                  <w:vAlign w:val="center"/>
                </w:tcPr>
                <w:p w14:paraId="7ADCEDEB">
                  <w:pPr>
                    <w:jc w:val="center"/>
                    <w:rPr>
                      <w:color w:val="auto"/>
                      <w:szCs w:val="21"/>
                    </w:rPr>
                  </w:pPr>
                  <w:r>
                    <w:rPr>
                      <w:rFonts w:hint="eastAsia"/>
                      <w:color w:val="auto"/>
                      <w:szCs w:val="21"/>
                    </w:rPr>
                    <w:t>破碎</w:t>
                  </w:r>
                </w:p>
              </w:tc>
              <w:tc>
                <w:tcPr>
                  <w:tcW w:w="990" w:type="pct"/>
                  <w:vAlign w:val="center"/>
                </w:tcPr>
                <w:p w14:paraId="2AEA1E1A">
                  <w:pPr>
                    <w:jc w:val="center"/>
                    <w:rPr>
                      <w:color w:val="auto"/>
                      <w:szCs w:val="21"/>
                    </w:rPr>
                  </w:pPr>
                  <w:r>
                    <w:rPr>
                      <w:rFonts w:hint="eastAsia"/>
                      <w:color w:val="auto"/>
                      <w:szCs w:val="21"/>
                    </w:rPr>
                    <w:t>除尘器收尘</w:t>
                  </w:r>
                </w:p>
              </w:tc>
              <w:tc>
                <w:tcPr>
                  <w:tcW w:w="1602" w:type="pct"/>
                  <w:vMerge w:val="restart"/>
                  <w:vAlign w:val="center"/>
                </w:tcPr>
                <w:p w14:paraId="300DABD1">
                  <w:pPr>
                    <w:jc w:val="center"/>
                    <w:rPr>
                      <w:color w:val="auto"/>
                      <w:szCs w:val="21"/>
                    </w:rPr>
                  </w:pPr>
                  <w:r>
                    <w:rPr>
                      <w:color w:val="auto"/>
                      <w:szCs w:val="21"/>
                    </w:rPr>
                    <w:t>收集后回用于</w:t>
                  </w:r>
                  <w:r>
                    <w:rPr>
                      <w:rFonts w:hint="eastAsia"/>
                      <w:color w:val="auto"/>
                      <w:szCs w:val="21"/>
                    </w:rPr>
                    <w:t>生产</w:t>
                  </w:r>
                </w:p>
              </w:tc>
            </w:tr>
            <w:tr w14:paraId="29D29B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412" w:type="pct"/>
                  <w:vMerge w:val="continue"/>
                  <w:vAlign w:val="center"/>
                </w:tcPr>
                <w:p w14:paraId="7560636A">
                  <w:pPr>
                    <w:jc w:val="center"/>
                    <w:rPr>
                      <w:color w:val="auto"/>
                      <w:szCs w:val="21"/>
                    </w:rPr>
                  </w:pPr>
                </w:p>
              </w:tc>
              <w:tc>
                <w:tcPr>
                  <w:tcW w:w="908" w:type="pct"/>
                  <w:vMerge w:val="continue"/>
                  <w:vAlign w:val="center"/>
                </w:tcPr>
                <w:p w14:paraId="03A68024">
                  <w:pPr>
                    <w:jc w:val="center"/>
                    <w:rPr>
                      <w:color w:val="auto"/>
                      <w:szCs w:val="21"/>
                    </w:rPr>
                  </w:pPr>
                </w:p>
              </w:tc>
              <w:tc>
                <w:tcPr>
                  <w:tcW w:w="1085" w:type="pct"/>
                  <w:vAlign w:val="center"/>
                </w:tcPr>
                <w:p w14:paraId="25A737D8">
                  <w:pPr>
                    <w:jc w:val="center"/>
                    <w:rPr>
                      <w:color w:val="auto"/>
                      <w:szCs w:val="21"/>
                    </w:rPr>
                  </w:pPr>
                  <w:r>
                    <w:rPr>
                      <w:rFonts w:hint="eastAsia"/>
                      <w:color w:val="auto"/>
                      <w:szCs w:val="21"/>
                    </w:rPr>
                    <w:t>检验</w:t>
                  </w:r>
                </w:p>
              </w:tc>
              <w:tc>
                <w:tcPr>
                  <w:tcW w:w="990" w:type="pct"/>
                  <w:vAlign w:val="center"/>
                </w:tcPr>
                <w:p w14:paraId="312F9A9C">
                  <w:pPr>
                    <w:jc w:val="center"/>
                    <w:rPr>
                      <w:color w:val="auto"/>
                      <w:szCs w:val="21"/>
                    </w:rPr>
                  </w:pPr>
                  <w:r>
                    <w:rPr>
                      <w:rFonts w:hint="eastAsia"/>
                      <w:color w:val="auto"/>
                      <w:szCs w:val="21"/>
                    </w:rPr>
                    <w:t>不合格品和废边角料</w:t>
                  </w:r>
                </w:p>
              </w:tc>
              <w:tc>
                <w:tcPr>
                  <w:tcW w:w="1602" w:type="pct"/>
                  <w:vMerge w:val="continue"/>
                  <w:vAlign w:val="center"/>
                </w:tcPr>
                <w:p w14:paraId="4F627DCE">
                  <w:pPr>
                    <w:jc w:val="center"/>
                    <w:rPr>
                      <w:color w:val="auto"/>
                      <w:szCs w:val="21"/>
                    </w:rPr>
                  </w:pPr>
                </w:p>
              </w:tc>
            </w:tr>
            <w:tr w14:paraId="3644C4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vAlign w:val="center"/>
                </w:tcPr>
                <w:p w14:paraId="67F93588">
                  <w:pPr>
                    <w:jc w:val="center"/>
                    <w:rPr>
                      <w:color w:val="auto"/>
                      <w:szCs w:val="21"/>
                    </w:rPr>
                  </w:pPr>
                </w:p>
              </w:tc>
              <w:tc>
                <w:tcPr>
                  <w:tcW w:w="908" w:type="pct"/>
                  <w:vMerge w:val="continue"/>
                  <w:vAlign w:val="center"/>
                </w:tcPr>
                <w:p w14:paraId="511E82AB">
                  <w:pPr>
                    <w:jc w:val="center"/>
                    <w:rPr>
                      <w:color w:val="auto"/>
                      <w:szCs w:val="21"/>
                    </w:rPr>
                  </w:pPr>
                </w:p>
              </w:tc>
              <w:tc>
                <w:tcPr>
                  <w:tcW w:w="1085" w:type="pct"/>
                  <w:vAlign w:val="center"/>
                </w:tcPr>
                <w:p w14:paraId="54B1144E">
                  <w:pPr>
                    <w:jc w:val="center"/>
                    <w:rPr>
                      <w:color w:val="auto"/>
                      <w:szCs w:val="21"/>
                    </w:rPr>
                  </w:pPr>
                  <w:r>
                    <w:rPr>
                      <w:rFonts w:hint="eastAsia"/>
                      <w:color w:val="auto"/>
                      <w:szCs w:val="21"/>
                    </w:rPr>
                    <w:t>原料、热转印膜</w:t>
                  </w:r>
                </w:p>
              </w:tc>
              <w:tc>
                <w:tcPr>
                  <w:tcW w:w="990" w:type="pct"/>
                  <w:vAlign w:val="center"/>
                </w:tcPr>
                <w:p w14:paraId="1CBBF6D5">
                  <w:pPr>
                    <w:jc w:val="center"/>
                    <w:rPr>
                      <w:color w:val="auto"/>
                      <w:szCs w:val="21"/>
                    </w:rPr>
                  </w:pPr>
                  <w:r>
                    <w:rPr>
                      <w:rFonts w:hint="eastAsia"/>
                      <w:color w:val="auto"/>
                      <w:szCs w:val="21"/>
                    </w:rPr>
                    <w:t>废包装材料</w:t>
                  </w:r>
                </w:p>
              </w:tc>
              <w:tc>
                <w:tcPr>
                  <w:tcW w:w="1602" w:type="pct"/>
                  <w:vMerge w:val="restart"/>
                  <w:vAlign w:val="center"/>
                </w:tcPr>
                <w:p w14:paraId="38B53C53">
                  <w:pPr>
                    <w:jc w:val="center"/>
                    <w:rPr>
                      <w:color w:val="auto"/>
                      <w:szCs w:val="21"/>
                    </w:rPr>
                  </w:pPr>
                  <w:r>
                    <w:rPr>
                      <w:rFonts w:hint="eastAsia"/>
                      <w:color w:val="auto"/>
                      <w:szCs w:val="21"/>
                    </w:rPr>
                    <w:t>统一收集后外售处置</w:t>
                  </w:r>
                </w:p>
              </w:tc>
            </w:tr>
            <w:tr w14:paraId="690E96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vAlign w:val="center"/>
                </w:tcPr>
                <w:p w14:paraId="4C1AC8E9">
                  <w:pPr>
                    <w:jc w:val="center"/>
                    <w:rPr>
                      <w:color w:val="auto"/>
                      <w:szCs w:val="21"/>
                    </w:rPr>
                  </w:pPr>
                </w:p>
              </w:tc>
              <w:tc>
                <w:tcPr>
                  <w:tcW w:w="908" w:type="pct"/>
                  <w:vMerge w:val="continue"/>
                  <w:vAlign w:val="center"/>
                </w:tcPr>
                <w:p w14:paraId="055AE7FF">
                  <w:pPr>
                    <w:jc w:val="center"/>
                    <w:rPr>
                      <w:color w:val="auto"/>
                      <w:szCs w:val="21"/>
                    </w:rPr>
                  </w:pPr>
                </w:p>
              </w:tc>
              <w:tc>
                <w:tcPr>
                  <w:tcW w:w="1085" w:type="pct"/>
                  <w:vAlign w:val="center"/>
                </w:tcPr>
                <w:p w14:paraId="7050A601">
                  <w:pPr>
                    <w:jc w:val="center"/>
                    <w:rPr>
                      <w:rFonts w:hint="default" w:eastAsia="宋体"/>
                      <w:color w:val="auto"/>
                      <w:szCs w:val="21"/>
                      <w:lang w:val="en-US" w:eastAsia="zh-CN"/>
                    </w:rPr>
                  </w:pPr>
                  <w:r>
                    <w:rPr>
                      <w:rFonts w:hint="eastAsia"/>
                      <w:color w:val="auto"/>
                      <w:szCs w:val="21"/>
                      <w:lang w:val="en-US" w:eastAsia="zh-CN"/>
                    </w:rPr>
                    <w:t>裁剪</w:t>
                  </w:r>
                </w:p>
              </w:tc>
              <w:tc>
                <w:tcPr>
                  <w:tcW w:w="990" w:type="pct"/>
                  <w:shd w:val="clear" w:color="auto" w:fill="auto"/>
                  <w:vAlign w:val="center"/>
                </w:tcPr>
                <w:p w14:paraId="76392602">
                  <w:pPr>
                    <w:adjustRightInd w:val="0"/>
                    <w:snapToGrid w:val="0"/>
                    <w:spacing w:line="300" w:lineRule="exact"/>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废铁皮</w:t>
                  </w:r>
                </w:p>
              </w:tc>
              <w:tc>
                <w:tcPr>
                  <w:tcW w:w="1602" w:type="pct"/>
                  <w:vMerge w:val="continue"/>
                  <w:vAlign w:val="center"/>
                </w:tcPr>
                <w:p w14:paraId="0D87340A">
                  <w:pPr>
                    <w:jc w:val="center"/>
                    <w:rPr>
                      <w:rFonts w:hint="eastAsia"/>
                      <w:color w:val="auto"/>
                      <w:szCs w:val="21"/>
                    </w:rPr>
                  </w:pPr>
                </w:p>
              </w:tc>
            </w:tr>
            <w:tr w14:paraId="436E4C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vAlign w:val="center"/>
                </w:tcPr>
                <w:p w14:paraId="6D8335FC">
                  <w:pPr>
                    <w:jc w:val="center"/>
                    <w:rPr>
                      <w:color w:val="auto"/>
                      <w:szCs w:val="21"/>
                    </w:rPr>
                  </w:pPr>
                </w:p>
              </w:tc>
              <w:tc>
                <w:tcPr>
                  <w:tcW w:w="908" w:type="pct"/>
                  <w:vMerge w:val="continue"/>
                  <w:vAlign w:val="center"/>
                </w:tcPr>
                <w:p w14:paraId="7EA15BDB">
                  <w:pPr>
                    <w:jc w:val="center"/>
                    <w:rPr>
                      <w:color w:val="auto"/>
                      <w:szCs w:val="21"/>
                    </w:rPr>
                  </w:pPr>
                </w:p>
              </w:tc>
              <w:tc>
                <w:tcPr>
                  <w:tcW w:w="1085" w:type="pct"/>
                  <w:vAlign w:val="center"/>
                </w:tcPr>
                <w:p w14:paraId="07074052">
                  <w:pPr>
                    <w:jc w:val="center"/>
                    <w:rPr>
                      <w:rFonts w:hint="eastAsia" w:eastAsia="宋体"/>
                      <w:color w:val="auto"/>
                      <w:szCs w:val="21"/>
                      <w:lang w:val="en-US" w:eastAsia="zh-CN"/>
                    </w:rPr>
                  </w:pPr>
                  <w:r>
                    <w:rPr>
                      <w:rFonts w:hint="eastAsia"/>
                      <w:color w:val="auto"/>
                      <w:szCs w:val="21"/>
                      <w:lang w:val="en-US" w:eastAsia="zh-CN"/>
                    </w:rPr>
                    <w:t>缝焊</w:t>
                  </w:r>
                </w:p>
              </w:tc>
              <w:tc>
                <w:tcPr>
                  <w:tcW w:w="990" w:type="pct"/>
                  <w:shd w:val="clear" w:color="auto" w:fill="auto"/>
                  <w:vAlign w:val="center"/>
                </w:tcPr>
                <w:p w14:paraId="542E6E77">
                  <w:pPr>
                    <w:adjustRightInd w:val="0"/>
                    <w:snapToGrid w:val="0"/>
                    <w:spacing w:line="300" w:lineRule="exact"/>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焊渣</w:t>
                  </w:r>
                </w:p>
              </w:tc>
              <w:tc>
                <w:tcPr>
                  <w:tcW w:w="1602" w:type="pct"/>
                  <w:vMerge w:val="continue"/>
                  <w:vAlign w:val="center"/>
                </w:tcPr>
                <w:p w14:paraId="05737DA9">
                  <w:pPr>
                    <w:jc w:val="center"/>
                    <w:rPr>
                      <w:rFonts w:hint="eastAsia"/>
                      <w:color w:val="auto"/>
                      <w:szCs w:val="21"/>
                    </w:rPr>
                  </w:pPr>
                </w:p>
              </w:tc>
            </w:tr>
            <w:tr w14:paraId="642645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vAlign w:val="center"/>
                </w:tcPr>
                <w:p w14:paraId="302310C8">
                  <w:pPr>
                    <w:jc w:val="center"/>
                    <w:rPr>
                      <w:color w:val="auto"/>
                      <w:szCs w:val="21"/>
                    </w:rPr>
                  </w:pPr>
                </w:p>
              </w:tc>
              <w:tc>
                <w:tcPr>
                  <w:tcW w:w="908" w:type="pct"/>
                  <w:vMerge w:val="continue"/>
                  <w:vAlign w:val="center"/>
                </w:tcPr>
                <w:p w14:paraId="4A049A1A">
                  <w:pPr>
                    <w:jc w:val="center"/>
                    <w:rPr>
                      <w:color w:val="auto"/>
                      <w:szCs w:val="21"/>
                    </w:rPr>
                  </w:pPr>
                </w:p>
              </w:tc>
              <w:tc>
                <w:tcPr>
                  <w:tcW w:w="1085" w:type="pct"/>
                  <w:vAlign w:val="center"/>
                </w:tcPr>
                <w:p w14:paraId="3299612E">
                  <w:pPr>
                    <w:jc w:val="center"/>
                    <w:rPr>
                      <w:color w:val="auto"/>
                      <w:szCs w:val="21"/>
                    </w:rPr>
                  </w:pPr>
                  <w:r>
                    <w:rPr>
                      <w:rFonts w:hint="eastAsia"/>
                      <w:color w:val="auto"/>
                      <w:szCs w:val="21"/>
                    </w:rPr>
                    <w:t>废气处置</w:t>
                  </w:r>
                </w:p>
              </w:tc>
              <w:tc>
                <w:tcPr>
                  <w:tcW w:w="990" w:type="pct"/>
                  <w:vAlign w:val="center"/>
                </w:tcPr>
                <w:p w14:paraId="4D7367B4">
                  <w:pPr>
                    <w:jc w:val="center"/>
                    <w:rPr>
                      <w:color w:val="auto"/>
                      <w:szCs w:val="21"/>
                    </w:rPr>
                  </w:pPr>
                  <w:r>
                    <w:rPr>
                      <w:rFonts w:hint="eastAsia"/>
                      <w:color w:val="auto"/>
                      <w:szCs w:val="21"/>
                    </w:rPr>
                    <w:t>废活性炭</w:t>
                  </w:r>
                </w:p>
              </w:tc>
              <w:tc>
                <w:tcPr>
                  <w:tcW w:w="1602" w:type="pct"/>
                  <w:vMerge w:val="restart"/>
                  <w:vAlign w:val="center"/>
                </w:tcPr>
                <w:p w14:paraId="2C264EA2">
                  <w:pPr>
                    <w:jc w:val="center"/>
                    <w:rPr>
                      <w:color w:val="auto"/>
                      <w:szCs w:val="21"/>
                    </w:rPr>
                  </w:pPr>
                  <w:r>
                    <w:rPr>
                      <w:rFonts w:hint="eastAsia"/>
                      <w:color w:val="auto"/>
                      <w:szCs w:val="21"/>
                    </w:rPr>
                    <w:t>分类收集暂存，定期委托有资质单位处置</w:t>
                  </w:r>
                </w:p>
              </w:tc>
            </w:tr>
            <w:tr w14:paraId="687DF5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vAlign w:val="center"/>
                </w:tcPr>
                <w:p w14:paraId="4AF34DEB">
                  <w:pPr>
                    <w:jc w:val="center"/>
                    <w:rPr>
                      <w:color w:val="auto"/>
                      <w:szCs w:val="21"/>
                    </w:rPr>
                  </w:pPr>
                </w:p>
              </w:tc>
              <w:tc>
                <w:tcPr>
                  <w:tcW w:w="908" w:type="pct"/>
                  <w:vMerge w:val="continue"/>
                  <w:vAlign w:val="center"/>
                </w:tcPr>
                <w:p w14:paraId="2168D5C3">
                  <w:pPr>
                    <w:jc w:val="center"/>
                    <w:rPr>
                      <w:color w:val="auto"/>
                      <w:szCs w:val="21"/>
                    </w:rPr>
                  </w:pPr>
                </w:p>
              </w:tc>
              <w:tc>
                <w:tcPr>
                  <w:tcW w:w="1085" w:type="pct"/>
                  <w:vMerge w:val="restart"/>
                  <w:vAlign w:val="center"/>
                </w:tcPr>
                <w:p w14:paraId="19A0DE2B">
                  <w:pPr>
                    <w:jc w:val="center"/>
                    <w:rPr>
                      <w:color w:val="auto"/>
                      <w:szCs w:val="21"/>
                    </w:rPr>
                  </w:pPr>
                  <w:r>
                    <w:rPr>
                      <w:rFonts w:hint="eastAsia"/>
                      <w:color w:val="auto"/>
                      <w:szCs w:val="21"/>
                    </w:rPr>
                    <w:t>设备维护</w:t>
                  </w:r>
                </w:p>
              </w:tc>
              <w:tc>
                <w:tcPr>
                  <w:tcW w:w="990" w:type="pct"/>
                  <w:vAlign w:val="center"/>
                </w:tcPr>
                <w:p w14:paraId="5B788495">
                  <w:pPr>
                    <w:jc w:val="center"/>
                    <w:rPr>
                      <w:color w:val="auto"/>
                      <w:szCs w:val="21"/>
                    </w:rPr>
                  </w:pPr>
                  <w:r>
                    <w:rPr>
                      <w:rFonts w:hint="eastAsia"/>
                      <w:color w:val="auto"/>
                      <w:szCs w:val="21"/>
                    </w:rPr>
                    <w:t>废机油</w:t>
                  </w:r>
                </w:p>
              </w:tc>
              <w:tc>
                <w:tcPr>
                  <w:tcW w:w="1602" w:type="pct"/>
                  <w:vMerge w:val="continue"/>
                  <w:vAlign w:val="center"/>
                </w:tcPr>
                <w:p w14:paraId="52E30E76">
                  <w:pPr>
                    <w:jc w:val="center"/>
                    <w:rPr>
                      <w:color w:val="auto"/>
                      <w:szCs w:val="21"/>
                    </w:rPr>
                  </w:pPr>
                </w:p>
              </w:tc>
            </w:tr>
            <w:tr w14:paraId="66F1A0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vAlign w:val="center"/>
                </w:tcPr>
                <w:p w14:paraId="73E9D14A">
                  <w:pPr>
                    <w:jc w:val="center"/>
                    <w:rPr>
                      <w:color w:val="auto"/>
                      <w:szCs w:val="21"/>
                    </w:rPr>
                  </w:pPr>
                </w:p>
              </w:tc>
              <w:tc>
                <w:tcPr>
                  <w:tcW w:w="908" w:type="pct"/>
                  <w:vMerge w:val="continue"/>
                  <w:vAlign w:val="center"/>
                </w:tcPr>
                <w:p w14:paraId="1CE0A7D9">
                  <w:pPr>
                    <w:jc w:val="center"/>
                    <w:rPr>
                      <w:color w:val="auto"/>
                      <w:szCs w:val="21"/>
                    </w:rPr>
                  </w:pPr>
                </w:p>
              </w:tc>
              <w:tc>
                <w:tcPr>
                  <w:tcW w:w="1085" w:type="pct"/>
                  <w:vMerge w:val="continue"/>
                  <w:vAlign w:val="center"/>
                </w:tcPr>
                <w:p w14:paraId="6F571550">
                  <w:pPr>
                    <w:jc w:val="center"/>
                    <w:rPr>
                      <w:color w:val="auto"/>
                      <w:szCs w:val="21"/>
                    </w:rPr>
                  </w:pPr>
                </w:p>
              </w:tc>
              <w:tc>
                <w:tcPr>
                  <w:tcW w:w="990" w:type="pct"/>
                  <w:vAlign w:val="center"/>
                </w:tcPr>
                <w:p w14:paraId="475101B2">
                  <w:pPr>
                    <w:jc w:val="center"/>
                    <w:rPr>
                      <w:color w:val="auto"/>
                      <w:szCs w:val="21"/>
                    </w:rPr>
                  </w:pPr>
                  <w:r>
                    <w:rPr>
                      <w:rFonts w:hint="eastAsia"/>
                      <w:color w:val="auto"/>
                      <w:szCs w:val="21"/>
                    </w:rPr>
                    <w:t>废油桶</w:t>
                  </w:r>
                </w:p>
              </w:tc>
              <w:tc>
                <w:tcPr>
                  <w:tcW w:w="1602" w:type="pct"/>
                  <w:vMerge w:val="continue"/>
                  <w:vAlign w:val="center"/>
                </w:tcPr>
                <w:p w14:paraId="2C6AB09A">
                  <w:pPr>
                    <w:jc w:val="center"/>
                    <w:rPr>
                      <w:color w:val="auto"/>
                      <w:szCs w:val="21"/>
                    </w:rPr>
                  </w:pPr>
                </w:p>
              </w:tc>
            </w:tr>
            <w:tr w14:paraId="747931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2" w:type="pct"/>
                  <w:vMerge w:val="continue"/>
                  <w:vAlign w:val="center"/>
                </w:tcPr>
                <w:p w14:paraId="771B3B4F">
                  <w:pPr>
                    <w:jc w:val="center"/>
                    <w:rPr>
                      <w:color w:val="auto"/>
                      <w:szCs w:val="21"/>
                    </w:rPr>
                  </w:pPr>
                </w:p>
              </w:tc>
              <w:tc>
                <w:tcPr>
                  <w:tcW w:w="908" w:type="pct"/>
                  <w:vMerge w:val="continue"/>
                  <w:vAlign w:val="center"/>
                </w:tcPr>
                <w:p w14:paraId="0D4F0935">
                  <w:pPr>
                    <w:jc w:val="center"/>
                    <w:rPr>
                      <w:color w:val="auto"/>
                      <w:szCs w:val="21"/>
                    </w:rPr>
                  </w:pPr>
                </w:p>
              </w:tc>
              <w:tc>
                <w:tcPr>
                  <w:tcW w:w="1085" w:type="pct"/>
                  <w:vMerge w:val="continue"/>
                  <w:vAlign w:val="center"/>
                </w:tcPr>
                <w:p w14:paraId="5E324AEC">
                  <w:pPr>
                    <w:jc w:val="center"/>
                    <w:rPr>
                      <w:color w:val="auto"/>
                      <w:szCs w:val="21"/>
                    </w:rPr>
                  </w:pPr>
                </w:p>
              </w:tc>
              <w:tc>
                <w:tcPr>
                  <w:tcW w:w="990" w:type="pct"/>
                  <w:vAlign w:val="center"/>
                </w:tcPr>
                <w:p w14:paraId="1EF8145B">
                  <w:pPr>
                    <w:jc w:val="center"/>
                    <w:rPr>
                      <w:color w:val="auto"/>
                      <w:szCs w:val="21"/>
                    </w:rPr>
                  </w:pPr>
                  <w:r>
                    <w:rPr>
                      <w:rFonts w:hint="eastAsia"/>
                      <w:color w:val="auto"/>
                      <w:szCs w:val="21"/>
                    </w:rPr>
                    <w:t>废抹布</w:t>
                  </w:r>
                </w:p>
              </w:tc>
              <w:tc>
                <w:tcPr>
                  <w:tcW w:w="1602" w:type="pct"/>
                  <w:vMerge w:val="continue"/>
                  <w:vAlign w:val="center"/>
                </w:tcPr>
                <w:p w14:paraId="3F737D54">
                  <w:pPr>
                    <w:jc w:val="center"/>
                    <w:rPr>
                      <w:color w:val="auto"/>
                      <w:szCs w:val="21"/>
                    </w:rPr>
                  </w:pPr>
                </w:p>
              </w:tc>
            </w:tr>
          </w:tbl>
          <w:p w14:paraId="3FA91CB0">
            <w:pPr>
              <w:pStyle w:val="65"/>
              <w:spacing w:before="120" w:beforeLines="50" w:line="240" w:lineRule="auto"/>
              <w:ind w:firstLine="0" w:firstLineChars="0"/>
              <w:rPr>
                <w:rFonts w:hAnsi="Times New Roman" w:cs="Times New Roman"/>
                <w:b/>
                <w:bCs/>
                <w:color w:val="auto"/>
                <w:szCs w:val="24"/>
              </w:rPr>
            </w:pPr>
          </w:p>
        </w:tc>
      </w:tr>
      <w:tr w14:paraId="5FB15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14" w:type="dxa"/>
            <w:vAlign w:val="center"/>
          </w:tcPr>
          <w:p w14:paraId="477D54AD">
            <w:pPr>
              <w:pStyle w:val="23"/>
              <w:adjustRightInd w:val="0"/>
              <w:snapToGrid w:val="0"/>
              <w:spacing w:before="0" w:beforeAutospacing="0" w:after="0" w:afterAutospacing="0"/>
              <w:jc w:val="center"/>
              <w:rPr>
                <w:rFonts w:ascii="Times New Roman" w:hAnsi="Times New Roman"/>
                <w:color w:val="auto"/>
                <w:szCs w:val="24"/>
              </w:rPr>
            </w:pPr>
            <w:r>
              <w:rPr>
                <w:rFonts w:ascii="Times New Roman" w:hAnsi="Times New Roman"/>
                <w:bCs/>
                <w:color w:val="auto"/>
                <w:kern w:val="2"/>
                <w:szCs w:val="24"/>
              </w:rPr>
              <w:t>与项目有关的原有环境污染问题</w:t>
            </w:r>
          </w:p>
        </w:tc>
        <w:tc>
          <w:tcPr>
            <w:tcW w:w="8346" w:type="dxa"/>
            <w:vAlign w:val="center"/>
          </w:tcPr>
          <w:p w14:paraId="042A477F">
            <w:pPr>
              <w:adjustRightInd w:val="0"/>
              <w:snapToGrid w:val="0"/>
              <w:spacing w:before="120" w:beforeLines="50" w:line="360" w:lineRule="auto"/>
              <w:ind w:firstLine="482" w:firstLineChars="200"/>
              <w:rPr>
                <w:b/>
                <w:bCs/>
                <w:color w:val="auto"/>
                <w:sz w:val="24"/>
              </w:rPr>
            </w:pPr>
            <w:r>
              <w:rPr>
                <w:rFonts w:hint="eastAsia"/>
                <w:b/>
                <w:bCs/>
                <w:color w:val="auto"/>
                <w:sz w:val="24"/>
              </w:rPr>
              <w:t>1、现有工程概况</w:t>
            </w:r>
          </w:p>
          <w:p w14:paraId="248E00D8">
            <w:pPr>
              <w:adjustRightInd w:val="0"/>
              <w:snapToGrid w:val="0"/>
              <w:spacing w:line="360" w:lineRule="auto"/>
              <w:ind w:firstLine="480" w:firstLineChars="200"/>
              <w:rPr>
                <w:color w:val="auto"/>
                <w:sz w:val="24"/>
              </w:rPr>
            </w:pPr>
            <w:r>
              <w:rPr>
                <w:rFonts w:hint="eastAsia"/>
                <w:color w:val="auto"/>
                <w:sz w:val="24"/>
              </w:rPr>
              <w:t>陕西西咸新区吴氏兴隆包装有限公司于2020年12月租赁沣东新城斗门街道花园村村东独院进行铁桶生产建设，2021年2月投产运行，根据现场踏勘，厂房为钢结构和砖混结构厂房，地面已硬化。</w:t>
            </w:r>
          </w:p>
          <w:p w14:paraId="733274FF">
            <w:pPr>
              <w:spacing w:line="360" w:lineRule="auto"/>
              <w:ind w:firstLine="480" w:firstLineChars="200"/>
              <w:rPr>
                <w:color w:val="auto"/>
                <w:sz w:val="24"/>
              </w:rPr>
            </w:pPr>
            <w:r>
              <w:rPr>
                <w:rFonts w:hint="eastAsia"/>
                <w:color w:val="auto"/>
                <w:sz w:val="24"/>
              </w:rPr>
              <w:t>项目主要购置有裁剪机、半自动电阻缝焊机、液压涨筋涨锥机、液压圈口反边机、封罐机和液压圈口涨筋机进行铁桶生产，铁桶年生产100t，使用原辅材料主要为成品铁皮、铁盖/底和铜焊丝。</w:t>
            </w:r>
          </w:p>
          <w:p w14:paraId="73F61D96">
            <w:pPr>
              <w:pStyle w:val="6"/>
              <w:spacing w:line="360" w:lineRule="auto"/>
              <w:ind w:firstLine="480" w:firstLineChars="200"/>
              <w:jc w:val="left"/>
              <w:rPr>
                <w:color w:val="auto"/>
                <w:kern w:val="0"/>
              </w:rPr>
            </w:pPr>
            <w:r>
              <w:rPr>
                <w:rFonts w:hint="eastAsia"/>
                <w:color w:val="auto"/>
                <w:kern w:val="0"/>
              </w:rPr>
              <w:t>现有项目劳动定员17人，年工作300d，每天工作时间为8h（1班）。</w:t>
            </w:r>
          </w:p>
          <w:p w14:paraId="7235AE8E">
            <w:pPr>
              <w:pStyle w:val="6"/>
              <w:spacing w:line="360" w:lineRule="auto"/>
              <w:ind w:firstLine="480" w:firstLineChars="200"/>
              <w:jc w:val="left"/>
              <w:rPr>
                <w:color w:val="auto"/>
                <w:kern w:val="0"/>
              </w:rPr>
            </w:pPr>
            <w:r>
              <w:rPr>
                <w:rFonts w:hint="eastAsia"/>
                <w:color w:val="auto"/>
                <w:kern w:val="0"/>
              </w:rPr>
              <w:t>根据《建设项目环境影响评价分类管理名录》（部令第16号）铁桶生产属于“三十、金属制品业33-66.集装箱及金属包装容器制造 333”，项目铁桶建设为“仅分割、焊接、组装”，按其中“其他（仅分割、焊接、组装的除外；年用非溶剂型低VOCs含量涂料10吨以下的除外）”，不需要编制环境影响评价报告表。</w:t>
            </w:r>
          </w:p>
          <w:p w14:paraId="5976BCCB">
            <w:pPr>
              <w:pStyle w:val="6"/>
              <w:spacing w:line="360" w:lineRule="auto"/>
              <w:ind w:firstLine="480" w:firstLineChars="200"/>
              <w:jc w:val="left"/>
              <w:rPr>
                <w:color w:val="auto"/>
                <w:kern w:val="0"/>
              </w:rPr>
            </w:pPr>
            <w:r>
              <w:rPr>
                <w:rFonts w:hint="eastAsia"/>
                <w:color w:val="auto"/>
                <w:kern w:val="0"/>
              </w:rPr>
              <w:t>2、铁桶生产工艺流程</w:t>
            </w:r>
          </w:p>
          <w:p w14:paraId="5DDD9798">
            <w:pPr>
              <w:pStyle w:val="6"/>
              <w:spacing w:line="360" w:lineRule="auto"/>
              <w:ind w:firstLine="480" w:firstLineChars="200"/>
              <w:jc w:val="left"/>
              <w:rPr>
                <w:color w:val="auto"/>
                <w:kern w:val="0"/>
              </w:rPr>
            </w:pPr>
            <w:r>
              <w:rPr>
                <w:rFonts w:hint="eastAsia"/>
                <w:color w:val="auto"/>
                <w:kern w:val="0"/>
              </w:rPr>
              <w:t>工艺流程图见下图：</w:t>
            </w:r>
          </w:p>
          <w:p w14:paraId="1223365B">
            <w:pPr>
              <w:pStyle w:val="6"/>
              <w:spacing w:line="360" w:lineRule="auto"/>
              <w:ind w:firstLine="0"/>
              <w:jc w:val="center"/>
              <w:rPr>
                <w:color w:val="auto"/>
                <w:szCs w:val="24"/>
              </w:rPr>
            </w:pPr>
            <w:r>
              <w:rPr>
                <w:rFonts w:hint="eastAsia"/>
                <w:color w:val="auto"/>
                <w:szCs w:val="24"/>
              </w:rPr>
              <w:drawing>
                <wp:inline distT="0" distB="0" distL="114300" distR="114300">
                  <wp:extent cx="5159375" cy="1661160"/>
                  <wp:effectExtent l="0" t="0" r="0" b="0"/>
                  <wp:docPr id="3" name="ECB019B1-382A-4266-B25C-5B523AA43C14-2" descr="C:/Users/Lenovo/AppData/Local/Temp/wps.GECOZL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2" descr="C:/Users/Lenovo/AppData/Local/Temp/wps.GECOZLwps"/>
                          <pic:cNvPicPr>
                            <a:picLocks noChangeAspect="1"/>
                          </pic:cNvPicPr>
                        </pic:nvPicPr>
                        <pic:blipFill>
                          <a:blip r:embed="rId14"/>
                          <a:stretch>
                            <a:fillRect/>
                          </a:stretch>
                        </pic:blipFill>
                        <pic:spPr>
                          <a:xfrm>
                            <a:off x="0" y="0"/>
                            <a:ext cx="5159375" cy="1661160"/>
                          </a:xfrm>
                          <a:prstGeom prst="rect">
                            <a:avLst/>
                          </a:prstGeom>
                        </pic:spPr>
                      </pic:pic>
                    </a:graphicData>
                  </a:graphic>
                </wp:inline>
              </w:drawing>
            </w:r>
          </w:p>
          <w:p w14:paraId="6578CE89">
            <w:pPr>
              <w:pStyle w:val="6"/>
              <w:spacing w:line="360" w:lineRule="auto"/>
              <w:ind w:firstLine="0"/>
              <w:jc w:val="center"/>
              <w:rPr>
                <w:color w:val="auto"/>
                <w:kern w:val="0"/>
              </w:rPr>
            </w:pPr>
            <w:r>
              <w:rPr>
                <w:b/>
                <w:bCs/>
                <w:color w:val="auto"/>
                <w:szCs w:val="24"/>
              </w:rPr>
              <w:t>图</w:t>
            </w:r>
            <w:r>
              <w:rPr>
                <w:rFonts w:hint="eastAsia"/>
                <w:b/>
                <w:bCs/>
                <w:color w:val="auto"/>
                <w:szCs w:val="24"/>
              </w:rPr>
              <w:t>2-4</w:t>
            </w:r>
            <w:r>
              <w:rPr>
                <w:b/>
                <w:bCs/>
                <w:color w:val="auto"/>
                <w:szCs w:val="24"/>
              </w:rPr>
              <w:t xml:space="preserve"> </w:t>
            </w:r>
            <w:r>
              <w:rPr>
                <w:rFonts w:hint="eastAsia"/>
                <w:b/>
                <w:bCs/>
                <w:color w:val="auto"/>
                <w:szCs w:val="24"/>
              </w:rPr>
              <w:t xml:space="preserve"> 铁桶生产工艺流程及产污环节图</w:t>
            </w:r>
          </w:p>
          <w:p w14:paraId="4ABB9782">
            <w:pPr>
              <w:pStyle w:val="6"/>
              <w:spacing w:line="360" w:lineRule="auto"/>
              <w:ind w:firstLine="480" w:firstLineChars="200"/>
              <w:jc w:val="left"/>
              <w:rPr>
                <w:color w:val="auto"/>
                <w:kern w:val="0"/>
              </w:rPr>
            </w:pPr>
            <w:r>
              <w:rPr>
                <w:rFonts w:hint="eastAsia"/>
                <w:color w:val="auto"/>
                <w:kern w:val="0"/>
              </w:rPr>
              <w:t>工艺流程简述：</w:t>
            </w:r>
          </w:p>
          <w:p w14:paraId="0FA9AB20">
            <w:pPr>
              <w:pStyle w:val="6"/>
              <w:spacing w:line="360" w:lineRule="auto"/>
              <w:ind w:firstLine="480" w:firstLineChars="200"/>
              <w:jc w:val="left"/>
              <w:rPr>
                <w:color w:val="auto"/>
                <w:kern w:val="0"/>
              </w:rPr>
            </w:pPr>
            <w:r>
              <w:rPr>
                <w:rFonts w:hint="eastAsia"/>
                <w:color w:val="auto"/>
                <w:kern w:val="0"/>
              </w:rPr>
              <w:t>将外购的铁皮按规格裁剪形铁桶所需大小的铁皮，把裁剪的铁皮卷起来进行缝焊形成圆筒状，将圆形筒身使用液压涨筋涨锥机进行圆筒起筋，形成桶身。对圆筒进行反边处理，以制作法兰边，免去焊接法兰的步骤。由反边外圆柱面和贴紧铁底共同起密封作用，形成成品铁桶。成型的铁桶采用人工检验，分拣出不合格品，不合格品外售处置，检验合格的产品进行入库暂存外售。</w:t>
            </w:r>
          </w:p>
          <w:p w14:paraId="0C6A8CAE">
            <w:pPr>
              <w:widowControl/>
              <w:adjustRightInd w:val="0"/>
              <w:snapToGrid w:val="0"/>
              <w:spacing w:line="360" w:lineRule="auto"/>
              <w:ind w:firstLine="482" w:firstLineChars="200"/>
              <w:rPr>
                <w:b/>
                <w:bCs/>
                <w:color w:val="auto"/>
                <w:sz w:val="24"/>
              </w:rPr>
            </w:pPr>
            <w:r>
              <w:rPr>
                <w:rFonts w:hint="eastAsia"/>
                <w:b/>
                <w:bCs/>
                <w:color w:val="auto"/>
                <w:sz w:val="24"/>
              </w:rPr>
              <w:t>2、现有工程污染治理措施及污染物排放情况</w:t>
            </w:r>
          </w:p>
          <w:p w14:paraId="65AD1F5F">
            <w:pPr>
              <w:spacing w:line="360" w:lineRule="auto"/>
              <w:ind w:firstLine="480" w:firstLineChars="200"/>
              <w:rPr>
                <w:color w:val="auto"/>
                <w:sz w:val="24"/>
              </w:rPr>
            </w:pPr>
            <w:r>
              <w:rPr>
                <w:rFonts w:hint="eastAsia"/>
                <w:color w:val="auto"/>
                <w:sz w:val="24"/>
              </w:rPr>
              <w:t>（1）废气</w:t>
            </w:r>
          </w:p>
          <w:p w14:paraId="47ED1398">
            <w:pPr>
              <w:adjustRightInd w:val="0"/>
              <w:snapToGrid w:val="0"/>
              <w:spacing w:line="360" w:lineRule="auto"/>
              <w:ind w:firstLine="480" w:firstLineChars="200"/>
              <w:rPr>
                <w:color w:val="auto"/>
                <w:sz w:val="24"/>
              </w:rPr>
            </w:pPr>
            <w:r>
              <w:rPr>
                <w:rFonts w:hint="eastAsia"/>
                <w:bCs/>
                <w:color w:val="auto"/>
                <w:sz w:val="24"/>
              </w:rPr>
              <w:t>铁桶生产缝焊工序采用铜丝进行焊接，</w:t>
            </w:r>
            <w:r>
              <w:rPr>
                <w:rFonts w:hint="eastAsia"/>
                <w:color w:val="auto"/>
                <w:sz w:val="24"/>
              </w:rPr>
              <w:t>产生焊接烟尘，</w:t>
            </w:r>
            <w:r>
              <w:rPr>
                <w:rFonts w:hint="eastAsia"/>
                <w:bCs/>
                <w:color w:val="auto"/>
                <w:sz w:val="24"/>
              </w:rPr>
              <w:t>铜丝年使用量为0.2t/a。</w:t>
            </w:r>
            <w:r>
              <w:rPr>
                <w:rFonts w:hint="eastAsia"/>
                <w:color w:val="auto"/>
                <w:sz w:val="24"/>
              </w:rPr>
              <w:t>参照</w:t>
            </w:r>
            <w:r>
              <w:rPr>
                <w:color w:val="auto"/>
                <w:sz w:val="24"/>
              </w:rPr>
              <w:t>《排放源统计调查产排污核算方法和系数手册》</w:t>
            </w:r>
            <w:r>
              <w:rPr>
                <w:rFonts w:hint="eastAsia"/>
                <w:color w:val="auto"/>
                <w:sz w:val="24"/>
              </w:rPr>
              <w:t>“</w:t>
            </w:r>
            <w:r>
              <w:rPr>
                <w:bCs/>
                <w:color w:val="auto"/>
                <w:sz w:val="24"/>
              </w:rPr>
              <w:t>33-37,431-434机械行业系数手册</w:t>
            </w:r>
            <w:r>
              <w:rPr>
                <w:color w:val="auto"/>
                <w:sz w:val="24"/>
              </w:rPr>
              <w:t>-</w:t>
            </w:r>
            <w:r>
              <w:rPr>
                <w:bCs/>
                <w:color w:val="auto"/>
                <w:sz w:val="24"/>
              </w:rPr>
              <w:t>33-37,431-434行业系数表-0</w:t>
            </w:r>
            <w:r>
              <w:rPr>
                <w:rFonts w:hint="eastAsia"/>
                <w:bCs/>
                <w:color w:val="auto"/>
                <w:sz w:val="24"/>
              </w:rPr>
              <w:t>9焊接</w:t>
            </w:r>
            <w:r>
              <w:rPr>
                <w:rFonts w:hint="eastAsia"/>
                <w:color w:val="auto"/>
                <w:sz w:val="24"/>
              </w:rPr>
              <w:t>”</w:t>
            </w:r>
            <w:r>
              <w:rPr>
                <w:color w:val="auto"/>
                <w:sz w:val="24"/>
              </w:rPr>
              <w:t>可知，</w:t>
            </w:r>
            <w:r>
              <w:rPr>
                <w:rFonts w:hint="eastAsia"/>
                <w:color w:val="auto"/>
                <w:sz w:val="24"/>
              </w:rPr>
              <w:t>实芯焊丝</w:t>
            </w:r>
            <w:r>
              <w:rPr>
                <w:color w:val="auto"/>
                <w:sz w:val="24"/>
              </w:rPr>
              <w:t>颗粒物产污系数为</w:t>
            </w:r>
            <w:r>
              <w:rPr>
                <w:rFonts w:hint="eastAsia"/>
                <w:color w:val="auto"/>
                <w:sz w:val="24"/>
              </w:rPr>
              <w:t>“9.19</w:t>
            </w:r>
            <w:r>
              <w:rPr>
                <w:color w:val="auto"/>
                <w:sz w:val="24"/>
              </w:rPr>
              <w:t>千克/吨-原料</w:t>
            </w:r>
            <w:r>
              <w:rPr>
                <w:rFonts w:hint="eastAsia"/>
                <w:color w:val="auto"/>
                <w:sz w:val="24"/>
              </w:rPr>
              <w:t>”</w:t>
            </w:r>
            <w:r>
              <w:rPr>
                <w:color w:val="auto"/>
                <w:sz w:val="24"/>
              </w:rPr>
              <w:t>。</w:t>
            </w:r>
            <w:r>
              <w:rPr>
                <w:rFonts w:hint="eastAsia"/>
                <w:color w:val="auto"/>
                <w:sz w:val="24"/>
              </w:rPr>
              <w:t>焊接烟尘</w:t>
            </w:r>
            <w:r>
              <w:rPr>
                <w:color w:val="auto"/>
                <w:sz w:val="24"/>
              </w:rPr>
              <w:t>产生</w:t>
            </w:r>
            <w:r>
              <w:rPr>
                <w:rFonts w:hint="eastAsia"/>
                <w:color w:val="auto"/>
                <w:sz w:val="24"/>
              </w:rPr>
              <w:t>量为0.0018t/a，未设置收集处置设施，排放量为0.0018t/a。</w:t>
            </w:r>
          </w:p>
          <w:p w14:paraId="77CEC07C">
            <w:pPr>
              <w:adjustRightInd w:val="0"/>
              <w:snapToGrid w:val="0"/>
              <w:spacing w:line="360" w:lineRule="auto"/>
              <w:ind w:firstLine="480" w:firstLineChars="200"/>
              <w:rPr>
                <w:bCs/>
                <w:color w:val="auto"/>
                <w:sz w:val="24"/>
              </w:rPr>
            </w:pPr>
            <w:r>
              <w:rPr>
                <w:rFonts w:hint="eastAsia"/>
                <w:color w:val="auto"/>
                <w:sz w:val="24"/>
              </w:rPr>
              <w:t>拟设置1台移动式烟尘净化器处理后，以无组织形式排放。焊接烟尘采用“吸气管道（收集效率80%）+移动式烟尘净化器（处理效率90%）”处理后无组织排放，被收集的焊接废气量为0.0014t/a，移动式烟尘净化器处理后无组织排放，排放量为0.0001t/a；未被收集20%焊接废气量为0.0004t/a，以无组织排放。综上，无组织排放量为0.0005t/a。</w:t>
            </w:r>
          </w:p>
          <w:p w14:paraId="686F99DE">
            <w:pPr>
              <w:spacing w:line="360" w:lineRule="auto"/>
              <w:ind w:firstLine="480" w:firstLineChars="200"/>
              <w:rPr>
                <w:color w:val="auto"/>
                <w:sz w:val="24"/>
              </w:rPr>
            </w:pPr>
            <w:r>
              <w:rPr>
                <w:rFonts w:hint="eastAsia"/>
                <w:color w:val="auto"/>
                <w:sz w:val="24"/>
              </w:rPr>
              <w:t>（2）废水</w:t>
            </w:r>
          </w:p>
          <w:p w14:paraId="16383DFB">
            <w:pPr>
              <w:spacing w:line="360" w:lineRule="auto"/>
              <w:ind w:firstLine="480" w:firstLineChars="200"/>
              <w:rPr>
                <w:color w:val="auto"/>
                <w:sz w:val="24"/>
              </w:rPr>
            </w:pPr>
            <w:r>
              <w:rPr>
                <w:rFonts w:hint="eastAsia"/>
                <w:color w:val="auto"/>
                <w:sz w:val="24"/>
              </w:rPr>
              <w:t>现有项目运行产生的废水主要为生活污水，根据实际运行情况，污水产生量为340</w:t>
            </w:r>
            <w:r>
              <w:rPr>
                <w:snapToGrid w:val="0"/>
                <w:color w:val="auto"/>
              </w:rPr>
              <w:t>m</w:t>
            </w:r>
            <w:r>
              <w:rPr>
                <w:snapToGrid w:val="0"/>
                <w:color w:val="auto"/>
                <w:vertAlign w:val="superscript"/>
              </w:rPr>
              <w:t>3</w:t>
            </w:r>
            <w:r>
              <w:rPr>
                <w:snapToGrid w:val="0"/>
                <w:color w:val="auto"/>
              </w:rPr>
              <w:t>/a</w:t>
            </w:r>
            <w:r>
              <w:rPr>
                <w:rFonts w:hint="eastAsia"/>
                <w:color w:val="auto"/>
                <w:sz w:val="24"/>
              </w:rPr>
              <w:t>，主要污染物为pH值、COD、BOD</w:t>
            </w:r>
            <w:r>
              <w:rPr>
                <w:rFonts w:hint="eastAsia"/>
                <w:color w:val="auto"/>
                <w:sz w:val="24"/>
                <w:vertAlign w:val="subscript"/>
              </w:rPr>
              <w:t>5</w:t>
            </w:r>
            <w:r>
              <w:rPr>
                <w:rFonts w:hint="eastAsia"/>
                <w:color w:val="auto"/>
                <w:sz w:val="24"/>
              </w:rPr>
              <w:t>、SS、氨氮、TN、TP等。生活污水经租赁厂区</w:t>
            </w:r>
            <w:r>
              <w:rPr>
                <w:rFonts w:hint="eastAsia"/>
                <w:color w:val="auto"/>
                <w:sz w:val="24"/>
                <w:lang w:eastAsia="zh-CN"/>
              </w:rPr>
              <w:t>防渗旱厕</w:t>
            </w:r>
            <w:r>
              <w:rPr>
                <w:rFonts w:hint="eastAsia"/>
                <w:color w:val="auto"/>
                <w:sz w:val="24"/>
              </w:rPr>
              <w:t>处理后，定期清掏用于周边农地，不外排。</w:t>
            </w:r>
          </w:p>
          <w:p w14:paraId="070678B1">
            <w:pPr>
              <w:spacing w:line="360" w:lineRule="auto"/>
              <w:ind w:firstLine="480" w:firstLineChars="200"/>
              <w:rPr>
                <w:color w:val="auto"/>
                <w:sz w:val="24"/>
              </w:rPr>
            </w:pPr>
            <w:r>
              <w:rPr>
                <w:rFonts w:hint="eastAsia"/>
                <w:color w:val="auto"/>
                <w:sz w:val="24"/>
              </w:rPr>
              <w:t>（3）噪声</w:t>
            </w:r>
          </w:p>
          <w:p w14:paraId="59F07CA3">
            <w:pPr>
              <w:spacing w:line="360" w:lineRule="auto"/>
              <w:ind w:firstLine="480" w:firstLineChars="200"/>
              <w:rPr>
                <w:color w:val="auto"/>
                <w:sz w:val="24"/>
              </w:rPr>
            </w:pPr>
            <w:r>
              <w:rPr>
                <w:rFonts w:hint="eastAsia"/>
                <w:color w:val="auto"/>
                <w:sz w:val="24"/>
              </w:rPr>
              <w:t>现有项目产噪设备主要为铁桶生产设备，采用厂房隔声、合理布局、加强设备保养维护等措施进行降噪。</w:t>
            </w:r>
          </w:p>
          <w:p w14:paraId="1FB0CE0D">
            <w:pPr>
              <w:spacing w:line="360" w:lineRule="auto"/>
              <w:ind w:firstLine="480" w:firstLineChars="200"/>
              <w:rPr>
                <w:color w:val="auto"/>
                <w:sz w:val="24"/>
              </w:rPr>
            </w:pPr>
            <w:r>
              <w:rPr>
                <w:rFonts w:hint="eastAsia"/>
                <w:color w:val="auto"/>
                <w:sz w:val="24"/>
              </w:rPr>
              <w:t>（4）固废</w:t>
            </w:r>
          </w:p>
          <w:p w14:paraId="31DA8A19">
            <w:pPr>
              <w:spacing w:line="360" w:lineRule="auto"/>
              <w:ind w:firstLine="480" w:firstLineChars="200"/>
              <w:rPr>
                <w:color w:val="auto"/>
                <w:sz w:val="24"/>
              </w:rPr>
            </w:pPr>
            <w:r>
              <w:rPr>
                <w:rFonts w:hint="eastAsia"/>
                <w:color w:val="auto"/>
                <w:sz w:val="24"/>
              </w:rPr>
              <w:t>现有项目运行中产生固废主要为生活垃圾、废铁皮、焊渣、机油、废抹布和废油桶。</w:t>
            </w:r>
          </w:p>
          <w:p w14:paraId="2DD20BB8">
            <w:pPr>
              <w:spacing w:line="360" w:lineRule="auto"/>
              <w:ind w:firstLine="480" w:firstLineChars="200"/>
              <w:rPr>
                <w:color w:val="auto"/>
                <w:sz w:val="24"/>
              </w:rPr>
            </w:pPr>
            <w:r>
              <w:rPr>
                <w:rFonts w:hint="eastAsia"/>
                <w:color w:val="auto"/>
                <w:sz w:val="24"/>
              </w:rPr>
              <w:t>根据实际运行情况，生活垃圾年产生量约2.55t/a，收集后由环卫部门统一清运；废铁皮年产生量约4.1882t/a，焊渣年产生量约0.01t/a，统一收集后定期外售处置；废机油年产生量为0.2t/a，废抹布年产生量为0.005t/a，废油桶年产生量为0.05t/a，在危废贮存库暂存后，定期委托陕西绿林环保科技有限公司处置。</w:t>
            </w:r>
          </w:p>
          <w:p w14:paraId="76DC052A">
            <w:pPr>
              <w:jc w:val="center"/>
              <w:rPr>
                <w:b/>
                <w:bCs/>
                <w:color w:val="auto"/>
                <w:sz w:val="24"/>
                <w:szCs w:val="32"/>
              </w:rPr>
            </w:pPr>
            <w:r>
              <w:rPr>
                <w:b/>
                <w:bCs/>
                <w:color w:val="auto"/>
                <w:sz w:val="24"/>
                <w:szCs w:val="32"/>
              </w:rPr>
              <w:t>表2-</w:t>
            </w:r>
            <w:r>
              <w:rPr>
                <w:rFonts w:hint="eastAsia"/>
                <w:b/>
                <w:bCs/>
                <w:color w:val="auto"/>
                <w:sz w:val="24"/>
                <w:szCs w:val="32"/>
              </w:rPr>
              <w:t xml:space="preserve">10 </w:t>
            </w:r>
            <w:r>
              <w:rPr>
                <w:b/>
                <w:bCs/>
                <w:color w:val="auto"/>
                <w:sz w:val="24"/>
                <w:szCs w:val="32"/>
              </w:rPr>
              <w:t xml:space="preserve"> 原有项目污染物</w:t>
            </w:r>
            <w:r>
              <w:rPr>
                <w:rFonts w:hint="eastAsia"/>
                <w:b/>
                <w:bCs/>
                <w:color w:val="auto"/>
                <w:sz w:val="24"/>
                <w:szCs w:val="32"/>
              </w:rPr>
              <w:t>汇总</w:t>
            </w:r>
            <w:r>
              <w:rPr>
                <w:b/>
                <w:bCs/>
                <w:color w:val="auto"/>
                <w:sz w:val="24"/>
                <w:szCs w:val="32"/>
              </w:rPr>
              <w:t>一览表</w:t>
            </w:r>
          </w:p>
          <w:tbl>
            <w:tblPr>
              <w:tblStyle w:val="26"/>
              <w:tblW w:w="821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754"/>
              <w:gridCol w:w="2326"/>
              <w:gridCol w:w="2038"/>
              <w:gridCol w:w="1199"/>
            </w:tblGrid>
            <w:tr w14:paraId="72EFCB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94" w:type="dxa"/>
                  <w:vAlign w:val="center"/>
                </w:tcPr>
                <w:p w14:paraId="1F794B86">
                  <w:pPr>
                    <w:pStyle w:val="79"/>
                    <w:adjustRightInd w:val="0"/>
                    <w:snapToGrid w:val="0"/>
                    <w:jc w:val="center"/>
                    <w:rPr>
                      <w:b/>
                      <w:bCs/>
                      <w:color w:val="auto"/>
                      <w:szCs w:val="21"/>
                    </w:rPr>
                  </w:pPr>
                  <w:r>
                    <w:rPr>
                      <w:b/>
                      <w:bCs/>
                      <w:color w:val="auto"/>
                      <w:szCs w:val="21"/>
                    </w:rPr>
                    <w:t>污染物种类</w:t>
                  </w:r>
                </w:p>
              </w:tc>
              <w:tc>
                <w:tcPr>
                  <w:tcW w:w="1754" w:type="dxa"/>
                  <w:vAlign w:val="center"/>
                </w:tcPr>
                <w:p w14:paraId="6F5FFB1D">
                  <w:pPr>
                    <w:pStyle w:val="79"/>
                    <w:adjustRightInd w:val="0"/>
                    <w:snapToGrid w:val="0"/>
                    <w:jc w:val="center"/>
                    <w:rPr>
                      <w:b/>
                      <w:bCs/>
                      <w:color w:val="auto"/>
                      <w:szCs w:val="21"/>
                    </w:rPr>
                  </w:pPr>
                  <w:r>
                    <w:rPr>
                      <w:b/>
                      <w:bCs/>
                      <w:color w:val="auto"/>
                      <w:szCs w:val="21"/>
                    </w:rPr>
                    <w:t>排放污染物项目</w:t>
                  </w:r>
                </w:p>
              </w:tc>
              <w:tc>
                <w:tcPr>
                  <w:tcW w:w="2326" w:type="dxa"/>
                  <w:vAlign w:val="center"/>
                </w:tcPr>
                <w:p w14:paraId="56F186D8">
                  <w:pPr>
                    <w:pStyle w:val="79"/>
                    <w:adjustRightInd w:val="0"/>
                    <w:snapToGrid w:val="0"/>
                    <w:jc w:val="center"/>
                    <w:rPr>
                      <w:b/>
                      <w:bCs/>
                      <w:color w:val="auto"/>
                      <w:szCs w:val="21"/>
                    </w:rPr>
                  </w:pPr>
                  <w:r>
                    <w:rPr>
                      <w:b/>
                      <w:bCs/>
                      <w:color w:val="auto"/>
                      <w:szCs w:val="21"/>
                    </w:rPr>
                    <w:t>治理措施</w:t>
                  </w:r>
                </w:p>
              </w:tc>
              <w:tc>
                <w:tcPr>
                  <w:tcW w:w="2038" w:type="dxa"/>
                  <w:vAlign w:val="center"/>
                </w:tcPr>
                <w:p w14:paraId="52DC1799">
                  <w:pPr>
                    <w:pStyle w:val="79"/>
                    <w:adjustRightInd w:val="0"/>
                    <w:snapToGrid w:val="0"/>
                    <w:jc w:val="center"/>
                    <w:rPr>
                      <w:b/>
                      <w:bCs/>
                      <w:color w:val="auto"/>
                      <w:szCs w:val="21"/>
                    </w:rPr>
                  </w:pPr>
                  <w:r>
                    <w:rPr>
                      <w:b/>
                      <w:bCs/>
                      <w:color w:val="auto"/>
                      <w:szCs w:val="21"/>
                    </w:rPr>
                    <w:t>排放方式</w:t>
                  </w:r>
                </w:p>
              </w:tc>
              <w:tc>
                <w:tcPr>
                  <w:tcW w:w="1199" w:type="dxa"/>
                  <w:vAlign w:val="center"/>
                </w:tcPr>
                <w:p w14:paraId="452E4337">
                  <w:pPr>
                    <w:pStyle w:val="79"/>
                    <w:adjustRightInd w:val="0"/>
                    <w:snapToGrid w:val="0"/>
                    <w:jc w:val="center"/>
                    <w:rPr>
                      <w:b/>
                      <w:bCs/>
                      <w:color w:val="auto"/>
                      <w:szCs w:val="21"/>
                    </w:rPr>
                  </w:pPr>
                  <w:r>
                    <w:rPr>
                      <w:b/>
                      <w:bCs/>
                      <w:color w:val="auto"/>
                      <w:szCs w:val="21"/>
                    </w:rPr>
                    <w:t>排放量</w:t>
                  </w:r>
                  <w:r>
                    <w:rPr>
                      <w:rFonts w:hint="eastAsia"/>
                      <w:b/>
                      <w:bCs/>
                      <w:color w:val="auto"/>
                      <w:szCs w:val="21"/>
                    </w:rPr>
                    <w:t>（</w:t>
                  </w:r>
                  <w:r>
                    <w:rPr>
                      <w:b/>
                      <w:bCs/>
                      <w:color w:val="auto"/>
                      <w:szCs w:val="21"/>
                    </w:rPr>
                    <w:t>t/a</w:t>
                  </w:r>
                  <w:r>
                    <w:rPr>
                      <w:rFonts w:hint="eastAsia"/>
                      <w:b/>
                      <w:bCs/>
                      <w:color w:val="auto"/>
                      <w:szCs w:val="21"/>
                    </w:rPr>
                    <w:t>）</w:t>
                  </w:r>
                </w:p>
              </w:tc>
            </w:tr>
            <w:tr w14:paraId="79EE59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Align w:val="center"/>
                </w:tcPr>
                <w:p w14:paraId="2530FB7B">
                  <w:pPr>
                    <w:widowControl/>
                    <w:adjustRightInd w:val="0"/>
                    <w:snapToGrid w:val="0"/>
                    <w:jc w:val="center"/>
                    <w:rPr>
                      <w:bCs/>
                      <w:color w:val="auto"/>
                      <w:szCs w:val="21"/>
                    </w:rPr>
                  </w:pPr>
                  <w:r>
                    <w:rPr>
                      <w:rFonts w:hint="eastAsia"/>
                      <w:bCs/>
                      <w:color w:val="auto"/>
                      <w:szCs w:val="21"/>
                    </w:rPr>
                    <w:t>废气</w:t>
                  </w:r>
                </w:p>
              </w:tc>
              <w:tc>
                <w:tcPr>
                  <w:tcW w:w="1754" w:type="dxa"/>
                  <w:vAlign w:val="center"/>
                </w:tcPr>
                <w:p w14:paraId="2CDCD179">
                  <w:pPr>
                    <w:pStyle w:val="33"/>
                    <w:spacing w:beforeLines="0" w:afterLines="0" w:line="240" w:lineRule="auto"/>
                    <w:rPr>
                      <w:color w:val="auto"/>
                      <w:szCs w:val="21"/>
                    </w:rPr>
                  </w:pPr>
                  <w:r>
                    <w:rPr>
                      <w:rFonts w:hint="eastAsia"/>
                      <w:color w:val="auto"/>
                      <w:szCs w:val="21"/>
                    </w:rPr>
                    <w:t>焊接废气</w:t>
                  </w:r>
                </w:p>
              </w:tc>
              <w:tc>
                <w:tcPr>
                  <w:tcW w:w="2326" w:type="dxa"/>
                  <w:vAlign w:val="center"/>
                </w:tcPr>
                <w:p w14:paraId="21A3BC5E">
                  <w:pPr>
                    <w:adjustRightInd w:val="0"/>
                    <w:snapToGrid w:val="0"/>
                    <w:jc w:val="center"/>
                    <w:rPr>
                      <w:color w:val="auto"/>
                      <w:szCs w:val="21"/>
                    </w:rPr>
                  </w:pPr>
                  <w:r>
                    <w:rPr>
                      <w:rFonts w:hint="eastAsia"/>
                      <w:color w:val="auto"/>
                      <w:szCs w:val="21"/>
                    </w:rPr>
                    <w:t>/</w:t>
                  </w:r>
                </w:p>
              </w:tc>
              <w:tc>
                <w:tcPr>
                  <w:tcW w:w="2038" w:type="dxa"/>
                  <w:vAlign w:val="center"/>
                </w:tcPr>
                <w:p w14:paraId="3D74375C">
                  <w:pPr>
                    <w:pStyle w:val="79"/>
                    <w:adjustRightInd w:val="0"/>
                    <w:snapToGrid w:val="0"/>
                    <w:jc w:val="center"/>
                    <w:rPr>
                      <w:bCs/>
                      <w:color w:val="auto"/>
                      <w:szCs w:val="21"/>
                    </w:rPr>
                  </w:pPr>
                  <w:r>
                    <w:rPr>
                      <w:rFonts w:hint="eastAsia"/>
                      <w:color w:val="auto"/>
                      <w:szCs w:val="21"/>
                    </w:rPr>
                    <w:t>无组织排放</w:t>
                  </w:r>
                </w:p>
              </w:tc>
              <w:tc>
                <w:tcPr>
                  <w:tcW w:w="1199" w:type="dxa"/>
                  <w:vAlign w:val="center"/>
                </w:tcPr>
                <w:p w14:paraId="4ACC2B26">
                  <w:pPr>
                    <w:pStyle w:val="79"/>
                    <w:adjustRightInd w:val="0"/>
                    <w:snapToGrid w:val="0"/>
                    <w:jc w:val="center"/>
                    <w:rPr>
                      <w:bCs/>
                      <w:color w:val="auto"/>
                      <w:szCs w:val="21"/>
                    </w:rPr>
                  </w:pPr>
                  <w:r>
                    <w:rPr>
                      <w:rFonts w:hint="eastAsia"/>
                      <w:bCs/>
                      <w:color w:val="auto"/>
                      <w:szCs w:val="21"/>
                    </w:rPr>
                    <w:t>0.0018</w:t>
                  </w:r>
                </w:p>
              </w:tc>
            </w:tr>
            <w:tr w14:paraId="472BA1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94" w:type="dxa"/>
                  <w:vAlign w:val="center"/>
                </w:tcPr>
                <w:p w14:paraId="23E3AA95">
                  <w:pPr>
                    <w:widowControl/>
                    <w:adjustRightInd w:val="0"/>
                    <w:snapToGrid w:val="0"/>
                    <w:jc w:val="center"/>
                    <w:rPr>
                      <w:bCs/>
                      <w:color w:val="auto"/>
                      <w:szCs w:val="21"/>
                    </w:rPr>
                  </w:pPr>
                  <w:r>
                    <w:rPr>
                      <w:bCs/>
                      <w:color w:val="auto"/>
                      <w:szCs w:val="21"/>
                    </w:rPr>
                    <w:t>废水</w:t>
                  </w:r>
                </w:p>
              </w:tc>
              <w:tc>
                <w:tcPr>
                  <w:tcW w:w="1754" w:type="dxa"/>
                  <w:vAlign w:val="center"/>
                </w:tcPr>
                <w:p w14:paraId="698451F7">
                  <w:pPr>
                    <w:pStyle w:val="33"/>
                    <w:spacing w:beforeLines="0" w:afterLines="0" w:line="240" w:lineRule="auto"/>
                    <w:rPr>
                      <w:rFonts w:ascii="Times New Roman"/>
                      <w:color w:val="auto"/>
                      <w:szCs w:val="21"/>
                    </w:rPr>
                  </w:pPr>
                  <w:r>
                    <w:rPr>
                      <w:color w:val="auto"/>
                      <w:szCs w:val="21"/>
                    </w:rPr>
                    <w:t>生活污水</w:t>
                  </w:r>
                </w:p>
              </w:tc>
              <w:tc>
                <w:tcPr>
                  <w:tcW w:w="2326" w:type="dxa"/>
                  <w:vAlign w:val="center"/>
                </w:tcPr>
                <w:p w14:paraId="52268760">
                  <w:pPr>
                    <w:adjustRightInd w:val="0"/>
                    <w:snapToGrid w:val="0"/>
                    <w:jc w:val="center"/>
                    <w:rPr>
                      <w:rFonts w:hint="eastAsia" w:eastAsia="宋体"/>
                      <w:color w:val="auto"/>
                      <w:szCs w:val="21"/>
                      <w:lang w:eastAsia="zh-CN"/>
                    </w:rPr>
                  </w:pPr>
                  <w:r>
                    <w:rPr>
                      <w:rFonts w:hint="eastAsia"/>
                      <w:color w:val="auto"/>
                      <w:szCs w:val="21"/>
                      <w:lang w:eastAsia="zh-CN"/>
                    </w:rPr>
                    <w:t>防渗旱厕</w:t>
                  </w:r>
                </w:p>
              </w:tc>
              <w:tc>
                <w:tcPr>
                  <w:tcW w:w="2038" w:type="dxa"/>
                  <w:vAlign w:val="center"/>
                </w:tcPr>
                <w:p w14:paraId="19DC7837">
                  <w:pPr>
                    <w:pStyle w:val="79"/>
                    <w:adjustRightInd w:val="0"/>
                    <w:snapToGrid w:val="0"/>
                    <w:jc w:val="center"/>
                    <w:rPr>
                      <w:bCs/>
                      <w:color w:val="auto"/>
                      <w:szCs w:val="21"/>
                    </w:rPr>
                  </w:pPr>
                  <w:r>
                    <w:rPr>
                      <w:rFonts w:hint="eastAsia"/>
                      <w:bCs/>
                      <w:color w:val="auto"/>
                      <w:szCs w:val="21"/>
                    </w:rPr>
                    <w:t>经租赁厂区</w:t>
                  </w:r>
                  <w:r>
                    <w:rPr>
                      <w:rFonts w:hint="eastAsia"/>
                      <w:bCs/>
                      <w:color w:val="auto"/>
                      <w:szCs w:val="21"/>
                      <w:lang w:eastAsia="zh-CN"/>
                    </w:rPr>
                    <w:t>防渗旱厕</w:t>
                  </w:r>
                  <w:r>
                    <w:rPr>
                      <w:rFonts w:hint="eastAsia"/>
                      <w:bCs/>
                      <w:color w:val="auto"/>
                      <w:szCs w:val="21"/>
                    </w:rPr>
                    <w:t>处理后，定期清掏用于周边农地，不外排</w:t>
                  </w:r>
                </w:p>
              </w:tc>
              <w:tc>
                <w:tcPr>
                  <w:tcW w:w="1199" w:type="dxa"/>
                  <w:vAlign w:val="center"/>
                </w:tcPr>
                <w:p w14:paraId="5157F9D6">
                  <w:pPr>
                    <w:pStyle w:val="79"/>
                    <w:adjustRightInd w:val="0"/>
                    <w:snapToGrid w:val="0"/>
                    <w:jc w:val="center"/>
                    <w:rPr>
                      <w:bCs/>
                      <w:color w:val="auto"/>
                      <w:szCs w:val="21"/>
                    </w:rPr>
                  </w:pPr>
                  <w:r>
                    <w:rPr>
                      <w:rFonts w:hint="eastAsia"/>
                      <w:bCs/>
                      <w:color w:val="auto"/>
                      <w:szCs w:val="21"/>
                    </w:rPr>
                    <w:t>/</w:t>
                  </w:r>
                </w:p>
              </w:tc>
            </w:tr>
            <w:tr w14:paraId="5AB61C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Align w:val="center"/>
                </w:tcPr>
                <w:p w14:paraId="3ECBF7EA">
                  <w:pPr>
                    <w:pStyle w:val="79"/>
                    <w:adjustRightInd w:val="0"/>
                    <w:snapToGrid w:val="0"/>
                    <w:jc w:val="center"/>
                    <w:rPr>
                      <w:bCs/>
                      <w:color w:val="auto"/>
                      <w:szCs w:val="21"/>
                    </w:rPr>
                  </w:pPr>
                  <w:r>
                    <w:rPr>
                      <w:bCs/>
                      <w:color w:val="auto"/>
                      <w:szCs w:val="21"/>
                    </w:rPr>
                    <w:t>噪声</w:t>
                  </w:r>
                </w:p>
              </w:tc>
              <w:tc>
                <w:tcPr>
                  <w:tcW w:w="1754" w:type="dxa"/>
                  <w:vAlign w:val="center"/>
                </w:tcPr>
                <w:p w14:paraId="5999C15F">
                  <w:pPr>
                    <w:pStyle w:val="79"/>
                    <w:adjustRightInd w:val="0"/>
                    <w:snapToGrid w:val="0"/>
                    <w:jc w:val="center"/>
                    <w:rPr>
                      <w:bCs/>
                      <w:color w:val="auto"/>
                      <w:szCs w:val="21"/>
                    </w:rPr>
                  </w:pPr>
                  <w:r>
                    <w:rPr>
                      <w:bCs/>
                      <w:color w:val="auto"/>
                      <w:szCs w:val="21"/>
                    </w:rPr>
                    <w:t>等效连续A声级</w:t>
                  </w:r>
                </w:p>
              </w:tc>
              <w:tc>
                <w:tcPr>
                  <w:tcW w:w="2326" w:type="dxa"/>
                  <w:vAlign w:val="center"/>
                </w:tcPr>
                <w:p w14:paraId="2B9FCFA8">
                  <w:pPr>
                    <w:pStyle w:val="79"/>
                    <w:adjustRightInd w:val="0"/>
                    <w:snapToGrid w:val="0"/>
                    <w:jc w:val="center"/>
                    <w:rPr>
                      <w:bCs/>
                      <w:color w:val="auto"/>
                      <w:szCs w:val="21"/>
                    </w:rPr>
                  </w:pPr>
                  <w:r>
                    <w:rPr>
                      <w:bCs/>
                      <w:color w:val="auto"/>
                      <w:szCs w:val="21"/>
                    </w:rPr>
                    <w:t>厂房隔声、</w:t>
                  </w:r>
                  <w:r>
                    <w:rPr>
                      <w:rFonts w:hint="eastAsia"/>
                      <w:bCs/>
                      <w:color w:val="auto"/>
                      <w:szCs w:val="21"/>
                    </w:rPr>
                    <w:t>合理布局</w:t>
                  </w:r>
                </w:p>
              </w:tc>
              <w:tc>
                <w:tcPr>
                  <w:tcW w:w="2038" w:type="dxa"/>
                  <w:vAlign w:val="center"/>
                </w:tcPr>
                <w:p w14:paraId="39FDB63D">
                  <w:pPr>
                    <w:pStyle w:val="79"/>
                    <w:adjustRightInd w:val="0"/>
                    <w:snapToGrid w:val="0"/>
                    <w:jc w:val="center"/>
                    <w:rPr>
                      <w:bCs/>
                      <w:color w:val="auto"/>
                      <w:szCs w:val="21"/>
                    </w:rPr>
                  </w:pPr>
                  <w:r>
                    <w:rPr>
                      <w:bCs/>
                      <w:color w:val="auto"/>
                      <w:szCs w:val="21"/>
                    </w:rPr>
                    <w:t>/</w:t>
                  </w:r>
                </w:p>
              </w:tc>
              <w:tc>
                <w:tcPr>
                  <w:tcW w:w="1199" w:type="dxa"/>
                  <w:vAlign w:val="center"/>
                </w:tcPr>
                <w:p w14:paraId="0F8F372C">
                  <w:pPr>
                    <w:pStyle w:val="79"/>
                    <w:adjustRightInd w:val="0"/>
                    <w:snapToGrid w:val="0"/>
                    <w:jc w:val="center"/>
                    <w:rPr>
                      <w:bCs/>
                      <w:color w:val="auto"/>
                      <w:szCs w:val="21"/>
                    </w:rPr>
                  </w:pPr>
                  <w:r>
                    <w:rPr>
                      <w:bCs/>
                      <w:color w:val="auto"/>
                      <w:szCs w:val="21"/>
                    </w:rPr>
                    <w:t>/</w:t>
                  </w:r>
                </w:p>
              </w:tc>
            </w:tr>
            <w:tr w14:paraId="24ACAE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94" w:type="dxa"/>
                  <w:vMerge w:val="restart"/>
                  <w:vAlign w:val="center"/>
                </w:tcPr>
                <w:p w14:paraId="2256FFDC">
                  <w:pPr>
                    <w:pStyle w:val="79"/>
                    <w:adjustRightInd w:val="0"/>
                    <w:snapToGrid w:val="0"/>
                    <w:jc w:val="center"/>
                    <w:rPr>
                      <w:bCs/>
                      <w:color w:val="auto"/>
                      <w:szCs w:val="21"/>
                    </w:rPr>
                  </w:pPr>
                  <w:r>
                    <w:rPr>
                      <w:bCs/>
                      <w:color w:val="auto"/>
                      <w:szCs w:val="21"/>
                    </w:rPr>
                    <w:t>固废</w:t>
                  </w:r>
                </w:p>
              </w:tc>
              <w:tc>
                <w:tcPr>
                  <w:tcW w:w="1754" w:type="dxa"/>
                  <w:vAlign w:val="center"/>
                </w:tcPr>
                <w:p w14:paraId="2C2C910D">
                  <w:pPr>
                    <w:adjustRightInd w:val="0"/>
                    <w:snapToGrid w:val="0"/>
                    <w:jc w:val="center"/>
                    <w:rPr>
                      <w:color w:val="auto"/>
                      <w:szCs w:val="21"/>
                    </w:rPr>
                  </w:pPr>
                  <w:r>
                    <w:rPr>
                      <w:color w:val="auto"/>
                      <w:szCs w:val="21"/>
                    </w:rPr>
                    <w:t>生活垃圾</w:t>
                  </w:r>
                </w:p>
              </w:tc>
              <w:tc>
                <w:tcPr>
                  <w:tcW w:w="2326" w:type="dxa"/>
                  <w:vAlign w:val="center"/>
                </w:tcPr>
                <w:p w14:paraId="5E6EC05A">
                  <w:pPr>
                    <w:adjustRightInd w:val="0"/>
                    <w:snapToGrid w:val="0"/>
                    <w:jc w:val="center"/>
                    <w:rPr>
                      <w:color w:val="auto"/>
                      <w:szCs w:val="21"/>
                    </w:rPr>
                  </w:pPr>
                  <w:r>
                    <w:rPr>
                      <w:rFonts w:hint="eastAsia"/>
                      <w:color w:val="auto"/>
                      <w:szCs w:val="21"/>
                    </w:rPr>
                    <w:t>收集后由环卫部门统一清运</w:t>
                  </w:r>
                </w:p>
              </w:tc>
              <w:tc>
                <w:tcPr>
                  <w:tcW w:w="2038" w:type="dxa"/>
                  <w:vAlign w:val="center"/>
                </w:tcPr>
                <w:p w14:paraId="22C3C6BB">
                  <w:pPr>
                    <w:pStyle w:val="79"/>
                    <w:adjustRightInd w:val="0"/>
                    <w:snapToGrid w:val="0"/>
                    <w:jc w:val="center"/>
                    <w:rPr>
                      <w:bCs/>
                      <w:color w:val="auto"/>
                      <w:szCs w:val="21"/>
                    </w:rPr>
                  </w:pPr>
                  <w:r>
                    <w:rPr>
                      <w:bCs/>
                      <w:color w:val="auto"/>
                      <w:szCs w:val="21"/>
                    </w:rPr>
                    <w:t>/</w:t>
                  </w:r>
                </w:p>
              </w:tc>
              <w:tc>
                <w:tcPr>
                  <w:tcW w:w="1199" w:type="dxa"/>
                  <w:vAlign w:val="center"/>
                </w:tcPr>
                <w:p w14:paraId="30403047">
                  <w:pPr>
                    <w:adjustRightInd w:val="0"/>
                    <w:snapToGrid w:val="0"/>
                    <w:jc w:val="center"/>
                    <w:rPr>
                      <w:color w:val="auto"/>
                      <w:szCs w:val="21"/>
                    </w:rPr>
                  </w:pPr>
                  <w:r>
                    <w:rPr>
                      <w:rFonts w:hint="eastAsia"/>
                      <w:color w:val="auto"/>
                      <w:szCs w:val="21"/>
                    </w:rPr>
                    <w:t>2.55</w:t>
                  </w:r>
                </w:p>
              </w:tc>
            </w:tr>
            <w:tr w14:paraId="05A46C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vAlign w:val="center"/>
                </w:tcPr>
                <w:p w14:paraId="48A31DEE">
                  <w:pPr>
                    <w:pStyle w:val="79"/>
                    <w:adjustRightInd w:val="0"/>
                    <w:snapToGrid w:val="0"/>
                    <w:jc w:val="center"/>
                    <w:rPr>
                      <w:bCs/>
                      <w:color w:val="auto"/>
                      <w:szCs w:val="21"/>
                    </w:rPr>
                  </w:pPr>
                </w:p>
              </w:tc>
              <w:tc>
                <w:tcPr>
                  <w:tcW w:w="1754" w:type="dxa"/>
                  <w:vAlign w:val="center"/>
                </w:tcPr>
                <w:p w14:paraId="23710EA8">
                  <w:pPr>
                    <w:adjustRightInd w:val="0"/>
                    <w:snapToGrid w:val="0"/>
                    <w:jc w:val="center"/>
                    <w:rPr>
                      <w:color w:val="auto"/>
                      <w:szCs w:val="21"/>
                    </w:rPr>
                  </w:pPr>
                  <w:r>
                    <w:rPr>
                      <w:rFonts w:hint="eastAsia"/>
                      <w:color w:val="auto"/>
                      <w:szCs w:val="21"/>
                    </w:rPr>
                    <w:t>废机油</w:t>
                  </w:r>
                </w:p>
              </w:tc>
              <w:tc>
                <w:tcPr>
                  <w:tcW w:w="2326" w:type="dxa"/>
                  <w:vMerge w:val="restart"/>
                  <w:vAlign w:val="center"/>
                </w:tcPr>
                <w:p w14:paraId="5FC0AA95">
                  <w:pPr>
                    <w:adjustRightInd w:val="0"/>
                    <w:snapToGrid w:val="0"/>
                    <w:jc w:val="center"/>
                    <w:rPr>
                      <w:color w:val="auto"/>
                      <w:szCs w:val="21"/>
                    </w:rPr>
                  </w:pPr>
                  <w:r>
                    <w:rPr>
                      <w:rFonts w:hint="eastAsia"/>
                      <w:color w:val="auto"/>
                      <w:szCs w:val="21"/>
                    </w:rPr>
                    <w:t>定期委托陕西绿林环保科技有限公司处置</w:t>
                  </w:r>
                </w:p>
              </w:tc>
              <w:tc>
                <w:tcPr>
                  <w:tcW w:w="2038" w:type="dxa"/>
                  <w:vAlign w:val="center"/>
                </w:tcPr>
                <w:p w14:paraId="24500B15">
                  <w:pPr>
                    <w:pStyle w:val="79"/>
                    <w:adjustRightInd w:val="0"/>
                    <w:snapToGrid w:val="0"/>
                    <w:jc w:val="center"/>
                    <w:rPr>
                      <w:bCs/>
                      <w:color w:val="auto"/>
                      <w:szCs w:val="21"/>
                    </w:rPr>
                  </w:pPr>
                  <w:r>
                    <w:rPr>
                      <w:rFonts w:hint="eastAsia"/>
                      <w:bCs/>
                      <w:color w:val="auto"/>
                      <w:szCs w:val="21"/>
                    </w:rPr>
                    <w:t>/</w:t>
                  </w:r>
                </w:p>
              </w:tc>
              <w:tc>
                <w:tcPr>
                  <w:tcW w:w="1199" w:type="dxa"/>
                  <w:vAlign w:val="center"/>
                </w:tcPr>
                <w:p w14:paraId="04BEF85D">
                  <w:pPr>
                    <w:adjustRightInd w:val="0"/>
                    <w:snapToGrid w:val="0"/>
                    <w:jc w:val="center"/>
                    <w:rPr>
                      <w:color w:val="auto"/>
                      <w:szCs w:val="21"/>
                    </w:rPr>
                  </w:pPr>
                  <w:r>
                    <w:rPr>
                      <w:rFonts w:hint="eastAsia"/>
                      <w:bCs/>
                      <w:color w:val="auto"/>
                      <w:szCs w:val="21"/>
                    </w:rPr>
                    <w:t>0.2</w:t>
                  </w:r>
                </w:p>
              </w:tc>
            </w:tr>
            <w:tr w14:paraId="171615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vAlign w:val="center"/>
                </w:tcPr>
                <w:p w14:paraId="0BE64A75">
                  <w:pPr>
                    <w:pStyle w:val="79"/>
                    <w:adjustRightInd w:val="0"/>
                    <w:snapToGrid w:val="0"/>
                    <w:jc w:val="center"/>
                    <w:rPr>
                      <w:bCs/>
                      <w:color w:val="auto"/>
                      <w:szCs w:val="21"/>
                    </w:rPr>
                  </w:pPr>
                </w:p>
              </w:tc>
              <w:tc>
                <w:tcPr>
                  <w:tcW w:w="1754" w:type="dxa"/>
                  <w:vAlign w:val="center"/>
                </w:tcPr>
                <w:p w14:paraId="2D3523E5">
                  <w:pPr>
                    <w:adjustRightInd w:val="0"/>
                    <w:snapToGrid w:val="0"/>
                    <w:jc w:val="center"/>
                    <w:rPr>
                      <w:color w:val="auto"/>
                      <w:szCs w:val="21"/>
                    </w:rPr>
                  </w:pPr>
                  <w:r>
                    <w:rPr>
                      <w:rFonts w:hint="eastAsia"/>
                      <w:color w:val="auto"/>
                      <w:szCs w:val="21"/>
                    </w:rPr>
                    <w:t>废油桶</w:t>
                  </w:r>
                </w:p>
              </w:tc>
              <w:tc>
                <w:tcPr>
                  <w:tcW w:w="2326" w:type="dxa"/>
                  <w:vMerge w:val="continue"/>
                  <w:vAlign w:val="center"/>
                </w:tcPr>
                <w:p w14:paraId="5FB35F93">
                  <w:pPr>
                    <w:adjustRightInd w:val="0"/>
                    <w:snapToGrid w:val="0"/>
                    <w:jc w:val="center"/>
                    <w:rPr>
                      <w:color w:val="auto"/>
                      <w:szCs w:val="21"/>
                    </w:rPr>
                  </w:pPr>
                </w:p>
              </w:tc>
              <w:tc>
                <w:tcPr>
                  <w:tcW w:w="2038" w:type="dxa"/>
                  <w:vAlign w:val="center"/>
                </w:tcPr>
                <w:p w14:paraId="28E699E3">
                  <w:pPr>
                    <w:pStyle w:val="79"/>
                    <w:adjustRightInd w:val="0"/>
                    <w:snapToGrid w:val="0"/>
                    <w:jc w:val="center"/>
                    <w:rPr>
                      <w:bCs/>
                      <w:color w:val="auto"/>
                      <w:szCs w:val="21"/>
                    </w:rPr>
                  </w:pPr>
                  <w:r>
                    <w:rPr>
                      <w:rFonts w:hint="eastAsia"/>
                      <w:bCs/>
                      <w:color w:val="auto"/>
                      <w:szCs w:val="21"/>
                    </w:rPr>
                    <w:t>/</w:t>
                  </w:r>
                </w:p>
              </w:tc>
              <w:tc>
                <w:tcPr>
                  <w:tcW w:w="1199" w:type="dxa"/>
                  <w:vAlign w:val="center"/>
                </w:tcPr>
                <w:p w14:paraId="1868D042">
                  <w:pPr>
                    <w:adjustRightInd w:val="0"/>
                    <w:snapToGrid w:val="0"/>
                    <w:jc w:val="center"/>
                    <w:rPr>
                      <w:color w:val="auto"/>
                      <w:szCs w:val="21"/>
                    </w:rPr>
                  </w:pPr>
                  <w:r>
                    <w:rPr>
                      <w:rFonts w:hint="eastAsia"/>
                      <w:color w:val="auto"/>
                      <w:szCs w:val="21"/>
                    </w:rPr>
                    <w:t>0.05</w:t>
                  </w:r>
                </w:p>
              </w:tc>
            </w:tr>
            <w:tr w14:paraId="3BC8EF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vAlign w:val="center"/>
                </w:tcPr>
                <w:p w14:paraId="27C94C48">
                  <w:pPr>
                    <w:pStyle w:val="79"/>
                    <w:adjustRightInd w:val="0"/>
                    <w:snapToGrid w:val="0"/>
                    <w:jc w:val="center"/>
                    <w:rPr>
                      <w:bCs/>
                      <w:color w:val="auto"/>
                      <w:szCs w:val="21"/>
                    </w:rPr>
                  </w:pPr>
                </w:p>
              </w:tc>
              <w:tc>
                <w:tcPr>
                  <w:tcW w:w="1754" w:type="dxa"/>
                  <w:vAlign w:val="center"/>
                </w:tcPr>
                <w:p w14:paraId="449C21EB">
                  <w:pPr>
                    <w:adjustRightInd w:val="0"/>
                    <w:snapToGrid w:val="0"/>
                    <w:jc w:val="center"/>
                    <w:rPr>
                      <w:color w:val="auto"/>
                      <w:szCs w:val="21"/>
                    </w:rPr>
                  </w:pPr>
                  <w:r>
                    <w:rPr>
                      <w:rFonts w:hint="eastAsia"/>
                      <w:color w:val="auto"/>
                      <w:szCs w:val="21"/>
                    </w:rPr>
                    <w:t>废抹布</w:t>
                  </w:r>
                </w:p>
              </w:tc>
              <w:tc>
                <w:tcPr>
                  <w:tcW w:w="2326" w:type="dxa"/>
                  <w:vMerge w:val="continue"/>
                  <w:vAlign w:val="center"/>
                </w:tcPr>
                <w:p w14:paraId="7E76240A">
                  <w:pPr>
                    <w:adjustRightInd w:val="0"/>
                    <w:snapToGrid w:val="0"/>
                    <w:jc w:val="center"/>
                    <w:rPr>
                      <w:color w:val="auto"/>
                      <w:szCs w:val="21"/>
                    </w:rPr>
                  </w:pPr>
                </w:p>
              </w:tc>
              <w:tc>
                <w:tcPr>
                  <w:tcW w:w="2038" w:type="dxa"/>
                  <w:vAlign w:val="center"/>
                </w:tcPr>
                <w:p w14:paraId="3BE782F1">
                  <w:pPr>
                    <w:pStyle w:val="79"/>
                    <w:adjustRightInd w:val="0"/>
                    <w:snapToGrid w:val="0"/>
                    <w:jc w:val="center"/>
                    <w:rPr>
                      <w:bCs/>
                      <w:color w:val="auto"/>
                      <w:szCs w:val="21"/>
                    </w:rPr>
                  </w:pPr>
                  <w:r>
                    <w:rPr>
                      <w:rFonts w:hint="eastAsia"/>
                      <w:bCs/>
                      <w:color w:val="auto"/>
                      <w:szCs w:val="21"/>
                    </w:rPr>
                    <w:t>/</w:t>
                  </w:r>
                </w:p>
              </w:tc>
              <w:tc>
                <w:tcPr>
                  <w:tcW w:w="1199" w:type="dxa"/>
                  <w:vAlign w:val="center"/>
                </w:tcPr>
                <w:p w14:paraId="2E16E45B">
                  <w:pPr>
                    <w:adjustRightInd w:val="0"/>
                    <w:snapToGrid w:val="0"/>
                    <w:jc w:val="center"/>
                    <w:rPr>
                      <w:color w:val="auto"/>
                      <w:szCs w:val="21"/>
                    </w:rPr>
                  </w:pPr>
                  <w:r>
                    <w:rPr>
                      <w:rFonts w:hint="eastAsia"/>
                      <w:color w:val="auto"/>
                      <w:szCs w:val="21"/>
                    </w:rPr>
                    <w:t>0.005</w:t>
                  </w:r>
                </w:p>
              </w:tc>
            </w:tr>
            <w:tr w14:paraId="6DD1AE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vAlign w:val="center"/>
                </w:tcPr>
                <w:p w14:paraId="6BEFB319">
                  <w:pPr>
                    <w:pStyle w:val="79"/>
                    <w:adjustRightInd w:val="0"/>
                    <w:snapToGrid w:val="0"/>
                    <w:jc w:val="center"/>
                    <w:rPr>
                      <w:bCs/>
                      <w:color w:val="auto"/>
                      <w:szCs w:val="21"/>
                    </w:rPr>
                  </w:pPr>
                </w:p>
              </w:tc>
              <w:tc>
                <w:tcPr>
                  <w:tcW w:w="1754" w:type="dxa"/>
                  <w:vAlign w:val="center"/>
                </w:tcPr>
                <w:p w14:paraId="58A72AF9">
                  <w:pPr>
                    <w:adjustRightInd w:val="0"/>
                    <w:snapToGrid w:val="0"/>
                    <w:spacing w:line="300" w:lineRule="exact"/>
                    <w:jc w:val="center"/>
                    <w:rPr>
                      <w:color w:val="auto"/>
                      <w:szCs w:val="21"/>
                    </w:rPr>
                  </w:pPr>
                  <w:r>
                    <w:rPr>
                      <w:rFonts w:hint="eastAsia"/>
                      <w:color w:val="auto"/>
                      <w:szCs w:val="21"/>
                    </w:rPr>
                    <w:t>废铁皮</w:t>
                  </w:r>
                </w:p>
              </w:tc>
              <w:tc>
                <w:tcPr>
                  <w:tcW w:w="2326" w:type="dxa"/>
                  <w:vMerge w:val="restart"/>
                  <w:vAlign w:val="center"/>
                </w:tcPr>
                <w:p w14:paraId="63E0DA17">
                  <w:pPr>
                    <w:adjustRightInd w:val="0"/>
                    <w:snapToGrid w:val="0"/>
                    <w:jc w:val="center"/>
                    <w:rPr>
                      <w:color w:val="auto"/>
                      <w:szCs w:val="21"/>
                    </w:rPr>
                  </w:pPr>
                  <w:r>
                    <w:rPr>
                      <w:rFonts w:hint="eastAsia"/>
                      <w:color w:val="auto"/>
                      <w:szCs w:val="21"/>
                    </w:rPr>
                    <w:t>收集后定期外售</w:t>
                  </w:r>
                </w:p>
              </w:tc>
              <w:tc>
                <w:tcPr>
                  <w:tcW w:w="2038" w:type="dxa"/>
                  <w:vAlign w:val="center"/>
                </w:tcPr>
                <w:p w14:paraId="57586DE6">
                  <w:pPr>
                    <w:pStyle w:val="79"/>
                    <w:adjustRightInd w:val="0"/>
                    <w:snapToGrid w:val="0"/>
                    <w:jc w:val="center"/>
                    <w:rPr>
                      <w:bCs/>
                      <w:color w:val="auto"/>
                      <w:szCs w:val="21"/>
                    </w:rPr>
                  </w:pPr>
                  <w:r>
                    <w:rPr>
                      <w:rFonts w:hint="eastAsia"/>
                      <w:bCs/>
                      <w:color w:val="auto"/>
                      <w:szCs w:val="21"/>
                    </w:rPr>
                    <w:t>/</w:t>
                  </w:r>
                </w:p>
              </w:tc>
              <w:tc>
                <w:tcPr>
                  <w:tcW w:w="1199" w:type="dxa"/>
                  <w:vAlign w:val="center"/>
                </w:tcPr>
                <w:p w14:paraId="102737CB">
                  <w:pPr>
                    <w:adjustRightInd w:val="0"/>
                    <w:snapToGrid w:val="0"/>
                    <w:jc w:val="center"/>
                    <w:rPr>
                      <w:color w:val="auto"/>
                      <w:szCs w:val="21"/>
                    </w:rPr>
                  </w:pPr>
                  <w:r>
                    <w:rPr>
                      <w:rFonts w:hint="eastAsia"/>
                      <w:color w:val="auto"/>
                      <w:szCs w:val="21"/>
                    </w:rPr>
                    <w:t>4.1882</w:t>
                  </w:r>
                </w:p>
              </w:tc>
            </w:tr>
            <w:tr w14:paraId="315DDF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dxa"/>
                  <w:vMerge w:val="continue"/>
                  <w:vAlign w:val="center"/>
                </w:tcPr>
                <w:p w14:paraId="34FDEF1B">
                  <w:pPr>
                    <w:pStyle w:val="79"/>
                    <w:adjustRightInd w:val="0"/>
                    <w:snapToGrid w:val="0"/>
                    <w:jc w:val="center"/>
                    <w:rPr>
                      <w:bCs/>
                      <w:color w:val="auto"/>
                      <w:szCs w:val="21"/>
                    </w:rPr>
                  </w:pPr>
                </w:p>
              </w:tc>
              <w:tc>
                <w:tcPr>
                  <w:tcW w:w="1754" w:type="dxa"/>
                  <w:vAlign w:val="center"/>
                </w:tcPr>
                <w:p w14:paraId="071FAC01">
                  <w:pPr>
                    <w:adjustRightInd w:val="0"/>
                    <w:snapToGrid w:val="0"/>
                    <w:spacing w:line="300" w:lineRule="exact"/>
                    <w:jc w:val="center"/>
                    <w:rPr>
                      <w:color w:val="auto"/>
                      <w:szCs w:val="21"/>
                    </w:rPr>
                  </w:pPr>
                  <w:r>
                    <w:rPr>
                      <w:rFonts w:hint="eastAsia"/>
                      <w:color w:val="auto"/>
                      <w:szCs w:val="21"/>
                    </w:rPr>
                    <w:t>焊渣</w:t>
                  </w:r>
                </w:p>
              </w:tc>
              <w:tc>
                <w:tcPr>
                  <w:tcW w:w="2326" w:type="dxa"/>
                  <w:vMerge w:val="continue"/>
                  <w:vAlign w:val="center"/>
                </w:tcPr>
                <w:p w14:paraId="048D3B60">
                  <w:pPr>
                    <w:adjustRightInd w:val="0"/>
                    <w:snapToGrid w:val="0"/>
                    <w:jc w:val="center"/>
                    <w:rPr>
                      <w:color w:val="auto"/>
                      <w:szCs w:val="21"/>
                    </w:rPr>
                  </w:pPr>
                </w:p>
              </w:tc>
              <w:tc>
                <w:tcPr>
                  <w:tcW w:w="2038" w:type="dxa"/>
                  <w:vAlign w:val="center"/>
                </w:tcPr>
                <w:p w14:paraId="0D5D0909">
                  <w:pPr>
                    <w:pStyle w:val="79"/>
                    <w:adjustRightInd w:val="0"/>
                    <w:snapToGrid w:val="0"/>
                    <w:jc w:val="center"/>
                    <w:rPr>
                      <w:bCs/>
                      <w:color w:val="auto"/>
                      <w:szCs w:val="21"/>
                    </w:rPr>
                  </w:pPr>
                  <w:r>
                    <w:rPr>
                      <w:rFonts w:hint="eastAsia"/>
                      <w:bCs/>
                      <w:color w:val="auto"/>
                      <w:szCs w:val="21"/>
                    </w:rPr>
                    <w:t>/</w:t>
                  </w:r>
                </w:p>
              </w:tc>
              <w:tc>
                <w:tcPr>
                  <w:tcW w:w="1199" w:type="dxa"/>
                  <w:vAlign w:val="center"/>
                </w:tcPr>
                <w:p w14:paraId="2E6CA9A6">
                  <w:pPr>
                    <w:adjustRightInd w:val="0"/>
                    <w:snapToGrid w:val="0"/>
                    <w:jc w:val="center"/>
                    <w:rPr>
                      <w:color w:val="auto"/>
                      <w:szCs w:val="21"/>
                    </w:rPr>
                  </w:pPr>
                  <w:r>
                    <w:rPr>
                      <w:rFonts w:hint="eastAsia"/>
                      <w:color w:val="auto"/>
                      <w:szCs w:val="21"/>
                    </w:rPr>
                    <w:t>0.01</w:t>
                  </w:r>
                </w:p>
              </w:tc>
            </w:tr>
          </w:tbl>
          <w:p w14:paraId="2137753B">
            <w:pPr>
              <w:spacing w:before="120" w:beforeLines="50" w:line="360" w:lineRule="auto"/>
              <w:ind w:firstLine="482" w:firstLineChars="200"/>
              <w:rPr>
                <w:color w:val="auto"/>
                <w:sz w:val="24"/>
              </w:rPr>
            </w:pPr>
            <w:r>
              <w:rPr>
                <w:rFonts w:hint="eastAsia"/>
                <w:b/>
                <w:bCs/>
                <w:color w:val="auto"/>
                <w:sz w:val="24"/>
              </w:rPr>
              <w:t>3、现有工程存在的环境问题及整改措施</w:t>
            </w:r>
          </w:p>
          <w:p w14:paraId="1C874937">
            <w:pPr>
              <w:spacing w:before="120" w:beforeLines="50" w:line="360" w:lineRule="auto"/>
              <w:ind w:firstLine="480" w:firstLineChars="200"/>
              <w:rPr>
                <w:color w:val="auto"/>
                <w:sz w:val="24"/>
              </w:rPr>
            </w:pPr>
            <w:r>
              <w:rPr>
                <w:rFonts w:hint="eastAsia"/>
                <w:color w:val="auto"/>
                <w:sz w:val="24"/>
              </w:rPr>
              <w:t>根据现场踏勘，本项目</w:t>
            </w:r>
            <w:r>
              <w:rPr>
                <w:color w:val="auto"/>
                <w:sz w:val="24"/>
              </w:rPr>
              <w:t>存在的环境问题及整改措施见下表：</w:t>
            </w:r>
          </w:p>
          <w:p w14:paraId="2AF63E96">
            <w:pPr>
              <w:jc w:val="center"/>
              <w:rPr>
                <w:color w:val="auto"/>
                <w:sz w:val="24"/>
              </w:rPr>
            </w:pPr>
            <w:r>
              <w:rPr>
                <w:b/>
                <w:bCs/>
                <w:color w:val="auto"/>
                <w:sz w:val="24"/>
              </w:rPr>
              <w:t>表2-</w:t>
            </w:r>
            <w:r>
              <w:rPr>
                <w:rFonts w:hint="eastAsia"/>
                <w:b/>
                <w:bCs/>
                <w:color w:val="auto"/>
                <w:sz w:val="24"/>
              </w:rPr>
              <w:t>11</w:t>
            </w:r>
            <w:r>
              <w:rPr>
                <w:b/>
                <w:bCs/>
                <w:color w:val="auto"/>
                <w:sz w:val="24"/>
              </w:rPr>
              <w:t xml:space="preserve">  存在的环境问题及整改措施汇总一览表</w:t>
            </w:r>
          </w:p>
          <w:tbl>
            <w:tblPr>
              <w:tblStyle w:val="26"/>
              <w:tblW w:w="825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2"/>
              <w:gridCol w:w="762"/>
              <w:gridCol w:w="3587"/>
              <w:gridCol w:w="3166"/>
            </w:tblGrid>
            <w:tr w14:paraId="383195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04" w:type="dxa"/>
                  <w:gridSpan w:val="2"/>
                  <w:vAlign w:val="center"/>
                </w:tcPr>
                <w:p w14:paraId="60B3E3A0">
                  <w:pPr>
                    <w:jc w:val="center"/>
                    <w:rPr>
                      <w:b/>
                      <w:bCs/>
                      <w:color w:val="auto"/>
                      <w:szCs w:val="21"/>
                    </w:rPr>
                  </w:pPr>
                  <w:r>
                    <w:rPr>
                      <w:b/>
                      <w:bCs/>
                      <w:color w:val="auto"/>
                      <w:szCs w:val="21"/>
                    </w:rPr>
                    <w:t>项目</w:t>
                  </w:r>
                </w:p>
              </w:tc>
              <w:tc>
                <w:tcPr>
                  <w:tcW w:w="3587" w:type="dxa"/>
                  <w:vAlign w:val="center"/>
                </w:tcPr>
                <w:p w14:paraId="2BA3E7CB">
                  <w:pPr>
                    <w:jc w:val="center"/>
                    <w:rPr>
                      <w:b/>
                      <w:bCs/>
                      <w:color w:val="auto"/>
                      <w:szCs w:val="21"/>
                    </w:rPr>
                  </w:pPr>
                  <w:r>
                    <w:rPr>
                      <w:rFonts w:hint="eastAsia"/>
                      <w:b/>
                      <w:bCs/>
                      <w:color w:val="auto"/>
                      <w:szCs w:val="21"/>
                    </w:rPr>
                    <w:t>现存的</w:t>
                  </w:r>
                  <w:r>
                    <w:rPr>
                      <w:b/>
                      <w:bCs/>
                      <w:color w:val="auto"/>
                      <w:szCs w:val="21"/>
                    </w:rPr>
                    <w:t>环保问题</w:t>
                  </w:r>
                </w:p>
              </w:tc>
              <w:tc>
                <w:tcPr>
                  <w:tcW w:w="3166" w:type="dxa"/>
                  <w:vAlign w:val="center"/>
                </w:tcPr>
                <w:p w14:paraId="760BF20F">
                  <w:pPr>
                    <w:jc w:val="center"/>
                    <w:rPr>
                      <w:b/>
                      <w:bCs/>
                      <w:color w:val="auto"/>
                      <w:szCs w:val="21"/>
                    </w:rPr>
                  </w:pPr>
                  <w:r>
                    <w:rPr>
                      <w:b/>
                      <w:bCs/>
                      <w:color w:val="auto"/>
                      <w:szCs w:val="21"/>
                    </w:rPr>
                    <w:t>整改措施</w:t>
                  </w:r>
                  <w:r>
                    <w:rPr>
                      <w:rFonts w:hint="eastAsia"/>
                      <w:b/>
                      <w:bCs/>
                      <w:color w:val="auto"/>
                      <w:szCs w:val="21"/>
                    </w:rPr>
                    <w:t>及</w:t>
                  </w:r>
                  <w:r>
                    <w:rPr>
                      <w:b/>
                      <w:bCs/>
                      <w:color w:val="auto"/>
                      <w:szCs w:val="21"/>
                    </w:rPr>
                    <w:t>要求</w:t>
                  </w:r>
                </w:p>
              </w:tc>
            </w:tr>
            <w:tr w14:paraId="2D6854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42" w:type="dxa"/>
                  <w:vAlign w:val="center"/>
                </w:tcPr>
                <w:p w14:paraId="40F17A91">
                  <w:pPr>
                    <w:jc w:val="center"/>
                    <w:rPr>
                      <w:color w:val="auto"/>
                      <w:szCs w:val="21"/>
                    </w:rPr>
                  </w:pPr>
                  <w:r>
                    <w:rPr>
                      <w:color w:val="auto"/>
                      <w:szCs w:val="21"/>
                    </w:rPr>
                    <w:t>废气</w:t>
                  </w:r>
                </w:p>
              </w:tc>
              <w:tc>
                <w:tcPr>
                  <w:tcW w:w="762" w:type="dxa"/>
                  <w:vAlign w:val="center"/>
                </w:tcPr>
                <w:p w14:paraId="4F07B74B">
                  <w:pPr>
                    <w:jc w:val="center"/>
                    <w:rPr>
                      <w:color w:val="auto"/>
                      <w:szCs w:val="21"/>
                    </w:rPr>
                  </w:pPr>
                  <w:r>
                    <w:rPr>
                      <w:rFonts w:hint="eastAsia"/>
                      <w:color w:val="auto"/>
                      <w:szCs w:val="21"/>
                    </w:rPr>
                    <w:t>焊接废气</w:t>
                  </w:r>
                </w:p>
              </w:tc>
              <w:tc>
                <w:tcPr>
                  <w:tcW w:w="3587" w:type="dxa"/>
                  <w:vAlign w:val="center"/>
                </w:tcPr>
                <w:p w14:paraId="2489E55D">
                  <w:pPr>
                    <w:jc w:val="center"/>
                    <w:rPr>
                      <w:color w:val="auto"/>
                      <w:szCs w:val="21"/>
                    </w:rPr>
                  </w:pPr>
                  <w:r>
                    <w:rPr>
                      <w:rFonts w:hint="eastAsia"/>
                      <w:color w:val="auto"/>
                      <w:szCs w:val="21"/>
                    </w:rPr>
                    <w:t>铁桶生产使用焊丝，产生的焊接烟尘未采取</w:t>
                  </w:r>
                  <w:r>
                    <w:rPr>
                      <w:color w:val="auto"/>
                      <w:szCs w:val="21"/>
                    </w:rPr>
                    <w:t>废气治理设施</w:t>
                  </w:r>
                </w:p>
              </w:tc>
              <w:tc>
                <w:tcPr>
                  <w:tcW w:w="3166" w:type="dxa"/>
                  <w:vAlign w:val="center"/>
                </w:tcPr>
                <w:p w14:paraId="571A2C2E">
                  <w:pPr>
                    <w:jc w:val="center"/>
                    <w:rPr>
                      <w:color w:val="auto"/>
                      <w:szCs w:val="21"/>
                    </w:rPr>
                  </w:pPr>
                  <w:r>
                    <w:rPr>
                      <w:rFonts w:hint="eastAsia"/>
                      <w:color w:val="auto"/>
                      <w:szCs w:val="21"/>
                    </w:rPr>
                    <w:t>焊接废气</w:t>
                  </w:r>
                  <w:r>
                    <w:rPr>
                      <w:color w:val="auto"/>
                      <w:szCs w:val="21"/>
                    </w:rPr>
                    <w:t>采用</w:t>
                  </w:r>
                  <w:r>
                    <w:rPr>
                      <w:rFonts w:hint="eastAsia"/>
                      <w:color w:val="auto"/>
                      <w:szCs w:val="21"/>
                    </w:rPr>
                    <w:t>“移动式烟尘净化器</w:t>
                  </w:r>
                  <w:r>
                    <w:rPr>
                      <w:color w:val="auto"/>
                      <w:szCs w:val="21"/>
                    </w:rPr>
                    <w:t>处理</w:t>
                  </w:r>
                  <w:r>
                    <w:rPr>
                      <w:rFonts w:hint="eastAsia"/>
                      <w:color w:val="auto"/>
                      <w:szCs w:val="21"/>
                    </w:rPr>
                    <w:t>”</w:t>
                  </w:r>
                  <w:r>
                    <w:rPr>
                      <w:color w:val="auto"/>
                      <w:szCs w:val="21"/>
                    </w:rPr>
                    <w:t>后无组织排放</w:t>
                  </w:r>
                </w:p>
              </w:tc>
            </w:tr>
            <w:tr w14:paraId="37026E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42" w:type="dxa"/>
                  <w:vMerge w:val="restart"/>
                  <w:vAlign w:val="center"/>
                </w:tcPr>
                <w:p w14:paraId="5B0F856D">
                  <w:pPr>
                    <w:jc w:val="center"/>
                    <w:rPr>
                      <w:color w:val="auto"/>
                      <w:szCs w:val="21"/>
                    </w:rPr>
                  </w:pPr>
                  <w:r>
                    <w:rPr>
                      <w:rFonts w:hint="eastAsia"/>
                      <w:color w:val="auto"/>
                      <w:szCs w:val="21"/>
                    </w:rPr>
                    <w:t>固废</w:t>
                  </w:r>
                </w:p>
              </w:tc>
              <w:tc>
                <w:tcPr>
                  <w:tcW w:w="762" w:type="dxa"/>
                  <w:vMerge w:val="restart"/>
                  <w:vAlign w:val="center"/>
                </w:tcPr>
                <w:p w14:paraId="476BEB03">
                  <w:pPr>
                    <w:jc w:val="center"/>
                    <w:rPr>
                      <w:color w:val="auto"/>
                      <w:szCs w:val="21"/>
                    </w:rPr>
                  </w:pPr>
                  <w:r>
                    <w:rPr>
                      <w:rFonts w:hint="eastAsia"/>
                      <w:color w:val="auto"/>
                      <w:szCs w:val="21"/>
                    </w:rPr>
                    <w:t>危险废物</w:t>
                  </w:r>
                </w:p>
              </w:tc>
              <w:tc>
                <w:tcPr>
                  <w:tcW w:w="3587" w:type="dxa"/>
                  <w:vAlign w:val="center"/>
                </w:tcPr>
                <w:p w14:paraId="178B3910">
                  <w:pPr>
                    <w:jc w:val="center"/>
                    <w:rPr>
                      <w:color w:val="auto"/>
                      <w:szCs w:val="21"/>
                    </w:rPr>
                  </w:pPr>
                  <w:r>
                    <w:rPr>
                      <w:rFonts w:hint="eastAsia"/>
                      <w:color w:val="auto"/>
                      <w:szCs w:val="21"/>
                    </w:rPr>
                    <w:t>危废贮存间门口应按《危险废物识别标志设置技术规范》（HJ1276-2022）要求设置了危废贮存标识和分区图</w:t>
                  </w:r>
                </w:p>
              </w:tc>
              <w:tc>
                <w:tcPr>
                  <w:tcW w:w="3166" w:type="dxa"/>
                  <w:vMerge w:val="restart"/>
                  <w:vAlign w:val="center"/>
                </w:tcPr>
                <w:p w14:paraId="1654B932">
                  <w:pPr>
                    <w:jc w:val="center"/>
                    <w:rPr>
                      <w:color w:val="auto"/>
                      <w:szCs w:val="21"/>
                    </w:rPr>
                  </w:pPr>
                  <w:r>
                    <w:rPr>
                      <w:rFonts w:hint="eastAsia"/>
                      <w:color w:val="auto"/>
                      <w:szCs w:val="21"/>
                    </w:rPr>
                    <w:t>危废贮存库标识根据《危险废物识别标志设置技术规范》（HJ1276-2022）中相关要求进行更新</w:t>
                  </w:r>
                </w:p>
              </w:tc>
            </w:tr>
            <w:tr w14:paraId="64EA0A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2" w:type="dxa"/>
                  <w:vMerge w:val="continue"/>
                  <w:vAlign w:val="center"/>
                </w:tcPr>
                <w:p w14:paraId="1A1E8C13">
                  <w:pPr>
                    <w:jc w:val="center"/>
                    <w:rPr>
                      <w:color w:val="auto"/>
                      <w:szCs w:val="21"/>
                    </w:rPr>
                  </w:pPr>
                </w:p>
              </w:tc>
              <w:tc>
                <w:tcPr>
                  <w:tcW w:w="762" w:type="dxa"/>
                  <w:vMerge w:val="continue"/>
                  <w:vAlign w:val="center"/>
                </w:tcPr>
                <w:p w14:paraId="0E84101A">
                  <w:pPr>
                    <w:jc w:val="center"/>
                    <w:rPr>
                      <w:color w:val="auto"/>
                      <w:szCs w:val="21"/>
                    </w:rPr>
                  </w:pPr>
                </w:p>
              </w:tc>
              <w:tc>
                <w:tcPr>
                  <w:tcW w:w="3587" w:type="dxa"/>
                  <w:vAlign w:val="center"/>
                </w:tcPr>
                <w:p w14:paraId="1D42FF3D">
                  <w:pPr>
                    <w:jc w:val="center"/>
                    <w:rPr>
                      <w:color w:val="auto"/>
                      <w:szCs w:val="21"/>
                    </w:rPr>
                  </w:pPr>
                  <w:r>
                    <w:rPr>
                      <w:rFonts w:hint="eastAsia"/>
                      <w:color w:val="auto"/>
                      <w:szCs w:val="21"/>
                    </w:rPr>
                    <w:t>危废贮存间内应张贴危废管理制度</w:t>
                  </w:r>
                </w:p>
              </w:tc>
              <w:tc>
                <w:tcPr>
                  <w:tcW w:w="3166" w:type="dxa"/>
                  <w:vMerge w:val="continue"/>
                  <w:vAlign w:val="center"/>
                </w:tcPr>
                <w:p w14:paraId="078E08AB">
                  <w:pPr>
                    <w:jc w:val="center"/>
                    <w:rPr>
                      <w:color w:val="auto"/>
                      <w:szCs w:val="21"/>
                    </w:rPr>
                  </w:pPr>
                </w:p>
              </w:tc>
            </w:tr>
            <w:tr w14:paraId="6558C8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2" w:type="dxa"/>
                  <w:vMerge w:val="continue"/>
                  <w:vAlign w:val="center"/>
                </w:tcPr>
                <w:p w14:paraId="21172D60">
                  <w:pPr>
                    <w:jc w:val="center"/>
                    <w:rPr>
                      <w:color w:val="auto"/>
                      <w:szCs w:val="21"/>
                    </w:rPr>
                  </w:pPr>
                </w:p>
              </w:tc>
              <w:tc>
                <w:tcPr>
                  <w:tcW w:w="762" w:type="dxa"/>
                  <w:vMerge w:val="continue"/>
                  <w:vAlign w:val="center"/>
                </w:tcPr>
                <w:p w14:paraId="5B47796B">
                  <w:pPr>
                    <w:jc w:val="center"/>
                    <w:rPr>
                      <w:color w:val="auto"/>
                      <w:szCs w:val="21"/>
                    </w:rPr>
                  </w:pPr>
                </w:p>
              </w:tc>
              <w:tc>
                <w:tcPr>
                  <w:tcW w:w="3587" w:type="dxa"/>
                  <w:vAlign w:val="center"/>
                </w:tcPr>
                <w:p w14:paraId="3C44016C">
                  <w:pPr>
                    <w:jc w:val="center"/>
                    <w:rPr>
                      <w:color w:val="auto"/>
                      <w:szCs w:val="21"/>
                    </w:rPr>
                  </w:pPr>
                  <w:r>
                    <w:rPr>
                      <w:rFonts w:hint="eastAsia"/>
                      <w:color w:val="auto"/>
                      <w:szCs w:val="21"/>
                    </w:rPr>
                    <w:t>危废贮存库地面未进行防渗处理</w:t>
                  </w:r>
                </w:p>
              </w:tc>
              <w:tc>
                <w:tcPr>
                  <w:tcW w:w="3166" w:type="dxa"/>
                  <w:vAlign w:val="center"/>
                </w:tcPr>
                <w:p w14:paraId="7BA2384F">
                  <w:pPr>
                    <w:jc w:val="center"/>
                    <w:rPr>
                      <w:color w:val="auto"/>
                      <w:szCs w:val="21"/>
                    </w:rPr>
                  </w:pPr>
                  <w:r>
                    <w:rPr>
                      <w:rFonts w:hint="eastAsia"/>
                      <w:color w:val="auto"/>
                      <w:szCs w:val="21"/>
                    </w:rPr>
                    <w:t>危废贮存库地面需按照《危险废物贮存污染控制标准》（GB18597-2023）进行防渗处理</w:t>
                  </w:r>
                </w:p>
              </w:tc>
            </w:tr>
          </w:tbl>
          <w:p w14:paraId="72AAEC42">
            <w:pPr>
              <w:spacing w:before="120" w:beforeLines="50" w:line="360" w:lineRule="auto"/>
              <w:ind w:firstLine="480" w:firstLineChars="200"/>
              <w:rPr>
                <w:color w:val="auto"/>
                <w:sz w:val="24"/>
                <w:highlight w:val="yellow"/>
              </w:rPr>
            </w:pPr>
            <w:r>
              <w:rPr>
                <w:rFonts w:hint="eastAsia"/>
                <w:color w:val="auto"/>
                <w:sz w:val="24"/>
              </w:rPr>
              <w:t>本项目存在的环境问题要求企业</w:t>
            </w:r>
            <w:r>
              <w:rPr>
                <w:rFonts w:hint="eastAsia"/>
                <w:color w:val="auto"/>
                <w:sz w:val="24"/>
                <w:lang w:val="en-US" w:eastAsia="zh-CN"/>
              </w:rPr>
              <w:t>纳入本次项目一并</w:t>
            </w:r>
            <w:r>
              <w:rPr>
                <w:rFonts w:hint="eastAsia"/>
                <w:color w:val="auto"/>
                <w:sz w:val="24"/>
              </w:rPr>
              <w:t>整</w:t>
            </w:r>
            <w:r>
              <w:rPr>
                <w:rFonts w:hint="eastAsia"/>
                <w:color w:val="auto"/>
                <w:sz w:val="24"/>
                <w:highlight w:val="none"/>
              </w:rPr>
              <w:t>改。</w:t>
            </w:r>
          </w:p>
          <w:p w14:paraId="08286B14">
            <w:pPr>
              <w:spacing w:line="360" w:lineRule="auto"/>
              <w:ind w:firstLine="480" w:firstLineChars="200"/>
              <w:rPr>
                <w:color w:val="auto"/>
                <w:sz w:val="24"/>
              </w:rPr>
            </w:pPr>
          </w:p>
          <w:p w14:paraId="6A58DE8A">
            <w:pPr>
              <w:spacing w:line="360" w:lineRule="auto"/>
              <w:ind w:firstLine="480" w:firstLineChars="200"/>
              <w:rPr>
                <w:color w:val="auto"/>
                <w:sz w:val="24"/>
              </w:rPr>
            </w:pPr>
          </w:p>
          <w:p w14:paraId="04E5DCB8">
            <w:pPr>
              <w:spacing w:line="360" w:lineRule="auto"/>
              <w:ind w:firstLine="480" w:firstLineChars="200"/>
              <w:rPr>
                <w:color w:val="auto"/>
                <w:sz w:val="24"/>
              </w:rPr>
            </w:pPr>
          </w:p>
          <w:p w14:paraId="2BA6BF23">
            <w:pPr>
              <w:spacing w:line="360" w:lineRule="auto"/>
              <w:ind w:firstLine="480" w:firstLineChars="200"/>
              <w:rPr>
                <w:color w:val="auto"/>
                <w:sz w:val="24"/>
              </w:rPr>
            </w:pPr>
          </w:p>
          <w:p w14:paraId="7AC04FCD">
            <w:pPr>
              <w:spacing w:line="360" w:lineRule="auto"/>
              <w:ind w:firstLine="480" w:firstLineChars="200"/>
              <w:rPr>
                <w:color w:val="auto"/>
                <w:sz w:val="24"/>
              </w:rPr>
            </w:pPr>
          </w:p>
          <w:p w14:paraId="369912FF">
            <w:pPr>
              <w:spacing w:line="360" w:lineRule="auto"/>
              <w:ind w:firstLine="422" w:firstLineChars="200"/>
              <w:rPr>
                <w:b/>
                <w:bCs/>
                <w:color w:val="auto"/>
              </w:rPr>
            </w:pPr>
          </w:p>
        </w:tc>
      </w:tr>
    </w:tbl>
    <w:p w14:paraId="6BD1EA99">
      <w:pPr>
        <w:pStyle w:val="23"/>
        <w:jc w:val="center"/>
        <w:rPr>
          <w:rFonts w:ascii="黑体" w:hAnsi="黑体" w:eastAsia="黑体"/>
          <w:snapToGrid w:val="0"/>
          <w:color w:val="auto"/>
          <w:sz w:val="36"/>
          <w:szCs w:val="36"/>
        </w:rPr>
        <w:sectPr>
          <w:pgSz w:w="11906" w:h="16838"/>
          <w:pgMar w:top="1701" w:right="1531" w:bottom="1701" w:left="1531" w:header="851" w:footer="851" w:gutter="0"/>
          <w:cols w:space="720" w:num="1"/>
          <w:docGrid w:linePitch="312" w:charSpace="0"/>
        </w:sectPr>
      </w:pPr>
    </w:p>
    <w:p w14:paraId="18079753">
      <w:pPr>
        <w:pStyle w:val="23"/>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三、区域环境质量现状、环境保护目标及评价标准</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14:paraId="577302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0" w:type="dxa"/>
            <w:vAlign w:val="center"/>
          </w:tcPr>
          <w:p w14:paraId="6D34CE61">
            <w:pPr>
              <w:adjustRightInd w:val="0"/>
              <w:snapToGrid w:val="0"/>
              <w:jc w:val="center"/>
              <w:rPr>
                <w:color w:val="auto"/>
                <w:kern w:val="0"/>
                <w:sz w:val="24"/>
              </w:rPr>
            </w:pPr>
            <w:r>
              <w:rPr>
                <w:color w:val="auto"/>
                <w:kern w:val="0"/>
                <w:sz w:val="24"/>
              </w:rPr>
              <w:t>区域环境质量现状</w:t>
            </w:r>
          </w:p>
        </w:tc>
        <w:tc>
          <w:tcPr>
            <w:tcW w:w="8190" w:type="dxa"/>
            <w:vAlign w:val="center"/>
          </w:tcPr>
          <w:p w14:paraId="0625C2A6">
            <w:pPr>
              <w:tabs>
                <w:tab w:val="left" w:pos="8607"/>
              </w:tabs>
              <w:spacing w:before="120" w:beforeLines="50" w:line="360" w:lineRule="auto"/>
              <w:ind w:firstLine="482" w:firstLineChars="200"/>
              <w:rPr>
                <w:b/>
                <w:color w:val="auto"/>
                <w:sz w:val="24"/>
              </w:rPr>
            </w:pPr>
            <w:r>
              <w:rPr>
                <w:b/>
                <w:color w:val="auto"/>
                <w:sz w:val="24"/>
              </w:rPr>
              <w:t>1、</w:t>
            </w:r>
            <w:r>
              <w:rPr>
                <w:rFonts w:hint="eastAsia"/>
                <w:b/>
                <w:color w:val="auto"/>
                <w:sz w:val="24"/>
              </w:rPr>
              <w:t>环境空气</w:t>
            </w:r>
            <w:r>
              <w:rPr>
                <w:b/>
                <w:color w:val="auto"/>
                <w:sz w:val="24"/>
              </w:rPr>
              <w:t>质量现状</w:t>
            </w:r>
          </w:p>
          <w:p w14:paraId="7654AA63">
            <w:pPr>
              <w:tabs>
                <w:tab w:val="left" w:pos="8607"/>
              </w:tabs>
              <w:spacing w:line="360" w:lineRule="auto"/>
              <w:ind w:firstLine="480" w:firstLineChars="200"/>
              <w:rPr>
                <w:bCs/>
                <w:color w:val="auto"/>
                <w:sz w:val="24"/>
              </w:rPr>
            </w:pPr>
            <w:bookmarkStart w:id="5" w:name="_Toc68847870"/>
            <w:bookmarkStart w:id="6" w:name="_Toc58810542"/>
            <w:bookmarkStart w:id="7" w:name="_Toc58124711"/>
            <w:bookmarkStart w:id="8" w:name="_Toc58646773"/>
            <w:bookmarkStart w:id="9" w:name="_Toc100071049"/>
            <w:bookmarkStart w:id="10" w:name="_Toc68582481"/>
            <w:bookmarkStart w:id="11" w:name="_Toc58041094"/>
            <w:bookmarkStart w:id="12" w:name="_Toc58638882"/>
            <w:bookmarkStart w:id="13" w:name="_Toc60035525"/>
            <w:bookmarkStart w:id="14" w:name="_Toc68766602"/>
            <w:bookmarkStart w:id="15" w:name="_Toc58491014"/>
            <w:bookmarkStart w:id="16" w:name="_Toc58229306"/>
            <w:bookmarkStart w:id="17" w:name="_Toc59965649"/>
            <w:bookmarkStart w:id="18" w:name="_Toc58314442"/>
            <w:bookmarkStart w:id="19" w:name="_Toc59851101"/>
            <w:bookmarkStart w:id="20" w:name="_Toc68684089"/>
            <w:bookmarkStart w:id="21" w:name="_Toc68507198"/>
            <w:bookmarkStart w:id="22" w:name="_Toc58816645"/>
            <w:bookmarkStart w:id="23" w:name="_Toc68774027"/>
            <w:bookmarkStart w:id="24" w:name="_Toc68348238"/>
            <w:bookmarkStart w:id="25" w:name="_Toc57868326"/>
            <w:bookmarkStart w:id="26" w:name="_Toc58810455"/>
            <w:bookmarkStart w:id="27" w:name="_Toc58643194"/>
            <w:bookmarkStart w:id="28" w:name="_Toc60024601"/>
            <w:bookmarkStart w:id="29" w:name="_Toc68749951"/>
            <w:bookmarkStart w:id="30" w:name="_Toc61861954"/>
            <w:bookmarkStart w:id="31" w:name="_Toc58731260"/>
            <w:bookmarkStart w:id="32" w:name="_Toc59682789"/>
            <w:bookmarkStart w:id="33" w:name="_Toc68686395"/>
            <w:bookmarkStart w:id="34" w:name="_Toc58121777"/>
            <w:bookmarkStart w:id="35" w:name="_Toc68676526"/>
            <w:bookmarkStart w:id="36" w:name="_Toc59266590"/>
            <w:bookmarkStart w:id="37" w:name="_Toc58641493"/>
            <w:r>
              <w:rPr>
                <w:bCs/>
                <w:color w:val="auto"/>
                <w:sz w:val="24"/>
              </w:rPr>
              <w:t>（1）基本污染物环境质量现状</w:t>
            </w:r>
          </w:p>
          <w:p w14:paraId="27685EB8">
            <w:pPr>
              <w:spacing w:line="360" w:lineRule="auto"/>
              <w:ind w:firstLine="480" w:firstLineChars="200"/>
              <w:rPr>
                <w:color w:val="auto"/>
                <w:sz w:val="24"/>
              </w:rPr>
            </w:pPr>
            <w:r>
              <w:rPr>
                <w:color w:val="auto"/>
                <w:sz w:val="24"/>
              </w:rPr>
              <w:t>根据</w:t>
            </w:r>
            <w:r>
              <w:rPr>
                <w:rFonts w:hint="eastAsia"/>
                <w:color w:val="auto"/>
                <w:sz w:val="24"/>
              </w:rPr>
              <w:t>陕西省生态环境厅办公室</w:t>
            </w:r>
            <w:r>
              <w:rPr>
                <w:color w:val="auto"/>
                <w:sz w:val="24"/>
              </w:rPr>
              <w:t>202</w:t>
            </w:r>
            <w:r>
              <w:rPr>
                <w:rFonts w:hint="eastAsia"/>
                <w:color w:val="auto"/>
                <w:sz w:val="24"/>
              </w:rPr>
              <w:t>5</w:t>
            </w:r>
            <w:r>
              <w:rPr>
                <w:color w:val="auto"/>
                <w:sz w:val="24"/>
              </w:rPr>
              <w:t>年1月</w:t>
            </w:r>
            <w:r>
              <w:rPr>
                <w:rFonts w:hint="eastAsia"/>
                <w:color w:val="auto"/>
                <w:sz w:val="24"/>
              </w:rPr>
              <w:t>21</w:t>
            </w:r>
            <w:r>
              <w:rPr>
                <w:color w:val="auto"/>
                <w:sz w:val="24"/>
              </w:rPr>
              <w:t>日发布的《环保快报》附表</w:t>
            </w:r>
            <w:r>
              <w:rPr>
                <w:rFonts w:hint="eastAsia"/>
                <w:color w:val="auto"/>
                <w:sz w:val="24"/>
              </w:rPr>
              <w:t>4</w:t>
            </w:r>
            <w:r>
              <w:rPr>
                <w:color w:val="auto"/>
                <w:sz w:val="24"/>
              </w:rPr>
              <w:t>：</w:t>
            </w:r>
            <w:r>
              <w:rPr>
                <w:rFonts w:hint="eastAsia"/>
                <w:bCs/>
                <w:color w:val="auto"/>
                <w:sz w:val="24"/>
              </w:rPr>
              <w:t>“</w:t>
            </w:r>
            <w:r>
              <w:rPr>
                <w:rFonts w:hint="eastAsia"/>
                <w:color w:val="auto"/>
                <w:sz w:val="24"/>
              </w:rPr>
              <w:t>2024年1～12月关中地区63个县（区）空气质量状况统计表</w:t>
            </w:r>
            <w:r>
              <w:rPr>
                <w:rFonts w:hint="eastAsia"/>
                <w:bCs/>
                <w:color w:val="auto"/>
                <w:sz w:val="24"/>
              </w:rPr>
              <w:t>”</w:t>
            </w:r>
            <w:r>
              <w:rPr>
                <w:bCs/>
                <w:color w:val="auto"/>
                <w:sz w:val="24"/>
              </w:rPr>
              <w:t>中</w:t>
            </w:r>
            <w:r>
              <w:rPr>
                <w:rFonts w:hint="eastAsia"/>
                <w:bCs/>
                <w:color w:val="auto"/>
                <w:sz w:val="24"/>
              </w:rPr>
              <w:t>西安市西咸新区环境</w:t>
            </w:r>
            <w:r>
              <w:rPr>
                <w:bCs/>
                <w:color w:val="auto"/>
                <w:sz w:val="24"/>
              </w:rPr>
              <w:t>空气</w:t>
            </w:r>
            <w:r>
              <w:rPr>
                <w:rFonts w:hint="eastAsia"/>
                <w:bCs/>
                <w:color w:val="auto"/>
                <w:sz w:val="24"/>
              </w:rPr>
              <w:t>质量数据进行评价，评价因子主要有SO</w:t>
            </w:r>
            <w:r>
              <w:rPr>
                <w:rFonts w:hint="eastAsia"/>
                <w:bCs/>
                <w:color w:val="auto"/>
                <w:sz w:val="24"/>
                <w:vertAlign w:val="subscript"/>
              </w:rPr>
              <w:t>2</w:t>
            </w:r>
            <w:r>
              <w:rPr>
                <w:rFonts w:hint="eastAsia"/>
                <w:bCs/>
                <w:color w:val="auto"/>
                <w:sz w:val="24"/>
              </w:rPr>
              <w:t>、NO</w:t>
            </w:r>
            <w:r>
              <w:rPr>
                <w:rFonts w:hint="eastAsia"/>
                <w:bCs/>
                <w:color w:val="auto"/>
                <w:sz w:val="24"/>
                <w:vertAlign w:val="subscript"/>
              </w:rPr>
              <w:t>2</w:t>
            </w:r>
            <w:r>
              <w:rPr>
                <w:rFonts w:hint="eastAsia"/>
                <w:bCs/>
                <w:color w:val="auto"/>
                <w:sz w:val="24"/>
              </w:rPr>
              <w:t>、PM</w:t>
            </w:r>
            <w:r>
              <w:rPr>
                <w:rFonts w:hint="eastAsia"/>
                <w:bCs/>
                <w:color w:val="auto"/>
                <w:sz w:val="24"/>
                <w:vertAlign w:val="subscript"/>
              </w:rPr>
              <w:t>10</w:t>
            </w:r>
            <w:r>
              <w:rPr>
                <w:rFonts w:hint="eastAsia"/>
                <w:bCs/>
                <w:color w:val="auto"/>
                <w:sz w:val="24"/>
              </w:rPr>
              <w:t>、PM</w:t>
            </w:r>
            <w:r>
              <w:rPr>
                <w:rFonts w:hint="eastAsia"/>
                <w:bCs/>
                <w:color w:val="auto"/>
                <w:sz w:val="24"/>
                <w:vertAlign w:val="subscript"/>
              </w:rPr>
              <w:t>2.5</w:t>
            </w:r>
            <w:r>
              <w:rPr>
                <w:rFonts w:hint="eastAsia"/>
                <w:bCs/>
                <w:color w:val="auto"/>
                <w:sz w:val="24"/>
              </w:rPr>
              <w:t>、CO、O</w:t>
            </w:r>
            <w:r>
              <w:rPr>
                <w:rFonts w:hint="eastAsia"/>
                <w:bCs/>
                <w:color w:val="auto"/>
                <w:sz w:val="24"/>
                <w:vertAlign w:val="subscript"/>
              </w:rPr>
              <w:t>3</w:t>
            </w:r>
            <w:r>
              <w:rPr>
                <w:rFonts w:hint="eastAsia"/>
                <w:bCs/>
                <w:color w:val="auto"/>
                <w:sz w:val="24"/>
              </w:rPr>
              <w:t>六项指标，</w:t>
            </w:r>
            <w:r>
              <w:rPr>
                <w:bCs/>
                <w:color w:val="auto"/>
                <w:sz w:val="24"/>
              </w:rPr>
              <w:t>环境空气质量现状统计结果见下表。</w:t>
            </w:r>
          </w:p>
          <w:p w14:paraId="5F2F5445">
            <w:pPr>
              <w:pStyle w:val="65"/>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 xml:space="preserve">3-1  </w:t>
            </w:r>
            <w:r>
              <w:rPr>
                <w:rFonts w:hAnsi="Times New Roman" w:cs="Times New Roman"/>
                <w:b/>
                <w:bCs/>
                <w:color w:val="auto"/>
                <w:kern w:val="21"/>
                <w:szCs w:val="24"/>
              </w:rPr>
              <w:t>空气质量状况统计结果</w:t>
            </w:r>
          </w:p>
          <w:tbl>
            <w:tblPr>
              <w:tblStyle w:val="26"/>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148"/>
              <w:gridCol w:w="1315"/>
              <w:gridCol w:w="1139"/>
              <w:gridCol w:w="1321"/>
              <w:gridCol w:w="1160"/>
            </w:tblGrid>
            <w:tr w14:paraId="12DBE7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2" w:type="pct"/>
                  <w:vAlign w:val="center"/>
                </w:tcPr>
                <w:p w14:paraId="51D36A93">
                  <w:pPr>
                    <w:pStyle w:val="25"/>
                    <w:spacing w:after="0"/>
                    <w:ind w:left="0" w:leftChars="0" w:firstLine="0" w:firstLineChars="0"/>
                    <w:jc w:val="center"/>
                    <w:rPr>
                      <w:b/>
                      <w:bCs/>
                      <w:color w:val="auto"/>
                      <w:sz w:val="21"/>
                      <w:szCs w:val="21"/>
                    </w:rPr>
                  </w:pPr>
                  <w:r>
                    <w:rPr>
                      <w:b/>
                      <w:bCs/>
                      <w:color w:val="auto"/>
                      <w:sz w:val="21"/>
                      <w:szCs w:val="21"/>
                    </w:rPr>
                    <w:t>污染物</w:t>
                  </w:r>
                </w:p>
              </w:tc>
              <w:tc>
                <w:tcPr>
                  <w:tcW w:w="1332" w:type="pct"/>
                  <w:vAlign w:val="center"/>
                </w:tcPr>
                <w:p w14:paraId="05DF9314">
                  <w:pPr>
                    <w:pStyle w:val="25"/>
                    <w:spacing w:after="0"/>
                    <w:ind w:left="0" w:leftChars="0" w:firstLine="0" w:firstLineChars="0"/>
                    <w:jc w:val="center"/>
                    <w:rPr>
                      <w:b/>
                      <w:bCs/>
                      <w:color w:val="auto"/>
                      <w:sz w:val="21"/>
                      <w:szCs w:val="21"/>
                    </w:rPr>
                  </w:pPr>
                  <w:r>
                    <w:rPr>
                      <w:b/>
                      <w:bCs/>
                      <w:color w:val="auto"/>
                      <w:sz w:val="21"/>
                      <w:szCs w:val="21"/>
                    </w:rPr>
                    <w:t>年评价指标</w:t>
                  </w:r>
                </w:p>
              </w:tc>
              <w:tc>
                <w:tcPr>
                  <w:tcW w:w="816" w:type="pct"/>
                  <w:vAlign w:val="center"/>
                </w:tcPr>
                <w:p w14:paraId="733E2AAD">
                  <w:pPr>
                    <w:pStyle w:val="25"/>
                    <w:spacing w:after="0"/>
                    <w:ind w:left="0" w:leftChars="0" w:firstLine="0" w:firstLineChars="0"/>
                    <w:jc w:val="center"/>
                    <w:rPr>
                      <w:b/>
                      <w:bCs/>
                      <w:color w:val="auto"/>
                      <w:sz w:val="21"/>
                      <w:szCs w:val="21"/>
                    </w:rPr>
                  </w:pPr>
                  <w:r>
                    <w:rPr>
                      <w:b/>
                      <w:bCs/>
                      <w:color w:val="auto"/>
                      <w:sz w:val="21"/>
                      <w:szCs w:val="21"/>
                    </w:rPr>
                    <w:t>现状浓度</w:t>
                  </w:r>
                  <w:r>
                    <w:rPr>
                      <w:b/>
                      <w:color w:val="auto"/>
                      <w:sz w:val="21"/>
                      <w:szCs w:val="21"/>
                    </w:rPr>
                    <w:t>(μg/m³)</w:t>
                  </w:r>
                </w:p>
              </w:tc>
              <w:tc>
                <w:tcPr>
                  <w:tcW w:w="707" w:type="pct"/>
                  <w:vAlign w:val="center"/>
                </w:tcPr>
                <w:p w14:paraId="2DAB5304">
                  <w:pPr>
                    <w:pStyle w:val="25"/>
                    <w:spacing w:after="0"/>
                    <w:ind w:left="0" w:leftChars="0" w:firstLine="0" w:firstLineChars="0"/>
                    <w:jc w:val="center"/>
                    <w:rPr>
                      <w:b/>
                      <w:bCs/>
                      <w:color w:val="auto"/>
                      <w:sz w:val="21"/>
                      <w:szCs w:val="21"/>
                    </w:rPr>
                  </w:pPr>
                  <w:r>
                    <w:rPr>
                      <w:b/>
                      <w:bCs/>
                      <w:color w:val="auto"/>
                      <w:sz w:val="21"/>
                      <w:szCs w:val="21"/>
                    </w:rPr>
                    <w:t>标准值</w:t>
                  </w:r>
                  <w:r>
                    <w:rPr>
                      <w:b/>
                      <w:color w:val="auto"/>
                      <w:sz w:val="21"/>
                      <w:szCs w:val="21"/>
                    </w:rPr>
                    <w:t>(μg/m³)</w:t>
                  </w:r>
                </w:p>
              </w:tc>
              <w:tc>
                <w:tcPr>
                  <w:tcW w:w="820" w:type="pct"/>
                  <w:vAlign w:val="center"/>
                </w:tcPr>
                <w:p w14:paraId="258C1625">
                  <w:pPr>
                    <w:pStyle w:val="25"/>
                    <w:spacing w:after="0"/>
                    <w:ind w:left="0" w:leftChars="0" w:firstLine="0" w:firstLineChars="0"/>
                    <w:jc w:val="center"/>
                    <w:rPr>
                      <w:b/>
                      <w:bCs/>
                      <w:color w:val="auto"/>
                      <w:sz w:val="21"/>
                      <w:szCs w:val="21"/>
                    </w:rPr>
                  </w:pPr>
                  <w:r>
                    <w:rPr>
                      <w:rFonts w:hint="eastAsia"/>
                      <w:b/>
                      <w:bCs/>
                      <w:color w:val="auto"/>
                      <w:sz w:val="21"/>
                      <w:szCs w:val="21"/>
                    </w:rPr>
                    <w:t>最大浓度占标率</w:t>
                  </w:r>
                  <w:r>
                    <w:rPr>
                      <w:b/>
                      <w:color w:val="auto"/>
                      <w:sz w:val="21"/>
                      <w:szCs w:val="21"/>
                    </w:rPr>
                    <w:t>%</w:t>
                  </w:r>
                </w:p>
              </w:tc>
              <w:tc>
                <w:tcPr>
                  <w:tcW w:w="720" w:type="pct"/>
                  <w:vAlign w:val="center"/>
                </w:tcPr>
                <w:p w14:paraId="70CC0318">
                  <w:pPr>
                    <w:pStyle w:val="25"/>
                    <w:spacing w:after="0"/>
                    <w:ind w:left="0" w:leftChars="0" w:firstLine="0" w:firstLineChars="0"/>
                    <w:jc w:val="center"/>
                    <w:rPr>
                      <w:b/>
                      <w:bCs/>
                      <w:color w:val="auto"/>
                      <w:sz w:val="21"/>
                      <w:szCs w:val="21"/>
                    </w:rPr>
                  </w:pPr>
                  <w:r>
                    <w:rPr>
                      <w:b/>
                      <w:bCs/>
                      <w:color w:val="auto"/>
                      <w:sz w:val="21"/>
                      <w:szCs w:val="21"/>
                    </w:rPr>
                    <w:t>达标情况</w:t>
                  </w:r>
                </w:p>
              </w:tc>
            </w:tr>
            <w:tr w14:paraId="535C96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pct"/>
                  <w:vAlign w:val="center"/>
                </w:tcPr>
                <w:p w14:paraId="1D3BAF08">
                  <w:pPr>
                    <w:adjustRightInd w:val="0"/>
                    <w:snapToGrid w:val="0"/>
                    <w:jc w:val="center"/>
                    <w:rPr>
                      <w:color w:val="auto"/>
                      <w:szCs w:val="21"/>
                    </w:rPr>
                  </w:pPr>
                  <w:r>
                    <w:rPr>
                      <w:bCs/>
                      <w:color w:val="auto"/>
                      <w:szCs w:val="21"/>
                    </w:rPr>
                    <w:t>SO</w:t>
                  </w:r>
                  <w:r>
                    <w:rPr>
                      <w:bCs/>
                      <w:color w:val="auto"/>
                      <w:szCs w:val="21"/>
                      <w:vertAlign w:val="subscript"/>
                    </w:rPr>
                    <w:t>2</w:t>
                  </w:r>
                </w:p>
              </w:tc>
              <w:tc>
                <w:tcPr>
                  <w:tcW w:w="1332" w:type="pct"/>
                  <w:vAlign w:val="center"/>
                </w:tcPr>
                <w:p w14:paraId="0001EB6C">
                  <w:pPr>
                    <w:pStyle w:val="25"/>
                    <w:spacing w:after="0"/>
                    <w:ind w:left="0" w:leftChars="0" w:firstLine="0" w:firstLineChars="0"/>
                    <w:jc w:val="center"/>
                    <w:rPr>
                      <w:color w:val="auto"/>
                      <w:sz w:val="21"/>
                      <w:szCs w:val="21"/>
                    </w:rPr>
                  </w:pPr>
                  <w:r>
                    <w:rPr>
                      <w:color w:val="auto"/>
                      <w:sz w:val="21"/>
                      <w:szCs w:val="21"/>
                    </w:rPr>
                    <w:t>年平均质量年浓度</w:t>
                  </w:r>
                </w:p>
              </w:tc>
              <w:tc>
                <w:tcPr>
                  <w:tcW w:w="816" w:type="pct"/>
                  <w:shd w:val="clear" w:color="auto" w:fill="auto"/>
                  <w:vAlign w:val="center"/>
                </w:tcPr>
                <w:p w14:paraId="0C688576">
                  <w:pPr>
                    <w:pStyle w:val="25"/>
                    <w:spacing w:after="0"/>
                    <w:ind w:left="0" w:leftChars="0" w:firstLine="0" w:firstLineChars="0"/>
                    <w:jc w:val="center"/>
                    <w:rPr>
                      <w:bCs/>
                      <w:color w:val="auto"/>
                      <w:sz w:val="21"/>
                      <w:szCs w:val="21"/>
                    </w:rPr>
                  </w:pPr>
                  <w:r>
                    <w:rPr>
                      <w:rFonts w:hint="eastAsia"/>
                      <w:bCs/>
                      <w:color w:val="auto"/>
                      <w:sz w:val="21"/>
                      <w:szCs w:val="21"/>
                    </w:rPr>
                    <w:t>5</w:t>
                  </w:r>
                </w:p>
              </w:tc>
              <w:tc>
                <w:tcPr>
                  <w:tcW w:w="707" w:type="pct"/>
                  <w:shd w:val="clear" w:color="auto" w:fill="auto"/>
                  <w:vAlign w:val="center"/>
                </w:tcPr>
                <w:p w14:paraId="565F10EF">
                  <w:pPr>
                    <w:pStyle w:val="25"/>
                    <w:spacing w:after="0"/>
                    <w:ind w:left="0" w:leftChars="0" w:firstLine="0" w:firstLineChars="0"/>
                    <w:jc w:val="center"/>
                    <w:rPr>
                      <w:bCs/>
                      <w:color w:val="auto"/>
                      <w:sz w:val="21"/>
                      <w:szCs w:val="21"/>
                    </w:rPr>
                  </w:pPr>
                  <w:r>
                    <w:rPr>
                      <w:bCs/>
                      <w:color w:val="auto"/>
                      <w:sz w:val="21"/>
                      <w:szCs w:val="21"/>
                    </w:rPr>
                    <w:t>60</w:t>
                  </w:r>
                </w:p>
              </w:tc>
              <w:tc>
                <w:tcPr>
                  <w:tcW w:w="820" w:type="pct"/>
                  <w:shd w:val="clear" w:color="auto" w:fill="auto"/>
                  <w:vAlign w:val="center"/>
                </w:tcPr>
                <w:p w14:paraId="70C8172F">
                  <w:pPr>
                    <w:pStyle w:val="25"/>
                    <w:spacing w:after="0"/>
                    <w:ind w:left="0" w:leftChars="0" w:firstLine="0" w:firstLineChars="0"/>
                    <w:jc w:val="center"/>
                    <w:rPr>
                      <w:bCs/>
                      <w:color w:val="auto"/>
                      <w:sz w:val="21"/>
                      <w:szCs w:val="21"/>
                    </w:rPr>
                  </w:pPr>
                  <w:r>
                    <w:rPr>
                      <w:rFonts w:hint="eastAsia"/>
                      <w:bCs/>
                      <w:color w:val="auto"/>
                      <w:sz w:val="21"/>
                      <w:szCs w:val="21"/>
                    </w:rPr>
                    <w:t>8.3</w:t>
                  </w:r>
                </w:p>
              </w:tc>
              <w:tc>
                <w:tcPr>
                  <w:tcW w:w="720" w:type="pct"/>
                  <w:vAlign w:val="center"/>
                </w:tcPr>
                <w:p w14:paraId="093C8C71">
                  <w:pPr>
                    <w:pStyle w:val="25"/>
                    <w:spacing w:after="0"/>
                    <w:ind w:left="0" w:leftChars="0" w:firstLine="0" w:firstLineChars="0"/>
                    <w:jc w:val="center"/>
                    <w:rPr>
                      <w:bCs/>
                      <w:color w:val="auto"/>
                      <w:sz w:val="21"/>
                      <w:szCs w:val="21"/>
                    </w:rPr>
                  </w:pPr>
                  <w:r>
                    <w:rPr>
                      <w:bCs/>
                      <w:color w:val="auto"/>
                      <w:sz w:val="21"/>
                      <w:szCs w:val="21"/>
                    </w:rPr>
                    <w:t>达标</w:t>
                  </w:r>
                </w:p>
              </w:tc>
            </w:tr>
            <w:tr w14:paraId="7BD145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pct"/>
                  <w:vAlign w:val="center"/>
                </w:tcPr>
                <w:p w14:paraId="33ACA1B8">
                  <w:pPr>
                    <w:adjustRightInd w:val="0"/>
                    <w:snapToGrid w:val="0"/>
                    <w:jc w:val="center"/>
                    <w:rPr>
                      <w:color w:val="auto"/>
                      <w:szCs w:val="21"/>
                    </w:rPr>
                  </w:pPr>
                  <w:r>
                    <w:rPr>
                      <w:bCs/>
                      <w:color w:val="auto"/>
                      <w:szCs w:val="21"/>
                    </w:rPr>
                    <w:t>NO</w:t>
                  </w:r>
                  <w:r>
                    <w:rPr>
                      <w:bCs/>
                      <w:color w:val="auto"/>
                      <w:szCs w:val="21"/>
                      <w:vertAlign w:val="subscript"/>
                    </w:rPr>
                    <w:t>2</w:t>
                  </w:r>
                </w:p>
              </w:tc>
              <w:tc>
                <w:tcPr>
                  <w:tcW w:w="1332" w:type="pct"/>
                  <w:vAlign w:val="center"/>
                </w:tcPr>
                <w:p w14:paraId="69E54007">
                  <w:pPr>
                    <w:pStyle w:val="25"/>
                    <w:spacing w:after="0"/>
                    <w:ind w:left="0" w:leftChars="0" w:firstLine="0" w:firstLineChars="0"/>
                    <w:jc w:val="center"/>
                    <w:rPr>
                      <w:color w:val="auto"/>
                      <w:sz w:val="21"/>
                      <w:szCs w:val="21"/>
                    </w:rPr>
                  </w:pPr>
                  <w:r>
                    <w:rPr>
                      <w:color w:val="auto"/>
                      <w:sz w:val="21"/>
                      <w:szCs w:val="21"/>
                    </w:rPr>
                    <w:t>年平均质量年浓度</w:t>
                  </w:r>
                </w:p>
              </w:tc>
              <w:tc>
                <w:tcPr>
                  <w:tcW w:w="816" w:type="pct"/>
                  <w:shd w:val="clear" w:color="auto" w:fill="auto"/>
                  <w:vAlign w:val="center"/>
                </w:tcPr>
                <w:p w14:paraId="3D3BB213">
                  <w:pPr>
                    <w:pStyle w:val="25"/>
                    <w:spacing w:after="0"/>
                    <w:ind w:left="0" w:leftChars="0" w:firstLine="0" w:firstLineChars="0"/>
                    <w:jc w:val="center"/>
                    <w:rPr>
                      <w:bCs/>
                      <w:color w:val="auto"/>
                      <w:sz w:val="21"/>
                      <w:szCs w:val="21"/>
                    </w:rPr>
                  </w:pPr>
                  <w:r>
                    <w:rPr>
                      <w:rFonts w:hint="eastAsia"/>
                      <w:bCs/>
                      <w:color w:val="auto"/>
                      <w:sz w:val="21"/>
                      <w:szCs w:val="21"/>
                    </w:rPr>
                    <w:t>31</w:t>
                  </w:r>
                </w:p>
              </w:tc>
              <w:tc>
                <w:tcPr>
                  <w:tcW w:w="707" w:type="pct"/>
                  <w:shd w:val="clear" w:color="auto" w:fill="auto"/>
                  <w:vAlign w:val="center"/>
                </w:tcPr>
                <w:p w14:paraId="174C307E">
                  <w:pPr>
                    <w:pStyle w:val="25"/>
                    <w:spacing w:after="0"/>
                    <w:ind w:left="0" w:leftChars="0" w:firstLine="0" w:firstLineChars="0"/>
                    <w:jc w:val="center"/>
                    <w:rPr>
                      <w:bCs/>
                      <w:color w:val="auto"/>
                      <w:sz w:val="21"/>
                      <w:szCs w:val="21"/>
                    </w:rPr>
                  </w:pPr>
                  <w:r>
                    <w:rPr>
                      <w:bCs/>
                      <w:color w:val="auto"/>
                      <w:sz w:val="21"/>
                      <w:szCs w:val="21"/>
                    </w:rPr>
                    <w:t>40</w:t>
                  </w:r>
                </w:p>
              </w:tc>
              <w:tc>
                <w:tcPr>
                  <w:tcW w:w="820" w:type="pct"/>
                  <w:shd w:val="clear" w:color="auto" w:fill="auto"/>
                  <w:vAlign w:val="center"/>
                </w:tcPr>
                <w:p w14:paraId="3EF6C8D6">
                  <w:pPr>
                    <w:pStyle w:val="25"/>
                    <w:spacing w:after="0"/>
                    <w:ind w:left="0" w:leftChars="0" w:firstLine="0" w:firstLineChars="0"/>
                    <w:jc w:val="center"/>
                    <w:rPr>
                      <w:bCs/>
                      <w:color w:val="auto"/>
                      <w:sz w:val="21"/>
                      <w:szCs w:val="21"/>
                    </w:rPr>
                  </w:pPr>
                  <w:r>
                    <w:rPr>
                      <w:rFonts w:hint="eastAsia"/>
                      <w:bCs/>
                      <w:color w:val="auto"/>
                      <w:sz w:val="21"/>
                      <w:szCs w:val="21"/>
                    </w:rPr>
                    <w:t>77.5</w:t>
                  </w:r>
                </w:p>
              </w:tc>
              <w:tc>
                <w:tcPr>
                  <w:tcW w:w="720" w:type="pct"/>
                  <w:vAlign w:val="center"/>
                </w:tcPr>
                <w:p w14:paraId="421F162F">
                  <w:pPr>
                    <w:pStyle w:val="25"/>
                    <w:spacing w:after="0"/>
                    <w:ind w:left="0" w:leftChars="0" w:firstLine="0" w:firstLineChars="0"/>
                    <w:jc w:val="center"/>
                    <w:rPr>
                      <w:bCs/>
                      <w:color w:val="auto"/>
                      <w:sz w:val="21"/>
                      <w:szCs w:val="21"/>
                    </w:rPr>
                  </w:pPr>
                  <w:r>
                    <w:rPr>
                      <w:bCs/>
                      <w:color w:val="auto"/>
                      <w:sz w:val="21"/>
                      <w:szCs w:val="21"/>
                    </w:rPr>
                    <w:t>达标</w:t>
                  </w:r>
                </w:p>
              </w:tc>
            </w:tr>
            <w:tr w14:paraId="4C82FD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pct"/>
                  <w:vAlign w:val="center"/>
                </w:tcPr>
                <w:p w14:paraId="27C1A556">
                  <w:pPr>
                    <w:adjustRightInd w:val="0"/>
                    <w:snapToGrid w:val="0"/>
                    <w:jc w:val="center"/>
                    <w:rPr>
                      <w:color w:val="auto"/>
                      <w:szCs w:val="21"/>
                    </w:rPr>
                  </w:pPr>
                  <w:r>
                    <w:rPr>
                      <w:bCs/>
                      <w:color w:val="auto"/>
                      <w:szCs w:val="21"/>
                    </w:rPr>
                    <w:t>PM</w:t>
                  </w:r>
                  <w:r>
                    <w:rPr>
                      <w:bCs/>
                      <w:color w:val="auto"/>
                      <w:szCs w:val="21"/>
                      <w:vertAlign w:val="subscript"/>
                    </w:rPr>
                    <w:t>2.5</w:t>
                  </w:r>
                </w:p>
              </w:tc>
              <w:tc>
                <w:tcPr>
                  <w:tcW w:w="1332" w:type="pct"/>
                  <w:vAlign w:val="center"/>
                </w:tcPr>
                <w:p w14:paraId="1967DB71">
                  <w:pPr>
                    <w:pStyle w:val="25"/>
                    <w:spacing w:after="0"/>
                    <w:ind w:left="0" w:leftChars="0" w:firstLine="0" w:firstLineChars="0"/>
                    <w:jc w:val="center"/>
                    <w:rPr>
                      <w:color w:val="auto"/>
                      <w:sz w:val="21"/>
                      <w:szCs w:val="21"/>
                    </w:rPr>
                  </w:pPr>
                  <w:r>
                    <w:rPr>
                      <w:color w:val="auto"/>
                      <w:sz w:val="21"/>
                      <w:szCs w:val="21"/>
                    </w:rPr>
                    <w:t>年平均质量年浓度</w:t>
                  </w:r>
                </w:p>
              </w:tc>
              <w:tc>
                <w:tcPr>
                  <w:tcW w:w="816" w:type="pct"/>
                  <w:shd w:val="clear" w:color="auto" w:fill="auto"/>
                  <w:vAlign w:val="center"/>
                </w:tcPr>
                <w:p w14:paraId="3ECBE88A">
                  <w:pPr>
                    <w:pStyle w:val="25"/>
                    <w:spacing w:after="0"/>
                    <w:ind w:left="0" w:leftChars="0" w:firstLine="0" w:firstLineChars="0"/>
                    <w:jc w:val="center"/>
                    <w:rPr>
                      <w:bCs/>
                      <w:color w:val="auto"/>
                      <w:sz w:val="21"/>
                      <w:szCs w:val="21"/>
                    </w:rPr>
                  </w:pPr>
                  <w:r>
                    <w:rPr>
                      <w:rFonts w:hint="eastAsia"/>
                      <w:bCs/>
                      <w:color w:val="auto"/>
                      <w:sz w:val="21"/>
                      <w:szCs w:val="21"/>
                    </w:rPr>
                    <w:t>43</w:t>
                  </w:r>
                </w:p>
              </w:tc>
              <w:tc>
                <w:tcPr>
                  <w:tcW w:w="707" w:type="pct"/>
                  <w:shd w:val="clear" w:color="auto" w:fill="auto"/>
                  <w:vAlign w:val="center"/>
                </w:tcPr>
                <w:p w14:paraId="2A24B94C">
                  <w:pPr>
                    <w:pStyle w:val="25"/>
                    <w:spacing w:after="0"/>
                    <w:ind w:left="0" w:leftChars="0" w:firstLine="0" w:firstLineChars="0"/>
                    <w:jc w:val="center"/>
                    <w:rPr>
                      <w:bCs/>
                      <w:color w:val="auto"/>
                      <w:sz w:val="21"/>
                      <w:szCs w:val="21"/>
                    </w:rPr>
                  </w:pPr>
                  <w:r>
                    <w:rPr>
                      <w:bCs/>
                      <w:color w:val="auto"/>
                      <w:sz w:val="21"/>
                      <w:szCs w:val="21"/>
                    </w:rPr>
                    <w:t>35</w:t>
                  </w:r>
                </w:p>
              </w:tc>
              <w:tc>
                <w:tcPr>
                  <w:tcW w:w="820" w:type="pct"/>
                  <w:shd w:val="clear" w:color="auto" w:fill="auto"/>
                  <w:vAlign w:val="center"/>
                </w:tcPr>
                <w:p w14:paraId="117F49B3">
                  <w:pPr>
                    <w:pStyle w:val="25"/>
                    <w:spacing w:after="0"/>
                    <w:ind w:left="0" w:leftChars="0" w:firstLine="0" w:firstLineChars="0"/>
                    <w:jc w:val="center"/>
                    <w:rPr>
                      <w:bCs/>
                      <w:color w:val="auto"/>
                      <w:sz w:val="21"/>
                      <w:szCs w:val="21"/>
                    </w:rPr>
                  </w:pPr>
                  <w:r>
                    <w:rPr>
                      <w:rFonts w:hint="eastAsia"/>
                      <w:bCs/>
                      <w:color w:val="auto"/>
                      <w:sz w:val="21"/>
                      <w:szCs w:val="21"/>
                    </w:rPr>
                    <w:t>122.9</w:t>
                  </w:r>
                </w:p>
              </w:tc>
              <w:tc>
                <w:tcPr>
                  <w:tcW w:w="720" w:type="pct"/>
                  <w:vAlign w:val="center"/>
                </w:tcPr>
                <w:p w14:paraId="7DBD15D1">
                  <w:pPr>
                    <w:pStyle w:val="25"/>
                    <w:spacing w:after="0"/>
                    <w:ind w:left="0" w:leftChars="0" w:firstLine="0" w:firstLineChars="0"/>
                    <w:jc w:val="center"/>
                    <w:rPr>
                      <w:bCs/>
                      <w:color w:val="auto"/>
                      <w:sz w:val="21"/>
                      <w:szCs w:val="21"/>
                    </w:rPr>
                  </w:pPr>
                  <w:r>
                    <w:rPr>
                      <w:bCs/>
                      <w:color w:val="auto"/>
                      <w:sz w:val="21"/>
                      <w:szCs w:val="21"/>
                    </w:rPr>
                    <w:t>不达标</w:t>
                  </w:r>
                </w:p>
              </w:tc>
            </w:tr>
            <w:tr w14:paraId="46CB0B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pct"/>
                  <w:vAlign w:val="center"/>
                </w:tcPr>
                <w:p w14:paraId="7312608D">
                  <w:pPr>
                    <w:adjustRightInd w:val="0"/>
                    <w:snapToGrid w:val="0"/>
                    <w:jc w:val="center"/>
                    <w:rPr>
                      <w:color w:val="auto"/>
                      <w:szCs w:val="21"/>
                    </w:rPr>
                  </w:pPr>
                  <w:r>
                    <w:rPr>
                      <w:bCs/>
                      <w:color w:val="auto"/>
                      <w:szCs w:val="21"/>
                    </w:rPr>
                    <w:t>PM</w:t>
                  </w:r>
                  <w:r>
                    <w:rPr>
                      <w:bCs/>
                      <w:color w:val="auto"/>
                      <w:szCs w:val="21"/>
                      <w:vertAlign w:val="subscript"/>
                    </w:rPr>
                    <w:t>10</w:t>
                  </w:r>
                </w:p>
              </w:tc>
              <w:tc>
                <w:tcPr>
                  <w:tcW w:w="1332" w:type="pct"/>
                  <w:vAlign w:val="center"/>
                </w:tcPr>
                <w:p w14:paraId="0BA81729">
                  <w:pPr>
                    <w:pStyle w:val="25"/>
                    <w:spacing w:after="0"/>
                    <w:ind w:left="0" w:leftChars="0" w:firstLine="0" w:firstLineChars="0"/>
                    <w:jc w:val="center"/>
                    <w:rPr>
                      <w:color w:val="auto"/>
                      <w:sz w:val="21"/>
                      <w:szCs w:val="21"/>
                    </w:rPr>
                  </w:pPr>
                  <w:r>
                    <w:rPr>
                      <w:color w:val="auto"/>
                      <w:sz w:val="21"/>
                      <w:szCs w:val="21"/>
                    </w:rPr>
                    <w:t>年平均质量年浓度</w:t>
                  </w:r>
                </w:p>
              </w:tc>
              <w:tc>
                <w:tcPr>
                  <w:tcW w:w="816" w:type="pct"/>
                  <w:shd w:val="clear" w:color="auto" w:fill="auto"/>
                  <w:vAlign w:val="center"/>
                </w:tcPr>
                <w:p w14:paraId="4C6D6A71">
                  <w:pPr>
                    <w:pStyle w:val="25"/>
                    <w:spacing w:after="0"/>
                    <w:ind w:left="0" w:leftChars="0" w:firstLine="0" w:firstLineChars="0"/>
                    <w:jc w:val="center"/>
                    <w:rPr>
                      <w:bCs/>
                      <w:color w:val="auto"/>
                      <w:sz w:val="21"/>
                      <w:szCs w:val="21"/>
                    </w:rPr>
                  </w:pPr>
                  <w:r>
                    <w:rPr>
                      <w:rFonts w:hint="eastAsia"/>
                      <w:bCs/>
                      <w:color w:val="auto"/>
                      <w:sz w:val="21"/>
                      <w:szCs w:val="21"/>
                    </w:rPr>
                    <w:t>74</w:t>
                  </w:r>
                </w:p>
              </w:tc>
              <w:tc>
                <w:tcPr>
                  <w:tcW w:w="707" w:type="pct"/>
                  <w:shd w:val="clear" w:color="auto" w:fill="auto"/>
                  <w:vAlign w:val="center"/>
                </w:tcPr>
                <w:p w14:paraId="082C6DF5">
                  <w:pPr>
                    <w:pStyle w:val="25"/>
                    <w:spacing w:after="0"/>
                    <w:ind w:left="0" w:leftChars="0" w:firstLine="0" w:firstLineChars="0"/>
                    <w:jc w:val="center"/>
                    <w:rPr>
                      <w:bCs/>
                      <w:color w:val="auto"/>
                      <w:sz w:val="21"/>
                      <w:szCs w:val="21"/>
                    </w:rPr>
                  </w:pPr>
                  <w:r>
                    <w:rPr>
                      <w:bCs/>
                      <w:color w:val="auto"/>
                      <w:sz w:val="21"/>
                      <w:szCs w:val="21"/>
                    </w:rPr>
                    <w:t>70</w:t>
                  </w:r>
                </w:p>
              </w:tc>
              <w:tc>
                <w:tcPr>
                  <w:tcW w:w="820" w:type="pct"/>
                  <w:shd w:val="clear" w:color="auto" w:fill="auto"/>
                  <w:vAlign w:val="center"/>
                </w:tcPr>
                <w:p w14:paraId="3FDAFDB1">
                  <w:pPr>
                    <w:pStyle w:val="25"/>
                    <w:spacing w:after="0"/>
                    <w:ind w:left="0" w:leftChars="0" w:firstLine="0" w:firstLineChars="0"/>
                    <w:jc w:val="center"/>
                    <w:rPr>
                      <w:bCs/>
                      <w:color w:val="auto"/>
                      <w:sz w:val="21"/>
                      <w:szCs w:val="21"/>
                    </w:rPr>
                  </w:pPr>
                  <w:r>
                    <w:rPr>
                      <w:bCs/>
                      <w:color w:val="auto"/>
                      <w:sz w:val="21"/>
                      <w:szCs w:val="21"/>
                    </w:rPr>
                    <w:t>1</w:t>
                  </w:r>
                  <w:r>
                    <w:rPr>
                      <w:rFonts w:hint="eastAsia"/>
                      <w:bCs/>
                      <w:color w:val="auto"/>
                      <w:sz w:val="21"/>
                      <w:szCs w:val="21"/>
                    </w:rPr>
                    <w:t>05.7</w:t>
                  </w:r>
                </w:p>
              </w:tc>
              <w:tc>
                <w:tcPr>
                  <w:tcW w:w="720" w:type="pct"/>
                  <w:vAlign w:val="center"/>
                </w:tcPr>
                <w:p w14:paraId="045E72CF">
                  <w:pPr>
                    <w:pStyle w:val="25"/>
                    <w:spacing w:after="0"/>
                    <w:ind w:left="0" w:leftChars="0" w:firstLine="0" w:firstLineChars="0"/>
                    <w:jc w:val="center"/>
                    <w:rPr>
                      <w:bCs/>
                      <w:color w:val="auto"/>
                      <w:sz w:val="21"/>
                      <w:szCs w:val="21"/>
                    </w:rPr>
                  </w:pPr>
                  <w:r>
                    <w:rPr>
                      <w:bCs/>
                      <w:color w:val="auto"/>
                      <w:sz w:val="21"/>
                      <w:szCs w:val="21"/>
                    </w:rPr>
                    <w:t>不达标</w:t>
                  </w:r>
                </w:p>
              </w:tc>
            </w:tr>
            <w:tr w14:paraId="4AAA45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pct"/>
                  <w:vAlign w:val="center"/>
                </w:tcPr>
                <w:p w14:paraId="40202A0D">
                  <w:pPr>
                    <w:adjustRightInd w:val="0"/>
                    <w:snapToGrid w:val="0"/>
                    <w:jc w:val="center"/>
                    <w:rPr>
                      <w:color w:val="auto"/>
                      <w:szCs w:val="21"/>
                    </w:rPr>
                  </w:pPr>
                  <w:r>
                    <w:rPr>
                      <w:bCs/>
                      <w:color w:val="auto"/>
                      <w:szCs w:val="21"/>
                    </w:rPr>
                    <w:t>CO</w:t>
                  </w:r>
                </w:p>
              </w:tc>
              <w:tc>
                <w:tcPr>
                  <w:tcW w:w="1332" w:type="pct"/>
                  <w:vAlign w:val="center"/>
                </w:tcPr>
                <w:p w14:paraId="23C45070">
                  <w:pPr>
                    <w:pStyle w:val="25"/>
                    <w:spacing w:after="0"/>
                    <w:ind w:left="0" w:leftChars="0" w:firstLine="0" w:firstLineChars="0"/>
                    <w:jc w:val="center"/>
                    <w:rPr>
                      <w:color w:val="auto"/>
                      <w:sz w:val="21"/>
                      <w:szCs w:val="21"/>
                    </w:rPr>
                  </w:pPr>
                  <w:r>
                    <w:rPr>
                      <w:color w:val="auto"/>
                      <w:sz w:val="21"/>
                      <w:szCs w:val="21"/>
                    </w:rPr>
                    <w:t>24小时平均</w:t>
                  </w:r>
                  <w:r>
                    <w:rPr>
                      <w:rFonts w:hint="eastAsia"/>
                      <w:color w:val="auto"/>
                      <w:sz w:val="21"/>
                      <w:szCs w:val="21"/>
                    </w:rPr>
                    <w:t>第</w:t>
                  </w:r>
                  <w:r>
                    <w:rPr>
                      <w:color w:val="auto"/>
                      <w:sz w:val="21"/>
                      <w:szCs w:val="21"/>
                    </w:rPr>
                    <w:t>95百分位浓度</w:t>
                  </w:r>
                </w:p>
              </w:tc>
              <w:tc>
                <w:tcPr>
                  <w:tcW w:w="816" w:type="pct"/>
                  <w:shd w:val="clear" w:color="auto" w:fill="auto"/>
                  <w:vAlign w:val="center"/>
                </w:tcPr>
                <w:p w14:paraId="220C8A1F">
                  <w:pPr>
                    <w:pStyle w:val="25"/>
                    <w:spacing w:after="0"/>
                    <w:ind w:left="0" w:leftChars="0" w:firstLine="0" w:firstLineChars="0"/>
                    <w:jc w:val="center"/>
                    <w:rPr>
                      <w:bCs/>
                      <w:color w:val="auto"/>
                      <w:sz w:val="21"/>
                      <w:szCs w:val="21"/>
                    </w:rPr>
                  </w:pPr>
                  <w:r>
                    <w:rPr>
                      <w:rFonts w:hint="eastAsia"/>
                      <w:bCs/>
                      <w:color w:val="auto"/>
                      <w:sz w:val="21"/>
                      <w:szCs w:val="21"/>
                    </w:rPr>
                    <w:t>1100</w:t>
                  </w:r>
                </w:p>
              </w:tc>
              <w:tc>
                <w:tcPr>
                  <w:tcW w:w="707" w:type="pct"/>
                  <w:shd w:val="clear" w:color="auto" w:fill="auto"/>
                  <w:vAlign w:val="center"/>
                </w:tcPr>
                <w:p w14:paraId="03C3CBEF">
                  <w:pPr>
                    <w:pStyle w:val="25"/>
                    <w:spacing w:after="0"/>
                    <w:ind w:left="0" w:leftChars="0" w:firstLine="0" w:firstLineChars="0"/>
                    <w:jc w:val="center"/>
                    <w:rPr>
                      <w:bCs/>
                      <w:color w:val="auto"/>
                      <w:sz w:val="21"/>
                      <w:szCs w:val="21"/>
                    </w:rPr>
                  </w:pPr>
                  <w:r>
                    <w:rPr>
                      <w:bCs/>
                      <w:color w:val="auto"/>
                      <w:sz w:val="21"/>
                      <w:szCs w:val="21"/>
                    </w:rPr>
                    <w:t>4</w:t>
                  </w:r>
                  <w:r>
                    <w:rPr>
                      <w:rFonts w:hint="eastAsia"/>
                      <w:bCs/>
                      <w:color w:val="auto"/>
                      <w:sz w:val="21"/>
                      <w:szCs w:val="21"/>
                    </w:rPr>
                    <w:t>000</w:t>
                  </w:r>
                </w:p>
              </w:tc>
              <w:tc>
                <w:tcPr>
                  <w:tcW w:w="820" w:type="pct"/>
                  <w:shd w:val="clear" w:color="auto" w:fill="auto"/>
                  <w:vAlign w:val="center"/>
                </w:tcPr>
                <w:p w14:paraId="5883E334">
                  <w:pPr>
                    <w:pStyle w:val="25"/>
                    <w:spacing w:after="0"/>
                    <w:ind w:left="0" w:leftChars="0" w:firstLine="0" w:firstLineChars="0"/>
                    <w:jc w:val="center"/>
                    <w:rPr>
                      <w:bCs/>
                      <w:color w:val="auto"/>
                      <w:sz w:val="21"/>
                      <w:szCs w:val="21"/>
                    </w:rPr>
                  </w:pPr>
                  <w:r>
                    <w:rPr>
                      <w:rFonts w:hint="eastAsia"/>
                      <w:bCs/>
                      <w:color w:val="auto"/>
                      <w:sz w:val="21"/>
                      <w:szCs w:val="21"/>
                    </w:rPr>
                    <w:t>27.5</w:t>
                  </w:r>
                </w:p>
              </w:tc>
              <w:tc>
                <w:tcPr>
                  <w:tcW w:w="720" w:type="pct"/>
                  <w:vAlign w:val="center"/>
                </w:tcPr>
                <w:p w14:paraId="581CFBB9">
                  <w:pPr>
                    <w:pStyle w:val="25"/>
                    <w:spacing w:after="0"/>
                    <w:ind w:left="0" w:leftChars="0" w:firstLine="0" w:firstLineChars="0"/>
                    <w:jc w:val="center"/>
                    <w:rPr>
                      <w:bCs/>
                      <w:color w:val="auto"/>
                      <w:sz w:val="21"/>
                      <w:szCs w:val="21"/>
                    </w:rPr>
                  </w:pPr>
                  <w:r>
                    <w:rPr>
                      <w:bCs/>
                      <w:color w:val="auto"/>
                      <w:sz w:val="21"/>
                      <w:szCs w:val="21"/>
                    </w:rPr>
                    <w:t>达标</w:t>
                  </w:r>
                </w:p>
              </w:tc>
            </w:tr>
            <w:tr w14:paraId="0773AD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pct"/>
                  <w:vAlign w:val="center"/>
                </w:tcPr>
                <w:p w14:paraId="59923C04">
                  <w:pPr>
                    <w:pStyle w:val="25"/>
                    <w:spacing w:after="0"/>
                    <w:ind w:left="0" w:leftChars="0" w:firstLine="0" w:firstLineChars="0"/>
                    <w:jc w:val="center"/>
                    <w:rPr>
                      <w:color w:val="auto"/>
                      <w:sz w:val="21"/>
                      <w:szCs w:val="21"/>
                    </w:rPr>
                  </w:pPr>
                  <w:r>
                    <w:rPr>
                      <w:bCs/>
                      <w:color w:val="auto"/>
                      <w:sz w:val="21"/>
                      <w:szCs w:val="21"/>
                    </w:rPr>
                    <w:t>O</w:t>
                  </w:r>
                  <w:r>
                    <w:rPr>
                      <w:bCs/>
                      <w:color w:val="auto"/>
                      <w:sz w:val="21"/>
                      <w:szCs w:val="21"/>
                      <w:vertAlign w:val="subscript"/>
                    </w:rPr>
                    <w:t>3</w:t>
                  </w:r>
                </w:p>
              </w:tc>
              <w:tc>
                <w:tcPr>
                  <w:tcW w:w="1332" w:type="pct"/>
                  <w:vAlign w:val="center"/>
                </w:tcPr>
                <w:p w14:paraId="6FEB385D">
                  <w:pPr>
                    <w:pStyle w:val="25"/>
                    <w:spacing w:after="0"/>
                    <w:ind w:left="0" w:leftChars="0" w:firstLine="0" w:firstLineChars="0"/>
                    <w:jc w:val="center"/>
                    <w:rPr>
                      <w:color w:val="auto"/>
                      <w:sz w:val="21"/>
                      <w:szCs w:val="21"/>
                    </w:rPr>
                  </w:pPr>
                  <w:r>
                    <w:rPr>
                      <w:color w:val="auto"/>
                      <w:sz w:val="21"/>
                      <w:szCs w:val="21"/>
                    </w:rPr>
                    <w:t>日最大8小时平均第90百分位浓度</w:t>
                  </w:r>
                </w:p>
              </w:tc>
              <w:tc>
                <w:tcPr>
                  <w:tcW w:w="816" w:type="pct"/>
                  <w:shd w:val="clear" w:color="auto" w:fill="auto"/>
                  <w:vAlign w:val="center"/>
                </w:tcPr>
                <w:p w14:paraId="6D4107EC">
                  <w:pPr>
                    <w:pStyle w:val="25"/>
                    <w:spacing w:after="0"/>
                    <w:ind w:left="0" w:leftChars="0" w:firstLine="0" w:firstLineChars="0"/>
                    <w:jc w:val="center"/>
                    <w:rPr>
                      <w:bCs/>
                      <w:color w:val="auto"/>
                      <w:sz w:val="21"/>
                      <w:szCs w:val="21"/>
                    </w:rPr>
                  </w:pPr>
                  <w:r>
                    <w:rPr>
                      <w:rFonts w:hint="eastAsia"/>
                      <w:bCs/>
                      <w:color w:val="auto"/>
                      <w:sz w:val="21"/>
                      <w:szCs w:val="21"/>
                    </w:rPr>
                    <w:t>168</w:t>
                  </w:r>
                </w:p>
              </w:tc>
              <w:tc>
                <w:tcPr>
                  <w:tcW w:w="707" w:type="pct"/>
                  <w:shd w:val="clear" w:color="auto" w:fill="auto"/>
                  <w:vAlign w:val="center"/>
                </w:tcPr>
                <w:p w14:paraId="51E6911C">
                  <w:pPr>
                    <w:pStyle w:val="25"/>
                    <w:spacing w:after="0"/>
                    <w:ind w:left="0" w:leftChars="0" w:firstLine="0" w:firstLineChars="0"/>
                    <w:jc w:val="center"/>
                    <w:rPr>
                      <w:bCs/>
                      <w:color w:val="auto"/>
                      <w:sz w:val="21"/>
                      <w:szCs w:val="21"/>
                    </w:rPr>
                  </w:pPr>
                  <w:r>
                    <w:rPr>
                      <w:bCs/>
                      <w:color w:val="auto"/>
                      <w:sz w:val="21"/>
                      <w:szCs w:val="21"/>
                    </w:rPr>
                    <w:t>160</w:t>
                  </w:r>
                </w:p>
              </w:tc>
              <w:tc>
                <w:tcPr>
                  <w:tcW w:w="820" w:type="pct"/>
                  <w:shd w:val="clear" w:color="auto" w:fill="auto"/>
                  <w:vAlign w:val="center"/>
                </w:tcPr>
                <w:p w14:paraId="364770CA">
                  <w:pPr>
                    <w:pStyle w:val="25"/>
                    <w:spacing w:after="0"/>
                    <w:ind w:left="0" w:leftChars="0" w:firstLine="0" w:firstLineChars="0"/>
                    <w:jc w:val="center"/>
                    <w:rPr>
                      <w:bCs/>
                      <w:color w:val="auto"/>
                      <w:sz w:val="21"/>
                      <w:szCs w:val="21"/>
                    </w:rPr>
                  </w:pPr>
                  <w:r>
                    <w:rPr>
                      <w:rFonts w:hint="eastAsia"/>
                      <w:bCs/>
                      <w:color w:val="auto"/>
                      <w:sz w:val="21"/>
                      <w:szCs w:val="21"/>
                    </w:rPr>
                    <w:t>105</w:t>
                  </w:r>
                </w:p>
              </w:tc>
              <w:tc>
                <w:tcPr>
                  <w:tcW w:w="720" w:type="pct"/>
                  <w:vAlign w:val="center"/>
                </w:tcPr>
                <w:p w14:paraId="105816B7">
                  <w:pPr>
                    <w:pStyle w:val="25"/>
                    <w:spacing w:after="0"/>
                    <w:ind w:left="0" w:leftChars="0" w:firstLine="0" w:firstLineChars="0"/>
                    <w:jc w:val="center"/>
                    <w:rPr>
                      <w:bCs/>
                      <w:color w:val="auto"/>
                      <w:sz w:val="21"/>
                      <w:szCs w:val="21"/>
                    </w:rPr>
                  </w:pPr>
                  <w:r>
                    <w:rPr>
                      <w:rFonts w:hint="eastAsia"/>
                      <w:bCs/>
                      <w:color w:val="auto"/>
                      <w:sz w:val="21"/>
                      <w:szCs w:val="21"/>
                    </w:rPr>
                    <w:t>不</w:t>
                  </w:r>
                  <w:r>
                    <w:rPr>
                      <w:bCs/>
                      <w:color w:val="auto"/>
                      <w:sz w:val="21"/>
                      <w:szCs w:val="21"/>
                    </w:rPr>
                    <w:t>达标</w:t>
                  </w:r>
                </w:p>
              </w:tc>
            </w:tr>
          </w:tbl>
          <w:p w14:paraId="3CBF1EF9">
            <w:pPr>
              <w:spacing w:before="120" w:beforeLines="50" w:line="360" w:lineRule="auto"/>
              <w:ind w:firstLine="480" w:firstLineChars="200"/>
              <w:rPr>
                <w:color w:val="auto"/>
                <w:sz w:val="24"/>
              </w:rPr>
            </w:pPr>
            <w:r>
              <w:rPr>
                <w:color w:val="auto"/>
                <w:sz w:val="24"/>
              </w:rPr>
              <w:t>根据</w:t>
            </w:r>
            <w:r>
              <w:rPr>
                <w:rFonts w:hint="eastAsia"/>
                <w:color w:val="auto"/>
                <w:sz w:val="24"/>
              </w:rPr>
              <w:t>上表</w:t>
            </w:r>
            <w:r>
              <w:rPr>
                <w:color w:val="auto"/>
                <w:sz w:val="24"/>
              </w:rPr>
              <w:t>可知，</w:t>
            </w:r>
            <w:r>
              <w:rPr>
                <w:rFonts w:hint="eastAsia"/>
                <w:color w:val="auto"/>
                <w:sz w:val="24"/>
              </w:rPr>
              <w:t>项目所在区域SO</w:t>
            </w:r>
            <w:r>
              <w:rPr>
                <w:rFonts w:hint="eastAsia"/>
                <w:color w:val="auto"/>
                <w:sz w:val="24"/>
                <w:vertAlign w:val="subscript"/>
              </w:rPr>
              <w:t>2</w:t>
            </w:r>
            <w:r>
              <w:rPr>
                <w:rFonts w:hint="eastAsia"/>
                <w:color w:val="auto"/>
                <w:sz w:val="24"/>
              </w:rPr>
              <w:t>年平均质量浓度、NO</w:t>
            </w:r>
            <w:r>
              <w:rPr>
                <w:rFonts w:hint="eastAsia"/>
                <w:color w:val="auto"/>
                <w:sz w:val="24"/>
                <w:vertAlign w:val="subscript"/>
              </w:rPr>
              <w:t>2</w:t>
            </w:r>
            <w:r>
              <w:rPr>
                <w:rFonts w:hint="eastAsia"/>
                <w:color w:val="auto"/>
                <w:sz w:val="24"/>
              </w:rPr>
              <w:t>年平均质量浓度和CO24小时平均第95百分位浓度均满足《环境空气质量标准》（GB3095-2012）中二级标准，O</w:t>
            </w:r>
            <w:r>
              <w:rPr>
                <w:rFonts w:hint="eastAsia"/>
                <w:color w:val="auto"/>
                <w:sz w:val="24"/>
                <w:vertAlign w:val="subscript"/>
              </w:rPr>
              <w:t>3</w:t>
            </w:r>
            <w:r>
              <w:rPr>
                <w:rFonts w:hint="eastAsia"/>
                <w:color w:val="auto"/>
                <w:sz w:val="24"/>
                <w:szCs w:val="32"/>
              </w:rPr>
              <w:t>日最大8小时平均第90百分位浓度</w:t>
            </w:r>
            <w:r>
              <w:rPr>
                <w:rFonts w:hint="eastAsia"/>
                <w:color w:val="auto"/>
                <w:sz w:val="24"/>
              </w:rPr>
              <w:t>、PM</w:t>
            </w:r>
            <w:r>
              <w:rPr>
                <w:rFonts w:hint="eastAsia"/>
                <w:color w:val="auto"/>
                <w:sz w:val="24"/>
                <w:vertAlign w:val="subscript"/>
              </w:rPr>
              <w:t>2.5</w:t>
            </w:r>
            <w:r>
              <w:rPr>
                <w:rFonts w:hint="eastAsia"/>
                <w:color w:val="auto"/>
                <w:sz w:val="24"/>
              </w:rPr>
              <w:t>年平均质量浓度和PM</w:t>
            </w:r>
            <w:r>
              <w:rPr>
                <w:rFonts w:hint="eastAsia"/>
                <w:color w:val="auto"/>
                <w:sz w:val="24"/>
                <w:vertAlign w:val="subscript"/>
              </w:rPr>
              <w:t>10</w:t>
            </w:r>
            <w:r>
              <w:rPr>
                <w:color w:val="auto"/>
                <w:sz w:val="24"/>
                <w:szCs w:val="32"/>
              </w:rPr>
              <w:t>年平均质量浓度</w:t>
            </w:r>
            <w:r>
              <w:rPr>
                <w:rFonts w:hint="eastAsia"/>
                <w:color w:val="auto"/>
                <w:sz w:val="24"/>
              </w:rPr>
              <w:t>均不满足《环境空气质量标准》（GB3095-2012）中二级标准，因此本项目所在区域为环境空气不达标区。</w:t>
            </w:r>
          </w:p>
          <w:p w14:paraId="166DD337">
            <w:pPr>
              <w:tabs>
                <w:tab w:val="left" w:pos="8607"/>
              </w:tabs>
              <w:adjustRightInd w:val="0"/>
              <w:snapToGrid w:val="0"/>
              <w:spacing w:line="360" w:lineRule="auto"/>
              <w:ind w:firstLine="480" w:firstLineChars="200"/>
              <w:jc w:val="left"/>
              <w:rPr>
                <w:bCs/>
                <w:color w:val="auto"/>
                <w:sz w:val="24"/>
              </w:rPr>
            </w:pPr>
            <w:r>
              <w:rPr>
                <w:bCs/>
                <w:color w:val="auto"/>
                <w:sz w:val="24"/>
              </w:rPr>
              <w:t>（2）特征污染物</w:t>
            </w:r>
          </w:p>
          <w:p w14:paraId="5DC281E3">
            <w:pPr>
              <w:spacing w:line="360" w:lineRule="auto"/>
              <w:ind w:firstLine="480" w:firstLineChars="200"/>
              <w:rPr>
                <w:color w:val="auto"/>
                <w:sz w:val="24"/>
              </w:rPr>
            </w:pPr>
            <w:r>
              <w:rPr>
                <w:rFonts w:hint="eastAsia"/>
                <w:color w:val="auto"/>
                <w:sz w:val="24"/>
              </w:rPr>
              <w:t>本项目产生的特征污染物主要为总悬浮颗粒物（TSP）和非甲烷总烃，颗粒物引用《石子和机制砂生产线扩建项目环境质量现状监测报告》（具体见附件4），监测点位为本项目西北侧895m，监测日期为2023年8月11日至8月14日。监测数据在有效期内，本次监测数据引用合理。非甲烷总烃委托陕西秦研检测技术有限公司于2025年1月14日~2025年1月16日对项目厂址下风向进行现状监测（监测报告见附件5）。监测结果</w:t>
            </w:r>
            <w:r>
              <w:rPr>
                <w:color w:val="auto"/>
                <w:sz w:val="24"/>
              </w:rPr>
              <w:t>如下：</w:t>
            </w:r>
          </w:p>
          <w:p w14:paraId="525C779F">
            <w:pPr>
              <w:pStyle w:val="65"/>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3-2</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特征污染物监测结果一览表</w:t>
            </w:r>
          </w:p>
          <w:tbl>
            <w:tblPr>
              <w:tblStyle w:val="26"/>
              <w:tblW w:w="805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876"/>
              <w:gridCol w:w="1828"/>
              <w:gridCol w:w="800"/>
              <w:gridCol w:w="660"/>
              <w:gridCol w:w="646"/>
              <w:gridCol w:w="683"/>
              <w:gridCol w:w="644"/>
              <w:gridCol w:w="857"/>
              <w:gridCol w:w="1060"/>
            </w:tblGrid>
            <w:tr w14:paraId="2FB7D85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624" w:hRule="atLeast"/>
                <w:jc w:val="center"/>
              </w:trPr>
              <w:tc>
                <w:tcPr>
                  <w:tcW w:w="543" w:type="pct"/>
                  <w:vAlign w:val="center"/>
                </w:tcPr>
                <w:p w14:paraId="39201A06">
                  <w:pPr>
                    <w:widowControl/>
                    <w:jc w:val="center"/>
                    <w:rPr>
                      <w:b/>
                      <w:bCs/>
                      <w:color w:val="auto"/>
                      <w:szCs w:val="21"/>
                    </w:rPr>
                  </w:pPr>
                  <w:r>
                    <w:rPr>
                      <w:b/>
                      <w:bCs/>
                      <w:color w:val="auto"/>
                      <w:szCs w:val="21"/>
                    </w:rPr>
                    <w:t>污染物</w:t>
                  </w:r>
                </w:p>
              </w:tc>
              <w:tc>
                <w:tcPr>
                  <w:tcW w:w="1133" w:type="pct"/>
                  <w:vAlign w:val="center"/>
                </w:tcPr>
                <w:p w14:paraId="76F12FF6">
                  <w:pPr>
                    <w:widowControl/>
                    <w:jc w:val="center"/>
                    <w:rPr>
                      <w:b/>
                      <w:bCs/>
                      <w:color w:val="auto"/>
                      <w:szCs w:val="21"/>
                    </w:rPr>
                  </w:pPr>
                  <w:r>
                    <w:rPr>
                      <w:b/>
                      <w:bCs/>
                      <w:color w:val="auto"/>
                      <w:szCs w:val="21"/>
                    </w:rPr>
                    <w:t>采样日期</w:t>
                  </w:r>
                </w:p>
              </w:tc>
              <w:tc>
                <w:tcPr>
                  <w:tcW w:w="496" w:type="pct"/>
                  <w:vAlign w:val="center"/>
                </w:tcPr>
                <w:p w14:paraId="697D62B0">
                  <w:pPr>
                    <w:widowControl/>
                    <w:jc w:val="center"/>
                    <w:rPr>
                      <w:b/>
                      <w:bCs/>
                      <w:color w:val="auto"/>
                      <w:szCs w:val="21"/>
                    </w:rPr>
                  </w:pPr>
                  <w:r>
                    <w:rPr>
                      <w:b/>
                      <w:bCs/>
                      <w:color w:val="auto"/>
                      <w:szCs w:val="21"/>
                    </w:rPr>
                    <w:t>单位</w:t>
                  </w:r>
                </w:p>
              </w:tc>
              <w:tc>
                <w:tcPr>
                  <w:tcW w:w="1635" w:type="pct"/>
                  <w:gridSpan w:val="4"/>
                  <w:vAlign w:val="center"/>
                </w:tcPr>
                <w:p w14:paraId="01F23196">
                  <w:pPr>
                    <w:widowControl/>
                    <w:jc w:val="center"/>
                    <w:rPr>
                      <w:b/>
                      <w:bCs/>
                      <w:color w:val="auto"/>
                      <w:szCs w:val="21"/>
                    </w:rPr>
                  </w:pPr>
                  <w:r>
                    <w:rPr>
                      <w:b/>
                      <w:bCs/>
                      <w:color w:val="auto"/>
                      <w:szCs w:val="21"/>
                    </w:rPr>
                    <w:t>检测结果</w:t>
                  </w:r>
                </w:p>
              </w:tc>
              <w:tc>
                <w:tcPr>
                  <w:tcW w:w="532" w:type="pct"/>
                  <w:vAlign w:val="center"/>
                </w:tcPr>
                <w:p w14:paraId="7DDA80EA">
                  <w:pPr>
                    <w:widowControl/>
                    <w:jc w:val="center"/>
                    <w:rPr>
                      <w:b/>
                      <w:bCs/>
                      <w:color w:val="auto"/>
                      <w:szCs w:val="21"/>
                    </w:rPr>
                  </w:pPr>
                  <w:r>
                    <w:rPr>
                      <w:b/>
                      <w:bCs/>
                      <w:color w:val="auto"/>
                      <w:szCs w:val="21"/>
                    </w:rPr>
                    <w:t>标准值</w:t>
                  </w:r>
                </w:p>
              </w:tc>
              <w:tc>
                <w:tcPr>
                  <w:tcW w:w="658" w:type="pct"/>
                  <w:vAlign w:val="center"/>
                </w:tcPr>
                <w:p w14:paraId="2D0BF3C7">
                  <w:pPr>
                    <w:widowControl/>
                    <w:jc w:val="center"/>
                    <w:rPr>
                      <w:b/>
                      <w:bCs/>
                      <w:color w:val="auto"/>
                      <w:szCs w:val="21"/>
                    </w:rPr>
                  </w:pPr>
                  <w:r>
                    <w:rPr>
                      <w:b/>
                      <w:bCs/>
                      <w:color w:val="auto"/>
                      <w:szCs w:val="21"/>
                    </w:rPr>
                    <w:t>达标情况</w:t>
                  </w:r>
                </w:p>
              </w:tc>
            </w:tr>
            <w:tr w14:paraId="089A981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10" w:hRule="atLeast"/>
                <w:jc w:val="center"/>
              </w:trPr>
              <w:tc>
                <w:tcPr>
                  <w:tcW w:w="543" w:type="pct"/>
                  <w:vMerge w:val="restart"/>
                  <w:vAlign w:val="center"/>
                </w:tcPr>
                <w:p w14:paraId="5B2C7AC8">
                  <w:pPr>
                    <w:widowControl/>
                    <w:jc w:val="center"/>
                    <w:rPr>
                      <w:color w:val="auto"/>
                      <w:szCs w:val="21"/>
                    </w:rPr>
                  </w:pPr>
                  <w:r>
                    <w:rPr>
                      <w:color w:val="auto"/>
                      <w:szCs w:val="21"/>
                    </w:rPr>
                    <w:t>TSP</w:t>
                  </w:r>
                </w:p>
              </w:tc>
              <w:tc>
                <w:tcPr>
                  <w:tcW w:w="1133" w:type="pct"/>
                  <w:vAlign w:val="center"/>
                </w:tcPr>
                <w:p w14:paraId="51DCAC0B">
                  <w:pPr>
                    <w:widowControl/>
                    <w:jc w:val="center"/>
                    <w:textAlignment w:val="center"/>
                    <w:rPr>
                      <w:color w:val="auto"/>
                      <w:szCs w:val="21"/>
                    </w:rPr>
                  </w:pPr>
                  <w:r>
                    <w:rPr>
                      <w:rFonts w:hint="eastAsia"/>
                      <w:color w:val="auto"/>
                      <w:szCs w:val="21"/>
                    </w:rPr>
                    <w:t>2023年8月11日</w:t>
                  </w:r>
                </w:p>
              </w:tc>
              <w:tc>
                <w:tcPr>
                  <w:tcW w:w="496" w:type="pct"/>
                  <w:vMerge w:val="restart"/>
                  <w:vAlign w:val="center"/>
                </w:tcPr>
                <w:p w14:paraId="1150341F">
                  <w:pPr>
                    <w:widowControl/>
                    <w:jc w:val="center"/>
                    <w:textAlignment w:val="center"/>
                    <w:rPr>
                      <w:color w:val="auto"/>
                      <w:szCs w:val="21"/>
                    </w:rPr>
                  </w:pPr>
                  <w:r>
                    <w:rPr>
                      <w:color w:val="auto"/>
                      <w:szCs w:val="21"/>
                    </w:rPr>
                    <w:t>mg/m³</w:t>
                  </w:r>
                </w:p>
              </w:tc>
              <w:tc>
                <w:tcPr>
                  <w:tcW w:w="1635" w:type="pct"/>
                  <w:gridSpan w:val="4"/>
                  <w:vAlign w:val="center"/>
                </w:tcPr>
                <w:p w14:paraId="58964D7C">
                  <w:pPr>
                    <w:widowControl/>
                    <w:jc w:val="center"/>
                    <w:rPr>
                      <w:color w:val="auto"/>
                      <w:szCs w:val="21"/>
                    </w:rPr>
                  </w:pPr>
                  <w:r>
                    <w:rPr>
                      <w:rFonts w:hint="eastAsia"/>
                      <w:color w:val="auto"/>
                      <w:szCs w:val="21"/>
                    </w:rPr>
                    <w:t>0.061</w:t>
                  </w:r>
                </w:p>
              </w:tc>
              <w:tc>
                <w:tcPr>
                  <w:tcW w:w="532" w:type="pct"/>
                  <w:vMerge w:val="restart"/>
                  <w:vAlign w:val="center"/>
                </w:tcPr>
                <w:p w14:paraId="4D5423C9">
                  <w:pPr>
                    <w:widowControl/>
                    <w:jc w:val="center"/>
                    <w:rPr>
                      <w:color w:val="auto"/>
                      <w:szCs w:val="21"/>
                    </w:rPr>
                  </w:pPr>
                  <w:r>
                    <w:rPr>
                      <w:color w:val="auto"/>
                      <w:szCs w:val="21"/>
                    </w:rPr>
                    <w:t>0.3</w:t>
                  </w:r>
                </w:p>
              </w:tc>
              <w:tc>
                <w:tcPr>
                  <w:tcW w:w="658" w:type="pct"/>
                  <w:vMerge w:val="restart"/>
                  <w:vAlign w:val="center"/>
                </w:tcPr>
                <w:p w14:paraId="48C1ACFA">
                  <w:pPr>
                    <w:widowControl/>
                    <w:jc w:val="center"/>
                    <w:rPr>
                      <w:color w:val="auto"/>
                      <w:szCs w:val="21"/>
                    </w:rPr>
                  </w:pPr>
                  <w:r>
                    <w:rPr>
                      <w:color w:val="auto"/>
                      <w:szCs w:val="21"/>
                    </w:rPr>
                    <w:t>达标</w:t>
                  </w:r>
                </w:p>
              </w:tc>
            </w:tr>
            <w:tr w14:paraId="5B9AA77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10" w:hRule="atLeast"/>
                <w:jc w:val="center"/>
              </w:trPr>
              <w:tc>
                <w:tcPr>
                  <w:tcW w:w="543" w:type="pct"/>
                  <w:vMerge w:val="continue"/>
                  <w:vAlign w:val="center"/>
                </w:tcPr>
                <w:p w14:paraId="394A35E2">
                  <w:pPr>
                    <w:widowControl/>
                    <w:jc w:val="center"/>
                    <w:rPr>
                      <w:color w:val="auto"/>
                      <w:szCs w:val="21"/>
                    </w:rPr>
                  </w:pPr>
                </w:p>
              </w:tc>
              <w:tc>
                <w:tcPr>
                  <w:tcW w:w="1133" w:type="pct"/>
                  <w:vAlign w:val="center"/>
                </w:tcPr>
                <w:p w14:paraId="49CB449D">
                  <w:pPr>
                    <w:widowControl/>
                    <w:jc w:val="center"/>
                    <w:textAlignment w:val="center"/>
                    <w:rPr>
                      <w:color w:val="auto"/>
                      <w:szCs w:val="21"/>
                    </w:rPr>
                  </w:pPr>
                  <w:r>
                    <w:rPr>
                      <w:rFonts w:hint="eastAsia"/>
                      <w:color w:val="auto"/>
                      <w:szCs w:val="21"/>
                    </w:rPr>
                    <w:t>2023年8月12日</w:t>
                  </w:r>
                </w:p>
              </w:tc>
              <w:tc>
                <w:tcPr>
                  <w:tcW w:w="496" w:type="pct"/>
                  <w:vMerge w:val="continue"/>
                  <w:vAlign w:val="center"/>
                </w:tcPr>
                <w:p w14:paraId="60CD3C0F">
                  <w:pPr>
                    <w:widowControl/>
                    <w:jc w:val="center"/>
                    <w:textAlignment w:val="center"/>
                    <w:rPr>
                      <w:color w:val="auto"/>
                      <w:szCs w:val="21"/>
                    </w:rPr>
                  </w:pPr>
                </w:p>
              </w:tc>
              <w:tc>
                <w:tcPr>
                  <w:tcW w:w="1635" w:type="pct"/>
                  <w:gridSpan w:val="4"/>
                  <w:vAlign w:val="center"/>
                </w:tcPr>
                <w:p w14:paraId="61E32C56">
                  <w:pPr>
                    <w:widowControl/>
                    <w:jc w:val="center"/>
                    <w:rPr>
                      <w:color w:val="auto"/>
                      <w:szCs w:val="21"/>
                    </w:rPr>
                  </w:pPr>
                  <w:r>
                    <w:rPr>
                      <w:rFonts w:hint="eastAsia"/>
                      <w:color w:val="auto"/>
                      <w:szCs w:val="21"/>
                    </w:rPr>
                    <w:t>0.057</w:t>
                  </w:r>
                </w:p>
              </w:tc>
              <w:tc>
                <w:tcPr>
                  <w:tcW w:w="532" w:type="pct"/>
                  <w:vMerge w:val="continue"/>
                  <w:vAlign w:val="center"/>
                </w:tcPr>
                <w:p w14:paraId="7527045A">
                  <w:pPr>
                    <w:widowControl/>
                    <w:jc w:val="center"/>
                    <w:rPr>
                      <w:color w:val="auto"/>
                      <w:szCs w:val="21"/>
                    </w:rPr>
                  </w:pPr>
                </w:p>
              </w:tc>
              <w:tc>
                <w:tcPr>
                  <w:tcW w:w="658" w:type="pct"/>
                  <w:vMerge w:val="continue"/>
                  <w:vAlign w:val="center"/>
                </w:tcPr>
                <w:p w14:paraId="5A250D62">
                  <w:pPr>
                    <w:widowControl/>
                    <w:jc w:val="center"/>
                    <w:rPr>
                      <w:color w:val="auto"/>
                      <w:szCs w:val="21"/>
                    </w:rPr>
                  </w:pPr>
                </w:p>
              </w:tc>
            </w:tr>
            <w:tr w14:paraId="49763DD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10" w:hRule="atLeast"/>
                <w:jc w:val="center"/>
              </w:trPr>
              <w:tc>
                <w:tcPr>
                  <w:tcW w:w="543" w:type="pct"/>
                  <w:vMerge w:val="continue"/>
                  <w:vAlign w:val="center"/>
                </w:tcPr>
                <w:p w14:paraId="0F6030BC">
                  <w:pPr>
                    <w:widowControl/>
                    <w:jc w:val="center"/>
                    <w:rPr>
                      <w:color w:val="auto"/>
                      <w:szCs w:val="21"/>
                    </w:rPr>
                  </w:pPr>
                </w:p>
              </w:tc>
              <w:tc>
                <w:tcPr>
                  <w:tcW w:w="1133" w:type="pct"/>
                  <w:vAlign w:val="center"/>
                </w:tcPr>
                <w:p w14:paraId="2DAB4C42">
                  <w:pPr>
                    <w:widowControl/>
                    <w:jc w:val="center"/>
                    <w:textAlignment w:val="center"/>
                    <w:rPr>
                      <w:color w:val="auto"/>
                      <w:szCs w:val="21"/>
                    </w:rPr>
                  </w:pPr>
                  <w:r>
                    <w:rPr>
                      <w:rFonts w:hint="eastAsia"/>
                      <w:color w:val="auto"/>
                      <w:szCs w:val="21"/>
                    </w:rPr>
                    <w:t>2023年8月13日</w:t>
                  </w:r>
                </w:p>
              </w:tc>
              <w:tc>
                <w:tcPr>
                  <w:tcW w:w="496" w:type="pct"/>
                  <w:vMerge w:val="continue"/>
                  <w:vAlign w:val="center"/>
                </w:tcPr>
                <w:p w14:paraId="785A9F02">
                  <w:pPr>
                    <w:widowControl/>
                    <w:jc w:val="center"/>
                    <w:textAlignment w:val="center"/>
                    <w:rPr>
                      <w:color w:val="auto"/>
                      <w:szCs w:val="21"/>
                    </w:rPr>
                  </w:pPr>
                </w:p>
              </w:tc>
              <w:tc>
                <w:tcPr>
                  <w:tcW w:w="1635" w:type="pct"/>
                  <w:gridSpan w:val="4"/>
                  <w:vAlign w:val="center"/>
                </w:tcPr>
                <w:p w14:paraId="630D2014">
                  <w:pPr>
                    <w:widowControl/>
                    <w:jc w:val="center"/>
                    <w:rPr>
                      <w:color w:val="auto"/>
                      <w:szCs w:val="21"/>
                    </w:rPr>
                  </w:pPr>
                  <w:r>
                    <w:rPr>
                      <w:rFonts w:hint="eastAsia"/>
                      <w:color w:val="auto"/>
                      <w:szCs w:val="21"/>
                    </w:rPr>
                    <w:t>0.072</w:t>
                  </w:r>
                </w:p>
              </w:tc>
              <w:tc>
                <w:tcPr>
                  <w:tcW w:w="532" w:type="pct"/>
                  <w:vMerge w:val="continue"/>
                  <w:vAlign w:val="center"/>
                </w:tcPr>
                <w:p w14:paraId="53939C32">
                  <w:pPr>
                    <w:widowControl/>
                    <w:jc w:val="center"/>
                    <w:rPr>
                      <w:color w:val="auto"/>
                      <w:szCs w:val="21"/>
                    </w:rPr>
                  </w:pPr>
                </w:p>
              </w:tc>
              <w:tc>
                <w:tcPr>
                  <w:tcW w:w="658" w:type="pct"/>
                  <w:vMerge w:val="continue"/>
                  <w:vAlign w:val="center"/>
                </w:tcPr>
                <w:p w14:paraId="6E7FDEFF">
                  <w:pPr>
                    <w:widowControl/>
                    <w:jc w:val="center"/>
                    <w:rPr>
                      <w:color w:val="auto"/>
                      <w:szCs w:val="21"/>
                    </w:rPr>
                  </w:pPr>
                </w:p>
              </w:tc>
            </w:tr>
            <w:tr w14:paraId="620912F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PrEx>
              <w:trPr>
                <w:trHeight w:val="510" w:hRule="atLeast"/>
                <w:jc w:val="center"/>
              </w:trPr>
              <w:tc>
                <w:tcPr>
                  <w:tcW w:w="543" w:type="pct"/>
                  <w:vMerge w:val="restart"/>
                  <w:vAlign w:val="center"/>
                </w:tcPr>
                <w:p w14:paraId="399CCA8B">
                  <w:pPr>
                    <w:widowControl/>
                    <w:jc w:val="center"/>
                    <w:rPr>
                      <w:color w:val="auto"/>
                      <w:szCs w:val="21"/>
                    </w:rPr>
                  </w:pPr>
                  <w:r>
                    <w:rPr>
                      <w:rFonts w:hint="eastAsia"/>
                      <w:color w:val="auto"/>
                      <w:szCs w:val="21"/>
                    </w:rPr>
                    <w:t>非甲烷总烃</w:t>
                  </w:r>
                </w:p>
              </w:tc>
              <w:tc>
                <w:tcPr>
                  <w:tcW w:w="1133" w:type="pct"/>
                  <w:vAlign w:val="center"/>
                </w:tcPr>
                <w:p w14:paraId="289CE371">
                  <w:pPr>
                    <w:widowControl/>
                    <w:jc w:val="center"/>
                    <w:textAlignment w:val="center"/>
                    <w:rPr>
                      <w:color w:val="auto"/>
                      <w:szCs w:val="21"/>
                    </w:rPr>
                  </w:pPr>
                  <w:r>
                    <w:rPr>
                      <w:rFonts w:hint="eastAsia"/>
                      <w:color w:val="auto"/>
                      <w:szCs w:val="21"/>
                    </w:rPr>
                    <w:t>2025年1月14日</w:t>
                  </w:r>
                </w:p>
              </w:tc>
              <w:tc>
                <w:tcPr>
                  <w:tcW w:w="496" w:type="pct"/>
                  <w:vMerge w:val="restart"/>
                  <w:vAlign w:val="center"/>
                </w:tcPr>
                <w:p w14:paraId="78B9BD53">
                  <w:pPr>
                    <w:widowControl/>
                    <w:jc w:val="center"/>
                    <w:textAlignment w:val="center"/>
                    <w:rPr>
                      <w:color w:val="auto"/>
                      <w:szCs w:val="21"/>
                    </w:rPr>
                  </w:pPr>
                  <w:r>
                    <w:rPr>
                      <w:color w:val="auto"/>
                      <w:szCs w:val="21"/>
                    </w:rPr>
                    <w:t>mg/m³</w:t>
                  </w:r>
                </w:p>
              </w:tc>
              <w:tc>
                <w:tcPr>
                  <w:tcW w:w="410" w:type="pct"/>
                  <w:vAlign w:val="center"/>
                </w:tcPr>
                <w:p w14:paraId="05A05455">
                  <w:pPr>
                    <w:widowControl/>
                    <w:jc w:val="center"/>
                    <w:rPr>
                      <w:color w:val="auto"/>
                      <w:szCs w:val="21"/>
                    </w:rPr>
                  </w:pPr>
                  <w:r>
                    <w:rPr>
                      <w:rFonts w:hint="eastAsia"/>
                      <w:color w:val="auto"/>
                      <w:szCs w:val="21"/>
                    </w:rPr>
                    <w:t>0.75</w:t>
                  </w:r>
                </w:p>
              </w:tc>
              <w:tc>
                <w:tcPr>
                  <w:tcW w:w="401" w:type="pct"/>
                  <w:vAlign w:val="center"/>
                </w:tcPr>
                <w:p w14:paraId="597F07E3">
                  <w:pPr>
                    <w:widowControl/>
                    <w:jc w:val="center"/>
                    <w:rPr>
                      <w:color w:val="auto"/>
                      <w:szCs w:val="21"/>
                    </w:rPr>
                  </w:pPr>
                  <w:r>
                    <w:rPr>
                      <w:rFonts w:hint="eastAsia"/>
                      <w:color w:val="auto"/>
                      <w:szCs w:val="21"/>
                    </w:rPr>
                    <w:t>0.79</w:t>
                  </w:r>
                </w:p>
              </w:tc>
              <w:tc>
                <w:tcPr>
                  <w:tcW w:w="424" w:type="pct"/>
                  <w:vAlign w:val="center"/>
                </w:tcPr>
                <w:p w14:paraId="00A0F5DB">
                  <w:pPr>
                    <w:widowControl/>
                    <w:jc w:val="center"/>
                    <w:rPr>
                      <w:color w:val="auto"/>
                      <w:szCs w:val="21"/>
                    </w:rPr>
                  </w:pPr>
                  <w:r>
                    <w:rPr>
                      <w:rFonts w:hint="eastAsia"/>
                      <w:color w:val="auto"/>
                      <w:szCs w:val="21"/>
                    </w:rPr>
                    <w:t>0.72</w:t>
                  </w:r>
                </w:p>
              </w:tc>
              <w:tc>
                <w:tcPr>
                  <w:tcW w:w="399" w:type="pct"/>
                  <w:vAlign w:val="center"/>
                </w:tcPr>
                <w:p w14:paraId="70506FAB">
                  <w:pPr>
                    <w:widowControl/>
                    <w:jc w:val="center"/>
                    <w:rPr>
                      <w:color w:val="auto"/>
                      <w:szCs w:val="21"/>
                    </w:rPr>
                  </w:pPr>
                  <w:r>
                    <w:rPr>
                      <w:rFonts w:hint="eastAsia"/>
                      <w:color w:val="auto"/>
                      <w:szCs w:val="21"/>
                    </w:rPr>
                    <w:t>0.67</w:t>
                  </w:r>
                </w:p>
              </w:tc>
              <w:tc>
                <w:tcPr>
                  <w:tcW w:w="532" w:type="pct"/>
                  <w:vMerge w:val="restart"/>
                  <w:vAlign w:val="center"/>
                </w:tcPr>
                <w:p w14:paraId="67BBE837">
                  <w:pPr>
                    <w:widowControl/>
                    <w:jc w:val="center"/>
                    <w:rPr>
                      <w:color w:val="auto"/>
                      <w:szCs w:val="21"/>
                    </w:rPr>
                  </w:pPr>
                  <w:r>
                    <w:rPr>
                      <w:rFonts w:hint="eastAsia"/>
                      <w:color w:val="auto"/>
                      <w:szCs w:val="21"/>
                    </w:rPr>
                    <w:t>2.0</w:t>
                  </w:r>
                </w:p>
              </w:tc>
              <w:tc>
                <w:tcPr>
                  <w:tcW w:w="658" w:type="pct"/>
                  <w:vMerge w:val="restart"/>
                  <w:vAlign w:val="center"/>
                </w:tcPr>
                <w:p w14:paraId="1166DB75">
                  <w:pPr>
                    <w:widowControl/>
                    <w:jc w:val="center"/>
                    <w:rPr>
                      <w:color w:val="auto"/>
                      <w:szCs w:val="21"/>
                    </w:rPr>
                  </w:pPr>
                  <w:r>
                    <w:rPr>
                      <w:rFonts w:hint="eastAsia"/>
                      <w:color w:val="auto"/>
                      <w:szCs w:val="21"/>
                    </w:rPr>
                    <w:t>达标</w:t>
                  </w:r>
                </w:p>
              </w:tc>
            </w:tr>
            <w:tr w14:paraId="2E4B97B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10" w:hRule="atLeast"/>
                <w:jc w:val="center"/>
              </w:trPr>
              <w:tc>
                <w:tcPr>
                  <w:tcW w:w="543" w:type="pct"/>
                  <w:vMerge w:val="continue"/>
                  <w:vAlign w:val="center"/>
                </w:tcPr>
                <w:p w14:paraId="715DD853">
                  <w:pPr>
                    <w:widowControl/>
                    <w:jc w:val="center"/>
                    <w:rPr>
                      <w:color w:val="auto"/>
                      <w:szCs w:val="21"/>
                    </w:rPr>
                  </w:pPr>
                </w:p>
              </w:tc>
              <w:tc>
                <w:tcPr>
                  <w:tcW w:w="1133" w:type="pct"/>
                  <w:vAlign w:val="center"/>
                </w:tcPr>
                <w:p w14:paraId="3805AA51">
                  <w:pPr>
                    <w:widowControl/>
                    <w:jc w:val="center"/>
                    <w:textAlignment w:val="center"/>
                    <w:rPr>
                      <w:color w:val="auto"/>
                      <w:szCs w:val="21"/>
                    </w:rPr>
                  </w:pPr>
                  <w:r>
                    <w:rPr>
                      <w:rFonts w:hint="eastAsia"/>
                      <w:color w:val="auto"/>
                      <w:szCs w:val="21"/>
                    </w:rPr>
                    <w:t>2025年1月15日</w:t>
                  </w:r>
                </w:p>
              </w:tc>
              <w:tc>
                <w:tcPr>
                  <w:tcW w:w="496" w:type="pct"/>
                  <w:vMerge w:val="continue"/>
                  <w:vAlign w:val="center"/>
                </w:tcPr>
                <w:p w14:paraId="1D43BE12">
                  <w:pPr>
                    <w:widowControl/>
                    <w:jc w:val="center"/>
                    <w:textAlignment w:val="center"/>
                    <w:rPr>
                      <w:color w:val="auto"/>
                      <w:szCs w:val="21"/>
                    </w:rPr>
                  </w:pPr>
                </w:p>
              </w:tc>
              <w:tc>
                <w:tcPr>
                  <w:tcW w:w="410" w:type="pct"/>
                  <w:vAlign w:val="center"/>
                </w:tcPr>
                <w:p w14:paraId="16238E56">
                  <w:pPr>
                    <w:widowControl/>
                    <w:jc w:val="center"/>
                    <w:rPr>
                      <w:color w:val="auto"/>
                      <w:szCs w:val="21"/>
                    </w:rPr>
                  </w:pPr>
                  <w:r>
                    <w:rPr>
                      <w:rFonts w:hint="eastAsia"/>
                      <w:color w:val="auto"/>
                      <w:szCs w:val="21"/>
                    </w:rPr>
                    <w:t>0.65</w:t>
                  </w:r>
                </w:p>
              </w:tc>
              <w:tc>
                <w:tcPr>
                  <w:tcW w:w="401" w:type="pct"/>
                  <w:vAlign w:val="center"/>
                </w:tcPr>
                <w:p w14:paraId="577B1EAC">
                  <w:pPr>
                    <w:widowControl/>
                    <w:jc w:val="center"/>
                    <w:rPr>
                      <w:color w:val="auto"/>
                      <w:szCs w:val="21"/>
                    </w:rPr>
                  </w:pPr>
                  <w:r>
                    <w:rPr>
                      <w:rFonts w:hint="eastAsia"/>
                      <w:color w:val="auto"/>
                      <w:szCs w:val="21"/>
                    </w:rPr>
                    <w:t>0.64</w:t>
                  </w:r>
                </w:p>
              </w:tc>
              <w:tc>
                <w:tcPr>
                  <w:tcW w:w="424" w:type="pct"/>
                  <w:vAlign w:val="center"/>
                </w:tcPr>
                <w:p w14:paraId="7BFAE8AA">
                  <w:pPr>
                    <w:widowControl/>
                    <w:jc w:val="center"/>
                    <w:rPr>
                      <w:color w:val="auto"/>
                      <w:szCs w:val="21"/>
                    </w:rPr>
                  </w:pPr>
                  <w:r>
                    <w:rPr>
                      <w:rFonts w:hint="eastAsia"/>
                      <w:color w:val="auto"/>
                      <w:szCs w:val="21"/>
                    </w:rPr>
                    <w:t>0.79</w:t>
                  </w:r>
                </w:p>
              </w:tc>
              <w:tc>
                <w:tcPr>
                  <w:tcW w:w="399" w:type="pct"/>
                  <w:vAlign w:val="center"/>
                </w:tcPr>
                <w:p w14:paraId="3BB689F0">
                  <w:pPr>
                    <w:widowControl/>
                    <w:jc w:val="center"/>
                    <w:rPr>
                      <w:color w:val="auto"/>
                      <w:szCs w:val="21"/>
                    </w:rPr>
                  </w:pPr>
                  <w:r>
                    <w:rPr>
                      <w:rFonts w:hint="eastAsia"/>
                      <w:color w:val="auto"/>
                      <w:szCs w:val="21"/>
                    </w:rPr>
                    <w:t>0.61</w:t>
                  </w:r>
                </w:p>
              </w:tc>
              <w:tc>
                <w:tcPr>
                  <w:tcW w:w="532" w:type="pct"/>
                  <w:vMerge w:val="continue"/>
                  <w:vAlign w:val="center"/>
                </w:tcPr>
                <w:p w14:paraId="367B2022">
                  <w:pPr>
                    <w:widowControl/>
                    <w:jc w:val="center"/>
                    <w:rPr>
                      <w:color w:val="auto"/>
                      <w:szCs w:val="21"/>
                    </w:rPr>
                  </w:pPr>
                </w:p>
              </w:tc>
              <w:tc>
                <w:tcPr>
                  <w:tcW w:w="658" w:type="pct"/>
                  <w:vMerge w:val="continue"/>
                  <w:vAlign w:val="center"/>
                </w:tcPr>
                <w:p w14:paraId="39A02A2B">
                  <w:pPr>
                    <w:widowControl/>
                    <w:jc w:val="center"/>
                    <w:rPr>
                      <w:color w:val="auto"/>
                      <w:szCs w:val="21"/>
                    </w:rPr>
                  </w:pPr>
                </w:p>
              </w:tc>
            </w:tr>
            <w:tr w14:paraId="4224474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10" w:hRule="atLeast"/>
                <w:jc w:val="center"/>
              </w:trPr>
              <w:tc>
                <w:tcPr>
                  <w:tcW w:w="543" w:type="pct"/>
                  <w:vMerge w:val="continue"/>
                  <w:vAlign w:val="center"/>
                </w:tcPr>
                <w:p w14:paraId="329DDD19">
                  <w:pPr>
                    <w:widowControl/>
                    <w:jc w:val="center"/>
                    <w:rPr>
                      <w:color w:val="auto"/>
                      <w:szCs w:val="21"/>
                    </w:rPr>
                  </w:pPr>
                </w:p>
              </w:tc>
              <w:tc>
                <w:tcPr>
                  <w:tcW w:w="1133" w:type="pct"/>
                  <w:vAlign w:val="center"/>
                </w:tcPr>
                <w:p w14:paraId="544306EC">
                  <w:pPr>
                    <w:widowControl/>
                    <w:jc w:val="center"/>
                    <w:textAlignment w:val="center"/>
                    <w:rPr>
                      <w:color w:val="auto"/>
                      <w:szCs w:val="21"/>
                    </w:rPr>
                  </w:pPr>
                  <w:r>
                    <w:rPr>
                      <w:rFonts w:hint="eastAsia"/>
                      <w:color w:val="auto"/>
                      <w:szCs w:val="21"/>
                    </w:rPr>
                    <w:t>2025年1月16日</w:t>
                  </w:r>
                </w:p>
              </w:tc>
              <w:tc>
                <w:tcPr>
                  <w:tcW w:w="496" w:type="pct"/>
                  <w:vMerge w:val="continue"/>
                  <w:vAlign w:val="center"/>
                </w:tcPr>
                <w:p w14:paraId="6A86F425">
                  <w:pPr>
                    <w:widowControl/>
                    <w:jc w:val="center"/>
                    <w:textAlignment w:val="center"/>
                    <w:rPr>
                      <w:color w:val="auto"/>
                      <w:szCs w:val="21"/>
                    </w:rPr>
                  </w:pPr>
                </w:p>
              </w:tc>
              <w:tc>
                <w:tcPr>
                  <w:tcW w:w="410" w:type="pct"/>
                  <w:vAlign w:val="center"/>
                </w:tcPr>
                <w:p w14:paraId="26CEA64E">
                  <w:pPr>
                    <w:widowControl/>
                    <w:jc w:val="center"/>
                    <w:rPr>
                      <w:color w:val="auto"/>
                      <w:szCs w:val="21"/>
                    </w:rPr>
                  </w:pPr>
                  <w:r>
                    <w:rPr>
                      <w:rFonts w:hint="eastAsia"/>
                      <w:color w:val="auto"/>
                      <w:szCs w:val="21"/>
                    </w:rPr>
                    <w:t>0.57</w:t>
                  </w:r>
                </w:p>
              </w:tc>
              <w:tc>
                <w:tcPr>
                  <w:tcW w:w="401" w:type="pct"/>
                  <w:vAlign w:val="center"/>
                </w:tcPr>
                <w:p w14:paraId="23405618">
                  <w:pPr>
                    <w:widowControl/>
                    <w:jc w:val="center"/>
                    <w:rPr>
                      <w:color w:val="auto"/>
                      <w:szCs w:val="21"/>
                    </w:rPr>
                  </w:pPr>
                  <w:r>
                    <w:rPr>
                      <w:rFonts w:hint="eastAsia"/>
                      <w:color w:val="auto"/>
                      <w:szCs w:val="21"/>
                    </w:rPr>
                    <w:t>0.65</w:t>
                  </w:r>
                </w:p>
              </w:tc>
              <w:tc>
                <w:tcPr>
                  <w:tcW w:w="424" w:type="pct"/>
                  <w:vAlign w:val="center"/>
                </w:tcPr>
                <w:p w14:paraId="58CE5AC0">
                  <w:pPr>
                    <w:widowControl/>
                    <w:jc w:val="center"/>
                    <w:rPr>
                      <w:color w:val="auto"/>
                      <w:szCs w:val="21"/>
                    </w:rPr>
                  </w:pPr>
                  <w:r>
                    <w:rPr>
                      <w:rFonts w:hint="eastAsia"/>
                      <w:color w:val="auto"/>
                      <w:szCs w:val="21"/>
                    </w:rPr>
                    <w:t>0.70</w:t>
                  </w:r>
                </w:p>
              </w:tc>
              <w:tc>
                <w:tcPr>
                  <w:tcW w:w="399" w:type="pct"/>
                  <w:vAlign w:val="center"/>
                </w:tcPr>
                <w:p w14:paraId="7EC76A8A">
                  <w:pPr>
                    <w:widowControl/>
                    <w:jc w:val="center"/>
                    <w:rPr>
                      <w:color w:val="auto"/>
                      <w:szCs w:val="21"/>
                    </w:rPr>
                  </w:pPr>
                  <w:r>
                    <w:rPr>
                      <w:rFonts w:hint="eastAsia"/>
                      <w:color w:val="auto"/>
                      <w:szCs w:val="21"/>
                    </w:rPr>
                    <w:t>0.75</w:t>
                  </w:r>
                </w:p>
              </w:tc>
              <w:tc>
                <w:tcPr>
                  <w:tcW w:w="532" w:type="pct"/>
                  <w:vMerge w:val="continue"/>
                  <w:vAlign w:val="center"/>
                </w:tcPr>
                <w:p w14:paraId="4B0EA363">
                  <w:pPr>
                    <w:widowControl/>
                    <w:jc w:val="center"/>
                    <w:rPr>
                      <w:color w:val="auto"/>
                      <w:szCs w:val="21"/>
                    </w:rPr>
                  </w:pPr>
                </w:p>
              </w:tc>
              <w:tc>
                <w:tcPr>
                  <w:tcW w:w="658" w:type="pct"/>
                  <w:vMerge w:val="continue"/>
                  <w:vAlign w:val="center"/>
                </w:tcPr>
                <w:p w14:paraId="23875626">
                  <w:pPr>
                    <w:widowControl/>
                    <w:jc w:val="center"/>
                    <w:rPr>
                      <w:color w:val="auto"/>
                      <w:szCs w:val="21"/>
                    </w:rPr>
                  </w:pPr>
                </w:p>
              </w:tc>
            </w:tr>
          </w:tbl>
          <w:p w14:paraId="38447D19">
            <w:pPr>
              <w:spacing w:before="120" w:beforeLines="50" w:line="360" w:lineRule="auto"/>
              <w:ind w:firstLine="480" w:firstLineChars="200"/>
              <w:rPr>
                <w:color w:val="auto"/>
                <w:sz w:val="24"/>
                <w:lang w:bidi="ar"/>
              </w:rPr>
            </w:pPr>
            <w:r>
              <w:rPr>
                <w:rFonts w:hint="eastAsia"/>
                <w:color w:val="auto"/>
                <w:sz w:val="24"/>
                <w:lang w:bidi="ar"/>
              </w:rPr>
              <w:t>根据监测结果可知，项目所在区域总悬浮颗粒物（TSP）24小时均值监测期间满足《环境空气质量标准》（GB3095-2012）中二级标准限值；</w:t>
            </w:r>
            <w:r>
              <w:rPr>
                <w:color w:val="auto"/>
                <w:sz w:val="24"/>
              </w:rPr>
              <w:t>非甲烷总烃监测期间满足</w:t>
            </w:r>
            <w:r>
              <w:rPr>
                <w:color w:val="auto"/>
                <w:sz w:val="24"/>
                <w:szCs w:val="32"/>
              </w:rPr>
              <w:t>《大气污染物综合排放标准详解》</w:t>
            </w:r>
            <w:r>
              <w:rPr>
                <w:color w:val="auto"/>
                <w:sz w:val="24"/>
              </w:rPr>
              <w:t>（国家环境保护局科技标准司）中限值</w:t>
            </w:r>
            <w:r>
              <w:rPr>
                <w:rFonts w:hint="eastAsia"/>
                <w:color w:val="auto"/>
                <w:sz w:val="24"/>
                <w:lang w:bidi="ar"/>
              </w:rPr>
              <w:t>。</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79CF5412">
            <w:pPr>
              <w:pStyle w:val="85"/>
              <w:ind w:firstLine="482"/>
              <w:rPr>
                <w:rFonts w:hint="default"/>
                <w:b/>
                <w:bCs/>
                <w:color w:val="auto"/>
              </w:rPr>
            </w:pPr>
            <w:r>
              <w:rPr>
                <w:b/>
                <w:bCs/>
                <w:color w:val="auto"/>
              </w:rPr>
              <w:t>2、声环境质量现状</w:t>
            </w:r>
          </w:p>
          <w:p w14:paraId="37D95C02">
            <w:pPr>
              <w:spacing w:line="360" w:lineRule="auto"/>
              <w:ind w:firstLine="480" w:firstLineChars="200"/>
              <w:rPr>
                <w:color w:val="auto"/>
                <w:sz w:val="24"/>
              </w:rPr>
            </w:pPr>
            <w:r>
              <w:rPr>
                <w:rFonts w:hint="eastAsia"/>
                <w:color w:val="auto"/>
                <w:sz w:val="24"/>
              </w:rPr>
              <w:t>本项目声环境质量现状监测委托陕西秦研检测技术有限公司进行监测（秦研（综）2411133号，具体见附件5）。</w:t>
            </w:r>
          </w:p>
          <w:p w14:paraId="47507A38">
            <w:pPr>
              <w:autoSpaceDE w:val="0"/>
              <w:autoSpaceDN w:val="0"/>
              <w:adjustRightInd w:val="0"/>
              <w:snapToGrid w:val="0"/>
              <w:spacing w:line="360" w:lineRule="auto"/>
              <w:ind w:firstLine="480" w:firstLineChars="200"/>
              <w:rPr>
                <w:color w:val="auto"/>
                <w:kern w:val="0"/>
                <w:sz w:val="24"/>
              </w:rPr>
            </w:pPr>
            <w:r>
              <w:rPr>
                <w:rFonts w:hint="eastAsia"/>
                <w:color w:val="auto"/>
                <w:sz w:val="24"/>
              </w:rPr>
              <w:t>（1）</w:t>
            </w:r>
            <w:r>
              <w:rPr>
                <w:color w:val="auto"/>
                <w:kern w:val="0"/>
                <w:sz w:val="24"/>
              </w:rPr>
              <w:t>监测项目</w:t>
            </w:r>
          </w:p>
          <w:p w14:paraId="55815C20">
            <w:pPr>
              <w:adjustRightInd w:val="0"/>
              <w:snapToGrid w:val="0"/>
              <w:spacing w:line="360" w:lineRule="auto"/>
              <w:ind w:firstLine="480" w:firstLineChars="200"/>
              <w:rPr>
                <w:color w:val="auto"/>
                <w:sz w:val="24"/>
                <w:vertAlign w:val="subscript"/>
              </w:rPr>
            </w:pPr>
            <w:r>
              <w:rPr>
                <w:rFonts w:hint="eastAsia"/>
                <w:bCs/>
                <w:color w:val="auto"/>
                <w:sz w:val="24"/>
              </w:rPr>
              <w:t>昼间等效A声级、夜间等效A声级</w:t>
            </w:r>
          </w:p>
          <w:p w14:paraId="50789C62">
            <w:pPr>
              <w:autoSpaceDE w:val="0"/>
              <w:autoSpaceDN w:val="0"/>
              <w:adjustRightInd w:val="0"/>
              <w:snapToGrid w:val="0"/>
              <w:spacing w:line="360" w:lineRule="auto"/>
              <w:ind w:firstLine="480" w:firstLineChars="200"/>
              <w:rPr>
                <w:color w:val="auto"/>
                <w:kern w:val="0"/>
                <w:sz w:val="24"/>
              </w:rPr>
            </w:pPr>
            <w:r>
              <w:rPr>
                <w:rFonts w:hint="eastAsia"/>
                <w:color w:val="auto"/>
                <w:kern w:val="0"/>
                <w:sz w:val="24"/>
              </w:rPr>
              <w:t>（2）</w:t>
            </w:r>
            <w:r>
              <w:rPr>
                <w:color w:val="auto"/>
                <w:kern w:val="0"/>
                <w:sz w:val="24"/>
              </w:rPr>
              <w:t>监测时间</w:t>
            </w:r>
          </w:p>
          <w:p w14:paraId="47A47EB2">
            <w:pPr>
              <w:adjustRightInd w:val="0"/>
              <w:snapToGrid w:val="0"/>
              <w:spacing w:line="360" w:lineRule="auto"/>
              <w:ind w:firstLine="480" w:firstLineChars="200"/>
              <w:rPr>
                <w:color w:val="auto"/>
                <w:sz w:val="24"/>
              </w:rPr>
            </w:pPr>
            <w:r>
              <w:rPr>
                <w:color w:val="auto"/>
                <w:sz w:val="24"/>
                <w:szCs w:val="21"/>
                <w:lang w:bidi="ar"/>
              </w:rPr>
              <w:t>20</w:t>
            </w:r>
            <w:r>
              <w:rPr>
                <w:rFonts w:hint="eastAsia"/>
                <w:color w:val="auto"/>
                <w:sz w:val="24"/>
                <w:szCs w:val="21"/>
                <w:lang w:bidi="ar"/>
              </w:rPr>
              <w:t>25</w:t>
            </w:r>
            <w:r>
              <w:rPr>
                <w:color w:val="auto"/>
                <w:sz w:val="24"/>
                <w:szCs w:val="21"/>
                <w:lang w:bidi="ar"/>
              </w:rPr>
              <w:t>年</w:t>
            </w:r>
            <w:r>
              <w:rPr>
                <w:rFonts w:hint="eastAsia"/>
                <w:color w:val="auto"/>
                <w:sz w:val="24"/>
                <w:szCs w:val="21"/>
                <w:lang w:bidi="ar"/>
              </w:rPr>
              <w:t>1</w:t>
            </w:r>
            <w:r>
              <w:rPr>
                <w:color w:val="auto"/>
                <w:sz w:val="24"/>
                <w:szCs w:val="21"/>
                <w:lang w:bidi="ar"/>
              </w:rPr>
              <w:t>月</w:t>
            </w:r>
            <w:r>
              <w:rPr>
                <w:rFonts w:hint="eastAsia"/>
                <w:color w:val="auto"/>
                <w:sz w:val="24"/>
                <w:szCs w:val="21"/>
                <w:lang w:bidi="ar"/>
              </w:rPr>
              <w:t>14</w:t>
            </w:r>
            <w:r>
              <w:rPr>
                <w:color w:val="auto"/>
                <w:sz w:val="24"/>
                <w:szCs w:val="21"/>
                <w:lang w:bidi="ar"/>
              </w:rPr>
              <w:t>日</w:t>
            </w:r>
          </w:p>
          <w:p w14:paraId="46DDC256">
            <w:pPr>
              <w:adjustRightInd w:val="0"/>
              <w:snapToGrid w:val="0"/>
              <w:spacing w:line="360" w:lineRule="auto"/>
              <w:ind w:firstLine="480" w:firstLineChars="200"/>
              <w:rPr>
                <w:color w:val="auto"/>
                <w:sz w:val="24"/>
              </w:rPr>
            </w:pPr>
            <w:r>
              <w:rPr>
                <w:rFonts w:hint="eastAsia"/>
                <w:color w:val="auto"/>
                <w:sz w:val="24"/>
              </w:rPr>
              <w:t>（3）</w:t>
            </w:r>
            <w:r>
              <w:rPr>
                <w:color w:val="auto"/>
                <w:sz w:val="24"/>
              </w:rPr>
              <w:t>监测</w:t>
            </w:r>
            <w:r>
              <w:rPr>
                <w:rFonts w:hint="eastAsia"/>
                <w:color w:val="auto"/>
                <w:sz w:val="24"/>
              </w:rPr>
              <w:t>点位</w:t>
            </w:r>
          </w:p>
          <w:p w14:paraId="4AFACA3D">
            <w:pPr>
              <w:adjustRightInd w:val="0"/>
              <w:snapToGrid w:val="0"/>
              <w:spacing w:line="360" w:lineRule="auto"/>
              <w:ind w:firstLine="480" w:firstLineChars="200"/>
              <w:rPr>
                <w:color w:val="auto"/>
                <w:sz w:val="24"/>
              </w:rPr>
            </w:pPr>
            <w:r>
              <w:rPr>
                <w:rFonts w:hint="eastAsia"/>
                <w:color w:val="auto"/>
                <w:kern w:val="0"/>
                <w:sz w:val="24"/>
              </w:rPr>
              <w:t>东侧白家庄村、南侧白家庄村，监测点位分布见附图4</w:t>
            </w:r>
            <w:r>
              <w:rPr>
                <w:color w:val="auto"/>
                <w:sz w:val="24"/>
              </w:rPr>
              <w:t>。</w:t>
            </w:r>
          </w:p>
          <w:p w14:paraId="4619650D">
            <w:pPr>
              <w:adjustRightInd w:val="0"/>
              <w:snapToGrid w:val="0"/>
              <w:spacing w:line="360" w:lineRule="auto"/>
              <w:ind w:firstLine="480" w:firstLineChars="200"/>
              <w:rPr>
                <w:color w:val="auto"/>
                <w:sz w:val="24"/>
              </w:rPr>
            </w:pPr>
            <w:r>
              <w:rPr>
                <w:rFonts w:hint="eastAsia"/>
                <w:color w:val="auto"/>
                <w:sz w:val="24"/>
              </w:rPr>
              <w:t>（4）</w:t>
            </w:r>
            <w:r>
              <w:rPr>
                <w:color w:val="auto"/>
                <w:sz w:val="24"/>
              </w:rPr>
              <w:t>监测频次</w:t>
            </w:r>
          </w:p>
          <w:p w14:paraId="3A6ACC04">
            <w:pPr>
              <w:adjustRightInd w:val="0"/>
              <w:snapToGrid w:val="0"/>
              <w:spacing w:line="360" w:lineRule="auto"/>
              <w:ind w:firstLine="480" w:firstLineChars="200"/>
              <w:rPr>
                <w:color w:val="auto"/>
                <w:sz w:val="24"/>
              </w:rPr>
            </w:pPr>
            <w:r>
              <w:rPr>
                <w:rFonts w:hint="eastAsia"/>
                <w:color w:val="auto"/>
                <w:sz w:val="24"/>
              </w:rPr>
              <w:t>监测1天，</w:t>
            </w:r>
            <w:r>
              <w:rPr>
                <w:color w:val="auto"/>
                <w:sz w:val="24"/>
              </w:rPr>
              <w:t>昼间和夜间各监测</w:t>
            </w:r>
            <w:r>
              <w:rPr>
                <w:rFonts w:hint="eastAsia"/>
                <w:color w:val="auto"/>
                <w:sz w:val="24"/>
              </w:rPr>
              <w:t>1</w:t>
            </w:r>
            <w:r>
              <w:rPr>
                <w:color w:val="auto"/>
                <w:sz w:val="24"/>
              </w:rPr>
              <w:t>次。</w:t>
            </w:r>
          </w:p>
          <w:p w14:paraId="6A76DF82">
            <w:pPr>
              <w:adjustRightInd w:val="0"/>
              <w:snapToGrid w:val="0"/>
              <w:spacing w:line="360" w:lineRule="auto"/>
              <w:ind w:firstLine="480" w:firstLineChars="200"/>
              <w:rPr>
                <w:color w:val="auto"/>
                <w:sz w:val="24"/>
              </w:rPr>
            </w:pPr>
            <w:r>
              <w:rPr>
                <w:rFonts w:hint="eastAsia"/>
                <w:color w:val="auto"/>
                <w:sz w:val="24"/>
              </w:rPr>
              <w:t>（5）</w:t>
            </w:r>
            <w:r>
              <w:rPr>
                <w:color w:val="auto"/>
                <w:sz w:val="24"/>
              </w:rPr>
              <w:t>监测结果</w:t>
            </w:r>
          </w:p>
          <w:p w14:paraId="6CE92C44">
            <w:pPr>
              <w:pStyle w:val="85"/>
              <w:ind w:firstLine="480"/>
              <w:rPr>
                <w:rFonts w:hint="default"/>
                <w:color w:val="auto"/>
              </w:rPr>
            </w:pPr>
            <w:r>
              <w:rPr>
                <w:color w:val="auto"/>
              </w:rPr>
              <w:t>本项目所在区域执行《声环境质量标准》（GB 3096-2008）2类标准。</w:t>
            </w:r>
          </w:p>
          <w:p w14:paraId="1DA136B4">
            <w:pPr>
              <w:pStyle w:val="85"/>
              <w:ind w:firstLine="480"/>
              <w:rPr>
                <w:rFonts w:hint="default"/>
                <w:color w:val="auto"/>
              </w:rPr>
            </w:pPr>
            <w:r>
              <w:rPr>
                <w:color w:val="auto"/>
              </w:rPr>
              <w:t>监测结果见下表：</w:t>
            </w:r>
          </w:p>
          <w:p w14:paraId="1D8F0D1F">
            <w:pPr>
              <w:pStyle w:val="85"/>
              <w:spacing w:line="240" w:lineRule="auto"/>
              <w:ind w:firstLine="0" w:firstLineChars="0"/>
              <w:jc w:val="center"/>
              <w:rPr>
                <w:rFonts w:hint="default"/>
                <w:b/>
                <w:bCs/>
                <w:color w:val="auto"/>
                <w:kern w:val="21"/>
              </w:rPr>
            </w:pPr>
            <w:r>
              <w:rPr>
                <w:b/>
                <w:bCs/>
                <w:color w:val="auto"/>
              </w:rPr>
              <w:t>表3-3  声环境质量现状监测结果</w:t>
            </w:r>
          </w:p>
          <w:tbl>
            <w:tblPr>
              <w:tblStyle w:val="26"/>
              <w:tblW w:w="81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968"/>
              <w:gridCol w:w="1489"/>
              <w:gridCol w:w="1630"/>
              <w:gridCol w:w="2031"/>
            </w:tblGrid>
            <w:tr w14:paraId="6E7517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28" w:type="pct"/>
                  <w:vMerge w:val="restart"/>
                  <w:vAlign w:val="center"/>
                </w:tcPr>
                <w:p w14:paraId="26B8F436">
                  <w:pPr>
                    <w:adjustRightInd w:val="0"/>
                    <w:snapToGrid w:val="0"/>
                    <w:jc w:val="center"/>
                    <w:rPr>
                      <w:b/>
                      <w:bCs/>
                      <w:color w:val="auto"/>
                      <w:szCs w:val="21"/>
                    </w:rPr>
                  </w:pPr>
                  <w:r>
                    <w:rPr>
                      <w:b/>
                      <w:bCs/>
                      <w:color w:val="auto"/>
                      <w:szCs w:val="21"/>
                    </w:rPr>
                    <w:t>监测点位</w:t>
                  </w:r>
                </w:p>
              </w:tc>
              <w:tc>
                <w:tcPr>
                  <w:tcW w:w="1921" w:type="pct"/>
                  <w:gridSpan w:val="2"/>
                  <w:vAlign w:val="center"/>
                </w:tcPr>
                <w:p w14:paraId="6A8D06C4">
                  <w:pPr>
                    <w:adjustRightInd w:val="0"/>
                    <w:snapToGrid w:val="0"/>
                    <w:jc w:val="center"/>
                    <w:rPr>
                      <w:b/>
                      <w:bCs/>
                      <w:color w:val="auto"/>
                      <w:szCs w:val="21"/>
                    </w:rPr>
                  </w:pPr>
                  <w:r>
                    <w:rPr>
                      <w:b/>
                      <w:bCs/>
                      <w:color w:val="auto"/>
                      <w:szCs w:val="21"/>
                    </w:rPr>
                    <w:t>监测日期</w:t>
                  </w:r>
                  <w:r>
                    <w:rPr>
                      <w:rFonts w:hint="eastAsia"/>
                      <w:b/>
                      <w:bCs/>
                      <w:color w:val="auto"/>
                      <w:szCs w:val="21"/>
                    </w:rPr>
                    <w:t>2025年1月14日</w:t>
                  </w:r>
                </w:p>
              </w:tc>
              <w:tc>
                <w:tcPr>
                  <w:tcW w:w="1250" w:type="pct"/>
                  <w:vMerge w:val="restart"/>
                  <w:vAlign w:val="center"/>
                </w:tcPr>
                <w:p w14:paraId="74B076E2">
                  <w:pPr>
                    <w:adjustRightInd w:val="0"/>
                    <w:snapToGrid w:val="0"/>
                    <w:jc w:val="center"/>
                    <w:rPr>
                      <w:b/>
                      <w:bCs/>
                      <w:color w:val="auto"/>
                      <w:szCs w:val="21"/>
                    </w:rPr>
                  </w:pPr>
                  <w:r>
                    <w:rPr>
                      <w:b/>
                      <w:bCs/>
                      <w:color w:val="auto"/>
                      <w:szCs w:val="21"/>
                    </w:rPr>
                    <w:t>标准限值dB(A)</w:t>
                  </w:r>
                </w:p>
              </w:tc>
            </w:tr>
            <w:tr w14:paraId="2955E5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28" w:type="pct"/>
                  <w:vMerge w:val="continue"/>
                  <w:vAlign w:val="center"/>
                </w:tcPr>
                <w:p w14:paraId="73E1B416">
                  <w:pPr>
                    <w:adjustRightInd w:val="0"/>
                    <w:snapToGrid w:val="0"/>
                    <w:jc w:val="center"/>
                    <w:rPr>
                      <w:b/>
                      <w:bCs/>
                      <w:color w:val="auto"/>
                      <w:szCs w:val="21"/>
                    </w:rPr>
                  </w:pPr>
                </w:p>
              </w:tc>
              <w:tc>
                <w:tcPr>
                  <w:tcW w:w="917" w:type="pct"/>
                  <w:vAlign w:val="center"/>
                </w:tcPr>
                <w:p w14:paraId="18610B7A">
                  <w:pPr>
                    <w:adjustRightInd w:val="0"/>
                    <w:snapToGrid w:val="0"/>
                    <w:jc w:val="center"/>
                    <w:rPr>
                      <w:b/>
                      <w:bCs/>
                      <w:color w:val="auto"/>
                      <w:szCs w:val="21"/>
                    </w:rPr>
                  </w:pPr>
                  <w:r>
                    <w:rPr>
                      <w:b/>
                      <w:bCs/>
                      <w:color w:val="auto"/>
                      <w:szCs w:val="21"/>
                    </w:rPr>
                    <w:t>昼间</w:t>
                  </w:r>
                </w:p>
              </w:tc>
              <w:tc>
                <w:tcPr>
                  <w:tcW w:w="1004" w:type="pct"/>
                  <w:vAlign w:val="center"/>
                </w:tcPr>
                <w:p w14:paraId="75D71D14">
                  <w:pPr>
                    <w:adjustRightInd w:val="0"/>
                    <w:snapToGrid w:val="0"/>
                    <w:jc w:val="center"/>
                    <w:rPr>
                      <w:b/>
                      <w:bCs/>
                      <w:color w:val="auto"/>
                      <w:szCs w:val="21"/>
                    </w:rPr>
                  </w:pPr>
                  <w:r>
                    <w:rPr>
                      <w:b/>
                      <w:bCs/>
                      <w:color w:val="auto"/>
                      <w:szCs w:val="21"/>
                    </w:rPr>
                    <w:t>夜间</w:t>
                  </w:r>
                </w:p>
              </w:tc>
              <w:tc>
                <w:tcPr>
                  <w:tcW w:w="1250" w:type="pct"/>
                  <w:vMerge w:val="continue"/>
                  <w:vAlign w:val="center"/>
                </w:tcPr>
                <w:p w14:paraId="4D5BB714">
                  <w:pPr>
                    <w:adjustRightInd w:val="0"/>
                    <w:snapToGrid w:val="0"/>
                    <w:jc w:val="center"/>
                    <w:rPr>
                      <w:b/>
                      <w:bCs/>
                      <w:color w:val="auto"/>
                      <w:szCs w:val="21"/>
                    </w:rPr>
                  </w:pPr>
                </w:p>
              </w:tc>
            </w:tr>
            <w:tr w14:paraId="461576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28" w:type="pct"/>
                  <w:vAlign w:val="center"/>
                </w:tcPr>
                <w:p w14:paraId="28F89393">
                  <w:pPr>
                    <w:adjustRightInd w:val="0"/>
                    <w:snapToGrid w:val="0"/>
                    <w:jc w:val="center"/>
                    <w:rPr>
                      <w:color w:val="auto"/>
                      <w:szCs w:val="21"/>
                    </w:rPr>
                  </w:pPr>
                  <w:r>
                    <w:rPr>
                      <w:rFonts w:hint="eastAsia"/>
                      <w:color w:val="auto"/>
                      <w:szCs w:val="21"/>
                    </w:rPr>
                    <w:t>东侧白家庄村1#</w:t>
                  </w:r>
                </w:p>
              </w:tc>
              <w:tc>
                <w:tcPr>
                  <w:tcW w:w="917" w:type="pct"/>
                  <w:vAlign w:val="center"/>
                </w:tcPr>
                <w:p w14:paraId="1C6C2233">
                  <w:pPr>
                    <w:adjustRightInd w:val="0"/>
                    <w:snapToGrid w:val="0"/>
                    <w:jc w:val="center"/>
                    <w:rPr>
                      <w:color w:val="auto"/>
                      <w:szCs w:val="21"/>
                    </w:rPr>
                  </w:pPr>
                  <w:r>
                    <w:rPr>
                      <w:rFonts w:hint="eastAsia"/>
                      <w:color w:val="auto"/>
                      <w:szCs w:val="21"/>
                    </w:rPr>
                    <w:t>54</w:t>
                  </w:r>
                </w:p>
              </w:tc>
              <w:tc>
                <w:tcPr>
                  <w:tcW w:w="1004" w:type="pct"/>
                  <w:vAlign w:val="center"/>
                </w:tcPr>
                <w:p w14:paraId="721A5541">
                  <w:pPr>
                    <w:adjustRightInd w:val="0"/>
                    <w:snapToGrid w:val="0"/>
                    <w:jc w:val="center"/>
                    <w:rPr>
                      <w:color w:val="auto"/>
                      <w:szCs w:val="21"/>
                    </w:rPr>
                  </w:pPr>
                  <w:r>
                    <w:rPr>
                      <w:rFonts w:hint="eastAsia"/>
                      <w:color w:val="auto"/>
                      <w:szCs w:val="21"/>
                    </w:rPr>
                    <w:t>44</w:t>
                  </w:r>
                </w:p>
              </w:tc>
              <w:tc>
                <w:tcPr>
                  <w:tcW w:w="1250" w:type="pct"/>
                  <w:vMerge w:val="restart"/>
                  <w:vAlign w:val="center"/>
                </w:tcPr>
                <w:p w14:paraId="5228A9C0">
                  <w:pPr>
                    <w:adjustRightInd w:val="0"/>
                    <w:snapToGrid w:val="0"/>
                    <w:jc w:val="center"/>
                    <w:rPr>
                      <w:color w:val="auto"/>
                      <w:szCs w:val="21"/>
                    </w:rPr>
                  </w:pPr>
                  <w:r>
                    <w:rPr>
                      <w:color w:val="auto"/>
                      <w:szCs w:val="21"/>
                    </w:rPr>
                    <w:t>昼间：6</w:t>
                  </w:r>
                  <w:r>
                    <w:rPr>
                      <w:rFonts w:hint="eastAsia"/>
                      <w:color w:val="auto"/>
                      <w:szCs w:val="21"/>
                    </w:rPr>
                    <w:t>0</w:t>
                  </w:r>
                </w:p>
                <w:p w14:paraId="43C16FAA">
                  <w:pPr>
                    <w:adjustRightInd w:val="0"/>
                    <w:snapToGrid w:val="0"/>
                    <w:jc w:val="center"/>
                    <w:rPr>
                      <w:color w:val="auto"/>
                      <w:szCs w:val="21"/>
                    </w:rPr>
                  </w:pPr>
                  <w:r>
                    <w:rPr>
                      <w:color w:val="auto"/>
                      <w:szCs w:val="21"/>
                    </w:rPr>
                    <w:t>夜间：</w:t>
                  </w:r>
                  <w:r>
                    <w:rPr>
                      <w:rFonts w:hint="eastAsia"/>
                      <w:color w:val="auto"/>
                      <w:szCs w:val="21"/>
                    </w:rPr>
                    <w:t>50</w:t>
                  </w:r>
                </w:p>
              </w:tc>
            </w:tr>
            <w:tr w14:paraId="78181F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28" w:type="pct"/>
                  <w:vAlign w:val="center"/>
                </w:tcPr>
                <w:p w14:paraId="08AFDCB8">
                  <w:pPr>
                    <w:adjustRightInd w:val="0"/>
                    <w:snapToGrid w:val="0"/>
                    <w:jc w:val="center"/>
                    <w:rPr>
                      <w:color w:val="auto"/>
                      <w:szCs w:val="21"/>
                    </w:rPr>
                  </w:pPr>
                  <w:r>
                    <w:rPr>
                      <w:rFonts w:hint="eastAsia"/>
                      <w:color w:val="auto"/>
                      <w:szCs w:val="21"/>
                    </w:rPr>
                    <w:t>南侧白家庄村2#</w:t>
                  </w:r>
                </w:p>
              </w:tc>
              <w:tc>
                <w:tcPr>
                  <w:tcW w:w="917" w:type="pct"/>
                  <w:vAlign w:val="center"/>
                </w:tcPr>
                <w:p w14:paraId="42ABC272">
                  <w:pPr>
                    <w:adjustRightInd w:val="0"/>
                    <w:snapToGrid w:val="0"/>
                    <w:jc w:val="center"/>
                    <w:rPr>
                      <w:color w:val="auto"/>
                      <w:szCs w:val="21"/>
                    </w:rPr>
                  </w:pPr>
                  <w:r>
                    <w:rPr>
                      <w:rFonts w:hint="eastAsia"/>
                      <w:color w:val="auto"/>
                      <w:szCs w:val="21"/>
                    </w:rPr>
                    <w:t>52</w:t>
                  </w:r>
                </w:p>
              </w:tc>
              <w:tc>
                <w:tcPr>
                  <w:tcW w:w="1004" w:type="pct"/>
                  <w:vAlign w:val="center"/>
                </w:tcPr>
                <w:p w14:paraId="20A056A8">
                  <w:pPr>
                    <w:adjustRightInd w:val="0"/>
                    <w:snapToGrid w:val="0"/>
                    <w:jc w:val="center"/>
                    <w:rPr>
                      <w:color w:val="auto"/>
                      <w:szCs w:val="21"/>
                    </w:rPr>
                  </w:pPr>
                  <w:r>
                    <w:rPr>
                      <w:rFonts w:hint="eastAsia"/>
                      <w:color w:val="auto"/>
                      <w:szCs w:val="21"/>
                    </w:rPr>
                    <w:t>43</w:t>
                  </w:r>
                </w:p>
              </w:tc>
              <w:tc>
                <w:tcPr>
                  <w:tcW w:w="1250" w:type="pct"/>
                  <w:vMerge w:val="continue"/>
                  <w:vAlign w:val="center"/>
                </w:tcPr>
                <w:p w14:paraId="6AD65C4C">
                  <w:pPr>
                    <w:pStyle w:val="33"/>
                    <w:spacing w:before="24" w:after="24"/>
                    <w:rPr>
                      <w:rFonts w:ascii="Times New Roman"/>
                      <w:color w:val="auto"/>
                      <w:szCs w:val="21"/>
                    </w:rPr>
                  </w:pPr>
                </w:p>
              </w:tc>
            </w:tr>
            <w:tr w14:paraId="38A46E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4"/>
                  <w:vAlign w:val="center"/>
                </w:tcPr>
                <w:p w14:paraId="27EF7DC0">
                  <w:pPr>
                    <w:pStyle w:val="33"/>
                    <w:spacing w:beforeLines="0" w:afterLines="0" w:line="240" w:lineRule="auto"/>
                    <w:jc w:val="both"/>
                    <w:rPr>
                      <w:rFonts w:ascii="Times New Roman"/>
                      <w:color w:val="auto"/>
                      <w:szCs w:val="21"/>
                    </w:rPr>
                  </w:pPr>
                  <w:r>
                    <w:rPr>
                      <w:rFonts w:hint="eastAsia" w:ascii="Times New Roman"/>
                      <w:color w:val="auto"/>
                      <w:szCs w:val="21"/>
                    </w:rPr>
                    <w:t>注：监测期间现有项目运行</w:t>
                  </w:r>
                </w:p>
              </w:tc>
            </w:tr>
          </w:tbl>
          <w:p w14:paraId="07EC4C76">
            <w:pPr>
              <w:adjustRightInd w:val="0"/>
              <w:snapToGrid w:val="0"/>
              <w:spacing w:before="120" w:beforeLines="50" w:line="360" w:lineRule="auto"/>
              <w:ind w:firstLine="480" w:firstLineChars="200"/>
              <w:rPr>
                <w:color w:val="auto"/>
              </w:rPr>
            </w:pPr>
            <w:r>
              <w:rPr>
                <w:color w:val="auto"/>
                <w:sz w:val="24"/>
              </w:rPr>
              <w:t>由表中监测数据可知，</w:t>
            </w:r>
            <w:bookmarkStart w:id="38" w:name="_Hlk533510394"/>
            <w:r>
              <w:rPr>
                <w:rFonts w:hint="eastAsia"/>
                <w:color w:val="auto"/>
                <w:sz w:val="24"/>
              </w:rPr>
              <w:t>本项目敏感点噪声监测值均</w:t>
            </w:r>
            <w:bookmarkEnd w:id="38"/>
            <w:r>
              <w:rPr>
                <w:rFonts w:hint="eastAsia"/>
                <w:color w:val="auto"/>
                <w:sz w:val="24"/>
              </w:rPr>
              <w:t>满足</w:t>
            </w:r>
            <w:r>
              <w:rPr>
                <w:color w:val="auto"/>
                <w:sz w:val="24"/>
              </w:rPr>
              <w:t>《声环境质量标准》（GB 3096-2008）2类标准</w:t>
            </w:r>
            <w:r>
              <w:rPr>
                <w:rFonts w:hint="eastAsia"/>
                <w:color w:val="auto"/>
                <w:sz w:val="24"/>
              </w:rPr>
              <w:t>要求。</w:t>
            </w:r>
          </w:p>
        </w:tc>
      </w:tr>
      <w:tr w14:paraId="14DAB7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0" w:type="dxa"/>
            <w:vAlign w:val="center"/>
          </w:tcPr>
          <w:p w14:paraId="62374F3E">
            <w:pPr>
              <w:adjustRightInd w:val="0"/>
              <w:snapToGrid w:val="0"/>
              <w:jc w:val="center"/>
              <w:rPr>
                <w:color w:val="auto"/>
                <w:kern w:val="0"/>
                <w:szCs w:val="21"/>
              </w:rPr>
            </w:pPr>
            <w:r>
              <w:rPr>
                <w:color w:val="auto"/>
                <w:kern w:val="0"/>
                <w:sz w:val="24"/>
              </w:rPr>
              <w:t>环境保护目标</w:t>
            </w:r>
          </w:p>
        </w:tc>
        <w:tc>
          <w:tcPr>
            <w:tcW w:w="8190" w:type="dxa"/>
            <w:vAlign w:val="center"/>
          </w:tcPr>
          <w:p w14:paraId="30FD20A5">
            <w:pPr>
              <w:pStyle w:val="21"/>
              <w:spacing w:before="120" w:beforeLines="50"/>
              <w:rPr>
                <w:color w:val="auto"/>
              </w:rPr>
            </w:pPr>
            <w:r>
              <w:rPr>
                <w:rFonts w:hint="eastAsia"/>
                <w:color w:val="auto"/>
              </w:rPr>
              <w:t>根据现场踏勘，本项目厂界外500m范围内不存在自然保护区、风景名胜区等保护目标；厂界外500m范围内不存在集中式饮用水水源、热水、矿泉水、温泉等特殊地下水资源。大气及声环境保护目标见下表：</w:t>
            </w:r>
          </w:p>
          <w:p w14:paraId="2C7D9258">
            <w:pPr>
              <w:pStyle w:val="7"/>
              <w:jc w:val="center"/>
              <w:rPr>
                <w:rFonts w:ascii="Times New Roman" w:hAnsi="Times New Roman" w:eastAsia="宋体"/>
                <w:b/>
                <w:color w:val="auto"/>
                <w:sz w:val="24"/>
              </w:rPr>
            </w:pPr>
            <w:r>
              <w:rPr>
                <w:rFonts w:ascii="Times New Roman" w:hAnsi="Times New Roman" w:eastAsia="宋体"/>
                <w:b/>
                <w:color w:val="auto"/>
                <w:sz w:val="24"/>
              </w:rPr>
              <w:t>表3-</w:t>
            </w:r>
            <w:r>
              <w:rPr>
                <w:rFonts w:hint="eastAsia" w:ascii="Times New Roman" w:hAnsi="Times New Roman" w:eastAsia="宋体"/>
                <w:b/>
                <w:color w:val="auto"/>
                <w:sz w:val="24"/>
              </w:rPr>
              <w:t xml:space="preserve">4 </w:t>
            </w:r>
            <w:r>
              <w:rPr>
                <w:rFonts w:ascii="Times New Roman" w:hAnsi="Times New Roman" w:eastAsia="宋体"/>
                <w:b/>
                <w:color w:val="auto"/>
                <w:sz w:val="24"/>
              </w:rPr>
              <w:t xml:space="preserve"> 主要环境保护目标一览表</w:t>
            </w:r>
          </w:p>
          <w:tbl>
            <w:tblPr>
              <w:tblStyle w:val="26"/>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6"/>
              <w:gridCol w:w="1397"/>
              <w:gridCol w:w="1239"/>
              <w:gridCol w:w="1091"/>
              <w:gridCol w:w="957"/>
              <w:gridCol w:w="1062"/>
              <w:gridCol w:w="1202"/>
            </w:tblGrid>
            <w:tr w14:paraId="0E9586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pct"/>
                  <w:vMerge w:val="restart"/>
                  <w:vAlign w:val="center"/>
                </w:tcPr>
                <w:p w14:paraId="5F57D641">
                  <w:pPr>
                    <w:widowControl/>
                    <w:jc w:val="center"/>
                    <w:rPr>
                      <w:b/>
                      <w:color w:val="auto"/>
                      <w:kern w:val="0"/>
                      <w:szCs w:val="21"/>
                    </w:rPr>
                  </w:pPr>
                  <w:r>
                    <w:rPr>
                      <w:b/>
                      <w:color w:val="auto"/>
                      <w:kern w:val="0"/>
                      <w:szCs w:val="21"/>
                    </w:rPr>
                    <w:t>环境要素</w:t>
                  </w:r>
                </w:p>
              </w:tc>
              <w:tc>
                <w:tcPr>
                  <w:tcW w:w="1635" w:type="pct"/>
                  <w:gridSpan w:val="2"/>
                  <w:vAlign w:val="center"/>
                </w:tcPr>
                <w:p w14:paraId="4B825613">
                  <w:pPr>
                    <w:widowControl/>
                    <w:jc w:val="center"/>
                    <w:rPr>
                      <w:b/>
                      <w:color w:val="auto"/>
                      <w:kern w:val="0"/>
                      <w:szCs w:val="21"/>
                    </w:rPr>
                  </w:pPr>
                  <w:r>
                    <w:rPr>
                      <w:b/>
                      <w:color w:val="auto"/>
                      <w:kern w:val="0"/>
                      <w:szCs w:val="21"/>
                    </w:rPr>
                    <w:t>坐标/°</w:t>
                  </w:r>
                </w:p>
              </w:tc>
              <w:tc>
                <w:tcPr>
                  <w:tcW w:w="677" w:type="pct"/>
                  <w:vMerge w:val="restart"/>
                  <w:vAlign w:val="center"/>
                </w:tcPr>
                <w:p w14:paraId="28A1649F">
                  <w:pPr>
                    <w:widowControl/>
                    <w:jc w:val="center"/>
                    <w:rPr>
                      <w:b/>
                      <w:color w:val="auto"/>
                      <w:kern w:val="0"/>
                      <w:szCs w:val="21"/>
                    </w:rPr>
                  </w:pPr>
                  <w:r>
                    <w:rPr>
                      <w:b/>
                      <w:color w:val="auto"/>
                      <w:kern w:val="0"/>
                      <w:szCs w:val="21"/>
                    </w:rPr>
                    <w:t>保护对象</w:t>
                  </w:r>
                </w:p>
              </w:tc>
              <w:tc>
                <w:tcPr>
                  <w:tcW w:w="594" w:type="pct"/>
                  <w:vMerge w:val="restart"/>
                  <w:vAlign w:val="center"/>
                </w:tcPr>
                <w:p w14:paraId="0B6ED399">
                  <w:pPr>
                    <w:widowControl/>
                    <w:jc w:val="center"/>
                    <w:rPr>
                      <w:b/>
                      <w:color w:val="auto"/>
                      <w:kern w:val="0"/>
                      <w:szCs w:val="21"/>
                    </w:rPr>
                  </w:pPr>
                  <w:r>
                    <w:rPr>
                      <w:b/>
                      <w:color w:val="auto"/>
                      <w:kern w:val="0"/>
                      <w:szCs w:val="21"/>
                    </w:rPr>
                    <w:t>环境功能区</w:t>
                  </w:r>
                </w:p>
              </w:tc>
              <w:tc>
                <w:tcPr>
                  <w:tcW w:w="659" w:type="pct"/>
                  <w:vMerge w:val="restart"/>
                  <w:vAlign w:val="center"/>
                </w:tcPr>
                <w:p w14:paraId="4AA00A31">
                  <w:pPr>
                    <w:widowControl/>
                    <w:jc w:val="center"/>
                    <w:rPr>
                      <w:b/>
                      <w:color w:val="auto"/>
                      <w:kern w:val="0"/>
                      <w:szCs w:val="21"/>
                    </w:rPr>
                  </w:pPr>
                  <w:r>
                    <w:rPr>
                      <w:b/>
                      <w:color w:val="auto"/>
                      <w:kern w:val="0"/>
                      <w:szCs w:val="21"/>
                    </w:rPr>
                    <w:t>相对厂址方位</w:t>
                  </w:r>
                </w:p>
              </w:tc>
              <w:tc>
                <w:tcPr>
                  <w:tcW w:w="746" w:type="pct"/>
                  <w:vMerge w:val="restart"/>
                  <w:vAlign w:val="center"/>
                </w:tcPr>
                <w:p w14:paraId="50B548D3">
                  <w:pPr>
                    <w:widowControl/>
                    <w:ind w:left="-105" w:leftChars="-50" w:right="-105" w:rightChars="-50"/>
                    <w:jc w:val="center"/>
                    <w:rPr>
                      <w:b/>
                      <w:color w:val="auto"/>
                      <w:kern w:val="0"/>
                      <w:szCs w:val="21"/>
                    </w:rPr>
                  </w:pPr>
                  <w:r>
                    <w:rPr>
                      <w:b/>
                      <w:color w:val="auto"/>
                      <w:kern w:val="0"/>
                      <w:szCs w:val="21"/>
                    </w:rPr>
                    <w:t>相对厂界距离*/m</w:t>
                  </w:r>
                </w:p>
              </w:tc>
            </w:tr>
            <w:tr w14:paraId="0F9FF7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pct"/>
                  <w:vMerge w:val="continue"/>
                  <w:vAlign w:val="center"/>
                </w:tcPr>
                <w:p w14:paraId="3AE3F5F8">
                  <w:pPr>
                    <w:widowControl/>
                    <w:jc w:val="left"/>
                    <w:rPr>
                      <w:color w:val="auto"/>
                      <w:kern w:val="0"/>
                      <w:szCs w:val="21"/>
                    </w:rPr>
                  </w:pPr>
                </w:p>
              </w:tc>
              <w:tc>
                <w:tcPr>
                  <w:tcW w:w="866" w:type="pct"/>
                  <w:vAlign w:val="center"/>
                </w:tcPr>
                <w:p w14:paraId="58D47809">
                  <w:pPr>
                    <w:widowControl/>
                    <w:jc w:val="center"/>
                    <w:rPr>
                      <w:b/>
                      <w:color w:val="auto"/>
                      <w:kern w:val="0"/>
                      <w:szCs w:val="21"/>
                    </w:rPr>
                  </w:pPr>
                  <w:r>
                    <w:rPr>
                      <w:b/>
                      <w:color w:val="auto"/>
                      <w:kern w:val="0"/>
                      <w:szCs w:val="21"/>
                    </w:rPr>
                    <w:t>经度</w:t>
                  </w:r>
                </w:p>
              </w:tc>
              <w:tc>
                <w:tcPr>
                  <w:tcW w:w="769" w:type="pct"/>
                  <w:vAlign w:val="center"/>
                </w:tcPr>
                <w:p w14:paraId="227832EB">
                  <w:pPr>
                    <w:widowControl/>
                    <w:jc w:val="center"/>
                    <w:rPr>
                      <w:b/>
                      <w:color w:val="auto"/>
                      <w:kern w:val="0"/>
                      <w:szCs w:val="21"/>
                    </w:rPr>
                  </w:pPr>
                  <w:r>
                    <w:rPr>
                      <w:b/>
                      <w:color w:val="auto"/>
                      <w:kern w:val="0"/>
                      <w:szCs w:val="21"/>
                    </w:rPr>
                    <w:t>纬度</w:t>
                  </w:r>
                </w:p>
              </w:tc>
              <w:tc>
                <w:tcPr>
                  <w:tcW w:w="677" w:type="pct"/>
                  <w:vMerge w:val="continue"/>
                  <w:vAlign w:val="center"/>
                </w:tcPr>
                <w:p w14:paraId="4E791EA1">
                  <w:pPr>
                    <w:widowControl/>
                    <w:jc w:val="left"/>
                    <w:rPr>
                      <w:color w:val="auto"/>
                      <w:kern w:val="0"/>
                      <w:szCs w:val="21"/>
                    </w:rPr>
                  </w:pPr>
                </w:p>
              </w:tc>
              <w:tc>
                <w:tcPr>
                  <w:tcW w:w="594" w:type="pct"/>
                  <w:vMerge w:val="continue"/>
                  <w:vAlign w:val="center"/>
                </w:tcPr>
                <w:p w14:paraId="3A46FCAA">
                  <w:pPr>
                    <w:widowControl/>
                    <w:jc w:val="left"/>
                    <w:rPr>
                      <w:color w:val="auto"/>
                      <w:kern w:val="0"/>
                      <w:szCs w:val="21"/>
                    </w:rPr>
                  </w:pPr>
                </w:p>
              </w:tc>
              <w:tc>
                <w:tcPr>
                  <w:tcW w:w="659" w:type="pct"/>
                  <w:vMerge w:val="continue"/>
                  <w:vAlign w:val="center"/>
                </w:tcPr>
                <w:p w14:paraId="3F7060B2">
                  <w:pPr>
                    <w:widowControl/>
                    <w:jc w:val="left"/>
                    <w:rPr>
                      <w:color w:val="auto"/>
                      <w:kern w:val="0"/>
                      <w:szCs w:val="21"/>
                    </w:rPr>
                  </w:pPr>
                </w:p>
              </w:tc>
              <w:tc>
                <w:tcPr>
                  <w:tcW w:w="746" w:type="pct"/>
                  <w:vMerge w:val="continue"/>
                  <w:vAlign w:val="center"/>
                </w:tcPr>
                <w:p w14:paraId="39B3329B">
                  <w:pPr>
                    <w:widowControl/>
                    <w:jc w:val="left"/>
                    <w:rPr>
                      <w:color w:val="auto"/>
                      <w:kern w:val="0"/>
                      <w:szCs w:val="21"/>
                    </w:rPr>
                  </w:pPr>
                </w:p>
              </w:tc>
            </w:tr>
            <w:tr w14:paraId="7D7CA0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pct"/>
                  <w:vMerge w:val="restart"/>
                  <w:vAlign w:val="center"/>
                </w:tcPr>
                <w:p w14:paraId="10BA8865">
                  <w:pPr>
                    <w:widowControl/>
                    <w:jc w:val="center"/>
                    <w:rPr>
                      <w:color w:val="auto"/>
                      <w:kern w:val="0"/>
                      <w:szCs w:val="21"/>
                    </w:rPr>
                  </w:pPr>
                  <w:r>
                    <w:rPr>
                      <w:color w:val="auto"/>
                      <w:kern w:val="0"/>
                      <w:szCs w:val="21"/>
                    </w:rPr>
                    <w:t>环境空气</w:t>
                  </w:r>
                </w:p>
              </w:tc>
              <w:tc>
                <w:tcPr>
                  <w:tcW w:w="866" w:type="pct"/>
                  <w:vAlign w:val="center"/>
                </w:tcPr>
                <w:p w14:paraId="6583A6AA">
                  <w:pPr>
                    <w:ind w:left="-105" w:leftChars="-50" w:right="-105" w:rightChars="-50"/>
                    <w:jc w:val="center"/>
                    <w:rPr>
                      <w:color w:val="auto"/>
                    </w:rPr>
                  </w:pPr>
                  <w:r>
                    <w:rPr>
                      <w:rFonts w:hint="eastAsia"/>
                      <w:color w:val="auto"/>
                    </w:rPr>
                    <w:t>108.76500466</w:t>
                  </w:r>
                </w:p>
              </w:tc>
              <w:tc>
                <w:tcPr>
                  <w:tcW w:w="769" w:type="pct"/>
                  <w:vAlign w:val="center"/>
                </w:tcPr>
                <w:p w14:paraId="319692C0">
                  <w:pPr>
                    <w:ind w:left="-105" w:leftChars="-50" w:right="-105" w:rightChars="-50"/>
                    <w:jc w:val="center"/>
                    <w:rPr>
                      <w:color w:val="auto"/>
                    </w:rPr>
                  </w:pPr>
                  <w:r>
                    <w:rPr>
                      <w:rFonts w:hint="eastAsia"/>
                      <w:color w:val="auto"/>
                    </w:rPr>
                    <w:t>34.22540997</w:t>
                  </w:r>
                </w:p>
              </w:tc>
              <w:tc>
                <w:tcPr>
                  <w:tcW w:w="677" w:type="pct"/>
                  <w:vAlign w:val="center"/>
                </w:tcPr>
                <w:p w14:paraId="0BCCADE7">
                  <w:pPr>
                    <w:widowControl/>
                    <w:jc w:val="center"/>
                    <w:rPr>
                      <w:color w:val="auto"/>
                      <w:kern w:val="0"/>
                      <w:szCs w:val="21"/>
                    </w:rPr>
                  </w:pPr>
                  <w:r>
                    <w:rPr>
                      <w:rFonts w:hint="eastAsia"/>
                      <w:color w:val="auto"/>
                      <w:kern w:val="0"/>
                      <w:szCs w:val="21"/>
                    </w:rPr>
                    <w:t>花园村</w:t>
                  </w:r>
                </w:p>
              </w:tc>
              <w:tc>
                <w:tcPr>
                  <w:tcW w:w="594" w:type="pct"/>
                  <w:vMerge w:val="restart"/>
                  <w:vAlign w:val="center"/>
                </w:tcPr>
                <w:p w14:paraId="2368566C">
                  <w:pPr>
                    <w:widowControl/>
                    <w:jc w:val="center"/>
                    <w:rPr>
                      <w:color w:val="auto"/>
                      <w:kern w:val="0"/>
                      <w:szCs w:val="21"/>
                    </w:rPr>
                  </w:pPr>
                  <w:r>
                    <w:rPr>
                      <w:color w:val="auto"/>
                      <w:kern w:val="0"/>
                      <w:szCs w:val="21"/>
                    </w:rPr>
                    <w:t>二类区</w:t>
                  </w:r>
                </w:p>
              </w:tc>
              <w:tc>
                <w:tcPr>
                  <w:tcW w:w="659" w:type="pct"/>
                  <w:vAlign w:val="center"/>
                </w:tcPr>
                <w:p w14:paraId="7DD70005">
                  <w:pPr>
                    <w:widowControl/>
                    <w:jc w:val="center"/>
                    <w:rPr>
                      <w:color w:val="auto"/>
                      <w:kern w:val="0"/>
                      <w:szCs w:val="21"/>
                    </w:rPr>
                  </w:pPr>
                  <w:r>
                    <w:rPr>
                      <w:rFonts w:hint="eastAsia"/>
                      <w:color w:val="auto"/>
                      <w:kern w:val="0"/>
                      <w:szCs w:val="21"/>
                    </w:rPr>
                    <w:t>西北</w:t>
                  </w:r>
                </w:p>
              </w:tc>
              <w:tc>
                <w:tcPr>
                  <w:tcW w:w="746" w:type="pct"/>
                  <w:vAlign w:val="center"/>
                </w:tcPr>
                <w:p w14:paraId="1086C041">
                  <w:pPr>
                    <w:widowControl/>
                    <w:jc w:val="center"/>
                    <w:rPr>
                      <w:color w:val="auto"/>
                      <w:kern w:val="0"/>
                      <w:szCs w:val="21"/>
                    </w:rPr>
                  </w:pPr>
                  <w:r>
                    <w:rPr>
                      <w:rFonts w:hint="eastAsia"/>
                      <w:color w:val="auto"/>
                      <w:kern w:val="0"/>
                      <w:szCs w:val="21"/>
                    </w:rPr>
                    <w:t>324</w:t>
                  </w:r>
                </w:p>
              </w:tc>
            </w:tr>
            <w:tr w14:paraId="0AB070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pct"/>
                  <w:vMerge w:val="continue"/>
                  <w:vAlign w:val="center"/>
                </w:tcPr>
                <w:p w14:paraId="2200ABBA">
                  <w:pPr>
                    <w:widowControl/>
                    <w:jc w:val="center"/>
                    <w:rPr>
                      <w:color w:val="auto"/>
                      <w:kern w:val="0"/>
                      <w:szCs w:val="21"/>
                    </w:rPr>
                  </w:pPr>
                </w:p>
              </w:tc>
              <w:tc>
                <w:tcPr>
                  <w:tcW w:w="866" w:type="pct"/>
                  <w:vAlign w:val="center"/>
                </w:tcPr>
                <w:p w14:paraId="7DCAD2BF">
                  <w:pPr>
                    <w:ind w:left="-105" w:leftChars="-50" w:right="-105" w:rightChars="-50"/>
                    <w:jc w:val="center"/>
                    <w:rPr>
                      <w:color w:val="auto"/>
                    </w:rPr>
                  </w:pPr>
                  <w:r>
                    <w:rPr>
                      <w:rFonts w:hint="eastAsia"/>
                      <w:color w:val="auto"/>
                    </w:rPr>
                    <w:t>108.76896327</w:t>
                  </w:r>
                </w:p>
              </w:tc>
              <w:tc>
                <w:tcPr>
                  <w:tcW w:w="769" w:type="pct"/>
                  <w:vAlign w:val="center"/>
                </w:tcPr>
                <w:p w14:paraId="3A8B6A49">
                  <w:pPr>
                    <w:ind w:left="-105" w:leftChars="-50" w:right="-105" w:rightChars="-50"/>
                    <w:jc w:val="center"/>
                    <w:rPr>
                      <w:color w:val="auto"/>
                    </w:rPr>
                  </w:pPr>
                  <w:r>
                    <w:rPr>
                      <w:rFonts w:hint="eastAsia"/>
                      <w:color w:val="auto"/>
                    </w:rPr>
                    <w:t>34.22368664</w:t>
                  </w:r>
                </w:p>
              </w:tc>
              <w:tc>
                <w:tcPr>
                  <w:tcW w:w="677" w:type="pct"/>
                  <w:vAlign w:val="center"/>
                </w:tcPr>
                <w:p w14:paraId="4F47F533">
                  <w:pPr>
                    <w:widowControl/>
                    <w:jc w:val="center"/>
                    <w:rPr>
                      <w:color w:val="auto"/>
                      <w:kern w:val="0"/>
                      <w:szCs w:val="21"/>
                    </w:rPr>
                  </w:pPr>
                  <w:r>
                    <w:rPr>
                      <w:rFonts w:hint="eastAsia"/>
                      <w:color w:val="auto"/>
                      <w:kern w:val="0"/>
                      <w:szCs w:val="21"/>
                    </w:rPr>
                    <w:t>白家庄村</w:t>
                  </w:r>
                </w:p>
              </w:tc>
              <w:tc>
                <w:tcPr>
                  <w:tcW w:w="594" w:type="pct"/>
                  <w:vMerge w:val="continue"/>
                  <w:vAlign w:val="center"/>
                </w:tcPr>
                <w:p w14:paraId="68FBEEAD">
                  <w:pPr>
                    <w:widowControl/>
                    <w:jc w:val="left"/>
                    <w:rPr>
                      <w:color w:val="auto"/>
                      <w:kern w:val="0"/>
                      <w:szCs w:val="21"/>
                    </w:rPr>
                  </w:pPr>
                </w:p>
              </w:tc>
              <w:tc>
                <w:tcPr>
                  <w:tcW w:w="659" w:type="pct"/>
                  <w:vAlign w:val="center"/>
                </w:tcPr>
                <w:p w14:paraId="2F2B8133">
                  <w:pPr>
                    <w:widowControl/>
                    <w:jc w:val="center"/>
                    <w:rPr>
                      <w:color w:val="auto"/>
                      <w:kern w:val="0"/>
                      <w:szCs w:val="21"/>
                    </w:rPr>
                  </w:pPr>
                  <w:r>
                    <w:rPr>
                      <w:rFonts w:hint="eastAsia"/>
                      <w:color w:val="auto"/>
                      <w:kern w:val="0"/>
                      <w:szCs w:val="21"/>
                    </w:rPr>
                    <w:t>东南</w:t>
                  </w:r>
                </w:p>
              </w:tc>
              <w:tc>
                <w:tcPr>
                  <w:tcW w:w="746" w:type="pct"/>
                  <w:vAlign w:val="center"/>
                </w:tcPr>
                <w:p w14:paraId="3CD184B8">
                  <w:pPr>
                    <w:widowControl/>
                    <w:jc w:val="center"/>
                    <w:rPr>
                      <w:color w:val="auto"/>
                      <w:kern w:val="0"/>
                      <w:szCs w:val="21"/>
                    </w:rPr>
                  </w:pPr>
                  <w:r>
                    <w:rPr>
                      <w:rFonts w:hint="eastAsia"/>
                      <w:color w:val="auto"/>
                      <w:kern w:val="0"/>
                      <w:szCs w:val="21"/>
                    </w:rPr>
                    <w:t>15</w:t>
                  </w:r>
                </w:p>
              </w:tc>
            </w:tr>
            <w:tr w14:paraId="63539B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pct"/>
                  <w:vMerge w:val="continue"/>
                  <w:vAlign w:val="center"/>
                </w:tcPr>
                <w:p w14:paraId="6E08B01C">
                  <w:pPr>
                    <w:widowControl/>
                    <w:jc w:val="center"/>
                    <w:rPr>
                      <w:color w:val="auto"/>
                      <w:kern w:val="0"/>
                      <w:szCs w:val="21"/>
                    </w:rPr>
                  </w:pPr>
                </w:p>
              </w:tc>
              <w:tc>
                <w:tcPr>
                  <w:tcW w:w="866" w:type="pct"/>
                  <w:vAlign w:val="center"/>
                </w:tcPr>
                <w:p w14:paraId="4A2905D1">
                  <w:pPr>
                    <w:ind w:left="-105" w:leftChars="-50" w:right="-105" w:rightChars="-50"/>
                    <w:jc w:val="center"/>
                    <w:rPr>
                      <w:color w:val="auto"/>
                    </w:rPr>
                  </w:pPr>
                  <w:r>
                    <w:rPr>
                      <w:rFonts w:hint="eastAsia"/>
                      <w:color w:val="auto"/>
                    </w:rPr>
                    <w:t>108.77003579</w:t>
                  </w:r>
                </w:p>
              </w:tc>
              <w:tc>
                <w:tcPr>
                  <w:tcW w:w="769" w:type="pct"/>
                  <w:vAlign w:val="center"/>
                </w:tcPr>
                <w:p w14:paraId="576B513D">
                  <w:pPr>
                    <w:ind w:left="-105" w:leftChars="-50" w:right="-105" w:rightChars="-50"/>
                    <w:jc w:val="center"/>
                    <w:rPr>
                      <w:color w:val="auto"/>
                    </w:rPr>
                  </w:pPr>
                  <w:r>
                    <w:rPr>
                      <w:rFonts w:hint="eastAsia"/>
                      <w:color w:val="auto"/>
                    </w:rPr>
                    <w:t>34.22116577</w:t>
                  </w:r>
                </w:p>
              </w:tc>
              <w:tc>
                <w:tcPr>
                  <w:tcW w:w="677" w:type="pct"/>
                  <w:vAlign w:val="center"/>
                </w:tcPr>
                <w:p w14:paraId="085DBC98">
                  <w:pPr>
                    <w:widowControl/>
                    <w:jc w:val="center"/>
                    <w:rPr>
                      <w:color w:val="auto"/>
                      <w:kern w:val="0"/>
                      <w:szCs w:val="21"/>
                    </w:rPr>
                  </w:pPr>
                  <w:r>
                    <w:rPr>
                      <w:rFonts w:hint="eastAsia"/>
                      <w:color w:val="auto"/>
                      <w:kern w:val="0"/>
                      <w:szCs w:val="21"/>
                    </w:rPr>
                    <w:t>常白南村</w:t>
                  </w:r>
                </w:p>
              </w:tc>
              <w:tc>
                <w:tcPr>
                  <w:tcW w:w="594" w:type="pct"/>
                  <w:vMerge w:val="continue"/>
                  <w:vAlign w:val="center"/>
                </w:tcPr>
                <w:p w14:paraId="48E6C6F2">
                  <w:pPr>
                    <w:widowControl/>
                    <w:jc w:val="left"/>
                    <w:rPr>
                      <w:color w:val="auto"/>
                      <w:kern w:val="0"/>
                      <w:szCs w:val="21"/>
                    </w:rPr>
                  </w:pPr>
                </w:p>
              </w:tc>
              <w:tc>
                <w:tcPr>
                  <w:tcW w:w="659" w:type="pct"/>
                  <w:vAlign w:val="center"/>
                </w:tcPr>
                <w:p w14:paraId="5257E7D4">
                  <w:pPr>
                    <w:widowControl/>
                    <w:jc w:val="center"/>
                    <w:rPr>
                      <w:color w:val="auto"/>
                      <w:kern w:val="0"/>
                      <w:szCs w:val="21"/>
                    </w:rPr>
                  </w:pPr>
                  <w:r>
                    <w:rPr>
                      <w:rFonts w:hint="eastAsia"/>
                      <w:color w:val="auto"/>
                      <w:kern w:val="0"/>
                      <w:szCs w:val="21"/>
                    </w:rPr>
                    <w:t>东南</w:t>
                  </w:r>
                </w:p>
              </w:tc>
              <w:tc>
                <w:tcPr>
                  <w:tcW w:w="746" w:type="pct"/>
                  <w:vAlign w:val="center"/>
                </w:tcPr>
                <w:p w14:paraId="7BBC0C4C">
                  <w:pPr>
                    <w:widowControl/>
                    <w:jc w:val="center"/>
                    <w:rPr>
                      <w:color w:val="auto"/>
                      <w:kern w:val="0"/>
                      <w:szCs w:val="21"/>
                    </w:rPr>
                  </w:pPr>
                  <w:r>
                    <w:rPr>
                      <w:rFonts w:hint="eastAsia"/>
                      <w:color w:val="auto"/>
                      <w:kern w:val="0"/>
                      <w:szCs w:val="21"/>
                    </w:rPr>
                    <w:t>312</w:t>
                  </w:r>
                </w:p>
              </w:tc>
            </w:tr>
            <w:tr w14:paraId="2F82FD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pct"/>
                  <w:vAlign w:val="center"/>
                </w:tcPr>
                <w:p w14:paraId="1147414C">
                  <w:pPr>
                    <w:widowControl/>
                    <w:jc w:val="center"/>
                    <w:rPr>
                      <w:color w:val="auto"/>
                      <w:kern w:val="0"/>
                      <w:szCs w:val="21"/>
                    </w:rPr>
                  </w:pPr>
                  <w:r>
                    <w:rPr>
                      <w:rFonts w:hint="eastAsia"/>
                      <w:color w:val="auto"/>
                      <w:kern w:val="0"/>
                      <w:szCs w:val="21"/>
                    </w:rPr>
                    <w:t>声环境</w:t>
                  </w:r>
                </w:p>
              </w:tc>
              <w:tc>
                <w:tcPr>
                  <w:tcW w:w="866" w:type="pct"/>
                  <w:vAlign w:val="center"/>
                </w:tcPr>
                <w:p w14:paraId="7C0B8417">
                  <w:pPr>
                    <w:ind w:left="-105" w:leftChars="-50" w:right="-105" w:rightChars="-50"/>
                    <w:jc w:val="center"/>
                    <w:rPr>
                      <w:color w:val="auto"/>
                    </w:rPr>
                  </w:pPr>
                  <w:r>
                    <w:rPr>
                      <w:rFonts w:hint="eastAsia"/>
                      <w:color w:val="auto"/>
                    </w:rPr>
                    <w:t>108.76896327</w:t>
                  </w:r>
                </w:p>
              </w:tc>
              <w:tc>
                <w:tcPr>
                  <w:tcW w:w="769" w:type="pct"/>
                  <w:vAlign w:val="center"/>
                </w:tcPr>
                <w:p w14:paraId="1B637A07">
                  <w:pPr>
                    <w:ind w:left="-105" w:leftChars="-50" w:right="-105" w:rightChars="-50"/>
                    <w:jc w:val="center"/>
                    <w:rPr>
                      <w:color w:val="auto"/>
                    </w:rPr>
                  </w:pPr>
                  <w:r>
                    <w:rPr>
                      <w:rFonts w:hint="eastAsia"/>
                      <w:color w:val="auto"/>
                    </w:rPr>
                    <w:t>34.22368664</w:t>
                  </w:r>
                </w:p>
              </w:tc>
              <w:tc>
                <w:tcPr>
                  <w:tcW w:w="677" w:type="pct"/>
                  <w:vAlign w:val="center"/>
                </w:tcPr>
                <w:p w14:paraId="543F23BF">
                  <w:pPr>
                    <w:widowControl/>
                    <w:jc w:val="center"/>
                    <w:rPr>
                      <w:color w:val="auto"/>
                      <w:kern w:val="0"/>
                      <w:szCs w:val="21"/>
                    </w:rPr>
                  </w:pPr>
                  <w:r>
                    <w:rPr>
                      <w:rFonts w:hint="eastAsia"/>
                      <w:color w:val="auto"/>
                      <w:kern w:val="0"/>
                      <w:szCs w:val="21"/>
                    </w:rPr>
                    <w:t>白家庄村</w:t>
                  </w:r>
                </w:p>
              </w:tc>
              <w:tc>
                <w:tcPr>
                  <w:tcW w:w="594" w:type="pct"/>
                  <w:vAlign w:val="center"/>
                </w:tcPr>
                <w:p w14:paraId="34651264">
                  <w:pPr>
                    <w:widowControl/>
                    <w:jc w:val="center"/>
                    <w:rPr>
                      <w:color w:val="auto"/>
                      <w:kern w:val="0"/>
                      <w:szCs w:val="21"/>
                    </w:rPr>
                  </w:pPr>
                  <w:r>
                    <w:rPr>
                      <w:rFonts w:hint="eastAsia"/>
                      <w:color w:val="auto"/>
                      <w:kern w:val="0"/>
                      <w:szCs w:val="21"/>
                    </w:rPr>
                    <w:t>2类区</w:t>
                  </w:r>
                </w:p>
              </w:tc>
              <w:tc>
                <w:tcPr>
                  <w:tcW w:w="659" w:type="pct"/>
                  <w:vAlign w:val="center"/>
                </w:tcPr>
                <w:p w14:paraId="326DB849">
                  <w:pPr>
                    <w:widowControl/>
                    <w:jc w:val="center"/>
                    <w:rPr>
                      <w:color w:val="auto"/>
                      <w:kern w:val="0"/>
                      <w:szCs w:val="21"/>
                    </w:rPr>
                  </w:pPr>
                  <w:r>
                    <w:rPr>
                      <w:rFonts w:hint="eastAsia"/>
                      <w:color w:val="auto"/>
                      <w:kern w:val="0"/>
                      <w:szCs w:val="21"/>
                    </w:rPr>
                    <w:t>东南</w:t>
                  </w:r>
                </w:p>
              </w:tc>
              <w:tc>
                <w:tcPr>
                  <w:tcW w:w="746" w:type="pct"/>
                  <w:vAlign w:val="center"/>
                </w:tcPr>
                <w:p w14:paraId="0063D059">
                  <w:pPr>
                    <w:widowControl/>
                    <w:jc w:val="center"/>
                    <w:rPr>
                      <w:color w:val="auto"/>
                      <w:kern w:val="0"/>
                      <w:szCs w:val="21"/>
                    </w:rPr>
                  </w:pPr>
                  <w:r>
                    <w:rPr>
                      <w:rFonts w:hint="eastAsia"/>
                      <w:color w:val="auto"/>
                      <w:kern w:val="0"/>
                      <w:szCs w:val="21"/>
                    </w:rPr>
                    <w:t>15</w:t>
                  </w:r>
                </w:p>
              </w:tc>
            </w:tr>
          </w:tbl>
          <w:p w14:paraId="4EBBB219">
            <w:pPr>
              <w:adjustRightInd w:val="0"/>
              <w:snapToGrid w:val="0"/>
              <w:spacing w:line="360" w:lineRule="auto"/>
              <w:ind w:firstLine="420" w:firstLineChars="200"/>
              <w:rPr>
                <w:color w:val="auto"/>
                <w:kern w:val="0"/>
                <w:szCs w:val="21"/>
              </w:rPr>
            </w:pPr>
          </w:p>
        </w:tc>
      </w:tr>
      <w:tr w14:paraId="1524C3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0" w:type="dxa"/>
            <w:tcMar>
              <w:left w:w="28" w:type="dxa"/>
              <w:right w:w="28" w:type="dxa"/>
            </w:tcMar>
            <w:vAlign w:val="center"/>
          </w:tcPr>
          <w:p w14:paraId="24129DA3">
            <w:pPr>
              <w:adjustRightInd w:val="0"/>
              <w:snapToGrid w:val="0"/>
              <w:jc w:val="center"/>
              <w:rPr>
                <w:color w:val="auto"/>
                <w:kern w:val="0"/>
                <w:szCs w:val="21"/>
              </w:rPr>
            </w:pPr>
            <w:r>
              <w:rPr>
                <w:color w:val="auto"/>
                <w:kern w:val="0"/>
                <w:sz w:val="24"/>
              </w:rPr>
              <w:t>污染物排放控制标准</w:t>
            </w:r>
          </w:p>
        </w:tc>
        <w:tc>
          <w:tcPr>
            <w:tcW w:w="8190" w:type="dxa"/>
            <w:vAlign w:val="center"/>
          </w:tcPr>
          <w:p w14:paraId="561E21AF">
            <w:pPr>
              <w:spacing w:before="120" w:beforeLines="50" w:line="360" w:lineRule="auto"/>
              <w:ind w:firstLine="482" w:firstLineChars="200"/>
              <w:rPr>
                <w:b/>
                <w:bCs/>
                <w:color w:val="auto"/>
                <w:sz w:val="24"/>
              </w:rPr>
            </w:pPr>
            <w:r>
              <w:rPr>
                <w:rFonts w:hint="eastAsia"/>
                <w:b/>
                <w:bCs/>
                <w:color w:val="auto"/>
                <w:sz w:val="24"/>
              </w:rPr>
              <w:t>1</w:t>
            </w:r>
            <w:r>
              <w:rPr>
                <w:b/>
                <w:bCs/>
                <w:color w:val="auto"/>
                <w:sz w:val="24"/>
              </w:rPr>
              <w:t>、废气</w:t>
            </w:r>
          </w:p>
          <w:p w14:paraId="3D909ED7">
            <w:pPr>
              <w:spacing w:line="360" w:lineRule="auto"/>
              <w:ind w:firstLine="480" w:firstLineChars="200"/>
              <w:rPr>
                <w:color w:val="auto"/>
                <w:sz w:val="24"/>
              </w:rPr>
            </w:pPr>
            <w:r>
              <w:rPr>
                <w:rFonts w:hint="eastAsia"/>
                <w:color w:val="auto"/>
                <w:sz w:val="24"/>
              </w:rPr>
              <w:t>施工期扬尘执行《施工场界扬尘排放限值》（DB61/1078-2017）中的浓度限值。</w:t>
            </w:r>
          </w:p>
          <w:p w14:paraId="6DF06583">
            <w:pPr>
              <w:spacing w:line="360" w:lineRule="auto"/>
              <w:ind w:firstLine="480" w:firstLineChars="200"/>
              <w:rPr>
                <w:color w:val="auto"/>
                <w:sz w:val="24"/>
              </w:rPr>
            </w:pPr>
            <w:r>
              <w:rPr>
                <w:color w:val="auto"/>
                <w:sz w:val="24"/>
              </w:rPr>
              <w:t>运营期</w:t>
            </w:r>
            <w:r>
              <w:rPr>
                <w:rFonts w:hint="eastAsia"/>
                <w:color w:val="auto"/>
                <w:sz w:val="24"/>
              </w:rPr>
              <w:t>非甲烷总烃排放执行《合成树脂工业污染物排放标准GB 31572-2015（含2024年修改单）》表5大气污染物特别排放限值、厂界非甲烷总烃、颗粒物执行《合成树脂工业污染物排放标准》表9企业边界大气污染物浓度限值；厂区内非甲烷总烃执行《挥发性有机物无组织排放控制标准》（GB37822-2019）表 A.1厂区内无组织特别排放限值要求。</w:t>
            </w:r>
          </w:p>
          <w:p w14:paraId="51670A5B">
            <w:pPr>
              <w:pStyle w:val="7"/>
              <w:jc w:val="center"/>
              <w:rPr>
                <w:rFonts w:ascii="Times New Roman" w:hAnsi="Times New Roman" w:eastAsia="宋体"/>
                <w:b/>
                <w:color w:val="auto"/>
                <w:sz w:val="24"/>
              </w:rPr>
            </w:pPr>
            <w:r>
              <w:rPr>
                <w:rFonts w:ascii="Times New Roman" w:hAnsi="Times New Roman" w:eastAsia="宋体"/>
                <w:b/>
                <w:color w:val="auto"/>
                <w:sz w:val="24"/>
              </w:rPr>
              <w:t>表3-</w:t>
            </w:r>
            <w:r>
              <w:rPr>
                <w:rFonts w:hint="eastAsia" w:ascii="Times New Roman" w:hAnsi="Times New Roman" w:eastAsia="宋体"/>
                <w:b/>
                <w:color w:val="auto"/>
                <w:sz w:val="24"/>
              </w:rPr>
              <w:t>5</w:t>
            </w:r>
            <w:r>
              <w:rPr>
                <w:rFonts w:ascii="Times New Roman" w:hAnsi="Times New Roman" w:eastAsia="宋体"/>
                <w:b/>
                <w:color w:val="auto"/>
                <w:sz w:val="24"/>
              </w:rPr>
              <w:t xml:space="preserve">  </w:t>
            </w:r>
            <w:r>
              <w:rPr>
                <w:rFonts w:hint="eastAsia" w:ascii="Times New Roman" w:hAnsi="Times New Roman" w:eastAsia="宋体"/>
                <w:b/>
                <w:color w:val="auto"/>
                <w:sz w:val="24"/>
              </w:rPr>
              <w:t>施工期</w:t>
            </w:r>
            <w:r>
              <w:rPr>
                <w:rFonts w:ascii="Times New Roman" w:hAnsi="Times New Roman" w:eastAsia="宋体"/>
                <w:b/>
                <w:color w:val="auto"/>
                <w:sz w:val="24"/>
              </w:rPr>
              <w:t>大气污染物排放标准</w:t>
            </w:r>
          </w:p>
          <w:tbl>
            <w:tblPr>
              <w:tblStyle w:val="26"/>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92"/>
              <w:gridCol w:w="1641"/>
              <w:gridCol w:w="1612"/>
              <w:gridCol w:w="1612"/>
              <w:gridCol w:w="2197"/>
            </w:tblGrid>
            <w:tr w14:paraId="276084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616" w:type="pct"/>
                  <w:vAlign w:val="center"/>
                </w:tcPr>
                <w:p w14:paraId="0FB4B9D0">
                  <w:pPr>
                    <w:adjustRightInd w:val="0"/>
                    <w:snapToGrid w:val="0"/>
                    <w:ind w:left="-105" w:leftChars="-50" w:right="-105" w:rightChars="-50"/>
                    <w:jc w:val="center"/>
                    <w:rPr>
                      <w:b/>
                      <w:bCs/>
                      <w:color w:val="auto"/>
                      <w:szCs w:val="21"/>
                    </w:rPr>
                  </w:pPr>
                  <w:r>
                    <w:rPr>
                      <w:b/>
                      <w:bCs/>
                      <w:color w:val="auto"/>
                      <w:szCs w:val="21"/>
                    </w:rPr>
                    <w:t>污染物</w:t>
                  </w:r>
                </w:p>
              </w:tc>
              <w:tc>
                <w:tcPr>
                  <w:tcW w:w="1018" w:type="pct"/>
                  <w:vAlign w:val="center"/>
                </w:tcPr>
                <w:p w14:paraId="4D6AB658">
                  <w:pPr>
                    <w:adjustRightInd w:val="0"/>
                    <w:snapToGrid w:val="0"/>
                    <w:jc w:val="center"/>
                    <w:rPr>
                      <w:b/>
                      <w:bCs/>
                      <w:color w:val="auto"/>
                      <w:szCs w:val="21"/>
                    </w:rPr>
                  </w:pPr>
                  <w:r>
                    <w:rPr>
                      <w:b/>
                      <w:bCs/>
                      <w:color w:val="auto"/>
                      <w:szCs w:val="21"/>
                    </w:rPr>
                    <w:t>最高允许排放浓度（mg/m</w:t>
                  </w:r>
                  <w:r>
                    <w:rPr>
                      <w:b/>
                      <w:bCs/>
                      <w:color w:val="auto"/>
                      <w:szCs w:val="21"/>
                      <w:vertAlign w:val="superscript"/>
                    </w:rPr>
                    <w:t>3</w:t>
                  </w:r>
                  <w:r>
                    <w:rPr>
                      <w:b/>
                      <w:bCs/>
                      <w:color w:val="auto"/>
                      <w:szCs w:val="21"/>
                    </w:rPr>
                    <w:t>）</w:t>
                  </w:r>
                </w:p>
              </w:tc>
              <w:tc>
                <w:tcPr>
                  <w:tcW w:w="1000" w:type="pct"/>
                  <w:vAlign w:val="center"/>
                </w:tcPr>
                <w:p w14:paraId="7EFC43EE">
                  <w:pPr>
                    <w:adjustRightInd w:val="0"/>
                    <w:snapToGrid w:val="0"/>
                    <w:jc w:val="center"/>
                    <w:rPr>
                      <w:b/>
                      <w:bCs/>
                      <w:color w:val="auto"/>
                      <w:szCs w:val="21"/>
                    </w:rPr>
                  </w:pPr>
                  <w:r>
                    <w:rPr>
                      <w:rFonts w:hint="eastAsia"/>
                      <w:b/>
                      <w:bCs/>
                      <w:color w:val="auto"/>
                      <w:szCs w:val="21"/>
                    </w:rPr>
                    <w:t>施工阶段</w:t>
                  </w:r>
                </w:p>
              </w:tc>
              <w:tc>
                <w:tcPr>
                  <w:tcW w:w="1000" w:type="pct"/>
                  <w:vAlign w:val="center"/>
                </w:tcPr>
                <w:p w14:paraId="5D14D6A3">
                  <w:pPr>
                    <w:adjustRightInd w:val="0"/>
                    <w:snapToGrid w:val="0"/>
                    <w:jc w:val="center"/>
                    <w:rPr>
                      <w:b/>
                      <w:bCs/>
                      <w:color w:val="auto"/>
                      <w:szCs w:val="21"/>
                    </w:rPr>
                  </w:pPr>
                  <w:r>
                    <w:rPr>
                      <w:b/>
                      <w:bCs/>
                      <w:color w:val="auto"/>
                      <w:szCs w:val="21"/>
                    </w:rPr>
                    <w:t>监控点</w:t>
                  </w:r>
                </w:p>
              </w:tc>
              <w:tc>
                <w:tcPr>
                  <w:tcW w:w="1363" w:type="pct"/>
                  <w:vAlign w:val="center"/>
                </w:tcPr>
                <w:p w14:paraId="046370F9">
                  <w:pPr>
                    <w:adjustRightInd w:val="0"/>
                    <w:snapToGrid w:val="0"/>
                    <w:jc w:val="center"/>
                    <w:rPr>
                      <w:b/>
                      <w:bCs/>
                      <w:color w:val="auto"/>
                      <w:szCs w:val="21"/>
                    </w:rPr>
                  </w:pPr>
                  <w:r>
                    <w:rPr>
                      <w:b/>
                      <w:bCs/>
                      <w:color w:val="auto"/>
                      <w:szCs w:val="21"/>
                    </w:rPr>
                    <w:t>标准名称</w:t>
                  </w:r>
                </w:p>
              </w:tc>
            </w:tr>
            <w:tr w14:paraId="6251CD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616" w:type="pct"/>
                  <w:vAlign w:val="center"/>
                </w:tcPr>
                <w:p w14:paraId="6DC872BF">
                  <w:pPr>
                    <w:adjustRightInd w:val="0"/>
                    <w:snapToGrid w:val="0"/>
                    <w:ind w:left="-105" w:leftChars="-50" w:right="-105" w:rightChars="-50"/>
                    <w:jc w:val="center"/>
                    <w:rPr>
                      <w:color w:val="auto"/>
                      <w:szCs w:val="21"/>
                    </w:rPr>
                  </w:pPr>
                  <w:r>
                    <w:rPr>
                      <w:rFonts w:hint="eastAsia"/>
                      <w:color w:val="auto"/>
                      <w:szCs w:val="21"/>
                    </w:rPr>
                    <w:t>施工扬尘</w:t>
                  </w:r>
                </w:p>
              </w:tc>
              <w:tc>
                <w:tcPr>
                  <w:tcW w:w="1018" w:type="pct"/>
                  <w:vAlign w:val="center"/>
                </w:tcPr>
                <w:p w14:paraId="7C4ACA99">
                  <w:pPr>
                    <w:adjustRightInd w:val="0"/>
                    <w:snapToGrid w:val="0"/>
                    <w:jc w:val="center"/>
                    <w:rPr>
                      <w:color w:val="auto"/>
                      <w:szCs w:val="21"/>
                    </w:rPr>
                  </w:pPr>
                  <w:r>
                    <w:rPr>
                      <w:rFonts w:hint="eastAsia"/>
                      <w:color w:val="auto"/>
                      <w:szCs w:val="21"/>
                    </w:rPr>
                    <w:t>小时平均浓度限值≤0.7</w:t>
                  </w:r>
                </w:p>
              </w:tc>
              <w:tc>
                <w:tcPr>
                  <w:tcW w:w="1000" w:type="pct"/>
                  <w:vAlign w:val="center"/>
                </w:tcPr>
                <w:p w14:paraId="34D5DE5D">
                  <w:pPr>
                    <w:adjustRightInd w:val="0"/>
                    <w:snapToGrid w:val="0"/>
                    <w:jc w:val="center"/>
                    <w:rPr>
                      <w:color w:val="auto"/>
                      <w:szCs w:val="21"/>
                    </w:rPr>
                  </w:pPr>
                  <w:r>
                    <w:rPr>
                      <w:rFonts w:hint="eastAsia"/>
                      <w:color w:val="auto"/>
                      <w:szCs w:val="21"/>
                    </w:rPr>
                    <w:t>基础、主体结构及装饰工程</w:t>
                  </w:r>
                </w:p>
              </w:tc>
              <w:tc>
                <w:tcPr>
                  <w:tcW w:w="1000" w:type="pct"/>
                  <w:vAlign w:val="center"/>
                </w:tcPr>
                <w:p w14:paraId="0FB895D4">
                  <w:pPr>
                    <w:adjustRightInd w:val="0"/>
                    <w:snapToGrid w:val="0"/>
                    <w:jc w:val="center"/>
                    <w:rPr>
                      <w:color w:val="auto"/>
                      <w:szCs w:val="21"/>
                    </w:rPr>
                  </w:pPr>
                  <w:r>
                    <w:rPr>
                      <w:rFonts w:hint="eastAsia"/>
                      <w:color w:val="auto"/>
                      <w:szCs w:val="21"/>
                    </w:rPr>
                    <w:t>下风向周界外10m范围内</w:t>
                  </w:r>
                </w:p>
              </w:tc>
              <w:tc>
                <w:tcPr>
                  <w:tcW w:w="1363" w:type="pct"/>
                  <w:vAlign w:val="center"/>
                </w:tcPr>
                <w:p w14:paraId="27B0FB0D">
                  <w:pPr>
                    <w:adjustRightInd w:val="0"/>
                    <w:snapToGrid w:val="0"/>
                    <w:jc w:val="center"/>
                    <w:rPr>
                      <w:color w:val="auto"/>
                      <w:szCs w:val="21"/>
                    </w:rPr>
                  </w:pPr>
                  <w:r>
                    <w:rPr>
                      <w:color w:val="auto"/>
                      <w:szCs w:val="21"/>
                    </w:rPr>
                    <w:t>《施工场界扬尘排放限值》（DB61/1078-2017）</w:t>
                  </w:r>
                </w:p>
              </w:tc>
            </w:tr>
          </w:tbl>
          <w:p w14:paraId="2A64017D">
            <w:pPr>
              <w:pStyle w:val="65"/>
              <w:spacing w:before="120" w:beforeLines="50" w:line="240" w:lineRule="auto"/>
              <w:ind w:firstLine="0" w:firstLineChars="0"/>
              <w:jc w:val="center"/>
              <w:rPr>
                <w:rFonts w:hAnsi="Times New Roman" w:cs="Times New Roman"/>
                <w:b/>
                <w:bCs/>
                <w:color w:val="auto"/>
                <w:kern w:val="21"/>
                <w:szCs w:val="24"/>
              </w:rPr>
            </w:pPr>
            <w:r>
              <w:rPr>
                <w:rFonts w:hint="eastAsia" w:hAnsi="Times New Roman" w:cs="Times New Roman"/>
                <w:b/>
                <w:bCs/>
                <w:color w:val="auto"/>
                <w:kern w:val="21"/>
                <w:szCs w:val="24"/>
              </w:rPr>
              <w:t xml:space="preserve">表3-6  </w:t>
            </w:r>
            <w:r>
              <w:rPr>
                <w:b/>
                <w:color w:val="auto"/>
                <w:szCs w:val="21"/>
              </w:rPr>
              <w:t>运营期</w:t>
            </w:r>
            <w:r>
              <w:rPr>
                <w:rFonts w:hint="eastAsia" w:hAnsi="Times New Roman" w:cs="Times New Roman"/>
                <w:b/>
                <w:bCs/>
                <w:color w:val="auto"/>
                <w:kern w:val="21"/>
                <w:szCs w:val="24"/>
              </w:rPr>
              <w:t>大气污染物排放标准</w:t>
            </w:r>
          </w:p>
          <w:tbl>
            <w:tblPr>
              <w:tblStyle w:val="26"/>
              <w:tblW w:w="805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144"/>
              <w:gridCol w:w="1688"/>
              <w:gridCol w:w="1475"/>
              <w:gridCol w:w="2999"/>
            </w:tblGrid>
            <w:tr w14:paraId="48670F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pct"/>
                  <w:tcBorders>
                    <w:tl2br w:val="nil"/>
                    <w:tr2bl w:val="nil"/>
                  </w:tcBorders>
                  <w:vAlign w:val="center"/>
                </w:tcPr>
                <w:p w14:paraId="6CC3F495">
                  <w:pPr>
                    <w:adjustRightInd w:val="0"/>
                    <w:snapToGrid w:val="0"/>
                    <w:ind w:left="-105" w:leftChars="-50" w:right="-105" w:rightChars="-50"/>
                    <w:jc w:val="center"/>
                    <w:rPr>
                      <w:b/>
                      <w:bCs/>
                      <w:color w:val="auto"/>
                      <w:szCs w:val="21"/>
                    </w:rPr>
                  </w:pPr>
                  <w:r>
                    <w:rPr>
                      <w:b/>
                      <w:bCs/>
                      <w:color w:val="auto"/>
                      <w:szCs w:val="21"/>
                    </w:rPr>
                    <w:t>类别</w:t>
                  </w:r>
                </w:p>
              </w:tc>
              <w:tc>
                <w:tcPr>
                  <w:tcW w:w="710" w:type="pct"/>
                  <w:tcBorders>
                    <w:tl2br w:val="nil"/>
                    <w:tr2bl w:val="nil"/>
                  </w:tcBorders>
                  <w:vAlign w:val="center"/>
                </w:tcPr>
                <w:p w14:paraId="7D42AA9A">
                  <w:pPr>
                    <w:adjustRightInd w:val="0"/>
                    <w:snapToGrid w:val="0"/>
                    <w:ind w:left="-105" w:leftChars="-50" w:right="-105" w:rightChars="-50"/>
                    <w:jc w:val="center"/>
                    <w:rPr>
                      <w:b/>
                      <w:bCs/>
                      <w:color w:val="auto"/>
                      <w:szCs w:val="21"/>
                    </w:rPr>
                  </w:pPr>
                  <w:r>
                    <w:rPr>
                      <w:b/>
                      <w:bCs/>
                      <w:color w:val="auto"/>
                      <w:szCs w:val="21"/>
                    </w:rPr>
                    <w:t>污染物</w:t>
                  </w:r>
                </w:p>
              </w:tc>
              <w:tc>
                <w:tcPr>
                  <w:tcW w:w="1047" w:type="pct"/>
                  <w:tcBorders>
                    <w:tl2br w:val="nil"/>
                    <w:tr2bl w:val="nil"/>
                  </w:tcBorders>
                  <w:vAlign w:val="center"/>
                </w:tcPr>
                <w:p w14:paraId="7A715616">
                  <w:pPr>
                    <w:adjustRightInd w:val="0"/>
                    <w:snapToGrid w:val="0"/>
                    <w:ind w:left="-105" w:leftChars="-50" w:right="-105" w:rightChars="-50"/>
                    <w:jc w:val="center"/>
                    <w:rPr>
                      <w:b/>
                      <w:bCs/>
                      <w:color w:val="auto"/>
                      <w:szCs w:val="21"/>
                    </w:rPr>
                  </w:pPr>
                  <w:r>
                    <w:rPr>
                      <w:b/>
                      <w:bCs/>
                      <w:color w:val="auto"/>
                      <w:szCs w:val="21"/>
                    </w:rPr>
                    <w:t>排放限值mg/m³</w:t>
                  </w:r>
                </w:p>
              </w:tc>
              <w:tc>
                <w:tcPr>
                  <w:tcW w:w="915" w:type="pct"/>
                  <w:tcBorders>
                    <w:tl2br w:val="nil"/>
                    <w:tr2bl w:val="nil"/>
                  </w:tcBorders>
                  <w:vAlign w:val="center"/>
                </w:tcPr>
                <w:p w14:paraId="3A9CF2F0">
                  <w:pPr>
                    <w:adjustRightInd w:val="0"/>
                    <w:snapToGrid w:val="0"/>
                    <w:ind w:left="-105" w:leftChars="-50" w:right="-105" w:rightChars="-50"/>
                    <w:jc w:val="center"/>
                    <w:rPr>
                      <w:b/>
                      <w:bCs/>
                      <w:color w:val="auto"/>
                      <w:szCs w:val="21"/>
                    </w:rPr>
                  </w:pPr>
                  <w:r>
                    <w:rPr>
                      <w:rFonts w:hint="eastAsia"/>
                      <w:b/>
                      <w:bCs/>
                      <w:color w:val="auto"/>
                      <w:szCs w:val="21"/>
                    </w:rPr>
                    <w:t>监测点位</w:t>
                  </w:r>
                </w:p>
              </w:tc>
              <w:tc>
                <w:tcPr>
                  <w:tcW w:w="1861" w:type="pct"/>
                  <w:tcBorders>
                    <w:tl2br w:val="nil"/>
                    <w:tr2bl w:val="nil"/>
                  </w:tcBorders>
                  <w:vAlign w:val="center"/>
                </w:tcPr>
                <w:p w14:paraId="1285542D">
                  <w:pPr>
                    <w:adjustRightInd w:val="0"/>
                    <w:snapToGrid w:val="0"/>
                    <w:ind w:left="-105" w:leftChars="-50" w:right="-105" w:rightChars="-50"/>
                    <w:jc w:val="center"/>
                    <w:rPr>
                      <w:b/>
                      <w:bCs/>
                      <w:color w:val="auto"/>
                      <w:szCs w:val="21"/>
                    </w:rPr>
                  </w:pPr>
                  <w:r>
                    <w:rPr>
                      <w:b/>
                      <w:bCs/>
                      <w:color w:val="auto"/>
                      <w:szCs w:val="21"/>
                    </w:rPr>
                    <w:t>执行标准</w:t>
                  </w:r>
                </w:p>
              </w:tc>
            </w:tr>
            <w:tr w14:paraId="1DC0AF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464" w:type="pct"/>
                  <w:tcBorders>
                    <w:tl2br w:val="nil"/>
                    <w:tr2bl w:val="nil"/>
                  </w:tcBorders>
                  <w:vAlign w:val="center"/>
                </w:tcPr>
                <w:p w14:paraId="1F4765FB">
                  <w:pPr>
                    <w:adjustRightInd w:val="0"/>
                    <w:snapToGrid w:val="0"/>
                    <w:ind w:left="-105" w:leftChars="-50" w:right="-105" w:rightChars="-50"/>
                    <w:jc w:val="center"/>
                    <w:rPr>
                      <w:color w:val="auto"/>
                      <w:szCs w:val="21"/>
                    </w:rPr>
                  </w:pPr>
                  <w:r>
                    <w:rPr>
                      <w:rFonts w:hint="eastAsia"/>
                      <w:color w:val="auto"/>
                      <w:szCs w:val="21"/>
                    </w:rPr>
                    <w:t>有组织</w:t>
                  </w:r>
                </w:p>
              </w:tc>
              <w:tc>
                <w:tcPr>
                  <w:tcW w:w="710" w:type="pct"/>
                  <w:tcBorders>
                    <w:tl2br w:val="nil"/>
                    <w:tr2bl w:val="nil"/>
                  </w:tcBorders>
                  <w:vAlign w:val="center"/>
                </w:tcPr>
                <w:p w14:paraId="0DEE7BC0">
                  <w:pPr>
                    <w:adjustRightInd w:val="0"/>
                    <w:snapToGrid w:val="0"/>
                    <w:ind w:left="-105" w:leftChars="-50" w:right="-105" w:rightChars="-50"/>
                    <w:jc w:val="center"/>
                    <w:rPr>
                      <w:color w:val="auto"/>
                      <w:szCs w:val="21"/>
                    </w:rPr>
                  </w:pPr>
                  <w:r>
                    <w:rPr>
                      <w:rFonts w:hint="eastAsia"/>
                      <w:color w:val="auto"/>
                      <w:szCs w:val="21"/>
                    </w:rPr>
                    <w:t>非甲烷总烃</w:t>
                  </w:r>
                </w:p>
              </w:tc>
              <w:tc>
                <w:tcPr>
                  <w:tcW w:w="1047" w:type="pct"/>
                  <w:tcBorders>
                    <w:tl2br w:val="nil"/>
                    <w:tr2bl w:val="nil"/>
                  </w:tcBorders>
                  <w:vAlign w:val="center"/>
                </w:tcPr>
                <w:p w14:paraId="47CB31C3">
                  <w:pPr>
                    <w:adjustRightInd w:val="0"/>
                    <w:snapToGrid w:val="0"/>
                    <w:ind w:left="-105" w:leftChars="-50" w:right="-105" w:rightChars="-50"/>
                    <w:jc w:val="center"/>
                    <w:rPr>
                      <w:color w:val="auto"/>
                      <w:szCs w:val="21"/>
                    </w:rPr>
                  </w:pPr>
                  <w:r>
                    <w:rPr>
                      <w:rFonts w:hint="eastAsia"/>
                      <w:color w:val="auto"/>
                      <w:szCs w:val="21"/>
                    </w:rPr>
                    <w:t>60</w:t>
                  </w:r>
                </w:p>
              </w:tc>
              <w:tc>
                <w:tcPr>
                  <w:tcW w:w="915" w:type="pct"/>
                  <w:tcBorders>
                    <w:tl2br w:val="nil"/>
                    <w:tr2bl w:val="nil"/>
                  </w:tcBorders>
                  <w:vAlign w:val="center"/>
                </w:tcPr>
                <w:p w14:paraId="3F938752">
                  <w:pPr>
                    <w:adjustRightInd w:val="0"/>
                    <w:snapToGrid w:val="0"/>
                    <w:ind w:left="-105" w:leftChars="-50" w:right="-105" w:rightChars="-50"/>
                    <w:jc w:val="center"/>
                    <w:rPr>
                      <w:color w:val="auto"/>
                      <w:szCs w:val="21"/>
                    </w:rPr>
                  </w:pPr>
                  <w:r>
                    <w:rPr>
                      <w:rFonts w:hint="eastAsia"/>
                      <w:color w:val="auto"/>
                      <w:szCs w:val="21"/>
                    </w:rPr>
                    <w:t>车间或生产设施排气筒</w:t>
                  </w:r>
                </w:p>
              </w:tc>
              <w:tc>
                <w:tcPr>
                  <w:tcW w:w="1861" w:type="pct"/>
                  <w:tcBorders>
                    <w:tl2br w:val="nil"/>
                    <w:tr2bl w:val="nil"/>
                  </w:tcBorders>
                  <w:vAlign w:val="center"/>
                </w:tcPr>
                <w:p w14:paraId="57BF7BAA">
                  <w:pPr>
                    <w:adjustRightInd w:val="0"/>
                    <w:snapToGrid w:val="0"/>
                    <w:ind w:left="-105" w:leftChars="-50" w:right="-105" w:rightChars="-50"/>
                    <w:jc w:val="center"/>
                    <w:rPr>
                      <w:color w:val="auto"/>
                      <w:szCs w:val="21"/>
                    </w:rPr>
                  </w:pPr>
                  <w:r>
                    <w:rPr>
                      <w:rFonts w:hint="eastAsia"/>
                      <w:color w:val="auto"/>
                      <w:szCs w:val="21"/>
                    </w:rPr>
                    <w:t>《合成树脂工业污染物排放标准》（GB31572-2015）表5大气污染物特别排放限值</w:t>
                  </w:r>
                </w:p>
              </w:tc>
            </w:tr>
            <w:tr w14:paraId="5383BB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4" w:type="pct"/>
                  <w:vMerge w:val="restart"/>
                  <w:tcBorders>
                    <w:tl2br w:val="nil"/>
                    <w:tr2bl w:val="nil"/>
                  </w:tcBorders>
                  <w:vAlign w:val="center"/>
                </w:tcPr>
                <w:p w14:paraId="2BC7119D">
                  <w:pPr>
                    <w:adjustRightInd w:val="0"/>
                    <w:snapToGrid w:val="0"/>
                    <w:ind w:left="-105" w:leftChars="-50" w:right="-105" w:rightChars="-50"/>
                    <w:jc w:val="center"/>
                    <w:rPr>
                      <w:color w:val="auto"/>
                      <w:szCs w:val="21"/>
                    </w:rPr>
                  </w:pPr>
                  <w:r>
                    <w:rPr>
                      <w:rFonts w:hint="eastAsia"/>
                      <w:color w:val="auto"/>
                      <w:szCs w:val="21"/>
                    </w:rPr>
                    <w:t>无组织</w:t>
                  </w:r>
                </w:p>
              </w:tc>
              <w:tc>
                <w:tcPr>
                  <w:tcW w:w="710" w:type="pct"/>
                  <w:tcBorders>
                    <w:tl2br w:val="nil"/>
                    <w:tr2bl w:val="nil"/>
                  </w:tcBorders>
                  <w:vAlign w:val="center"/>
                </w:tcPr>
                <w:p w14:paraId="49D60344">
                  <w:pPr>
                    <w:adjustRightInd w:val="0"/>
                    <w:snapToGrid w:val="0"/>
                    <w:ind w:left="-105" w:leftChars="-50" w:right="-105" w:rightChars="-50"/>
                    <w:jc w:val="center"/>
                    <w:rPr>
                      <w:color w:val="auto"/>
                      <w:szCs w:val="21"/>
                    </w:rPr>
                  </w:pPr>
                  <w:r>
                    <w:rPr>
                      <w:rFonts w:hint="eastAsia"/>
                      <w:color w:val="auto"/>
                      <w:szCs w:val="21"/>
                    </w:rPr>
                    <w:t>非甲烷总烃</w:t>
                  </w:r>
                </w:p>
              </w:tc>
              <w:tc>
                <w:tcPr>
                  <w:tcW w:w="1047" w:type="pct"/>
                  <w:tcBorders>
                    <w:tl2br w:val="nil"/>
                    <w:tr2bl w:val="nil"/>
                  </w:tcBorders>
                  <w:vAlign w:val="center"/>
                </w:tcPr>
                <w:p w14:paraId="657761CC">
                  <w:pPr>
                    <w:adjustRightInd w:val="0"/>
                    <w:snapToGrid w:val="0"/>
                    <w:ind w:left="-105" w:leftChars="-50" w:right="-105" w:rightChars="-50"/>
                    <w:jc w:val="center"/>
                    <w:rPr>
                      <w:color w:val="auto"/>
                      <w:szCs w:val="21"/>
                    </w:rPr>
                  </w:pPr>
                  <w:r>
                    <w:rPr>
                      <w:rFonts w:hint="eastAsia"/>
                      <w:color w:val="auto"/>
                      <w:szCs w:val="21"/>
                    </w:rPr>
                    <w:t>4.0</w:t>
                  </w:r>
                </w:p>
              </w:tc>
              <w:tc>
                <w:tcPr>
                  <w:tcW w:w="915" w:type="pct"/>
                  <w:vMerge w:val="restart"/>
                  <w:tcBorders>
                    <w:tl2br w:val="nil"/>
                    <w:tr2bl w:val="nil"/>
                  </w:tcBorders>
                  <w:vAlign w:val="center"/>
                </w:tcPr>
                <w:p w14:paraId="61E5934D">
                  <w:pPr>
                    <w:adjustRightInd w:val="0"/>
                    <w:snapToGrid w:val="0"/>
                    <w:ind w:left="-105" w:leftChars="-50" w:right="-105" w:rightChars="-50"/>
                    <w:jc w:val="center"/>
                    <w:rPr>
                      <w:color w:val="auto"/>
                      <w:szCs w:val="21"/>
                    </w:rPr>
                  </w:pPr>
                  <w:r>
                    <w:rPr>
                      <w:rFonts w:hint="eastAsia"/>
                      <w:color w:val="auto"/>
                      <w:szCs w:val="21"/>
                    </w:rPr>
                    <w:t>企业边界</w:t>
                  </w:r>
                </w:p>
              </w:tc>
              <w:tc>
                <w:tcPr>
                  <w:tcW w:w="1861" w:type="pct"/>
                  <w:vMerge w:val="restart"/>
                  <w:tcBorders>
                    <w:tl2br w:val="nil"/>
                    <w:tr2bl w:val="nil"/>
                  </w:tcBorders>
                  <w:vAlign w:val="center"/>
                </w:tcPr>
                <w:p w14:paraId="36F17B7F">
                  <w:pPr>
                    <w:adjustRightInd w:val="0"/>
                    <w:snapToGrid w:val="0"/>
                    <w:ind w:left="-105" w:leftChars="-50" w:right="-105" w:rightChars="-50"/>
                    <w:jc w:val="center"/>
                    <w:rPr>
                      <w:color w:val="auto"/>
                      <w:szCs w:val="21"/>
                    </w:rPr>
                  </w:pPr>
                  <w:r>
                    <w:rPr>
                      <w:rFonts w:hint="eastAsia"/>
                      <w:color w:val="auto"/>
                      <w:szCs w:val="21"/>
                    </w:rPr>
                    <w:t>《合成树脂工业污染物排放标准》表9企业边界大气污染物浓度限值</w:t>
                  </w:r>
                </w:p>
              </w:tc>
            </w:tr>
            <w:tr w14:paraId="7CF7C7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4" w:type="pct"/>
                  <w:vMerge w:val="continue"/>
                  <w:tcBorders>
                    <w:tl2br w:val="nil"/>
                    <w:tr2bl w:val="nil"/>
                  </w:tcBorders>
                  <w:vAlign w:val="center"/>
                </w:tcPr>
                <w:p w14:paraId="7D88B641">
                  <w:pPr>
                    <w:adjustRightInd w:val="0"/>
                    <w:snapToGrid w:val="0"/>
                    <w:ind w:left="-105" w:leftChars="-50" w:right="-105" w:rightChars="-50"/>
                    <w:jc w:val="center"/>
                    <w:rPr>
                      <w:color w:val="auto"/>
                      <w:szCs w:val="21"/>
                    </w:rPr>
                  </w:pPr>
                </w:p>
              </w:tc>
              <w:tc>
                <w:tcPr>
                  <w:tcW w:w="710" w:type="pct"/>
                  <w:tcBorders>
                    <w:tl2br w:val="nil"/>
                    <w:tr2bl w:val="nil"/>
                  </w:tcBorders>
                  <w:vAlign w:val="center"/>
                </w:tcPr>
                <w:p w14:paraId="2CC94024">
                  <w:pPr>
                    <w:adjustRightInd w:val="0"/>
                    <w:snapToGrid w:val="0"/>
                    <w:ind w:left="-105" w:leftChars="-50" w:right="-105" w:rightChars="-50"/>
                    <w:jc w:val="center"/>
                    <w:rPr>
                      <w:color w:val="auto"/>
                      <w:szCs w:val="21"/>
                    </w:rPr>
                  </w:pPr>
                  <w:r>
                    <w:rPr>
                      <w:rFonts w:hint="eastAsia"/>
                      <w:color w:val="auto"/>
                      <w:szCs w:val="21"/>
                    </w:rPr>
                    <w:t>颗粒物</w:t>
                  </w:r>
                </w:p>
              </w:tc>
              <w:tc>
                <w:tcPr>
                  <w:tcW w:w="1047" w:type="pct"/>
                  <w:tcBorders>
                    <w:tl2br w:val="nil"/>
                    <w:tr2bl w:val="nil"/>
                  </w:tcBorders>
                  <w:vAlign w:val="center"/>
                </w:tcPr>
                <w:p w14:paraId="70BF8E0B">
                  <w:pPr>
                    <w:adjustRightInd w:val="0"/>
                    <w:snapToGrid w:val="0"/>
                    <w:ind w:left="-105" w:leftChars="-50" w:right="-105" w:rightChars="-50"/>
                    <w:jc w:val="center"/>
                    <w:rPr>
                      <w:color w:val="auto"/>
                      <w:szCs w:val="21"/>
                    </w:rPr>
                  </w:pPr>
                  <w:r>
                    <w:rPr>
                      <w:rFonts w:hint="eastAsia"/>
                      <w:color w:val="auto"/>
                      <w:szCs w:val="21"/>
                    </w:rPr>
                    <w:t>1.0</w:t>
                  </w:r>
                </w:p>
              </w:tc>
              <w:tc>
                <w:tcPr>
                  <w:tcW w:w="915" w:type="pct"/>
                  <w:vMerge w:val="continue"/>
                  <w:tcBorders>
                    <w:tl2br w:val="nil"/>
                    <w:tr2bl w:val="nil"/>
                  </w:tcBorders>
                  <w:vAlign w:val="center"/>
                </w:tcPr>
                <w:p w14:paraId="75C44F4A">
                  <w:pPr>
                    <w:adjustRightInd w:val="0"/>
                    <w:snapToGrid w:val="0"/>
                    <w:ind w:left="-105" w:leftChars="-50" w:right="-105" w:rightChars="-50"/>
                    <w:jc w:val="center"/>
                    <w:rPr>
                      <w:color w:val="auto"/>
                      <w:szCs w:val="21"/>
                    </w:rPr>
                  </w:pPr>
                </w:p>
              </w:tc>
              <w:tc>
                <w:tcPr>
                  <w:tcW w:w="1861" w:type="pct"/>
                  <w:vMerge w:val="continue"/>
                  <w:tcBorders>
                    <w:tl2br w:val="nil"/>
                    <w:tr2bl w:val="nil"/>
                  </w:tcBorders>
                  <w:vAlign w:val="center"/>
                </w:tcPr>
                <w:p w14:paraId="040D23D2">
                  <w:pPr>
                    <w:adjustRightInd w:val="0"/>
                    <w:snapToGrid w:val="0"/>
                    <w:ind w:left="-105" w:leftChars="-50" w:right="-105" w:rightChars="-50"/>
                    <w:jc w:val="center"/>
                    <w:rPr>
                      <w:color w:val="auto"/>
                      <w:szCs w:val="21"/>
                    </w:rPr>
                  </w:pPr>
                </w:p>
              </w:tc>
            </w:tr>
            <w:tr w14:paraId="7A5726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464" w:type="pct"/>
                  <w:vMerge w:val="continue"/>
                  <w:tcBorders>
                    <w:tl2br w:val="nil"/>
                    <w:tr2bl w:val="nil"/>
                  </w:tcBorders>
                  <w:vAlign w:val="center"/>
                </w:tcPr>
                <w:p w14:paraId="097121CA">
                  <w:pPr>
                    <w:adjustRightInd w:val="0"/>
                    <w:snapToGrid w:val="0"/>
                    <w:ind w:left="-105" w:leftChars="-50" w:right="-105" w:rightChars="-50"/>
                    <w:jc w:val="center"/>
                    <w:rPr>
                      <w:color w:val="auto"/>
                      <w:szCs w:val="21"/>
                    </w:rPr>
                  </w:pPr>
                </w:p>
              </w:tc>
              <w:tc>
                <w:tcPr>
                  <w:tcW w:w="710" w:type="pct"/>
                  <w:vMerge w:val="restart"/>
                  <w:tcBorders>
                    <w:tl2br w:val="nil"/>
                    <w:tr2bl w:val="nil"/>
                  </w:tcBorders>
                  <w:vAlign w:val="center"/>
                </w:tcPr>
                <w:p w14:paraId="1EEE2929">
                  <w:pPr>
                    <w:adjustRightInd w:val="0"/>
                    <w:snapToGrid w:val="0"/>
                    <w:ind w:left="-105" w:leftChars="-50" w:right="-105" w:rightChars="-50"/>
                    <w:jc w:val="center"/>
                    <w:rPr>
                      <w:color w:val="auto"/>
                      <w:szCs w:val="21"/>
                    </w:rPr>
                  </w:pPr>
                  <w:r>
                    <w:rPr>
                      <w:rFonts w:hint="eastAsia"/>
                      <w:color w:val="auto"/>
                      <w:szCs w:val="21"/>
                    </w:rPr>
                    <w:t>非甲烷总烃</w:t>
                  </w:r>
                </w:p>
              </w:tc>
              <w:tc>
                <w:tcPr>
                  <w:tcW w:w="1047" w:type="pct"/>
                  <w:tcBorders>
                    <w:tl2br w:val="nil"/>
                    <w:tr2bl w:val="nil"/>
                  </w:tcBorders>
                  <w:vAlign w:val="center"/>
                </w:tcPr>
                <w:p w14:paraId="0FD48819">
                  <w:pPr>
                    <w:adjustRightInd w:val="0"/>
                    <w:snapToGrid w:val="0"/>
                    <w:ind w:left="-105" w:leftChars="-50" w:right="-105" w:rightChars="-50"/>
                    <w:jc w:val="center"/>
                    <w:rPr>
                      <w:color w:val="auto"/>
                      <w:szCs w:val="21"/>
                    </w:rPr>
                  </w:pPr>
                  <w:r>
                    <w:rPr>
                      <w:rFonts w:hint="eastAsia"/>
                      <w:color w:val="auto"/>
                      <w:szCs w:val="21"/>
                    </w:rPr>
                    <w:t>6（监控点处1h平均浓度值）</w:t>
                  </w:r>
                </w:p>
              </w:tc>
              <w:tc>
                <w:tcPr>
                  <w:tcW w:w="915" w:type="pct"/>
                  <w:vMerge w:val="restart"/>
                  <w:tcBorders>
                    <w:tl2br w:val="nil"/>
                    <w:tr2bl w:val="nil"/>
                  </w:tcBorders>
                  <w:vAlign w:val="center"/>
                </w:tcPr>
                <w:p w14:paraId="2799C28B">
                  <w:pPr>
                    <w:adjustRightInd w:val="0"/>
                    <w:snapToGrid w:val="0"/>
                    <w:ind w:left="-105" w:leftChars="-50" w:right="-105" w:rightChars="-50"/>
                    <w:jc w:val="center"/>
                    <w:rPr>
                      <w:color w:val="auto"/>
                      <w:szCs w:val="21"/>
                    </w:rPr>
                  </w:pPr>
                  <w:r>
                    <w:rPr>
                      <w:rFonts w:hint="eastAsia"/>
                      <w:color w:val="auto"/>
                      <w:szCs w:val="21"/>
                    </w:rPr>
                    <w:t>厂区内</w:t>
                  </w:r>
                </w:p>
              </w:tc>
              <w:tc>
                <w:tcPr>
                  <w:tcW w:w="1861" w:type="pct"/>
                  <w:vMerge w:val="restart"/>
                  <w:tcBorders>
                    <w:tl2br w:val="nil"/>
                    <w:tr2bl w:val="nil"/>
                  </w:tcBorders>
                  <w:vAlign w:val="center"/>
                </w:tcPr>
                <w:p w14:paraId="1DF86F75">
                  <w:pPr>
                    <w:adjustRightInd w:val="0"/>
                    <w:snapToGrid w:val="0"/>
                    <w:ind w:left="-105" w:leftChars="-50" w:right="-105" w:rightChars="-50"/>
                    <w:jc w:val="center"/>
                    <w:rPr>
                      <w:color w:val="auto"/>
                      <w:szCs w:val="21"/>
                    </w:rPr>
                  </w:pPr>
                  <w:r>
                    <w:rPr>
                      <w:rFonts w:hint="eastAsia"/>
                      <w:color w:val="auto"/>
                      <w:szCs w:val="21"/>
                    </w:rPr>
                    <w:t>《挥发性有机物无组织排放控制标准》（GB37822-2019）表 A.1厂区内无组织特别排放限值要求</w:t>
                  </w:r>
                </w:p>
              </w:tc>
            </w:tr>
            <w:tr w14:paraId="464659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464" w:type="pct"/>
                  <w:vMerge w:val="continue"/>
                  <w:tcBorders>
                    <w:tl2br w:val="nil"/>
                    <w:tr2bl w:val="nil"/>
                  </w:tcBorders>
                  <w:vAlign w:val="center"/>
                </w:tcPr>
                <w:p w14:paraId="2CD79120">
                  <w:pPr>
                    <w:adjustRightInd w:val="0"/>
                    <w:snapToGrid w:val="0"/>
                    <w:ind w:left="-105" w:leftChars="-50" w:right="-105" w:rightChars="-50"/>
                    <w:jc w:val="center"/>
                    <w:rPr>
                      <w:color w:val="auto"/>
                      <w:szCs w:val="21"/>
                    </w:rPr>
                  </w:pPr>
                </w:p>
              </w:tc>
              <w:tc>
                <w:tcPr>
                  <w:tcW w:w="710" w:type="pct"/>
                  <w:vMerge w:val="continue"/>
                  <w:tcBorders>
                    <w:tl2br w:val="nil"/>
                    <w:tr2bl w:val="nil"/>
                  </w:tcBorders>
                  <w:vAlign w:val="center"/>
                </w:tcPr>
                <w:p w14:paraId="2DFDDE2D">
                  <w:pPr>
                    <w:adjustRightInd w:val="0"/>
                    <w:snapToGrid w:val="0"/>
                    <w:ind w:left="-105" w:leftChars="-50" w:right="-105" w:rightChars="-50"/>
                    <w:jc w:val="center"/>
                    <w:rPr>
                      <w:color w:val="auto"/>
                      <w:szCs w:val="21"/>
                    </w:rPr>
                  </w:pPr>
                </w:p>
              </w:tc>
              <w:tc>
                <w:tcPr>
                  <w:tcW w:w="1047" w:type="pct"/>
                  <w:tcBorders>
                    <w:tl2br w:val="nil"/>
                    <w:tr2bl w:val="nil"/>
                  </w:tcBorders>
                  <w:vAlign w:val="center"/>
                </w:tcPr>
                <w:p w14:paraId="423786C8">
                  <w:pPr>
                    <w:adjustRightInd w:val="0"/>
                    <w:snapToGrid w:val="0"/>
                    <w:ind w:left="-105" w:leftChars="-50" w:right="-105" w:rightChars="-50"/>
                    <w:jc w:val="center"/>
                    <w:rPr>
                      <w:color w:val="auto"/>
                      <w:szCs w:val="21"/>
                    </w:rPr>
                  </w:pPr>
                  <w:r>
                    <w:rPr>
                      <w:rFonts w:hint="eastAsia"/>
                      <w:color w:val="auto"/>
                      <w:szCs w:val="21"/>
                    </w:rPr>
                    <w:t>20（监控点处任意一次浓度值）</w:t>
                  </w:r>
                </w:p>
              </w:tc>
              <w:tc>
                <w:tcPr>
                  <w:tcW w:w="915" w:type="pct"/>
                  <w:vMerge w:val="continue"/>
                  <w:tcBorders>
                    <w:tl2br w:val="nil"/>
                    <w:tr2bl w:val="nil"/>
                  </w:tcBorders>
                  <w:vAlign w:val="center"/>
                </w:tcPr>
                <w:p w14:paraId="1F9BC980">
                  <w:pPr>
                    <w:adjustRightInd w:val="0"/>
                    <w:snapToGrid w:val="0"/>
                    <w:ind w:left="-105" w:leftChars="-50" w:right="-105" w:rightChars="-50"/>
                    <w:jc w:val="center"/>
                    <w:rPr>
                      <w:color w:val="auto"/>
                      <w:szCs w:val="21"/>
                    </w:rPr>
                  </w:pPr>
                </w:p>
              </w:tc>
              <w:tc>
                <w:tcPr>
                  <w:tcW w:w="1861" w:type="pct"/>
                  <w:vMerge w:val="continue"/>
                  <w:tcBorders>
                    <w:tl2br w:val="nil"/>
                    <w:tr2bl w:val="nil"/>
                  </w:tcBorders>
                  <w:vAlign w:val="center"/>
                </w:tcPr>
                <w:p w14:paraId="4F0F365F">
                  <w:pPr>
                    <w:pStyle w:val="82"/>
                    <w:rPr>
                      <w:color w:val="auto"/>
                      <w:szCs w:val="21"/>
                    </w:rPr>
                  </w:pPr>
                </w:p>
              </w:tc>
            </w:tr>
          </w:tbl>
          <w:p w14:paraId="7C6333B3">
            <w:pPr>
              <w:spacing w:before="120" w:beforeLines="50" w:line="360" w:lineRule="auto"/>
              <w:ind w:firstLine="482" w:firstLineChars="200"/>
              <w:rPr>
                <w:b/>
                <w:bCs/>
                <w:color w:val="auto"/>
                <w:sz w:val="24"/>
              </w:rPr>
            </w:pPr>
            <w:r>
              <w:rPr>
                <w:rFonts w:hint="eastAsia"/>
                <w:b/>
                <w:bCs/>
                <w:color w:val="auto"/>
                <w:sz w:val="24"/>
              </w:rPr>
              <w:t>2</w:t>
            </w:r>
            <w:r>
              <w:rPr>
                <w:b/>
                <w:bCs/>
                <w:color w:val="auto"/>
                <w:sz w:val="24"/>
              </w:rPr>
              <w:t>、噪声</w:t>
            </w:r>
          </w:p>
          <w:p w14:paraId="458EBD40">
            <w:pPr>
              <w:spacing w:line="360" w:lineRule="auto"/>
              <w:ind w:firstLine="480" w:firstLineChars="200"/>
              <w:rPr>
                <w:bCs/>
                <w:color w:val="auto"/>
                <w:sz w:val="24"/>
              </w:rPr>
            </w:pPr>
            <w:r>
              <w:rPr>
                <w:rFonts w:hint="eastAsia"/>
                <w:bCs/>
                <w:color w:val="auto"/>
                <w:sz w:val="24"/>
              </w:rPr>
              <w:t>施工期噪声执行《建筑施工场界环境噪声排放标准》（GB12523-2011）中的相关要求；</w:t>
            </w:r>
            <w:r>
              <w:rPr>
                <w:bCs/>
                <w:color w:val="auto"/>
                <w:sz w:val="24"/>
              </w:rPr>
              <w:t>运营期厂界噪声执行《工业企业厂界环境噪声排放标准》（GB 12348-2008）</w:t>
            </w:r>
            <w:r>
              <w:rPr>
                <w:rFonts w:hint="eastAsia"/>
                <w:bCs/>
                <w:color w:val="auto"/>
                <w:sz w:val="24"/>
              </w:rPr>
              <w:t>2</w:t>
            </w:r>
            <w:r>
              <w:rPr>
                <w:bCs/>
                <w:color w:val="auto"/>
                <w:sz w:val="24"/>
              </w:rPr>
              <w:t>类标准。</w:t>
            </w:r>
          </w:p>
          <w:p w14:paraId="38901E04">
            <w:pPr>
              <w:pStyle w:val="65"/>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3-7</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噪声排放标准</w:t>
            </w:r>
          </w:p>
          <w:tbl>
            <w:tblPr>
              <w:tblStyle w:val="26"/>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2701"/>
              <w:gridCol w:w="2316"/>
              <w:gridCol w:w="1620"/>
            </w:tblGrid>
            <w:tr w14:paraId="7C7E14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79" w:type="pct"/>
                  <w:vMerge w:val="restart"/>
                  <w:tcMar>
                    <w:top w:w="0" w:type="dxa"/>
                    <w:left w:w="57" w:type="dxa"/>
                    <w:bottom w:w="0" w:type="dxa"/>
                    <w:right w:w="57" w:type="dxa"/>
                  </w:tcMar>
                  <w:vAlign w:val="center"/>
                </w:tcPr>
                <w:p w14:paraId="47E41854">
                  <w:pPr>
                    <w:adjustRightInd w:val="0"/>
                    <w:snapToGrid w:val="0"/>
                    <w:jc w:val="center"/>
                    <w:rPr>
                      <w:b/>
                      <w:color w:val="auto"/>
                      <w:kern w:val="0"/>
                      <w:szCs w:val="21"/>
                    </w:rPr>
                  </w:pPr>
                  <w:r>
                    <w:rPr>
                      <w:b/>
                      <w:color w:val="auto"/>
                      <w:kern w:val="0"/>
                      <w:szCs w:val="21"/>
                    </w:rPr>
                    <w:t>项目阶段</w:t>
                  </w:r>
                </w:p>
              </w:tc>
              <w:tc>
                <w:tcPr>
                  <w:tcW w:w="1676" w:type="pct"/>
                  <w:vMerge w:val="restart"/>
                  <w:vAlign w:val="center"/>
                </w:tcPr>
                <w:p w14:paraId="102DAAEF">
                  <w:pPr>
                    <w:adjustRightInd w:val="0"/>
                    <w:snapToGrid w:val="0"/>
                    <w:jc w:val="center"/>
                    <w:rPr>
                      <w:b/>
                      <w:color w:val="auto"/>
                      <w:kern w:val="0"/>
                      <w:szCs w:val="21"/>
                    </w:rPr>
                  </w:pPr>
                  <w:r>
                    <w:rPr>
                      <w:b/>
                      <w:color w:val="auto"/>
                      <w:kern w:val="0"/>
                      <w:szCs w:val="21"/>
                    </w:rPr>
                    <w:t>功能类别</w:t>
                  </w:r>
                </w:p>
              </w:tc>
              <w:tc>
                <w:tcPr>
                  <w:tcW w:w="2443" w:type="pct"/>
                  <w:gridSpan w:val="2"/>
                  <w:vAlign w:val="center"/>
                </w:tcPr>
                <w:p w14:paraId="73AED7A7">
                  <w:pPr>
                    <w:adjustRightInd w:val="0"/>
                    <w:snapToGrid w:val="0"/>
                    <w:jc w:val="center"/>
                    <w:rPr>
                      <w:b/>
                      <w:color w:val="auto"/>
                      <w:kern w:val="0"/>
                      <w:szCs w:val="21"/>
                    </w:rPr>
                  </w:pPr>
                  <w:r>
                    <w:rPr>
                      <w:b/>
                      <w:color w:val="auto"/>
                      <w:kern w:val="0"/>
                      <w:szCs w:val="21"/>
                    </w:rPr>
                    <w:t>限值</w:t>
                  </w:r>
                  <w:r>
                    <w:rPr>
                      <w:b/>
                      <w:bCs/>
                      <w:color w:val="auto"/>
                      <w:kern w:val="0"/>
                      <w:szCs w:val="21"/>
                    </w:rPr>
                    <w:t>dB(A)</w:t>
                  </w:r>
                </w:p>
              </w:tc>
            </w:tr>
            <w:tr w14:paraId="359AAE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79" w:type="pct"/>
                  <w:vMerge w:val="continue"/>
                  <w:tcMar>
                    <w:top w:w="0" w:type="dxa"/>
                    <w:left w:w="57" w:type="dxa"/>
                    <w:bottom w:w="0" w:type="dxa"/>
                    <w:right w:w="57" w:type="dxa"/>
                  </w:tcMar>
                  <w:vAlign w:val="center"/>
                </w:tcPr>
                <w:p w14:paraId="6E0A01E5">
                  <w:pPr>
                    <w:adjustRightInd w:val="0"/>
                    <w:snapToGrid w:val="0"/>
                    <w:jc w:val="center"/>
                    <w:rPr>
                      <w:b/>
                      <w:color w:val="auto"/>
                      <w:kern w:val="0"/>
                      <w:szCs w:val="21"/>
                    </w:rPr>
                  </w:pPr>
                </w:p>
              </w:tc>
              <w:tc>
                <w:tcPr>
                  <w:tcW w:w="1676" w:type="pct"/>
                  <w:vMerge w:val="continue"/>
                  <w:vAlign w:val="center"/>
                </w:tcPr>
                <w:p w14:paraId="0CA7C36A">
                  <w:pPr>
                    <w:adjustRightInd w:val="0"/>
                    <w:snapToGrid w:val="0"/>
                    <w:jc w:val="center"/>
                    <w:rPr>
                      <w:b/>
                      <w:color w:val="auto"/>
                      <w:kern w:val="0"/>
                      <w:szCs w:val="21"/>
                    </w:rPr>
                  </w:pPr>
                </w:p>
              </w:tc>
              <w:tc>
                <w:tcPr>
                  <w:tcW w:w="1437" w:type="pct"/>
                  <w:vAlign w:val="center"/>
                </w:tcPr>
                <w:p w14:paraId="2A67D377">
                  <w:pPr>
                    <w:adjustRightInd w:val="0"/>
                    <w:snapToGrid w:val="0"/>
                    <w:jc w:val="center"/>
                    <w:rPr>
                      <w:b/>
                      <w:bCs/>
                      <w:color w:val="auto"/>
                      <w:kern w:val="0"/>
                      <w:szCs w:val="21"/>
                    </w:rPr>
                  </w:pPr>
                  <w:r>
                    <w:rPr>
                      <w:b/>
                      <w:bCs/>
                      <w:color w:val="auto"/>
                      <w:kern w:val="0"/>
                      <w:szCs w:val="21"/>
                    </w:rPr>
                    <w:t>昼间</w:t>
                  </w:r>
                </w:p>
              </w:tc>
              <w:tc>
                <w:tcPr>
                  <w:tcW w:w="1005" w:type="pct"/>
                  <w:vAlign w:val="center"/>
                </w:tcPr>
                <w:p w14:paraId="2072D1B6">
                  <w:pPr>
                    <w:adjustRightInd w:val="0"/>
                    <w:snapToGrid w:val="0"/>
                    <w:jc w:val="center"/>
                    <w:rPr>
                      <w:b/>
                      <w:bCs/>
                      <w:color w:val="auto"/>
                      <w:kern w:val="0"/>
                      <w:szCs w:val="21"/>
                    </w:rPr>
                  </w:pPr>
                  <w:r>
                    <w:rPr>
                      <w:b/>
                      <w:bCs/>
                      <w:color w:val="auto"/>
                      <w:kern w:val="0"/>
                      <w:szCs w:val="21"/>
                    </w:rPr>
                    <w:t>夜间</w:t>
                  </w:r>
                </w:p>
              </w:tc>
            </w:tr>
            <w:tr w14:paraId="3EFF79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9" w:type="pct"/>
                  <w:tcMar>
                    <w:top w:w="0" w:type="dxa"/>
                    <w:left w:w="57" w:type="dxa"/>
                    <w:bottom w:w="0" w:type="dxa"/>
                    <w:right w:w="57" w:type="dxa"/>
                  </w:tcMar>
                  <w:vAlign w:val="center"/>
                </w:tcPr>
                <w:p w14:paraId="40822653">
                  <w:pPr>
                    <w:adjustRightInd w:val="0"/>
                    <w:snapToGrid w:val="0"/>
                    <w:jc w:val="center"/>
                    <w:rPr>
                      <w:color w:val="auto"/>
                      <w:kern w:val="0"/>
                      <w:szCs w:val="21"/>
                    </w:rPr>
                  </w:pPr>
                  <w:r>
                    <w:rPr>
                      <w:rFonts w:hint="eastAsia"/>
                      <w:color w:val="auto"/>
                      <w:kern w:val="0"/>
                      <w:szCs w:val="21"/>
                    </w:rPr>
                    <w:t>施工期</w:t>
                  </w:r>
                </w:p>
              </w:tc>
              <w:tc>
                <w:tcPr>
                  <w:tcW w:w="1676" w:type="pct"/>
                  <w:vAlign w:val="center"/>
                </w:tcPr>
                <w:p w14:paraId="7DCAD75E">
                  <w:pPr>
                    <w:adjustRightInd w:val="0"/>
                    <w:snapToGrid w:val="0"/>
                    <w:jc w:val="center"/>
                    <w:rPr>
                      <w:color w:val="auto"/>
                      <w:kern w:val="0"/>
                      <w:szCs w:val="21"/>
                    </w:rPr>
                  </w:pPr>
                  <w:r>
                    <w:rPr>
                      <w:rFonts w:hint="eastAsia"/>
                      <w:color w:val="auto"/>
                      <w:kern w:val="0"/>
                      <w:szCs w:val="21"/>
                    </w:rPr>
                    <w:t>/</w:t>
                  </w:r>
                </w:p>
              </w:tc>
              <w:tc>
                <w:tcPr>
                  <w:tcW w:w="1437" w:type="pct"/>
                  <w:vAlign w:val="center"/>
                </w:tcPr>
                <w:p w14:paraId="7D5B0EC4">
                  <w:pPr>
                    <w:adjustRightInd w:val="0"/>
                    <w:snapToGrid w:val="0"/>
                    <w:jc w:val="center"/>
                    <w:rPr>
                      <w:color w:val="auto"/>
                      <w:kern w:val="0"/>
                      <w:szCs w:val="21"/>
                    </w:rPr>
                  </w:pPr>
                  <w:r>
                    <w:rPr>
                      <w:rFonts w:hint="eastAsia"/>
                      <w:color w:val="auto"/>
                      <w:kern w:val="0"/>
                      <w:szCs w:val="21"/>
                    </w:rPr>
                    <w:t>70</w:t>
                  </w:r>
                </w:p>
              </w:tc>
              <w:tc>
                <w:tcPr>
                  <w:tcW w:w="1005" w:type="pct"/>
                  <w:vAlign w:val="center"/>
                </w:tcPr>
                <w:p w14:paraId="59D88A00">
                  <w:pPr>
                    <w:adjustRightInd w:val="0"/>
                    <w:snapToGrid w:val="0"/>
                    <w:jc w:val="center"/>
                    <w:rPr>
                      <w:color w:val="auto"/>
                      <w:kern w:val="0"/>
                      <w:szCs w:val="21"/>
                    </w:rPr>
                  </w:pPr>
                  <w:r>
                    <w:rPr>
                      <w:rFonts w:hint="eastAsia"/>
                      <w:color w:val="auto"/>
                      <w:kern w:val="0"/>
                      <w:szCs w:val="21"/>
                    </w:rPr>
                    <w:t>55</w:t>
                  </w:r>
                </w:p>
              </w:tc>
            </w:tr>
            <w:tr w14:paraId="7E03F2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9" w:type="pct"/>
                  <w:tcMar>
                    <w:top w:w="0" w:type="dxa"/>
                    <w:left w:w="57" w:type="dxa"/>
                    <w:bottom w:w="0" w:type="dxa"/>
                    <w:right w:w="57" w:type="dxa"/>
                  </w:tcMar>
                  <w:vAlign w:val="center"/>
                </w:tcPr>
                <w:p w14:paraId="1684D826">
                  <w:pPr>
                    <w:adjustRightInd w:val="0"/>
                    <w:snapToGrid w:val="0"/>
                    <w:jc w:val="center"/>
                    <w:rPr>
                      <w:color w:val="auto"/>
                      <w:kern w:val="0"/>
                      <w:szCs w:val="21"/>
                    </w:rPr>
                  </w:pPr>
                  <w:r>
                    <w:rPr>
                      <w:color w:val="auto"/>
                      <w:kern w:val="0"/>
                      <w:szCs w:val="21"/>
                    </w:rPr>
                    <w:t>运营期</w:t>
                  </w:r>
                </w:p>
              </w:tc>
              <w:tc>
                <w:tcPr>
                  <w:tcW w:w="1676" w:type="pct"/>
                  <w:vAlign w:val="center"/>
                </w:tcPr>
                <w:p w14:paraId="5A586FFF">
                  <w:pPr>
                    <w:adjustRightInd w:val="0"/>
                    <w:snapToGrid w:val="0"/>
                    <w:jc w:val="center"/>
                    <w:rPr>
                      <w:color w:val="auto"/>
                      <w:kern w:val="0"/>
                      <w:szCs w:val="21"/>
                    </w:rPr>
                  </w:pPr>
                  <w:r>
                    <w:rPr>
                      <w:rFonts w:hint="eastAsia"/>
                      <w:color w:val="auto"/>
                      <w:kern w:val="0"/>
                      <w:szCs w:val="21"/>
                    </w:rPr>
                    <w:t>2</w:t>
                  </w:r>
                  <w:r>
                    <w:rPr>
                      <w:color w:val="auto"/>
                      <w:kern w:val="0"/>
                      <w:szCs w:val="21"/>
                    </w:rPr>
                    <w:t>类</w:t>
                  </w:r>
                </w:p>
              </w:tc>
              <w:tc>
                <w:tcPr>
                  <w:tcW w:w="1437" w:type="pct"/>
                  <w:vAlign w:val="center"/>
                </w:tcPr>
                <w:p w14:paraId="3C238EB7">
                  <w:pPr>
                    <w:adjustRightInd w:val="0"/>
                    <w:snapToGrid w:val="0"/>
                    <w:jc w:val="center"/>
                    <w:rPr>
                      <w:color w:val="auto"/>
                      <w:kern w:val="0"/>
                      <w:szCs w:val="21"/>
                    </w:rPr>
                  </w:pPr>
                  <w:r>
                    <w:rPr>
                      <w:color w:val="auto"/>
                      <w:kern w:val="0"/>
                      <w:szCs w:val="21"/>
                    </w:rPr>
                    <w:t>6</w:t>
                  </w:r>
                  <w:r>
                    <w:rPr>
                      <w:rFonts w:hint="eastAsia"/>
                      <w:color w:val="auto"/>
                      <w:kern w:val="0"/>
                      <w:szCs w:val="21"/>
                    </w:rPr>
                    <w:t>0</w:t>
                  </w:r>
                </w:p>
              </w:tc>
              <w:tc>
                <w:tcPr>
                  <w:tcW w:w="1005" w:type="pct"/>
                  <w:vAlign w:val="center"/>
                </w:tcPr>
                <w:p w14:paraId="37561A1B">
                  <w:pPr>
                    <w:adjustRightInd w:val="0"/>
                    <w:snapToGrid w:val="0"/>
                    <w:jc w:val="center"/>
                    <w:rPr>
                      <w:color w:val="auto"/>
                      <w:kern w:val="0"/>
                      <w:szCs w:val="21"/>
                    </w:rPr>
                  </w:pPr>
                  <w:r>
                    <w:rPr>
                      <w:color w:val="auto"/>
                      <w:kern w:val="0"/>
                      <w:szCs w:val="21"/>
                    </w:rPr>
                    <w:t>5</w:t>
                  </w:r>
                  <w:r>
                    <w:rPr>
                      <w:rFonts w:hint="eastAsia"/>
                      <w:color w:val="auto"/>
                      <w:kern w:val="0"/>
                      <w:szCs w:val="21"/>
                    </w:rPr>
                    <w:t>0</w:t>
                  </w:r>
                </w:p>
              </w:tc>
            </w:tr>
          </w:tbl>
          <w:p w14:paraId="6D063BA9">
            <w:pPr>
              <w:spacing w:line="480" w:lineRule="exact"/>
              <w:ind w:firstLine="482" w:firstLineChars="200"/>
              <w:rPr>
                <w:b/>
                <w:bCs/>
                <w:color w:val="auto"/>
                <w:sz w:val="24"/>
              </w:rPr>
            </w:pPr>
            <w:r>
              <w:rPr>
                <w:rFonts w:hint="eastAsia"/>
                <w:b/>
                <w:bCs/>
                <w:color w:val="auto"/>
                <w:sz w:val="24"/>
              </w:rPr>
              <w:t>3</w:t>
            </w:r>
            <w:r>
              <w:rPr>
                <w:b/>
                <w:bCs/>
                <w:color w:val="auto"/>
                <w:sz w:val="24"/>
              </w:rPr>
              <w:t>、固废</w:t>
            </w:r>
          </w:p>
          <w:p w14:paraId="6D85CB34">
            <w:pPr>
              <w:spacing w:line="480" w:lineRule="exact"/>
              <w:ind w:firstLine="480" w:firstLineChars="200"/>
              <w:rPr>
                <w:color w:val="auto"/>
                <w:kern w:val="0"/>
                <w:szCs w:val="21"/>
              </w:rPr>
            </w:pPr>
            <w:r>
              <w:rPr>
                <w:rFonts w:hint="eastAsia"/>
                <w:color w:val="auto"/>
                <w:sz w:val="24"/>
              </w:rPr>
              <w:t>一般工业固体废物执行</w:t>
            </w:r>
            <w:r>
              <w:rPr>
                <w:color w:val="auto"/>
                <w:sz w:val="24"/>
              </w:rPr>
              <w:t>《一般工业固体废物贮存和填埋污染控制标准》（GB18599-2020）、危险废物执行《危险废物贮存污染控制标准》（GB18597-2023）中相关规定</w:t>
            </w:r>
            <w:r>
              <w:rPr>
                <w:rFonts w:hint="eastAsia"/>
                <w:color w:val="auto"/>
                <w:sz w:val="24"/>
              </w:rPr>
              <w:t>。</w:t>
            </w:r>
          </w:p>
        </w:tc>
      </w:tr>
      <w:tr w14:paraId="56D8CD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0" w:type="dxa"/>
            <w:vAlign w:val="center"/>
          </w:tcPr>
          <w:p w14:paraId="675D772D">
            <w:pPr>
              <w:adjustRightInd w:val="0"/>
              <w:snapToGrid w:val="0"/>
              <w:jc w:val="center"/>
              <w:rPr>
                <w:color w:val="auto"/>
                <w:kern w:val="0"/>
                <w:szCs w:val="21"/>
              </w:rPr>
            </w:pPr>
            <w:r>
              <w:rPr>
                <w:color w:val="auto"/>
                <w:kern w:val="0"/>
                <w:sz w:val="24"/>
              </w:rPr>
              <w:t>总量控制指标</w:t>
            </w:r>
          </w:p>
        </w:tc>
        <w:tc>
          <w:tcPr>
            <w:tcW w:w="8190" w:type="dxa"/>
            <w:vAlign w:val="center"/>
          </w:tcPr>
          <w:p w14:paraId="2E3B7AEB">
            <w:pPr>
              <w:pStyle w:val="65"/>
              <w:adjustRightInd w:val="0"/>
              <w:snapToGrid w:val="0"/>
              <w:spacing w:before="120" w:beforeLines="50" w:line="360" w:lineRule="auto"/>
              <w:rPr>
                <w:color w:val="auto"/>
              </w:rPr>
            </w:pPr>
            <w:r>
              <w:rPr>
                <w:rFonts w:hint="eastAsia"/>
                <w:color w:val="auto"/>
              </w:rPr>
              <w:t>根据《陕西省生态环境厅关于解决企业申报污染物许可排放量与环评文件排放量不一致问题的通知》（陕环排管函〔2024〕18号）中“本通知适用纳入《固定污染源排污许可分类管理名录》排污许可重点管理类或简化管理类，且非项目性质、规模、生产工艺、原料、环境保护措施变化导致污染物环评文件排放量与实际排放量不一致需重新申领排污许可证的排污单位。涉及污染物为二氧化硫、氮氧化物、化学需氧量、氨氮及挥发性有机物和颗粒物”，本项目属于《固定污染源排污许可分类管理名录》排污许可登记管理类，无需进行污染物排放量核算。</w:t>
            </w:r>
          </w:p>
          <w:p w14:paraId="6F0997AD">
            <w:pPr>
              <w:pStyle w:val="65"/>
              <w:adjustRightInd w:val="0"/>
              <w:snapToGrid w:val="0"/>
              <w:spacing w:line="360" w:lineRule="auto"/>
              <w:rPr>
                <w:color w:val="auto"/>
              </w:rPr>
            </w:pPr>
            <w:r>
              <w:rPr>
                <w:rFonts w:hint="eastAsia"/>
                <w:color w:val="auto"/>
              </w:rPr>
              <w:t>根据“十四五”全国主要污染物排放总量控制中提出的全国主要污染物排放总量控制项目，结合本项目工艺特征和排污特点，确定本项目污染物总量控制因子为：VOCs。</w:t>
            </w:r>
          </w:p>
          <w:p w14:paraId="4397D0C4">
            <w:pPr>
              <w:pStyle w:val="65"/>
              <w:adjustRightInd w:val="0"/>
              <w:snapToGrid w:val="0"/>
              <w:spacing w:line="360" w:lineRule="auto"/>
              <w:rPr>
                <w:color w:val="auto"/>
              </w:rPr>
            </w:pPr>
            <w:r>
              <w:rPr>
                <w:rFonts w:hint="eastAsia"/>
                <w:color w:val="auto"/>
              </w:rPr>
              <w:t>本项目污染</w:t>
            </w:r>
            <w:r>
              <w:rPr>
                <w:rFonts w:hint="eastAsia"/>
                <w:color w:val="auto"/>
              </w:rPr>
              <w:t>物总量为：VOCs：</w:t>
            </w:r>
            <w:r>
              <w:rPr>
                <w:rFonts w:hint="eastAsia"/>
                <w:color w:val="auto"/>
                <w:lang w:eastAsia="zh-CN"/>
              </w:rPr>
              <w:t>4.292</w:t>
            </w:r>
            <w:r>
              <w:rPr>
                <w:rFonts w:hint="eastAsia"/>
                <w:color w:val="auto"/>
              </w:rPr>
              <w:t>t/a。</w:t>
            </w:r>
          </w:p>
          <w:p w14:paraId="792FC993">
            <w:pPr>
              <w:pStyle w:val="65"/>
              <w:adjustRightInd w:val="0"/>
              <w:snapToGrid w:val="0"/>
              <w:spacing w:line="360" w:lineRule="auto"/>
              <w:rPr>
                <w:color w:val="auto"/>
              </w:rPr>
            </w:pPr>
            <w:r>
              <w:rPr>
                <w:rFonts w:hint="eastAsia"/>
                <w:color w:val="auto"/>
              </w:rPr>
              <w:t>项目具体总量指标最后以当地生态环境保护部门核定的总量为准。</w:t>
            </w:r>
          </w:p>
          <w:p w14:paraId="7F484997">
            <w:pPr>
              <w:pStyle w:val="65"/>
              <w:adjustRightInd w:val="0"/>
              <w:snapToGrid w:val="0"/>
              <w:spacing w:line="360" w:lineRule="auto"/>
              <w:rPr>
                <w:color w:val="auto"/>
              </w:rPr>
            </w:pPr>
          </w:p>
          <w:p w14:paraId="79F6F1B3">
            <w:pPr>
              <w:pStyle w:val="65"/>
              <w:adjustRightInd w:val="0"/>
              <w:snapToGrid w:val="0"/>
              <w:spacing w:line="360" w:lineRule="auto"/>
              <w:rPr>
                <w:color w:val="auto"/>
              </w:rPr>
            </w:pPr>
          </w:p>
          <w:p w14:paraId="0D14ED17">
            <w:pPr>
              <w:pStyle w:val="65"/>
              <w:adjustRightInd w:val="0"/>
              <w:snapToGrid w:val="0"/>
              <w:spacing w:line="360" w:lineRule="auto"/>
              <w:rPr>
                <w:color w:val="auto"/>
              </w:rPr>
            </w:pPr>
          </w:p>
          <w:p w14:paraId="0380FBCF">
            <w:pPr>
              <w:pStyle w:val="65"/>
              <w:adjustRightInd w:val="0"/>
              <w:snapToGrid w:val="0"/>
              <w:spacing w:line="360" w:lineRule="auto"/>
              <w:rPr>
                <w:color w:val="auto"/>
              </w:rPr>
            </w:pPr>
          </w:p>
          <w:p w14:paraId="612D9CC3">
            <w:pPr>
              <w:pStyle w:val="65"/>
              <w:adjustRightInd w:val="0"/>
              <w:snapToGrid w:val="0"/>
              <w:spacing w:line="360" w:lineRule="auto"/>
              <w:rPr>
                <w:color w:val="auto"/>
              </w:rPr>
            </w:pPr>
          </w:p>
          <w:p w14:paraId="1C83D747">
            <w:pPr>
              <w:pStyle w:val="65"/>
              <w:adjustRightInd w:val="0"/>
              <w:snapToGrid w:val="0"/>
              <w:spacing w:line="360" w:lineRule="auto"/>
              <w:rPr>
                <w:color w:val="auto"/>
              </w:rPr>
            </w:pPr>
          </w:p>
        </w:tc>
      </w:tr>
    </w:tbl>
    <w:p w14:paraId="10B325F4">
      <w:pPr>
        <w:pStyle w:val="23"/>
        <w:jc w:val="center"/>
        <w:outlineLvl w:val="0"/>
        <w:rPr>
          <w:rFonts w:ascii="黑体" w:hAnsi="黑体" w:eastAsia="黑体"/>
          <w:snapToGrid w:val="0"/>
          <w:color w:val="auto"/>
          <w:sz w:val="30"/>
          <w:szCs w:val="30"/>
        </w:rPr>
      </w:pPr>
      <w:r>
        <w:rPr>
          <w:rFonts w:ascii="黑体" w:hAnsi="黑体" w:eastAsia="黑体"/>
          <w:snapToGrid w:val="0"/>
          <w:color w:val="auto"/>
          <w:sz w:val="36"/>
          <w:szCs w:val="36"/>
        </w:rPr>
        <w:br w:type="page"/>
      </w:r>
      <w:r>
        <w:rPr>
          <w:rFonts w:hint="eastAsia" w:ascii="黑体" w:hAnsi="黑体" w:eastAsia="黑体"/>
          <w:snapToGrid w:val="0"/>
          <w:color w:val="auto"/>
          <w:sz w:val="30"/>
          <w:szCs w:val="30"/>
        </w:rPr>
        <w:t>四、主要环境影响和保护措施</w:t>
      </w:r>
    </w:p>
    <w:tbl>
      <w:tblPr>
        <w:tblStyle w:val="26"/>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14:paraId="552852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9" w:hRule="atLeast"/>
          <w:jc w:val="center"/>
        </w:trPr>
        <w:tc>
          <w:tcPr>
            <w:tcW w:w="746" w:type="dxa"/>
            <w:tcMar>
              <w:left w:w="28" w:type="dxa"/>
              <w:right w:w="28" w:type="dxa"/>
            </w:tcMar>
            <w:vAlign w:val="center"/>
          </w:tcPr>
          <w:p w14:paraId="45D01696">
            <w:pPr>
              <w:pStyle w:val="23"/>
              <w:adjustRightInd w:val="0"/>
              <w:snapToGrid w:val="0"/>
              <w:spacing w:before="0" w:beforeAutospacing="0" w:after="0" w:afterAutospacing="0"/>
              <w:jc w:val="center"/>
              <w:rPr>
                <w:rFonts w:ascii="Times New Roman" w:hAnsi="Times New Roman"/>
                <w:bCs/>
                <w:color w:val="auto"/>
                <w:kern w:val="2"/>
                <w:szCs w:val="24"/>
              </w:rPr>
            </w:pPr>
            <w:r>
              <w:rPr>
                <w:rFonts w:ascii="Times New Roman" w:hAnsi="Times New Roman"/>
                <w:color w:val="auto"/>
                <w:kern w:val="2"/>
                <w:szCs w:val="24"/>
              </w:rPr>
              <w:t>施工期环境保护措施</w:t>
            </w:r>
          </w:p>
        </w:tc>
        <w:tc>
          <w:tcPr>
            <w:tcW w:w="8162" w:type="dxa"/>
            <w:vAlign w:val="center"/>
          </w:tcPr>
          <w:p w14:paraId="436FBB7C">
            <w:pPr>
              <w:tabs>
                <w:tab w:val="left" w:pos="8607"/>
              </w:tabs>
              <w:adjustRightInd w:val="0"/>
              <w:snapToGrid w:val="0"/>
              <w:spacing w:before="240" w:beforeLines="100" w:line="360" w:lineRule="auto"/>
              <w:ind w:firstLine="480" w:firstLineChars="200"/>
              <w:rPr>
                <w:rFonts w:hint="eastAsia" w:eastAsia="宋体"/>
                <w:color w:val="auto"/>
                <w:sz w:val="24"/>
                <w:lang w:eastAsia="zh-CN"/>
              </w:rPr>
            </w:pPr>
            <w:r>
              <w:rPr>
                <w:rFonts w:hint="eastAsia"/>
                <w:color w:val="auto"/>
                <w:sz w:val="24"/>
              </w:rPr>
              <w:t>本项目租用已建厂房进行项目建设，需进行生产设备及环保设备的安装、调试等作业，</w:t>
            </w:r>
            <w:r>
              <w:rPr>
                <w:color w:val="auto"/>
                <w:sz w:val="24"/>
              </w:rPr>
              <w:t>工程量少，施工期</w:t>
            </w:r>
            <w:r>
              <w:rPr>
                <w:color w:val="auto"/>
                <w:sz w:val="24"/>
              </w:rPr>
              <w:t>短。</w:t>
            </w:r>
            <w:r>
              <w:rPr>
                <w:rFonts w:hint="eastAsia"/>
                <w:color w:val="auto"/>
                <w:sz w:val="24"/>
              </w:rPr>
              <w:t>环保设施和冷却塔施工安装过程要求项目建设不得涉及挖沙、取土、挖建池塘等活动，不得进行少量取土或者修建简易设施</w:t>
            </w:r>
            <w:r>
              <w:rPr>
                <w:rFonts w:hint="eastAsia"/>
                <w:color w:val="auto"/>
                <w:sz w:val="24"/>
                <w:lang w:val="en-US" w:eastAsia="zh-CN"/>
              </w:rPr>
              <w:t>等</w:t>
            </w:r>
            <w:r>
              <w:rPr>
                <w:rFonts w:hint="eastAsia"/>
                <w:color w:val="auto"/>
                <w:sz w:val="24"/>
                <w:lang w:eastAsia="zh-CN"/>
              </w:rPr>
              <w:t>。</w:t>
            </w:r>
          </w:p>
          <w:p w14:paraId="6AB6922C">
            <w:pPr>
              <w:tabs>
                <w:tab w:val="left" w:pos="8607"/>
              </w:tabs>
              <w:adjustRightInd w:val="0"/>
              <w:snapToGrid w:val="0"/>
              <w:spacing w:line="360" w:lineRule="auto"/>
              <w:ind w:firstLine="482" w:firstLineChars="200"/>
              <w:rPr>
                <w:b/>
                <w:bCs/>
                <w:color w:val="auto"/>
                <w:sz w:val="24"/>
              </w:rPr>
            </w:pPr>
            <w:r>
              <w:rPr>
                <w:b/>
                <w:bCs/>
                <w:color w:val="auto"/>
                <w:sz w:val="24"/>
              </w:rPr>
              <w:t>1、施工期大气污染保护措施</w:t>
            </w:r>
          </w:p>
          <w:p w14:paraId="13FC2DFF">
            <w:pPr>
              <w:tabs>
                <w:tab w:val="left" w:pos="8607"/>
              </w:tabs>
              <w:adjustRightInd w:val="0"/>
              <w:snapToGrid w:val="0"/>
              <w:spacing w:line="360" w:lineRule="auto"/>
              <w:ind w:firstLine="480" w:firstLineChars="200"/>
              <w:rPr>
                <w:color w:val="auto"/>
                <w:sz w:val="24"/>
              </w:rPr>
            </w:pPr>
            <w:r>
              <w:rPr>
                <w:color w:val="auto"/>
                <w:sz w:val="24"/>
              </w:rPr>
              <w:t>本项目施工期对</w:t>
            </w:r>
            <w:r>
              <w:rPr>
                <w:rFonts w:hint="eastAsia"/>
                <w:color w:val="auto"/>
                <w:sz w:val="24"/>
              </w:rPr>
              <w:t>生产设备及环保设备的安装</w:t>
            </w:r>
            <w:r>
              <w:rPr>
                <w:color w:val="auto"/>
                <w:sz w:val="24"/>
              </w:rPr>
              <w:t>过程中可能产生</w:t>
            </w:r>
            <w:r>
              <w:rPr>
                <w:rFonts w:hint="eastAsia"/>
                <w:color w:val="auto"/>
                <w:sz w:val="24"/>
              </w:rPr>
              <w:t>粉尘</w:t>
            </w:r>
            <w:r>
              <w:rPr>
                <w:color w:val="auto"/>
                <w:sz w:val="24"/>
              </w:rPr>
              <w:t>，建议采取以下污染防治措施：</w:t>
            </w:r>
          </w:p>
          <w:p w14:paraId="7FA42157">
            <w:pPr>
              <w:tabs>
                <w:tab w:val="left" w:pos="8607"/>
              </w:tabs>
              <w:adjustRightInd w:val="0"/>
              <w:snapToGrid w:val="0"/>
              <w:spacing w:line="360" w:lineRule="auto"/>
              <w:ind w:firstLine="480" w:firstLineChars="200"/>
              <w:rPr>
                <w:color w:val="auto"/>
                <w:sz w:val="24"/>
              </w:rPr>
            </w:pPr>
            <w:r>
              <w:rPr>
                <w:color w:val="auto"/>
                <w:sz w:val="24"/>
              </w:rPr>
              <w:t>（1）本项目施工场地位于已建成的厂房</w:t>
            </w:r>
            <w:r>
              <w:rPr>
                <w:rFonts w:hint="eastAsia"/>
                <w:color w:val="auto"/>
                <w:sz w:val="24"/>
              </w:rPr>
              <w:t>内</w:t>
            </w:r>
            <w:r>
              <w:rPr>
                <w:color w:val="auto"/>
                <w:sz w:val="24"/>
              </w:rPr>
              <w:t>，项目施工期短，经过厂房的阻隔，会有少量</w:t>
            </w:r>
            <w:r>
              <w:rPr>
                <w:rFonts w:hint="eastAsia"/>
                <w:color w:val="auto"/>
                <w:sz w:val="24"/>
              </w:rPr>
              <w:t>粉尘</w:t>
            </w:r>
            <w:r>
              <w:rPr>
                <w:color w:val="auto"/>
                <w:sz w:val="24"/>
              </w:rPr>
              <w:t>飘散到大气环境中，采取现场洒水抑尘；</w:t>
            </w:r>
          </w:p>
          <w:p w14:paraId="66CE5948">
            <w:pPr>
              <w:tabs>
                <w:tab w:val="left" w:pos="8607"/>
              </w:tabs>
              <w:adjustRightInd w:val="0"/>
              <w:snapToGrid w:val="0"/>
              <w:spacing w:line="360" w:lineRule="auto"/>
              <w:ind w:firstLine="480" w:firstLineChars="200"/>
              <w:rPr>
                <w:color w:val="auto"/>
                <w:sz w:val="24"/>
              </w:rPr>
            </w:pPr>
            <w:r>
              <w:rPr>
                <w:color w:val="auto"/>
                <w:sz w:val="24"/>
              </w:rPr>
              <w:t>（2）合理安排进场安装、调试设备等工作的车辆的防尘措施、运输路线和时间等；设备运输时应注意清洁运输，防止在装卸、运输过程中造成扬尘。</w:t>
            </w:r>
          </w:p>
          <w:p w14:paraId="09B7CF39">
            <w:pPr>
              <w:tabs>
                <w:tab w:val="left" w:pos="8607"/>
              </w:tabs>
              <w:adjustRightInd w:val="0"/>
              <w:snapToGrid w:val="0"/>
              <w:spacing w:line="360" w:lineRule="auto"/>
              <w:ind w:firstLine="482" w:firstLineChars="200"/>
              <w:rPr>
                <w:b/>
                <w:bCs/>
                <w:color w:val="auto"/>
                <w:sz w:val="24"/>
              </w:rPr>
            </w:pPr>
            <w:r>
              <w:rPr>
                <w:b/>
                <w:bCs/>
                <w:color w:val="auto"/>
                <w:sz w:val="24"/>
              </w:rPr>
              <w:t>2、施工期声环境污染保护措施</w:t>
            </w:r>
          </w:p>
          <w:p w14:paraId="21BA7622">
            <w:pPr>
              <w:tabs>
                <w:tab w:val="left" w:pos="8607"/>
              </w:tabs>
              <w:adjustRightInd w:val="0"/>
              <w:snapToGrid w:val="0"/>
              <w:spacing w:line="360" w:lineRule="auto"/>
              <w:ind w:firstLine="480" w:firstLineChars="200"/>
              <w:rPr>
                <w:color w:val="auto"/>
                <w:sz w:val="24"/>
              </w:rPr>
            </w:pPr>
            <w:r>
              <w:rPr>
                <w:color w:val="auto"/>
                <w:sz w:val="24"/>
              </w:rPr>
              <w:t>本项目施工期无大型噪声设备运行，建议施工期采取以下噪声防治措施，以减少噪声对环境的影响：</w:t>
            </w:r>
          </w:p>
          <w:p w14:paraId="0A23F3C5">
            <w:pPr>
              <w:tabs>
                <w:tab w:val="left" w:pos="8607"/>
              </w:tabs>
              <w:adjustRightInd w:val="0"/>
              <w:snapToGrid w:val="0"/>
              <w:spacing w:line="360" w:lineRule="auto"/>
              <w:ind w:firstLine="480" w:firstLineChars="200"/>
              <w:rPr>
                <w:color w:val="auto"/>
                <w:sz w:val="24"/>
              </w:rPr>
            </w:pPr>
            <w:r>
              <w:rPr>
                <w:color w:val="auto"/>
                <w:sz w:val="24"/>
              </w:rPr>
              <w:t>（1）严格执行《建筑施工场界环境噪声排放标准》（GB12523-2011）相关规定，合理安排施工计划和施工机械设备组合以及施工时间，禁止在中午（12:00-14:00）和夜间（22:00-6:00）施工；</w:t>
            </w:r>
          </w:p>
          <w:p w14:paraId="0F59F0BE">
            <w:pPr>
              <w:tabs>
                <w:tab w:val="left" w:pos="8607"/>
              </w:tabs>
              <w:adjustRightInd w:val="0"/>
              <w:snapToGrid w:val="0"/>
              <w:spacing w:line="360" w:lineRule="auto"/>
              <w:ind w:firstLine="480" w:firstLineChars="200"/>
              <w:rPr>
                <w:color w:val="auto"/>
                <w:sz w:val="24"/>
              </w:rPr>
            </w:pPr>
            <w:r>
              <w:rPr>
                <w:color w:val="auto"/>
                <w:sz w:val="24"/>
              </w:rPr>
              <w:t>（2）避免在同一时间集中使用大量的动力机械设备，选用低噪声设备进行施工。</w:t>
            </w:r>
          </w:p>
          <w:p w14:paraId="3586A572">
            <w:pPr>
              <w:tabs>
                <w:tab w:val="left" w:pos="8607"/>
              </w:tabs>
              <w:adjustRightInd w:val="0"/>
              <w:snapToGrid w:val="0"/>
              <w:spacing w:line="360" w:lineRule="auto"/>
              <w:ind w:firstLine="482" w:firstLineChars="200"/>
              <w:rPr>
                <w:b/>
                <w:bCs/>
                <w:color w:val="auto"/>
                <w:sz w:val="24"/>
              </w:rPr>
            </w:pPr>
            <w:r>
              <w:rPr>
                <w:b/>
                <w:bCs/>
                <w:color w:val="auto"/>
                <w:sz w:val="24"/>
              </w:rPr>
              <w:t>3、施工期水污染保护措施</w:t>
            </w:r>
          </w:p>
          <w:p w14:paraId="6F13F39D">
            <w:pPr>
              <w:tabs>
                <w:tab w:val="left" w:pos="8607"/>
              </w:tabs>
              <w:adjustRightInd w:val="0"/>
              <w:snapToGrid w:val="0"/>
              <w:spacing w:line="360" w:lineRule="auto"/>
              <w:ind w:firstLine="480" w:firstLineChars="200"/>
              <w:rPr>
                <w:color w:val="auto"/>
                <w:sz w:val="24"/>
              </w:rPr>
            </w:pPr>
            <w:r>
              <w:rPr>
                <w:color w:val="auto"/>
                <w:sz w:val="24"/>
              </w:rPr>
              <w:t>施工过程中产生的废水主要为施工人员的生活污水。</w:t>
            </w:r>
          </w:p>
          <w:p w14:paraId="25DCA8B6">
            <w:pPr>
              <w:tabs>
                <w:tab w:val="left" w:pos="8607"/>
              </w:tabs>
              <w:adjustRightInd w:val="0"/>
              <w:snapToGrid w:val="0"/>
              <w:spacing w:line="360" w:lineRule="auto"/>
              <w:ind w:firstLine="480" w:firstLineChars="200"/>
              <w:rPr>
                <w:color w:val="auto"/>
                <w:sz w:val="24"/>
              </w:rPr>
            </w:pPr>
            <w:r>
              <w:rPr>
                <w:color w:val="auto"/>
                <w:sz w:val="24"/>
              </w:rPr>
              <w:t>施工人员日常生活中将产生部分生活污水，</w:t>
            </w:r>
            <w:r>
              <w:rPr>
                <w:rFonts w:hint="eastAsia"/>
                <w:color w:val="auto"/>
                <w:sz w:val="24"/>
              </w:rPr>
              <w:t>生活污水依</w:t>
            </w:r>
            <w:r>
              <w:rPr>
                <w:rFonts w:hint="eastAsia"/>
                <w:color w:val="auto"/>
                <w:sz w:val="24"/>
              </w:rPr>
              <w:t>托租赁厂区</w:t>
            </w:r>
            <w:r>
              <w:rPr>
                <w:rFonts w:hint="eastAsia"/>
                <w:color w:val="auto"/>
                <w:sz w:val="24"/>
                <w:lang w:eastAsia="zh-CN"/>
              </w:rPr>
              <w:t>防渗旱厕</w:t>
            </w:r>
            <w:r>
              <w:rPr>
                <w:rFonts w:hint="eastAsia"/>
                <w:color w:val="auto"/>
                <w:sz w:val="24"/>
              </w:rPr>
              <w:t>处理后，定期清掏用于周边农地，不外排。</w:t>
            </w:r>
          </w:p>
          <w:p w14:paraId="544ACC62">
            <w:pPr>
              <w:tabs>
                <w:tab w:val="left" w:pos="8607"/>
              </w:tabs>
              <w:adjustRightInd w:val="0"/>
              <w:snapToGrid w:val="0"/>
              <w:spacing w:line="360" w:lineRule="auto"/>
              <w:ind w:firstLine="482" w:firstLineChars="200"/>
              <w:rPr>
                <w:b/>
                <w:bCs/>
                <w:color w:val="auto"/>
                <w:sz w:val="24"/>
              </w:rPr>
            </w:pPr>
            <w:r>
              <w:rPr>
                <w:b/>
                <w:bCs/>
                <w:color w:val="auto"/>
                <w:sz w:val="24"/>
              </w:rPr>
              <w:t>4、固体废物污染防治措施</w:t>
            </w:r>
          </w:p>
          <w:p w14:paraId="0D5739D4">
            <w:pPr>
              <w:tabs>
                <w:tab w:val="left" w:pos="8607"/>
              </w:tabs>
              <w:adjustRightInd w:val="0"/>
              <w:snapToGrid w:val="0"/>
              <w:spacing w:line="360" w:lineRule="auto"/>
              <w:ind w:firstLine="480" w:firstLineChars="200"/>
              <w:rPr>
                <w:color w:val="auto"/>
                <w:sz w:val="24"/>
              </w:rPr>
            </w:pPr>
            <w:r>
              <w:rPr>
                <w:color w:val="auto"/>
                <w:sz w:val="24"/>
              </w:rPr>
              <w:t>施工期产生的固体废物主要为</w:t>
            </w:r>
            <w:r>
              <w:rPr>
                <w:rFonts w:hint="eastAsia"/>
                <w:color w:val="auto"/>
                <w:sz w:val="24"/>
              </w:rPr>
              <w:t>废包装材料</w:t>
            </w:r>
            <w:r>
              <w:rPr>
                <w:color w:val="auto"/>
                <w:sz w:val="24"/>
              </w:rPr>
              <w:t>、施工人员的生活垃圾等。</w:t>
            </w:r>
          </w:p>
          <w:p w14:paraId="0CD30EC7">
            <w:pPr>
              <w:pStyle w:val="65"/>
              <w:spacing w:line="360" w:lineRule="auto"/>
              <w:rPr>
                <w:rFonts w:hAnsi="Times New Roman" w:cs="Times New Roman"/>
                <w:color w:val="auto"/>
              </w:rPr>
            </w:pPr>
            <w:r>
              <w:rPr>
                <w:rFonts w:hAnsi="Times New Roman" w:cs="Times New Roman"/>
                <w:color w:val="auto"/>
              </w:rPr>
              <w:t>施工期</w:t>
            </w:r>
            <w:r>
              <w:rPr>
                <w:rFonts w:hint="eastAsia" w:hAnsi="Times New Roman" w:cs="Times New Roman"/>
                <w:color w:val="auto"/>
              </w:rPr>
              <w:t>废包装材料</w:t>
            </w:r>
            <w:r>
              <w:rPr>
                <w:rFonts w:hAnsi="Times New Roman" w:cs="Times New Roman"/>
                <w:color w:val="auto"/>
              </w:rPr>
              <w:t>收集后统一堆放于指定地点，由施工方统一清运；生活垃圾集中收集由环卫部门统一清运。</w:t>
            </w:r>
          </w:p>
          <w:p w14:paraId="4A570E44">
            <w:pPr>
              <w:pStyle w:val="65"/>
              <w:spacing w:line="360" w:lineRule="auto"/>
              <w:ind w:firstLine="482"/>
              <w:rPr>
                <w:rFonts w:hAnsi="Times New Roman" w:cs="Times New Roman"/>
                <w:b/>
                <w:bCs/>
                <w:color w:val="auto"/>
              </w:rPr>
            </w:pPr>
            <w:r>
              <w:rPr>
                <w:rFonts w:hint="eastAsia" w:hAnsi="Times New Roman" w:cs="Times New Roman"/>
                <w:b/>
                <w:bCs/>
                <w:color w:val="auto"/>
              </w:rPr>
              <w:t>5、振动污染保护措施</w:t>
            </w:r>
          </w:p>
          <w:p w14:paraId="0EB690A4">
            <w:pPr>
              <w:pStyle w:val="65"/>
              <w:spacing w:line="360" w:lineRule="auto"/>
              <w:rPr>
                <w:rFonts w:hAnsi="Times New Roman" w:cs="Times New Roman"/>
                <w:color w:val="auto"/>
              </w:rPr>
            </w:pPr>
            <w:r>
              <w:rPr>
                <w:rFonts w:hint="eastAsia" w:hAnsi="Times New Roman" w:cs="Times New Roman"/>
                <w:color w:val="auto"/>
              </w:rPr>
              <w:t>项目位于</w:t>
            </w:r>
            <w:r>
              <w:rPr>
                <w:rFonts w:hint="eastAsia"/>
                <w:color w:val="auto"/>
              </w:rPr>
              <w:t>沣东新城斗门街道花园村村东，属于丰镐遗址保护区</w:t>
            </w:r>
            <w:r>
              <w:rPr>
                <w:rFonts w:hint="eastAsia" w:hAnsi="Times New Roman" w:cs="Times New Roman"/>
                <w:color w:val="auto"/>
              </w:rPr>
              <w:t>，施工期在设备安装中会产生振动，建议施工期采取以下振动防治措施，以减少振动对环境的影响：</w:t>
            </w:r>
          </w:p>
          <w:p w14:paraId="4E0023DF">
            <w:pPr>
              <w:pStyle w:val="65"/>
              <w:spacing w:line="360" w:lineRule="auto"/>
              <w:rPr>
                <w:rFonts w:hAnsi="Times New Roman" w:cs="Times New Roman"/>
                <w:color w:val="auto"/>
              </w:rPr>
            </w:pPr>
            <w:r>
              <w:rPr>
                <w:rFonts w:hint="eastAsia" w:hAnsi="Times New Roman" w:cs="Times New Roman"/>
                <w:color w:val="auto"/>
              </w:rPr>
              <w:t>（1）项目设备安装中使用较多的是扳手、管钳等不产生噪声的设备，可能会用到电钻等电动设备，持续基本为10min以内，时间较短，影响范围为厂房内，环评要求选择低振动的施工设备和工具，控制施工设备和工具的振动频率和振幅，对振动大的设备和工具加装减震垫，阻断振动传递；</w:t>
            </w:r>
          </w:p>
          <w:p w14:paraId="219DD6CC">
            <w:pPr>
              <w:pStyle w:val="65"/>
              <w:spacing w:line="360" w:lineRule="auto"/>
              <w:rPr>
                <w:rFonts w:hAnsi="Times New Roman" w:cs="Times New Roman"/>
                <w:color w:val="auto"/>
              </w:rPr>
            </w:pPr>
            <w:r>
              <w:rPr>
                <w:rFonts w:hint="eastAsia" w:hAnsi="Times New Roman" w:cs="Times New Roman"/>
                <w:color w:val="auto"/>
              </w:rPr>
              <w:t>（2）定期检查和维护施工设备，确保其正常工作，减少振动；</w:t>
            </w:r>
          </w:p>
          <w:p w14:paraId="7830D94E">
            <w:pPr>
              <w:pStyle w:val="65"/>
              <w:spacing w:line="360" w:lineRule="auto"/>
              <w:rPr>
                <w:rFonts w:hAnsi="Times New Roman" w:cs="Times New Roman"/>
                <w:color w:val="auto"/>
              </w:rPr>
            </w:pPr>
            <w:r>
              <w:rPr>
                <w:rFonts w:hint="eastAsia" w:hAnsi="Times New Roman" w:cs="Times New Roman"/>
                <w:color w:val="auto"/>
              </w:rPr>
              <w:t>（3）合理安排施工工序，减少振动源的同时施工效率不受影响。</w:t>
            </w:r>
          </w:p>
          <w:p w14:paraId="49846B27">
            <w:pPr>
              <w:pStyle w:val="65"/>
              <w:spacing w:line="360" w:lineRule="auto"/>
              <w:rPr>
                <w:rFonts w:hAnsi="Times New Roman" w:cs="Times New Roman"/>
                <w:color w:val="auto"/>
              </w:rPr>
            </w:pPr>
            <w:r>
              <w:rPr>
                <w:rFonts w:hint="eastAsia" w:hAnsi="Times New Roman" w:cs="Times New Roman"/>
                <w:color w:val="auto"/>
              </w:rPr>
              <w:t>本项目施工期时间较短，施工期结束后，产生的少量污染物随之消散，施工期在</w:t>
            </w:r>
            <w:r>
              <w:rPr>
                <w:rFonts w:hint="eastAsia"/>
                <w:color w:val="auto"/>
              </w:rPr>
              <w:t>采取相应的污染防治措施后，</w:t>
            </w:r>
            <w:r>
              <w:rPr>
                <w:rFonts w:hint="eastAsia" w:hAnsi="Times New Roman" w:cs="Times New Roman"/>
                <w:color w:val="auto"/>
              </w:rPr>
              <w:t>对外环境无明显影响，</w:t>
            </w:r>
            <w:r>
              <w:rPr>
                <w:rFonts w:hint="eastAsia"/>
                <w:color w:val="auto"/>
              </w:rPr>
              <w:t>对丰镐遗址保护区</w:t>
            </w:r>
            <w:r>
              <w:rPr>
                <w:rFonts w:hint="eastAsia" w:hAnsi="Times New Roman" w:cs="Times New Roman"/>
                <w:color w:val="auto"/>
              </w:rPr>
              <w:t>无明显影响</w:t>
            </w:r>
            <w:r>
              <w:rPr>
                <w:rFonts w:hint="eastAsia"/>
                <w:color w:val="auto"/>
              </w:rPr>
              <w:t>。</w:t>
            </w:r>
          </w:p>
          <w:p w14:paraId="564CEFB0">
            <w:pPr>
              <w:pStyle w:val="65"/>
              <w:spacing w:line="360" w:lineRule="auto"/>
              <w:rPr>
                <w:rFonts w:hAnsi="Times New Roman" w:cs="Times New Roman"/>
                <w:color w:val="auto"/>
              </w:rPr>
            </w:pPr>
          </w:p>
          <w:p w14:paraId="04EEF332">
            <w:pPr>
              <w:pStyle w:val="65"/>
              <w:spacing w:line="360" w:lineRule="auto"/>
              <w:rPr>
                <w:rFonts w:hAnsi="Times New Roman" w:cs="Times New Roman"/>
                <w:color w:val="auto"/>
              </w:rPr>
            </w:pPr>
          </w:p>
          <w:p w14:paraId="3245A0E4">
            <w:pPr>
              <w:pStyle w:val="65"/>
              <w:spacing w:line="360" w:lineRule="auto"/>
              <w:rPr>
                <w:rFonts w:hAnsi="Times New Roman" w:cs="Times New Roman"/>
                <w:color w:val="auto"/>
              </w:rPr>
            </w:pPr>
          </w:p>
          <w:p w14:paraId="4840C61B">
            <w:pPr>
              <w:pStyle w:val="65"/>
              <w:spacing w:line="360" w:lineRule="auto"/>
              <w:rPr>
                <w:rFonts w:hAnsi="Times New Roman" w:cs="Times New Roman"/>
                <w:color w:val="auto"/>
              </w:rPr>
            </w:pPr>
          </w:p>
          <w:p w14:paraId="605C5393">
            <w:pPr>
              <w:pStyle w:val="65"/>
              <w:spacing w:line="360" w:lineRule="auto"/>
              <w:rPr>
                <w:rFonts w:hAnsi="Times New Roman" w:cs="Times New Roman"/>
                <w:color w:val="auto"/>
              </w:rPr>
            </w:pPr>
          </w:p>
          <w:p w14:paraId="57FD6966">
            <w:pPr>
              <w:pStyle w:val="65"/>
              <w:spacing w:line="360" w:lineRule="auto"/>
              <w:rPr>
                <w:rFonts w:hAnsi="Times New Roman" w:cs="Times New Roman"/>
                <w:color w:val="auto"/>
                <w:szCs w:val="24"/>
              </w:rPr>
            </w:pPr>
          </w:p>
        </w:tc>
      </w:tr>
    </w:tbl>
    <w:p w14:paraId="32565B60">
      <w:pPr>
        <w:pStyle w:val="23"/>
        <w:jc w:val="center"/>
        <w:outlineLvl w:val="0"/>
        <w:rPr>
          <w:rFonts w:ascii="黑体" w:hAnsi="黑体" w:eastAsia="黑体"/>
          <w:snapToGrid w:val="0"/>
          <w:color w:val="auto"/>
          <w:sz w:val="30"/>
          <w:szCs w:val="30"/>
        </w:rPr>
        <w:sectPr>
          <w:pgSz w:w="11907" w:h="16840"/>
          <w:pgMar w:top="1701" w:right="1531" w:bottom="2127" w:left="1531" w:header="851" w:footer="851" w:gutter="0"/>
          <w:cols w:space="720" w:num="1"/>
          <w:docGrid w:linePitch="312" w:charSpace="0"/>
        </w:sectPr>
      </w:pPr>
    </w:p>
    <w:tbl>
      <w:tblPr>
        <w:tblStyle w:val="26"/>
        <w:tblW w:w="505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12182"/>
      </w:tblGrid>
      <w:tr w14:paraId="61C34F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3" w:hRule="atLeast"/>
          <w:jc w:val="center"/>
        </w:trPr>
        <w:tc>
          <w:tcPr>
            <w:tcW w:w="742" w:type="dxa"/>
            <w:tcMar>
              <w:left w:w="28" w:type="dxa"/>
              <w:right w:w="28" w:type="dxa"/>
            </w:tcMar>
            <w:vAlign w:val="center"/>
          </w:tcPr>
          <w:p w14:paraId="5C26B4D5">
            <w:pPr>
              <w:pStyle w:val="23"/>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bCs/>
                <w:color w:val="auto"/>
              </w:rPr>
              <w:t>运营期环境影响和保护措施</w:t>
            </w:r>
          </w:p>
        </w:tc>
        <w:tc>
          <w:tcPr>
            <w:tcW w:w="8239" w:type="dxa"/>
            <w:vAlign w:val="center"/>
          </w:tcPr>
          <w:p w14:paraId="74675A4A">
            <w:pPr>
              <w:adjustRightInd w:val="0"/>
              <w:snapToGrid w:val="0"/>
              <w:spacing w:before="120" w:beforeLines="50" w:line="360" w:lineRule="auto"/>
              <w:ind w:firstLine="482" w:firstLineChars="200"/>
              <w:rPr>
                <w:b/>
                <w:color w:val="auto"/>
                <w:sz w:val="24"/>
              </w:rPr>
            </w:pPr>
            <w:r>
              <w:rPr>
                <w:rFonts w:hint="eastAsia"/>
                <w:b/>
                <w:color w:val="auto"/>
                <w:sz w:val="24"/>
              </w:rPr>
              <w:t>1、废气</w:t>
            </w:r>
          </w:p>
          <w:p w14:paraId="72E17F8B">
            <w:pPr>
              <w:adjustRightInd w:val="0"/>
              <w:snapToGrid w:val="0"/>
              <w:spacing w:line="360" w:lineRule="auto"/>
              <w:ind w:firstLine="480" w:firstLineChars="200"/>
              <w:rPr>
                <w:bCs/>
                <w:color w:val="auto"/>
                <w:sz w:val="24"/>
              </w:rPr>
            </w:pPr>
            <w:r>
              <w:rPr>
                <w:rFonts w:hint="eastAsia"/>
                <w:bCs/>
                <w:color w:val="auto"/>
                <w:sz w:val="24"/>
              </w:rPr>
              <w:t>（1）产排污环节</w:t>
            </w:r>
          </w:p>
          <w:p w14:paraId="3633F03B">
            <w:pPr>
              <w:pStyle w:val="10"/>
              <w:adjustRightInd w:val="0"/>
              <w:snapToGrid w:val="0"/>
              <w:spacing w:after="0" w:line="360" w:lineRule="auto"/>
              <w:ind w:left="0" w:leftChars="0" w:firstLine="480" w:firstLineChars="200"/>
              <w:jc w:val="left"/>
              <w:rPr>
                <w:bCs/>
                <w:color w:val="auto"/>
                <w:szCs w:val="24"/>
              </w:rPr>
            </w:pPr>
            <w:r>
              <w:rPr>
                <w:bCs/>
                <w:color w:val="auto"/>
                <w:szCs w:val="24"/>
              </w:rPr>
              <w:t>本项目产生的主要</w:t>
            </w:r>
            <w:r>
              <w:rPr>
                <w:rFonts w:hint="eastAsia"/>
                <w:bCs/>
                <w:color w:val="auto"/>
                <w:szCs w:val="24"/>
              </w:rPr>
              <w:t>废气</w:t>
            </w:r>
            <w:r>
              <w:rPr>
                <w:bCs/>
                <w:color w:val="auto"/>
                <w:szCs w:val="24"/>
              </w:rPr>
              <w:t>污染物为</w:t>
            </w:r>
            <w:r>
              <w:rPr>
                <w:rFonts w:hint="eastAsia"/>
                <w:bCs/>
                <w:color w:val="auto"/>
                <w:szCs w:val="24"/>
              </w:rPr>
              <w:t>非甲烷总烃和</w:t>
            </w:r>
            <w:r>
              <w:rPr>
                <w:bCs/>
                <w:color w:val="auto"/>
                <w:szCs w:val="24"/>
              </w:rPr>
              <w:t>颗粒物。产排污环节</w:t>
            </w:r>
            <w:r>
              <w:rPr>
                <w:rFonts w:hint="eastAsia"/>
                <w:bCs/>
                <w:color w:val="auto"/>
                <w:szCs w:val="24"/>
              </w:rPr>
              <w:t>等情况</w:t>
            </w:r>
            <w:r>
              <w:rPr>
                <w:bCs/>
                <w:color w:val="auto"/>
                <w:szCs w:val="24"/>
              </w:rPr>
              <w:t>见表4-1。</w:t>
            </w:r>
          </w:p>
          <w:p w14:paraId="36AA8EAD">
            <w:pPr>
              <w:adjustRightInd w:val="0"/>
              <w:snapToGrid w:val="0"/>
              <w:jc w:val="center"/>
              <w:rPr>
                <w:b/>
                <w:bCs/>
                <w:color w:val="auto"/>
                <w:sz w:val="24"/>
              </w:rPr>
            </w:pPr>
            <w:r>
              <w:rPr>
                <w:b/>
                <w:color w:val="auto"/>
                <w:sz w:val="24"/>
              </w:rPr>
              <w:t>表</w:t>
            </w:r>
            <w:r>
              <w:rPr>
                <w:rFonts w:hint="eastAsia"/>
                <w:b/>
                <w:color w:val="auto"/>
                <w:sz w:val="24"/>
              </w:rPr>
              <w:t>4-1</w:t>
            </w:r>
            <w:r>
              <w:rPr>
                <w:b/>
                <w:color w:val="auto"/>
                <w:sz w:val="24"/>
              </w:rPr>
              <w:t xml:space="preserve"> </w:t>
            </w:r>
            <w:r>
              <w:rPr>
                <w:b/>
                <w:bCs/>
                <w:color w:val="auto"/>
                <w:sz w:val="24"/>
              </w:rPr>
              <w:t xml:space="preserve"> 废气污染源源强核算结果及相关参数一览表</w:t>
            </w:r>
          </w:p>
          <w:tbl>
            <w:tblPr>
              <w:tblStyle w:val="26"/>
              <w:tblW w:w="1208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394"/>
              <w:gridCol w:w="692"/>
              <w:gridCol w:w="704"/>
              <w:gridCol w:w="813"/>
              <w:gridCol w:w="966"/>
              <w:gridCol w:w="1145"/>
              <w:gridCol w:w="397"/>
              <w:gridCol w:w="816"/>
              <w:gridCol w:w="837"/>
              <w:gridCol w:w="966"/>
              <w:gridCol w:w="1147"/>
              <w:gridCol w:w="561"/>
              <w:gridCol w:w="595"/>
              <w:gridCol w:w="882"/>
            </w:tblGrid>
            <w:tr w14:paraId="4A4F18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84" w:type="pct"/>
                  <w:vMerge w:val="restart"/>
                  <w:tcBorders>
                    <w:tl2br w:val="nil"/>
                    <w:tr2bl w:val="nil"/>
                  </w:tcBorders>
                  <w:vAlign w:val="center"/>
                </w:tcPr>
                <w:p w14:paraId="1EC34C63">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产污环节</w:t>
                  </w:r>
                </w:p>
              </w:tc>
              <w:tc>
                <w:tcPr>
                  <w:tcW w:w="162" w:type="pct"/>
                  <w:vMerge w:val="restart"/>
                  <w:tcBorders>
                    <w:tl2br w:val="nil"/>
                    <w:tr2bl w:val="nil"/>
                  </w:tcBorders>
                  <w:vAlign w:val="center"/>
                </w:tcPr>
                <w:p w14:paraId="6F4AC8E3">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286" w:type="pct"/>
                  <w:vMerge w:val="restart"/>
                  <w:tcBorders>
                    <w:tl2br w:val="nil"/>
                    <w:tr2bl w:val="nil"/>
                  </w:tcBorders>
                  <w:vAlign w:val="center"/>
                </w:tcPr>
                <w:p w14:paraId="0B92322F">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风机风量m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/h</w:t>
                  </w:r>
                </w:p>
              </w:tc>
              <w:tc>
                <w:tcPr>
                  <w:tcW w:w="291" w:type="pct"/>
                  <w:vMerge w:val="restart"/>
                  <w:tcBorders>
                    <w:tl2br w:val="nil"/>
                    <w:tr2bl w:val="nil"/>
                  </w:tcBorders>
                  <w:vAlign w:val="center"/>
                </w:tcPr>
                <w:p w14:paraId="6A51F45A">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年工作时间（h）</w:t>
                  </w:r>
                </w:p>
              </w:tc>
              <w:tc>
                <w:tcPr>
                  <w:tcW w:w="1209" w:type="pct"/>
                  <w:gridSpan w:val="3"/>
                  <w:tcBorders>
                    <w:tl2br w:val="nil"/>
                    <w:tr2bl w:val="nil"/>
                  </w:tcBorders>
                  <w:vAlign w:val="center"/>
                </w:tcPr>
                <w:p w14:paraId="4632642A">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污染物产生情况</w:t>
                  </w:r>
                </w:p>
              </w:tc>
              <w:tc>
                <w:tcPr>
                  <w:tcW w:w="164" w:type="pct"/>
                  <w:vMerge w:val="restart"/>
                  <w:tcBorders>
                    <w:tl2br w:val="nil"/>
                    <w:tr2bl w:val="nil"/>
                  </w:tcBorders>
                  <w:vAlign w:val="center"/>
                </w:tcPr>
                <w:p w14:paraId="605E85AD">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排放形式</w:t>
                  </w:r>
                </w:p>
              </w:tc>
              <w:tc>
                <w:tcPr>
                  <w:tcW w:w="337" w:type="pct"/>
                  <w:vMerge w:val="restart"/>
                  <w:tcBorders>
                    <w:tl2br w:val="nil"/>
                    <w:tr2bl w:val="nil"/>
                  </w:tcBorders>
                  <w:vAlign w:val="center"/>
                </w:tcPr>
                <w:p w14:paraId="24D9F2A9">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处理</w:t>
                  </w:r>
                </w:p>
                <w:p w14:paraId="059A1C1B">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措施</w:t>
                  </w:r>
                </w:p>
              </w:tc>
              <w:tc>
                <w:tcPr>
                  <w:tcW w:w="1220" w:type="pct"/>
                  <w:gridSpan w:val="3"/>
                  <w:tcBorders>
                    <w:tl2br w:val="nil"/>
                    <w:tr2bl w:val="nil"/>
                  </w:tcBorders>
                  <w:vAlign w:val="center"/>
                </w:tcPr>
                <w:p w14:paraId="6F877AC2">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污染物排放情况</w:t>
                  </w:r>
                </w:p>
              </w:tc>
              <w:tc>
                <w:tcPr>
                  <w:tcW w:w="232" w:type="pct"/>
                  <w:vMerge w:val="restart"/>
                  <w:tcBorders>
                    <w:tl2br w:val="nil"/>
                    <w:tr2bl w:val="nil"/>
                  </w:tcBorders>
                  <w:shd w:val="clear" w:color="auto" w:fill="auto"/>
                  <w:vAlign w:val="center"/>
                </w:tcPr>
                <w:p w14:paraId="48DCC094">
                  <w:pPr>
                    <w:autoSpaceDE w:val="0"/>
                    <w:autoSpaceDN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收集效率</w:t>
                  </w:r>
                </w:p>
                <w:p w14:paraId="5B58B890">
                  <w:pPr>
                    <w:autoSpaceDE w:val="0"/>
                    <w:autoSpaceDN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w:t>
                  </w:r>
                </w:p>
              </w:tc>
              <w:tc>
                <w:tcPr>
                  <w:tcW w:w="246" w:type="pct"/>
                  <w:vMerge w:val="restart"/>
                  <w:tcBorders>
                    <w:tl2br w:val="nil"/>
                    <w:tr2bl w:val="nil"/>
                  </w:tcBorders>
                  <w:shd w:val="clear" w:color="auto" w:fill="auto"/>
                  <w:vAlign w:val="center"/>
                </w:tcPr>
                <w:p w14:paraId="260124AF">
                  <w:pPr>
                    <w:autoSpaceDE w:val="0"/>
                    <w:autoSpaceDN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去除效率%</w:t>
                  </w:r>
                </w:p>
              </w:tc>
              <w:tc>
                <w:tcPr>
                  <w:tcW w:w="364" w:type="pct"/>
                  <w:vMerge w:val="restart"/>
                  <w:tcBorders>
                    <w:tl2br w:val="nil"/>
                    <w:tr2bl w:val="nil"/>
                  </w:tcBorders>
                  <w:shd w:val="clear" w:color="auto" w:fill="auto"/>
                  <w:vAlign w:val="center"/>
                </w:tcPr>
                <w:p w14:paraId="5246B6A6">
                  <w:pPr>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标准限值mg/m</w:t>
                  </w:r>
                  <w:r>
                    <w:rPr>
                      <w:rFonts w:hint="default" w:ascii="Times New Roman" w:hAnsi="Times New Roman" w:cs="Times New Roman"/>
                      <w:b/>
                      <w:bCs/>
                      <w:color w:val="auto"/>
                      <w:sz w:val="21"/>
                      <w:szCs w:val="21"/>
                      <w:highlight w:val="none"/>
                      <w:vertAlign w:val="superscript"/>
                    </w:rPr>
                    <w:t>3</w:t>
                  </w:r>
                </w:p>
              </w:tc>
            </w:tr>
            <w:tr w14:paraId="5FB03D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84" w:type="pct"/>
                  <w:vMerge w:val="continue"/>
                  <w:tcBorders>
                    <w:tl2br w:val="nil"/>
                    <w:tr2bl w:val="nil"/>
                  </w:tcBorders>
                  <w:shd w:val="clear" w:color="auto" w:fill="auto"/>
                  <w:vAlign w:val="center"/>
                </w:tcPr>
                <w:p w14:paraId="7B66B409">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产污环节</w:t>
                  </w:r>
                </w:p>
              </w:tc>
              <w:tc>
                <w:tcPr>
                  <w:tcW w:w="162" w:type="pct"/>
                  <w:vMerge w:val="continue"/>
                  <w:tcBorders>
                    <w:tl2br w:val="nil"/>
                    <w:tr2bl w:val="nil"/>
                  </w:tcBorders>
                  <w:vAlign w:val="center"/>
                </w:tcPr>
                <w:p w14:paraId="2033DC2C">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286" w:type="pct"/>
                  <w:vMerge w:val="continue"/>
                  <w:tcBorders>
                    <w:tl2br w:val="nil"/>
                    <w:tr2bl w:val="nil"/>
                  </w:tcBorders>
                  <w:vAlign w:val="center"/>
                </w:tcPr>
                <w:p w14:paraId="3AADEB6A">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风机风量m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/h</w:t>
                  </w:r>
                </w:p>
              </w:tc>
              <w:tc>
                <w:tcPr>
                  <w:tcW w:w="291" w:type="pct"/>
                  <w:vMerge w:val="continue"/>
                  <w:tcBorders>
                    <w:tl2br w:val="nil"/>
                    <w:tr2bl w:val="nil"/>
                  </w:tcBorders>
                  <w:vAlign w:val="center"/>
                </w:tcPr>
                <w:p w14:paraId="4E54D3EE">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年工作时间</w:t>
                  </w:r>
                </w:p>
              </w:tc>
              <w:tc>
                <w:tcPr>
                  <w:tcW w:w="336" w:type="pct"/>
                  <w:tcBorders>
                    <w:tl2br w:val="nil"/>
                    <w:tr2bl w:val="nil"/>
                  </w:tcBorders>
                  <w:shd w:val="clear" w:color="auto" w:fill="auto"/>
                  <w:vAlign w:val="center"/>
                </w:tcPr>
                <w:p w14:paraId="46EF0728">
                  <w:pPr>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产生量（t/a）</w:t>
                  </w:r>
                </w:p>
              </w:tc>
              <w:tc>
                <w:tcPr>
                  <w:tcW w:w="399" w:type="pct"/>
                  <w:tcBorders>
                    <w:tl2br w:val="nil"/>
                    <w:tr2bl w:val="nil"/>
                  </w:tcBorders>
                  <w:shd w:val="clear" w:color="auto" w:fill="auto"/>
                  <w:vAlign w:val="center"/>
                </w:tcPr>
                <w:p w14:paraId="5B3F73B9">
                  <w:pPr>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产生</w:t>
                  </w:r>
                </w:p>
                <w:p w14:paraId="4565774E">
                  <w:pPr>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速率</w:t>
                  </w:r>
                </w:p>
                <w:p w14:paraId="1C321A28">
                  <w:pPr>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（kg/h）</w:t>
                  </w:r>
                </w:p>
              </w:tc>
              <w:tc>
                <w:tcPr>
                  <w:tcW w:w="473" w:type="pct"/>
                  <w:tcBorders>
                    <w:tl2br w:val="nil"/>
                    <w:tr2bl w:val="nil"/>
                  </w:tcBorders>
                  <w:shd w:val="clear" w:color="auto" w:fill="auto"/>
                  <w:vAlign w:val="center"/>
                </w:tcPr>
                <w:p w14:paraId="7005C241">
                  <w:pPr>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产生</w:t>
                  </w:r>
                </w:p>
                <w:p w14:paraId="4A1AADA4">
                  <w:pPr>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浓度（mg/m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w:t>
                  </w:r>
                </w:p>
              </w:tc>
              <w:tc>
                <w:tcPr>
                  <w:tcW w:w="164" w:type="pct"/>
                  <w:vMerge w:val="continue"/>
                  <w:tcBorders>
                    <w:tl2br w:val="nil"/>
                    <w:tr2bl w:val="nil"/>
                  </w:tcBorders>
                  <w:vAlign w:val="center"/>
                </w:tcPr>
                <w:p w14:paraId="2579FCD5">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p>
              </w:tc>
              <w:tc>
                <w:tcPr>
                  <w:tcW w:w="337" w:type="pct"/>
                  <w:vMerge w:val="continue"/>
                  <w:tcBorders>
                    <w:tl2br w:val="nil"/>
                    <w:tr2bl w:val="nil"/>
                  </w:tcBorders>
                  <w:vAlign w:val="center"/>
                </w:tcPr>
                <w:p w14:paraId="5EAEF1AA">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p>
              </w:tc>
              <w:tc>
                <w:tcPr>
                  <w:tcW w:w="346" w:type="pct"/>
                  <w:tcBorders>
                    <w:tl2br w:val="nil"/>
                    <w:tr2bl w:val="nil"/>
                  </w:tcBorders>
                  <w:shd w:val="clear" w:color="auto" w:fill="auto"/>
                  <w:vAlign w:val="center"/>
                </w:tcPr>
                <w:p w14:paraId="0E0D1C80">
                  <w:pPr>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排放量（t/a）</w:t>
                  </w:r>
                </w:p>
              </w:tc>
              <w:tc>
                <w:tcPr>
                  <w:tcW w:w="399" w:type="pct"/>
                  <w:tcBorders>
                    <w:tl2br w:val="nil"/>
                    <w:tr2bl w:val="nil"/>
                  </w:tcBorders>
                  <w:shd w:val="clear" w:color="auto" w:fill="auto"/>
                  <w:vAlign w:val="center"/>
                </w:tcPr>
                <w:p w14:paraId="573E4B27">
                  <w:pPr>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w:t>
                  </w:r>
                </w:p>
                <w:p w14:paraId="0003A4E6">
                  <w:pPr>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速率（kg/h）</w:t>
                  </w:r>
                </w:p>
              </w:tc>
              <w:tc>
                <w:tcPr>
                  <w:tcW w:w="474" w:type="pct"/>
                  <w:tcBorders>
                    <w:tl2br w:val="nil"/>
                    <w:tr2bl w:val="nil"/>
                  </w:tcBorders>
                  <w:shd w:val="clear" w:color="auto" w:fill="auto"/>
                  <w:vAlign w:val="center"/>
                </w:tcPr>
                <w:p w14:paraId="4EEE9387">
                  <w:pPr>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w:t>
                  </w:r>
                </w:p>
                <w:p w14:paraId="38C34C83">
                  <w:pPr>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浓度（mg/m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w:t>
                  </w:r>
                </w:p>
              </w:tc>
              <w:tc>
                <w:tcPr>
                  <w:tcW w:w="232" w:type="pct"/>
                  <w:vMerge w:val="continue"/>
                  <w:tcBorders>
                    <w:tl2br w:val="nil"/>
                    <w:tr2bl w:val="nil"/>
                  </w:tcBorders>
                  <w:shd w:val="clear" w:color="auto" w:fill="auto"/>
                  <w:vAlign w:val="center"/>
                </w:tcPr>
                <w:p w14:paraId="1B8E1412">
                  <w:pPr>
                    <w:spacing w:line="240" w:lineRule="auto"/>
                    <w:ind w:firstLine="0" w:firstLineChars="0"/>
                    <w:jc w:val="center"/>
                    <w:rPr>
                      <w:rFonts w:hint="default" w:ascii="Times New Roman" w:hAnsi="Times New Roman" w:cs="Times New Roman"/>
                      <w:b/>
                      <w:bCs/>
                      <w:color w:val="auto"/>
                      <w:sz w:val="21"/>
                      <w:szCs w:val="21"/>
                      <w:highlight w:val="none"/>
                    </w:rPr>
                  </w:pPr>
                </w:p>
              </w:tc>
              <w:tc>
                <w:tcPr>
                  <w:tcW w:w="246" w:type="pct"/>
                  <w:vMerge w:val="continue"/>
                  <w:tcBorders>
                    <w:tl2br w:val="nil"/>
                    <w:tr2bl w:val="nil"/>
                  </w:tcBorders>
                  <w:shd w:val="clear" w:color="auto" w:fill="auto"/>
                  <w:vAlign w:val="center"/>
                </w:tcPr>
                <w:p w14:paraId="078AFDBA">
                  <w:pPr>
                    <w:autoSpaceDE w:val="0"/>
                    <w:autoSpaceDN w:val="0"/>
                    <w:spacing w:line="240" w:lineRule="auto"/>
                    <w:ind w:firstLine="0" w:firstLineChars="0"/>
                    <w:jc w:val="center"/>
                    <w:rPr>
                      <w:rFonts w:hint="default" w:ascii="Times New Roman" w:hAnsi="Times New Roman" w:cs="Times New Roman"/>
                      <w:b/>
                      <w:bCs/>
                      <w:color w:val="auto"/>
                      <w:sz w:val="21"/>
                      <w:szCs w:val="21"/>
                      <w:highlight w:val="none"/>
                    </w:rPr>
                  </w:pPr>
                </w:p>
              </w:tc>
              <w:tc>
                <w:tcPr>
                  <w:tcW w:w="364" w:type="pct"/>
                  <w:vMerge w:val="continue"/>
                  <w:tcBorders>
                    <w:tl2br w:val="nil"/>
                    <w:tr2bl w:val="nil"/>
                  </w:tcBorders>
                  <w:shd w:val="clear" w:color="auto" w:fill="auto"/>
                  <w:vAlign w:val="center"/>
                </w:tcPr>
                <w:p w14:paraId="614E347C">
                  <w:pPr>
                    <w:spacing w:line="240" w:lineRule="auto"/>
                    <w:ind w:firstLine="0" w:firstLineChars="0"/>
                    <w:jc w:val="center"/>
                    <w:rPr>
                      <w:rFonts w:hint="default" w:ascii="Times New Roman" w:hAnsi="Times New Roman" w:cs="Times New Roman"/>
                      <w:b/>
                      <w:bCs/>
                      <w:color w:val="auto"/>
                      <w:sz w:val="21"/>
                      <w:szCs w:val="21"/>
                      <w:highlight w:val="none"/>
                    </w:rPr>
                  </w:pPr>
                </w:p>
              </w:tc>
            </w:tr>
            <w:tr w14:paraId="12A888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4" w:type="pct"/>
                  <w:vMerge w:val="restart"/>
                  <w:tcBorders>
                    <w:tl2br w:val="nil"/>
                    <w:tr2bl w:val="nil"/>
                  </w:tcBorders>
                  <w:shd w:val="clear" w:color="auto" w:fill="auto"/>
                  <w:vAlign w:val="center"/>
                </w:tcPr>
                <w:p w14:paraId="68D5FA2E">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eastAsia" w:cs="Times New Roman"/>
                      <w:color w:val="auto"/>
                      <w:kern w:val="0"/>
                      <w:sz w:val="21"/>
                      <w:szCs w:val="21"/>
                      <w:highlight w:val="none"/>
                      <w:lang w:val="en-US" w:eastAsia="zh-CN"/>
                    </w:rPr>
                    <w:t>注塑</w:t>
                  </w:r>
                  <w:r>
                    <w:rPr>
                      <w:rFonts w:hint="default" w:ascii="Times New Roman" w:hAnsi="Times New Roman" w:cs="Times New Roman"/>
                      <w:color w:val="auto"/>
                      <w:kern w:val="0"/>
                      <w:sz w:val="21"/>
                      <w:szCs w:val="21"/>
                      <w:highlight w:val="none"/>
                    </w:rPr>
                    <w:t>工序（DA001）</w:t>
                  </w:r>
                </w:p>
              </w:tc>
              <w:tc>
                <w:tcPr>
                  <w:tcW w:w="162" w:type="pct"/>
                  <w:vMerge w:val="restart"/>
                  <w:tcBorders>
                    <w:tl2br w:val="nil"/>
                    <w:tr2bl w:val="nil"/>
                  </w:tcBorders>
                  <w:vAlign w:val="center"/>
                </w:tcPr>
                <w:p w14:paraId="3847AB4C">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非甲烷总烃</w:t>
                  </w:r>
                </w:p>
              </w:tc>
              <w:tc>
                <w:tcPr>
                  <w:tcW w:w="286" w:type="pct"/>
                  <w:vMerge w:val="restart"/>
                  <w:tcBorders>
                    <w:tl2br w:val="nil"/>
                    <w:tr2bl w:val="nil"/>
                  </w:tcBorders>
                  <w:vAlign w:val="center"/>
                </w:tcPr>
                <w:p w14:paraId="3C17BABE">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20000</w:t>
                  </w:r>
                </w:p>
              </w:tc>
              <w:tc>
                <w:tcPr>
                  <w:tcW w:w="291" w:type="pct"/>
                  <w:vMerge w:val="restart"/>
                  <w:tcBorders>
                    <w:tl2br w:val="nil"/>
                    <w:tr2bl w:val="nil"/>
                  </w:tcBorders>
                  <w:vAlign w:val="center"/>
                </w:tcPr>
                <w:p w14:paraId="68D827B0">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7920</w:t>
                  </w:r>
                </w:p>
              </w:tc>
              <w:tc>
                <w:tcPr>
                  <w:tcW w:w="336" w:type="pct"/>
                  <w:tcBorders>
                    <w:tl2br w:val="nil"/>
                    <w:tr2bl w:val="nil"/>
                  </w:tcBorders>
                  <w:vAlign w:val="center"/>
                </w:tcPr>
                <w:p w14:paraId="45231975">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5.4</w:t>
                  </w:r>
                </w:p>
              </w:tc>
              <w:tc>
                <w:tcPr>
                  <w:tcW w:w="399" w:type="pct"/>
                  <w:tcBorders>
                    <w:tl2br w:val="nil"/>
                    <w:tr2bl w:val="nil"/>
                  </w:tcBorders>
                  <w:vAlign w:val="center"/>
                </w:tcPr>
                <w:p w14:paraId="59D35430">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0.68</w:t>
                  </w:r>
                </w:p>
              </w:tc>
              <w:tc>
                <w:tcPr>
                  <w:tcW w:w="473" w:type="pct"/>
                  <w:tcBorders>
                    <w:tl2br w:val="nil"/>
                    <w:tr2bl w:val="nil"/>
                  </w:tcBorders>
                  <w:vAlign w:val="center"/>
                </w:tcPr>
                <w:p w14:paraId="058A4174">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34</w:t>
                  </w:r>
                </w:p>
              </w:tc>
              <w:tc>
                <w:tcPr>
                  <w:tcW w:w="164" w:type="pct"/>
                  <w:tcBorders>
                    <w:tl2br w:val="nil"/>
                    <w:tr2bl w:val="nil"/>
                  </w:tcBorders>
                  <w:shd w:val="clear" w:color="auto" w:fill="auto"/>
                  <w:vAlign w:val="center"/>
                </w:tcPr>
                <w:p w14:paraId="7D44A170">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有组织</w:t>
                  </w:r>
                </w:p>
              </w:tc>
              <w:tc>
                <w:tcPr>
                  <w:tcW w:w="337" w:type="pct"/>
                  <w:tcBorders>
                    <w:tl2br w:val="nil"/>
                    <w:tr2bl w:val="nil"/>
                  </w:tcBorders>
                  <w:vAlign w:val="center"/>
                </w:tcPr>
                <w:p w14:paraId="1E04EEBF">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eastAsia"/>
                      <w:bCs/>
                      <w:color w:val="auto"/>
                      <w:spacing w:val="-10"/>
                      <w:szCs w:val="21"/>
                    </w:rPr>
                    <w:t>集气罩+软帘+</w:t>
                  </w:r>
                  <w:r>
                    <w:rPr>
                      <w:rFonts w:hint="eastAsia"/>
                      <w:bCs/>
                      <w:color w:val="auto"/>
                      <w:spacing w:val="-10"/>
                      <w:szCs w:val="21"/>
                      <w:lang w:val="en-US" w:eastAsia="zh-CN"/>
                    </w:rPr>
                    <w:t>三</w:t>
                  </w:r>
                  <w:r>
                    <w:rPr>
                      <w:rFonts w:hint="eastAsia"/>
                      <w:bCs/>
                      <w:color w:val="auto"/>
                      <w:spacing w:val="-10"/>
                      <w:szCs w:val="21"/>
                    </w:rPr>
                    <w:t>级活性炭吸附</w:t>
                  </w:r>
                </w:p>
              </w:tc>
              <w:tc>
                <w:tcPr>
                  <w:tcW w:w="346" w:type="pct"/>
                  <w:tcBorders>
                    <w:tl2br w:val="nil"/>
                    <w:tr2bl w:val="nil"/>
                  </w:tcBorders>
                  <w:vAlign w:val="center"/>
                </w:tcPr>
                <w:p w14:paraId="3CF978E0">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2.66</w:t>
                  </w:r>
                </w:p>
              </w:tc>
              <w:tc>
                <w:tcPr>
                  <w:tcW w:w="399" w:type="pct"/>
                  <w:tcBorders>
                    <w:tl2br w:val="nil"/>
                    <w:tr2bl w:val="nil"/>
                  </w:tcBorders>
                  <w:vAlign w:val="center"/>
                </w:tcPr>
                <w:p w14:paraId="48E87F15">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0.34</w:t>
                  </w:r>
                </w:p>
              </w:tc>
              <w:tc>
                <w:tcPr>
                  <w:tcW w:w="474" w:type="pct"/>
                  <w:tcBorders>
                    <w:tl2br w:val="nil"/>
                    <w:tr2bl w:val="nil"/>
                  </w:tcBorders>
                  <w:vAlign w:val="center"/>
                </w:tcPr>
                <w:p w14:paraId="1FD409F7">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17</w:t>
                  </w:r>
                </w:p>
              </w:tc>
              <w:tc>
                <w:tcPr>
                  <w:tcW w:w="232" w:type="pct"/>
                  <w:tcBorders>
                    <w:tl2br w:val="nil"/>
                    <w:tr2bl w:val="nil"/>
                  </w:tcBorders>
                  <w:vAlign w:val="center"/>
                </w:tcPr>
                <w:p w14:paraId="047EA82E">
                  <w:pPr>
                    <w:widowControl/>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0"/>
                      <w:sz w:val="21"/>
                      <w:szCs w:val="21"/>
                      <w:highlight w:val="none"/>
                    </w:rPr>
                    <w:t>80%</w:t>
                  </w:r>
                </w:p>
              </w:tc>
              <w:tc>
                <w:tcPr>
                  <w:tcW w:w="246" w:type="pct"/>
                  <w:tcBorders>
                    <w:tl2br w:val="nil"/>
                    <w:tr2bl w:val="nil"/>
                  </w:tcBorders>
                  <w:vAlign w:val="center"/>
                </w:tcPr>
                <w:p w14:paraId="01C2B34F">
                  <w:pPr>
                    <w:widowControl/>
                    <w:spacing w:line="240" w:lineRule="auto"/>
                    <w:ind w:firstLine="0" w:firstLineChars="0"/>
                    <w:jc w:val="center"/>
                    <w:rPr>
                      <w:rFonts w:hint="default" w:ascii="Times New Roman" w:hAnsi="Times New Roman" w:eastAsia="宋体" w:cs="Times New Roman"/>
                      <w:color w:val="auto"/>
                      <w:sz w:val="21"/>
                      <w:szCs w:val="21"/>
                      <w:highlight w:val="none"/>
                      <w:lang w:eastAsia="zh-CN"/>
                    </w:rPr>
                  </w:pPr>
                  <w:r>
                    <w:rPr>
                      <w:rFonts w:hint="eastAsia" w:cs="Times New Roman"/>
                      <w:color w:val="auto"/>
                      <w:kern w:val="0"/>
                      <w:sz w:val="21"/>
                      <w:szCs w:val="21"/>
                      <w:highlight w:val="none"/>
                      <w:lang w:val="en-US" w:eastAsia="zh-CN"/>
                    </w:rPr>
                    <w:t>50.7</w:t>
                  </w:r>
                  <w:r>
                    <w:rPr>
                      <w:rFonts w:hint="default" w:ascii="Times New Roman" w:hAnsi="Times New Roman" w:cs="Times New Roman"/>
                      <w:color w:val="auto"/>
                      <w:kern w:val="0"/>
                      <w:sz w:val="21"/>
                      <w:szCs w:val="21"/>
                      <w:highlight w:val="none"/>
                      <w:lang w:eastAsia="zh-CN"/>
                    </w:rPr>
                    <w:t>%</w:t>
                  </w:r>
                </w:p>
              </w:tc>
              <w:tc>
                <w:tcPr>
                  <w:tcW w:w="364" w:type="pct"/>
                  <w:tcBorders>
                    <w:tl2br w:val="nil"/>
                    <w:tr2bl w:val="nil"/>
                  </w:tcBorders>
                  <w:vAlign w:val="center"/>
                </w:tcPr>
                <w:p w14:paraId="6A0B9113">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60</w:t>
                  </w:r>
                </w:p>
              </w:tc>
            </w:tr>
            <w:tr w14:paraId="029F3A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4" w:type="pct"/>
                  <w:vMerge w:val="continue"/>
                  <w:tcBorders>
                    <w:tl2br w:val="nil"/>
                    <w:tr2bl w:val="nil"/>
                  </w:tcBorders>
                  <w:vAlign w:val="center"/>
                </w:tcPr>
                <w:p w14:paraId="49353D7E">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162" w:type="pct"/>
                  <w:vMerge w:val="continue"/>
                  <w:tcBorders>
                    <w:tl2br w:val="nil"/>
                    <w:tr2bl w:val="nil"/>
                  </w:tcBorders>
                  <w:vAlign w:val="center"/>
                </w:tcPr>
                <w:p w14:paraId="6070B45B">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86" w:type="pct"/>
                  <w:vMerge w:val="continue"/>
                  <w:tcBorders>
                    <w:tl2br w:val="nil"/>
                    <w:tr2bl w:val="nil"/>
                  </w:tcBorders>
                  <w:vAlign w:val="center"/>
                </w:tcPr>
                <w:p w14:paraId="6D95E7A4">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1" w:type="pct"/>
                  <w:vMerge w:val="continue"/>
                  <w:tcBorders>
                    <w:tl2br w:val="nil"/>
                    <w:tr2bl w:val="nil"/>
                  </w:tcBorders>
                  <w:vAlign w:val="center"/>
                </w:tcPr>
                <w:p w14:paraId="768D2011">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36" w:type="pct"/>
                  <w:tcBorders>
                    <w:tl2br w:val="nil"/>
                    <w:tr2bl w:val="nil"/>
                  </w:tcBorders>
                  <w:vAlign w:val="center"/>
                </w:tcPr>
                <w:p w14:paraId="20EE4766">
                  <w:pPr>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rPr>
                    <w:t>/</w:t>
                  </w:r>
                </w:p>
              </w:tc>
              <w:tc>
                <w:tcPr>
                  <w:tcW w:w="399" w:type="pct"/>
                  <w:tcBorders>
                    <w:tl2br w:val="nil"/>
                    <w:tr2bl w:val="nil"/>
                  </w:tcBorders>
                  <w:vAlign w:val="center"/>
                </w:tcPr>
                <w:p w14:paraId="533A9A19">
                  <w:pPr>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rPr>
                    <w:t>/</w:t>
                  </w:r>
                </w:p>
              </w:tc>
              <w:tc>
                <w:tcPr>
                  <w:tcW w:w="473" w:type="pct"/>
                  <w:tcBorders>
                    <w:tl2br w:val="nil"/>
                    <w:tr2bl w:val="nil"/>
                  </w:tcBorders>
                  <w:vAlign w:val="center"/>
                </w:tcPr>
                <w:p w14:paraId="13798477">
                  <w:pPr>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rPr>
                    <w:t>/</w:t>
                  </w:r>
                </w:p>
              </w:tc>
              <w:tc>
                <w:tcPr>
                  <w:tcW w:w="164" w:type="pct"/>
                  <w:tcBorders>
                    <w:tl2br w:val="nil"/>
                    <w:tr2bl w:val="nil"/>
                  </w:tcBorders>
                  <w:shd w:val="clear" w:color="auto" w:fill="auto"/>
                  <w:vAlign w:val="center"/>
                </w:tcPr>
                <w:p w14:paraId="6F2D86E6">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无组织</w:t>
                  </w:r>
                </w:p>
              </w:tc>
              <w:tc>
                <w:tcPr>
                  <w:tcW w:w="337" w:type="pct"/>
                  <w:tcBorders>
                    <w:tl2br w:val="nil"/>
                    <w:tr2bl w:val="nil"/>
                  </w:tcBorders>
                  <w:vAlign w:val="center"/>
                </w:tcPr>
                <w:p w14:paraId="4C07B2DC">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通风</w:t>
                  </w:r>
                </w:p>
              </w:tc>
              <w:tc>
                <w:tcPr>
                  <w:tcW w:w="346" w:type="pct"/>
                  <w:tcBorders>
                    <w:tl2br w:val="nil"/>
                    <w:tr2bl w:val="nil"/>
                  </w:tcBorders>
                  <w:vAlign w:val="center"/>
                </w:tcPr>
                <w:p w14:paraId="06F58427">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1.35</w:t>
                  </w:r>
                </w:p>
              </w:tc>
              <w:tc>
                <w:tcPr>
                  <w:tcW w:w="399" w:type="pct"/>
                  <w:tcBorders>
                    <w:tl2br w:val="nil"/>
                    <w:tr2bl w:val="nil"/>
                  </w:tcBorders>
                  <w:vAlign w:val="center"/>
                </w:tcPr>
                <w:p w14:paraId="6BDA484C">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rPr>
                    <w:t>/</w:t>
                  </w:r>
                </w:p>
              </w:tc>
              <w:tc>
                <w:tcPr>
                  <w:tcW w:w="474" w:type="pct"/>
                  <w:tcBorders>
                    <w:tl2br w:val="nil"/>
                    <w:tr2bl w:val="nil"/>
                  </w:tcBorders>
                  <w:vAlign w:val="center"/>
                </w:tcPr>
                <w:p w14:paraId="5C98372E">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rPr>
                    <w:t>/</w:t>
                  </w:r>
                </w:p>
              </w:tc>
              <w:tc>
                <w:tcPr>
                  <w:tcW w:w="232" w:type="pct"/>
                  <w:tcBorders>
                    <w:tl2br w:val="nil"/>
                    <w:tr2bl w:val="nil"/>
                  </w:tcBorders>
                  <w:vAlign w:val="center"/>
                </w:tcPr>
                <w:p w14:paraId="51B59673">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w:t>
                  </w:r>
                </w:p>
              </w:tc>
              <w:tc>
                <w:tcPr>
                  <w:tcW w:w="246" w:type="pct"/>
                  <w:tcBorders>
                    <w:tl2br w:val="nil"/>
                    <w:tr2bl w:val="nil"/>
                  </w:tcBorders>
                  <w:vAlign w:val="center"/>
                </w:tcPr>
                <w:p w14:paraId="047C85E6">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w:t>
                  </w:r>
                </w:p>
              </w:tc>
              <w:tc>
                <w:tcPr>
                  <w:tcW w:w="364" w:type="pct"/>
                  <w:tcBorders>
                    <w:tl2br w:val="nil"/>
                    <w:tr2bl w:val="nil"/>
                  </w:tcBorders>
                  <w:vAlign w:val="center"/>
                </w:tcPr>
                <w:p w14:paraId="3E84625D">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4.0</w:t>
                  </w:r>
                </w:p>
              </w:tc>
            </w:tr>
            <w:tr w14:paraId="693EC5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4" w:type="pct"/>
                  <w:tcBorders>
                    <w:tl2br w:val="nil"/>
                    <w:tr2bl w:val="nil"/>
                  </w:tcBorders>
                  <w:shd w:val="clear" w:color="auto" w:fill="auto"/>
                  <w:vAlign w:val="center"/>
                </w:tcPr>
                <w:p w14:paraId="392693E2">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eastAsia="zh-CN"/>
                    </w:rPr>
                  </w:pPr>
                  <w:r>
                    <w:rPr>
                      <w:rFonts w:hint="eastAsia"/>
                      <w:color w:val="auto"/>
                    </w:rPr>
                    <w:t>热转印</w:t>
                  </w:r>
                  <w:r>
                    <w:rPr>
                      <w:rFonts w:hint="eastAsia" w:cs="Times New Roman"/>
                      <w:color w:val="auto"/>
                      <w:kern w:val="0"/>
                      <w:sz w:val="21"/>
                      <w:szCs w:val="21"/>
                      <w:highlight w:val="none"/>
                      <w:lang w:val="en-US" w:eastAsia="zh-CN"/>
                    </w:rPr>
                    <w:t>工序</w:t>
                  </w:r>
                </w:p>
              </w:tc>
              <w:tc>
                <w:tcPr>
                  <w:tcW w:w="162" w:type="pct"/>
                  <w:tcBorders>
                    <w:tl2br w:val="nil"/>
                    <w:tr2bl w:val="nil"/>
                  </w:tcBorders>
                  <w:vAlign w:val="center"/>
                </w:tcPr>
                <w:p w14:paraId="4877490E">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非甲烷总烃</w:t>
                  </w:r>
                </w:p>
              </w:tc>
              <w:tc>
                <w:tcPr>
                  <w:tcW w:w="286" w:type="pct"/>
                  <w:tcBorders>
                    <w:tl2br w:val="nil"/>
                    <w:tr2bl w:val="nil"/>
                  </w:tcBorders>
                  <w:vAlign w:val="center"/>
                </w:tcPr>
                <w:p w14:paraId="31FA62EB">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eastAsia="zh-CN"/>
                    </w:rPr>
                  </w:pPr>
                  <w:r>
                    <w:rPr>
                      <w:rFonts w:hint="eastAsia" w:cs="Times New Roman"/>
                      <w:color w:val="auto"/>
                      <w:kern w:val="0"/>
                      <w:sz w:val="21"/>
                      <w:szCs w:val="21"/>
                      <w:highlight w:val="none"/>
                      <w:lang w:val="en-US" w:eastAsia="zh-CN"/>
                    </w:rPr>
                    <w:t>/</w:t>
                  </w:r>
                </w:p>
              </w:tc>
              <w:tc>
                <w:tcPr>
                  <w:tcW w:w="291" w:type="pct"/>
                  <w:tcBorders>
                    <w:tl2br w:val="nil"/>
                    <w:tr2bl w:val="nil"/>
                  </w:tcBorders>
                  <w:vAlign w:val="center"/>
                </w:tcPr>
                <w:p w14:paraId="1A76A7F9">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3300</w:t>
                  </w:r>
                </w:p>
              </w:tc>
              <w:tc>
                <w:tcPr>
                  <w:tcW w:w="336" w:type="pct"/>
                  <w:tcBorders>
                    <w:tl2br w:val="nil"/>
                    <w:tr2bl w:val="nil"/>
                  </w:tcBorders>
                  <w:vAlign w:val="center"/>
                </w:tcPr>
                <w:p w14:paraId="3C06B3FB">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0.282</w:t>
                  </w:r>
                </w:p>
              </w:tc>
              <w:tc>
                <w:tcPr>
                  <w:tcW w:w="399" w:type="pct"/>
                  <w:tcBorders>
                    <w:tl2br w:val="nil"/>
                    <w:tr2bl w:val="nil"/>
                  </w:tcBorders>
                  <w:vAlign w:val="center"/>
                </w:tcPr>
                <w:p w14:paraId="3B7822CB">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w:t>
                  </w:r>
                </w:p>
              </w:tc>
              <w:tc>
                <w:tcPr>
                  <w:tcW w:w="473" w:type="pct"/>
                  <w:tcBorders>
                    <w:tl2br w:val="nil"/>
                    <w:tr2bl w:val="nil"/>
                  </w:tcBorders>
                  <w:vAlign w:val="center"/>
                </w:tcPr>
                <w:p w14:paraId="11789016">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w:t>
                  </w:r>
                </w:p>
              </w:tc>
              <w:tc>
                <w:tcPr>
                  <w:tcW w:w="164" w:type="pct"/>
                  <w:tcBorders>
                    <w:tl2br w:val="nil"/>
                    <w:tr2bl w:val="nil"/>
                  </w:tcBorders>
                  <w:shd w:val="clear" w:color="auto" w:fill="auto"/>
                  <w:vAlign w:val="center"/>
                </w:tcPr>
                <w:p w14:paraId="4127FEE5">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无组织</w:t>
                  </w:r>
                </w:p>
              </w:tc>
              <w:tc>
                <w:tcPr>
                  <w:tcW w:w="337" w:type="pct"/>
                  <w:tcBorders>
                    <w:tl2br w:val="nil"/>
                    <w:tr2bl w:val="nil"/>
                  </w:tcBorders>
                  <w:vAlign w:val="center"/>
                </w:tcPr>
                <w:p w14:paraId="0F89EEB0">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通风</w:t>
                  </w:r>
                </w:p>
              </w:tc>
              <w:tc>
                <w:tcPr>
                  <w:tcW w:w="346" w:type="pct"/>
                  <w:tcBorders>
                    <w:tl2br w:val="nil"/>
                    <w:tr2bl w:val="nil"/>
                  </w:tcBorders>
                  <w:vAlign w:val="center"/>
                </w:tcPr>
                <w:p w14:paraId="3A4923A3">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0.282</w:t>
                  </w:r>
                </w:p>
              </w:tc>
              <w:tc>
                <w:tcPr>
                  <w:tcW w:w="399" w:type="pct"/>
                  <w:tcBorders>
                    <w:tl2br w:val="nil"/>
                    <w:tr2bl w:val="nil"/>
                  </w:tcBorders>
                  <w:vAlign w:val="center"/>
                </w:tcPr>
                <w:p w14:paraId="38D96458">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w:t>
                  </w:r>
                </w:p>
              </w:tc>
              <w:tc>
                <w:tcPr>
                  <w:tcW w:w="474" w:type="pct"/>
                  <w:tcBorders>
                    <w:tl2br w:val="nil"/>
                    <w:tr2bl w:val="nil"/>
                  </w:tcBorders>
                  <w:vAlign w:val="center"/>
                </w:tcPr>
                <w:p w14:paraId="768E6953">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w:t>
                  </w:r>
                </w:p>
              </w:tc>
              <w:tc>
                <w:tcPr>
                  <w:tcW w:w="232" w:type="pct"/>
                  <w:tcBorders>
                    <w:tl2br w:val="nil"/>
                    <w:tr2bl w:val="nil"/>
                  </w:tcBorders>
                  <w:vAlign w:val="center"/>
                </w:tcPr>
                <w:p w14:paraId="2341744A">
                  <w:pPr>
                    <w:widowControl/>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246" w:type="pct"/>
                  <w:tcBorders>
                    <w:tl2br w:val="nil"/>
                    <w:tr2bl w:val="nil"/>
                  </w:tcBorders>
                  <w:vAlign w:val="center"/>
                </w:tcPr>
                <w:p w14:paraId="277F7D59">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w:t>
                  </w:r>
                </w:p>
              </w:tc>
              <w:tc>
                <w:tcPr>
                  <w:tcW w:w="364" w:type="pct"/>
                  <w:tcBorders>
                    <w:tl2br w:val="nil"/>
                    <w:tr2bl w:val="nil"/>
                  </w:tcBorders>
                  <w:vAlign w:val="center"/>
                </w:tcPr>
                <w:p w14:paraId="4ED386D9">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60</w:t>
                  </w:r>
                </w:p>
              </w:tc>
            </w:tr>
            <w:tr w14:paraId="3F568D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4" w:type="pct"/>
                  <w:tcBorders>
                    <w:tl2br w:val="nil"/>
                    <w:tr2bl w:val="nil"/>
                  </w:tcBorders>
                  <w:vAlign w:val="center"/>
                </w:tcPr>
                <w:p w14:paraId="0CF1BB93">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破碎工序</w:t>
                  </w:r>
                </w:p>
              </w:tc>
              <w:tc>
                <w:tcPr>
                  <w:tcW w:w="162" w:type="pct"/>
                  <w:tcBorders>
                    <w:tl2br w:val="nil"/>
                    <w:tr2bl w:val="nil"/>
                  </w:tcBorders>
                  <w:vAlign w:val="center"/>
                </w:tcPr>
                <w:p w14:paraId="77BD25B5">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颗粒物</w:t>
                  </w:r>
                </w:p>
              </w:tc>
              <w:tc>
                <w:tcPr>
                  <w:tcW w:w="286" w:type="pct"/>
                  <w:tcBorders>
                    <w:tl2br w:val="nil"/>
                    <w:tr2bl w:val="nil"/>
                  </w:tcBorders>
                  <w:vAlign w:val="center"/>
                </w:tcPr>
                <w:p w14:paraId="5D74BE6F">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w:t>
                  </w:r>
                </w:p>
              </w:tc>
              <w:tc>
                <w:tcPr>
                  <w:tcW w:w="291" w:type="pct"/>
                  <w:tcBorders>
                    <w:tl2br w:val="nil"/>
                    <w:tr2bl w:val="nil"/>
                  </w:tcBorders>
                  <w:vAlign w:val="center"/>
                </w:tcPr>
                <w:p w14:paraId="76453340">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135</w:t>
                  </w:r>
                </w:p>
              </w:tc>
              <w:tc>
                <w:tcPr>
                  <w:tcW w:w="336" w:type="pct"/>
                  <w:tcBorders>
                    <w:tl2br w:val="nil"/>
                    <w:tr2bl w:val="nil"/>
                  </w:tcBorders>
                  <w:vAlign w:val="center"/>
                </w:tcPr>
                <w:p w14:paraId="679460C7">
                  <w:pPr>
                    <w:spacing w:line="240" w:lineRule="auto"/>
                    <w:ind w:firstLine="0" w:firstLineChars="0"/>
                    <w:jc w:val="center"/>
                    <w:rPr>
                      <w:rFonts w:hint="default" w:ascii="Times New Roman" w:hAnsi="Times New Roman" w:cs="Times New Roman"/>
                      <w:color w:val="auto"/>
                      <w:kern w:val="0"/>
                      <w:sz w:val="21"/>
                      <w:szCs w:val="21"/>
                      <w:highlight w:val="none"/>
                    </w:rPr>
                  </w:pPr>
                  <w:r>
                    <w:rPr>
                      <w:rFonts w:hint="eastAsia"/>
                      <w:color w:val="auto"/>
                    </w:rPr>
                    <w:t>0.00234</w:t>
                  </w:r>
                </w:p>
              </w:tc>
              <w:tc>
                <w:tcPr>
                  <w:tcW w:w="399" w:type="pct"/>
                  <w:tcBorders>
                    <w:tl2br w:val="nil"/>
                    <w:tr2bl w:val="nil"/>
                  </w:tcBorders>
                  <w:vAlign w:val="center"/>
                </w:tcPr>
                <w:p w14:paraId="603C5CA8">
                  <w:pPr>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rPr>
                    <w:t>/</w:t>
                  </w:r>
                </w:p>
              </w:tc>
              <w:tc>
                <w:tcPr>
                  <w:tcW w:w="473" w:type="pct"/>
                  <w:tcBorders>
                    <w:tl2br w:val="nil"/>
                    <w:tr2bl w:val="nil"/>
                  </w:tcBorders>
                  <w:vAlign w:val="center"/>
                </w:tcPr>
                <w:p w14:paraId="5D53D8B6">
                  <w:pPr>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rPr>
                    <w:t>/</w:t>
                  </w:r>
                </w:p>
              </w:tc>
              <w:tc>
                <w:tcPr>
                  <w:tcW w:w="164" w:type="pct"/>
                  <w:tcBorders>
                    <w:tl2br w:val="nil"/>
                    <w:tr2bl w:val="nil"/>
                  </w:tcBorders>
                  <w:shd w:val="clear" w:color="auto" w:fill="auto"/>
                  <w:vAlign w:val="center"/>
                </w:tcPr>
                <w:p w14:paraId="4E72299C">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无组织</w:t>
                  </w:r>
                </w:p>
              </w:tc>
              <w:tc>
                <w:tcPr>
                  <w:tcW w:w="337" w:type="pct"/>
                  <w:tcBorders>
                    <w:tl2br w:val="nil"/>
                    <w:tr2bl w:val="nil"/>
                  </w:tcBorders>
                  <w:vAlign w:val="center"/>
                </w:tcPr>
                <w:p w14:paraId="2CCE0CF2">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集气罩+布袋除尘器</w:t>
                  </w:r>
                </w:p>
              </w:tc>
              <w:tc>
                <w:tcPr>
                  <w:tcW w:w="346" w:type="pct"/>
                  <w:tcBorders>
                    <w:tl2br w:val="nil"/>
                    <w:tr2bl w:val="nil"/>
                  </w:tcBorders>
                  <w:vAlign w:val="center"/>
                </w:tcPr>
                <w:p w14:paraId="099F7AE7">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eastAsia"/>
                      <w:color w:val="auto"/>
                    </w:rPr>
                    <w:t>0.00045</w:t>
                  </w:r>
                </w:p>
              </w:tc>
              <w:tc>
                <w:tcPr>
                  <w:tcW w:w="399" w:type="pct"/>
                  <w:tcBorders>
                    <w:tl2br w:val="nil"/>
                    <w:tr2bl w:val="nil"/>
                  </w:tcBorders>
                  <w:vAlign w:val="center"/>
                </w:tcPr>
                <w:p w14:paraId="70F5C6A8">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rPr>
                    <w:t>/</w:t>
                  </w:r>
                </w:p>
              </w:tc>
              <w:tc>
                <w:tcPr>
                  <w:tcW w:w="474" w:type="pct"/>
                  <w:tcBorders>
                    <w:tl2br w:val="nil"/>
                    <w:tr2bl w:val="nil"/>
                  </w:tcBorders>
                  <w:vAlign w:val="center"/>
                </w:tcPr>
                <w:p w14:paraId="3FF13B94">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rPr>
                    <w:t>/</w:t>
                  </w:r>
                </w:p>
              </w:tc>
              <w:tc>
                <w:tcPr>
                  <w:tcW w:w="232" w:type="pct"/>
                  <w:tcBorders>
                    <w:tl2br w:val="nil"/>
                    <w:tr2bl w:val="nil"/>
                  </w:tcBorders>
                  <w:vAlign w:val="center"/>
                </w:tcPr>
                <w:p w14:paraId="0E12CCB2">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85%</w:t>
                  </w:r>
                </w:p>
              </w:tc>
              <w:tc>
                <w:tcPr>
                  <w:tcW w:w="246" w:type="pct"/>
                  <w:tcBorders>
                    <w:tl2br w:val="nil"/>
                    <w:tr2bl w:val="nil"/>
                  </w:tcBorders>
                  <w:vAlign w:val="center"/>
                </w:tcPr>
                <w:p w14:paraId="24D87D46">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95%</w:t>
                  </w:r>
                </w:p>
              </w:tc>
              <w:tc>
                <w:tcPr>
                  <w:tcW w:w="364" w:type="pct"/>
                  <w:tcBorders>
                    <w:tl2br w:val="nil"/>
                    <w:tr2bl w:val="nil"/>
                  </w:tcBorders>
                  <w:vAlign w:val="center"/>
                </w:tcPr>
                <w:p w14:paraId="557225BE">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4.0</w:t>
                  </w:r>
                </w:p>
              </w:tc>
            </w:tr>
          </w:tbl>
          <w:p w14:paraId="46CFF023">
            <w:pPr>
              <w:pStyle w:val="10"/>
              <w:adjustRightInd w:val="0"/>
              <w:snapToGrid w:val="0"/>
              <w:spacing w:after="0" w:line="360" w:lineRule="auto"/>
              <w:ind w:left="0" w:leftChars="0" w:firstLine="480" w:firstLineChars="200"/>
              <w:jc w:val="left"/>
              <w:rPr>
                <w:color w:val="auto"/>
              </w:rPr>
            </w:pPr>
          </w:p>
          <w:p w14:paraId="4BA82E7A">
            <w:pPr>
              <w:pStyle w:val="10"/>
              <w:adjustRightInd w:val="0"/>
              <w:snapToGrid w:val="0"/>
              <w:spacing w:after="0" w:line="360" w:lineRule="auto"/>
              <w:ind w:left="0" w:leftChars="0" w:firstLine="480" w:firstLineChars="200"/>
              <w:jc w:val="left"/>
              <w:rPr>
                <w:color w:val="auto"/>
              </w:rPr>
            </w:pPr>
          </w:p>
        </w:tc>
      </w:tr>
    </w:tbl>
    <w:p w14:paraId="2B6E4D6A">
      <w:pPr>
        <w:pStyle w:val="23"/>
        <w:jc w:val="center"/>
        <w:outlineLvl w:val="0"/>
        <w:rPr>
          <w:rFonts w:ascii="黑体" w:hAnsi="黑体" w:eastAsia="黑体"/>
          <w:snapToGrid w:val="0"/>
          <w:color w:val="auto"/>
          <w:sz w:val="30"/>
          <w:szCs w:val="30"/>
        </w:rPr>
        <w:sectPr>
          <w:pgSz w:w="16840" w:h="11907" w:orient="landscape"/>
          <w:pgMar w:top="1531" w:right="1701" w:bottom="1531" w:left="2127" w:header="851" w:footer="851" w:gutter="0"/>
          <w:cols w:space="720" w:num="1"/>
          <w:docGrid w:linePitch="312" w:charSpace="0"/>
        </w:sectPr>
      </w:pPr>
    </w:p>
    <w:tbl>
      <w:tblPr>
        <w:tblStyle w:val="26"/>
        <w:tblW w:w="511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6"/>
        <w:gridCol w:w="8999"/>
      </w:tblGrid>
      <w:tr w14:paraId="14306C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58" w:hRule="atLeast"/>
          <w:jc w:val="center"/>
        </w:trPr>
        <w:tc>
          <w:tcPr>
            <w:tcW w:w="1119" w:type="dxa"/>
            <w:tcMar>
              <w:left w:w="28" w:type="dxa"/>
              <w:right w:w="28" w:type="dxa"/>
            </w:tcMar>
            <w:vAlign w:val="center"/>
          </w:tcPr>
          <w:p w14:paraId="491486BA">
            <w:pPr>
              <w:pStyle w:val="23"/>
              <w:adjustRightInd w:val="0"/>
              <w:snapToGrid w:val="0"/>
              <w:spacing w:before="0" w:beforeAutospacing="0" w:after="0" w:afterAutospacing="0"/>
              <w:jc w:val="center"/>
              <w:rPr>
                <w:rFonts w:ascii="Times New Roman" w:hAnsi="Times New Roman"/>
                <w:color w:val="auto"/>
                <w:kern w:val="2"/>
                <w:szCs w:val="24"/>
              </w:rPr>
            </w:pPr>
            <w:r>
              <w:rPr>
                <w:rFonts w:hint="eastAsia" w:cs="宋体"/>
                <w:bCs/>
                <w:color w:val="auto"/>
              </w:rPr>
              <w:t>运营期环境影响和保护措施</w:t>
            </w:r>
          </w:p>
        </w:tc>
        <w:tc>
          <w:tcPr>
            <w:tcW w:w="12239" w:type="dxa"/>
            <w:vAlign w:val="center"/>
          </w:tcPr>
          <w:p w14:paraId="3C1368C9">
            <w:pPr>
              <w:adjustRightInd w:val="0"/>
              <w:snapToGrid w:val="0"/>
              <w:spacing w:before="120" w:beforeLines="50" w:line="360" w:lineRule="auto"/>
              <w:ind w:firstLine="480" w:firstLineChars="200"/>
              <w:rPr>
                <w:bCs/>
                <w:color w:val="auto"/>
                <w:sz w:val="24"/>
              </w:rPr>
            </w:pPr>
            <w:r>
              <w:rPr>
                <w:rFonts w:hint="eastAsia"/>
                <w:bCs/>
                <w:color w:val="auto"/>
                <w:sz w:val="24"/>
              </w:rPr>
              <w:t>（2）</w:t>
            </w:r>
            <w:r>
              <w:rPr>
                <w:bCs/>
                <w:color w:val="auto"/>
                <w:sz w:val="24"/>
              </w:rPr>
              <w:t>废气排放源强核算</w:t>
            </w:r>
          </w:p>
          <w:p w14:paraId="610556E1">
            <w:pPr>
              <w:adjustRightInd w:val="0"/>
              <w:snapToGrid w:val="0"/>
              <w:spacing w:line="360" w:lineRule="auto"/>
              <w:ind w:firstLine="480" w:firstLineChars="200"/>
              <w:rPr>
                <w:bCs/>
                <w:color w:val="auto"/>
                <w:sz w:val="24"/>
              </w:rPr>
            </w:pPr>
            <w:r>
              <w:rPr>
                <w:rFonts w:hint="eastAsia"/>
                <w:bCs/>
                <w:color w:val="auto"/>
                <w:sz w:val="24"/>
              </w:rPr>
              <w:t>项目营运期产生的废气主要为注塑工序产生的有机废气、热转印工序产生的热转印废气和不合格品和废边角料破碎工序产生的破碎粉尘。</w:t>
            </w:r>
          </w:p>
          <w:p w14:paraId="3437AFE9">
            <w:pPr>
              <w:spacing w:line="360" w:lineRule="auto"/>
              <w:ind w:firstLine="480" w:firstLineChars="200"/>
              <w:rPr>
                <w:color w:val="auto"/>
                <w:sz w:val="24"/>
              </w:rPr>
            </w:pPr>
            <w:r>
              <w:rPr>
                <w:rFonts w:hint="eastAsia"/>
                <w:color w:val="auto"/>
                <w:sz w:val="24"/>
              </w:rPr>
              <w:t>1）注塑工序产生的有机废气</w:t>
            </w:r>
          </w:p>
          <w:p w14:paraId="1FE8ADA0">
            <w:pPr>
              <w:spacing w:line="360" w:lineRule="auto"/>
              <w:ind w:firstLine="480" w:firstLineChars="200"/>
              <w:rPr>
                <w:color w:val="auto"/>
                <w:sz w:val="24"/>
              </w:rPr>
            </w:pPr>
            <w:r>
              <w:rPr>
                <w:rFonts w:hint="eastAsia"/>
                <w:color w:val="auto"/>
                <w:sz w:val="24"/>
              </w:rPr>
              <w:t>注塑工序采用聚乙烯和聚丙烯颗粒，在热熔、塑化成型过程会有少量挥发性有机废气产生，以非甲烷总烃计。项目注塑工序每天工作时间24小时，年工作330天。根据《排放源统计调查产排污核算方法和系数手册》“292塑料制品业系数手册-2926塑料包装箱及容器制造行业系数表”可知，配料-混合-挤出/注（吹）塑工艺所有规模，废气量为1.20×10</w:t>
            </w:r>
            <w:r>
              <w:rPr>
                <w:rFonts w:hint="eastAsia"/>
                <w:color w:val="auto"/>
                <w:sz w:val="24"/>
                <w:vertAlign w:val="superscript"/>
              </w:rPr>
              <w:t>5</w:t>
            </w:r>
            <w:r>
              <w:rPr>
                <w:rFonts w:hint="eastAsia"/>
                <w:color w:val="auto"/>
                <w:sz w:val="24"/>
              </w:rPr>
              <w:t>标立方米/吨-产品，挥发性有机物产物系数为“2.70千克/吨-产品”，本项目年产塑料桶2500t/a，项目废气产生量为3×10</w:t>
            </w:r>
            <w:r>
              <w:rPr>
                <w:rFonts w:hint="eastAsia"/>
                <w:color w:val="auto"/>
                <w:sz w:val="24"/>
                <w:vertAlign w:val="superscript"/>
              </w:rPr>
              <w:t>8</w:t>
            </w:r>
            <w:r>
              <w:rPr>
                <w:rFonts w:hint="eastAsia"/>
                <w:color w:val="auto"/>
                <w:sz w:val="24"/>
              </w:rPr>
              <w:t>标立方米，非甲烷总烃的产生量约为6.75t/a。</w:t>
            </w:r>
          </w:p>
          <w:p w14:paraId="5CC98CC4">
            <w:pPr>
              <w:spacing w:line="360" w:lineRule="auto"/>
              <w:ind w:firstLine="480" w:firstLineChars="200"/>
              <w:rPr>
                <w:color w:val="auto"/>
                <w:sz w:val="24"/>
              </w:rPr>
            </w:pPr>
            <w:r>
              <w:rPr>
                <w:rFonts w:hint="eastAsia"/>
                <w:color w:val="auto"/>
                <w:sz w:val="24"/>
              </w:rPr>
              <w:t>根据《废气处理工程技术手册》（化学工业出版社，王纯等主编），集气口风量计算公式为：</w:t>
            </w:r>
            <w:r>
              <w:rPr>
                <w:color w:val="auto"/>
                <w:sz w:val="24"/>
              </w:rPr>
              <w:t>Q=3600Fvβ</w:t>
            </w:r>
          </w:p>
          <w:p w14:paraId="3A382F49">
            <w:pPr>
              <w:spacing w:line="360" w:lineRule="auto"/>
              <w:ind w:firstLine="480" w:firstLineChars="200"/>
              <w:rPr>
                <w:color w:val="auto"/>
                <w:sz w:val="24"/>
              </w:rPr>
            </w:pPr>
            <w:r>
              <w:rPr>
                <w:rFonts w:hint="eastAsia"/>
                <w:color w:val="auto"/>
                <w:sz w:val="24"/>
              </w:rPr>
              <w:t>其中：Q—风量，m</w:t>
            </w:r>
            <w:r>
              <w:rPr>
                <w:rFonts w:hint="eastAsia"/>
                <w:color w:val="auto"/>
                <w:sz w:val="24"/>
                <w:vertAlign w:val="superscript"/>
              </w:rPr>
              <w:t>3</w:t>
            </w:r>
            <w:r>
              <w:rPr>
                <w:rFonts w:hint="eastAsia"/>
                <w:color w:val="auto"/>
                <w:sz w:val="24"/>
              </w:rPr>
              <w:t>/h；</w:t>
            </w:r>
          </w:p>
          <w:p w14:paraId="097A1B55">
            <w:pPr>
              <w:spacing w:line="360" w:lineRule="auto"/>
              <w:ind w:firstLine="1200" w:firstLineChars="500"/>
              <w:rPr>
                <w:color w:val="auto"/>
                <w:sz w:val="24"/>
              </w:rPr>
            </w:pPr>
            <w:r>
              <w:rPr>
                <w:rFonts w:hint="eastAsia"/>
                <w:color w:val="auto"/>
                <w:sz w:val="24"/>
              </w:rPr>
              <w:t>F—操作口实际开启面积m</w:t>
            </w:r>
            <w:r>
              <w:rPr>
                <w:rFonts w:hint="eastAsia"/>
                <w:color w:val="auto"/>
                <w:sz w:val="24"/>
                <w:vertAlign w:val="superscript"/>
              </w:rPr>
              <w:t>2</w:t>
            </w:r>
            <w:r>
              <w:rPr>
                <w:rFonts w:hint="eastAsia"/>
                <w:color w:val="auto"/>
                <w:sz w:val="24"/>
              </w:rPr>
              <w:t>；</w:t>
            </w:r>
          </w:p>
          <w:p w14:paraId="5DDDCCEE">
            <w:pPr>
              <w:spacing w:line="360" w:lineRule="auto"/>
              <w:ind w:firstLine="1200" w:firstLineChars="500"/>
              <w:rPr>
                <w:color w:val="auto"/>
                <w:sz w:val="24"/>
              </w:rPr>
            </w:pPr>
            <w:r>
              <w:rPr>
                <w:rFonts w:hint="eastAsia"/>
                <w:color w:val="auto"/>
                <w:sz w:val="24"/>
              </w:rPr>
              <w:t>v—操作口空气吸入速度，m/s；本项目取0.5m/s。</w:t>
            </w:r>
          </w:p>
          <w:p w14:paraId="133A8622">
            <w:pPr>
              <w:spacing w:line="360" w:lineRule="auto"/>
              <w:ind w:firstLine="1200" w:firstLineChars="500"/>
              <w:rPr>
                <w:color w:val="auto"/>
                <w:sz w:val="24"/>
              </w:rPr>
            </w:pPr>
            <w:r>
              <w:rPr>
                <w:color w:val="auto"/>
                <w:sz w:val="24"/>
              </w:rPr>
              <w:t>β</w:t>
            </w:r>
            <w:r>
              <w:rPr>
                <w:rFonts w:hint="eastAsia"/>
                <w:color w:val="auto"/>
                <w:sz w:val="24"/>
              </w:rPr>
              <w:t>—安全系数，取值1.0；</w:t>
            </w:r>
          </w:p>
          <w:p w14:paraId="6733B947">
            <w:pPr>
              <w:spacing w:line="360" w:lineRule="auto"/>
              <w:ind w:firstLine="480" w:firstLineChars="200"/>
              <w:rPr>
                <w:color w:val="auto"/>
                <w:sz w:val="24"/>
              </w:rPr>
            </w:pPr>
            <w:r>
              <w:rPr>
                <w:rFonts w:hint="eastAsia"/>
                <w:color w:val="auto"/>
                <w:sz w:val="24"/>
              </w:rPr>
              <w:t>计算得Q=3600×（5.04+2.64+2.88）×0.5×1=19008m</w:t>
            </w:r>
            <w:r>
              <w:rPr>
                <w:rFonts w:hint="eastAsia"/>
                <w:color w:val="auto"/>
                <w:sz w:val="24"/>
                <w:vertAlign w:val="superscript"/>
              </w:rPr>
              <w:t>3</w:t>
            </w:r>
            <w:r>
              <w:rPr>
                <w:rFonts w:hint="eastAsia"/>
                <w:color w:val="auto"/>
                <w:sz w:val="24"/>
              </w:rPr>
              <w:t>/h。考虑风机衰减等情况，风量取20000m</w:t>
            </w:r>
            <w:r>
              <w:rPr>
                <w:rFonts w:hint="eastAsia"/>
                <w:color w:val="auto"/>
                <w:sz w:val="24"/>
                <w:vertAlign w:val="superscript"/>
              </w:rPr>
              <w:t>3</w:t>
            </w:r>
            <w:r>
              <w:rPr>
                <w:rFonts w:hint="eastAsia"/>
                <w:color w:val="auto"/>
                <w:sz w:val="24"/>
              </w:rPr>
              <w:t>/h。</w:t>
            </w:r>
          </w:p>
          <w:p w14:paraId="5347953A">
            <w:pPr>
              <w:spacing w:line="360" w:lineRule="auto"/>
              <w:ind w:firstLine="480" w:firstLineChars="200"/>
              <w:rPr>
                <w:color w:val="auto"/>
                <w:sz w:val="24"/>
              </w:rPr>
            </w:pPr>
            <w:r>
              <w:rPr>
                <w:rFonts w:hint="eastAsia"/>
                <w:color w:val="auto"/>
                <w:sz w:val="24"/>
                <w:highlight w:val="none"/>
              </w:rPr>
              <w:t>环评要求每台注塑机上方敞开处设置1个“集气罩+软帘”收集废气、</w:t>
            </w:r>
            <w:r>
              <w:rPr>
                <w:rFonts w:hint="eastAsia"/>
                <w:color w:val="auto"/>
                <w:sz w:val="24"/>
                <w:highlight w:val="none"/>
                <w:lang w:val="en-US" w:eastAsia="zh-CN"/>
              </w:rPr>
              <w:t>注塑机</w:t>
            </w:r>
            <w:r>
              <w:rPr>
                <w:rFonts w:hint="eastAsia"/>
                <w:color w:val="auto"/>
                <w:sz w:val="24"/>
                <w:highlight w:val="none"/>
              </w:rPr>
              <w:t>侧</w:t>
            </w:r>
            <w:r>
              <w:rPr>
                <w:rFonts w:hint="eastAsia"/>
                <w:color w:val="auto"/>
                <w:sz w:val="24"/>
                <w:highlight w:val="none"/>
                <w:lang w:val="en-US" w:eastAsia="zh-CN"/>
              </w:rPr>
              <w:t>方</w:t>
            </w:r>
            <w:r>
              <w:rPr>
                <w:rFonts w:hint="eastAsia"/>
                <w:color w:val="auto"/>
                <w:sz w:val="24"/>
                <w:highlight w:val="none"/>
              </w:rPr>
              <w:t>敞开处设</w:t>
            </w:r>
            <w:r>
              <w:rPr>
                <w:rFonts w:hint="eastAsia"/>
                <w:color w:val="auto"/>
                <w:sz w:val="24"/>
              </w:rPr>
              <w:t>置1个集气罩</w:t>
            </w:r>
            <w:r>
              <w:rPr>
                <w:rFonts w:hint="eastAsia"/>
                <w:color w:val="auto"/>
                <w:sz w:val="24"/>
                <w:lang w:val="en-US" w:eastAsia="zh-CN"/>
              </w:rPr>
              <w:t>侧向</w:t>
            </w:r>
            <w:r>
              <w:rPr>
                <w:rFonts w:hint="eastAsia"/>
                <w:color w:val="auto"/>
                <w:sz w:val="24"/>
              </w:rPr>
              <w:t>收集废气，项目设置6个顶吸式（1.2m×1.4m×3个；0.8m×1.1m×3个）和2个侧吸式（0.8m×1.8m×2个），产生的有机废气经集气罩+软帘收集后，通过</w:t>
            </w:r>
            <w:r>
              <w:rPr>
                <w:rFonts w:hint="eastAsia"/>
                <w:color w:val="auto"/>
                <w:sz w:val="24"/>
                <w:lang w:val="en-US" w:eastAsia="zh-CN"/>
              </w:rPr>
              <w:t>三</w:t>
            </w:r>
            <w:r>
              <w:rPr>
                <w:rFonts w:hint="eastAsia"/>
                <w:color w:val="auto"/>
                <w:sz w:val="24"/>
              </w:rPr>
              <w:t>级活性炭处理后，尾气通过15m高排气筒（DA001）排放。其中，集气罩收集效率按照《陕西省排污许可制支撑空气质量持续改善实施方案》的通知（陕环发〔2023〕59号）中“包围型集气设备：敞开面控制风速不小于0.5m/s的集气效率80%”计，</w:t>
            </w:r>
            <w:r>
              <w:rPr>
                <w:rFonts w:hint="eastAsia"/>
                <w:color w:val="auto"/>
                <w:sz w:val="24"/>
                <w:lang w:val="en-US" w:eastAsia="zh-CN"/>
              </w:rPr>
              <w:t>三</w:t>
            </w:r>
            <w:r>
              <w:rPr>
                <w:rFonts w:hint="eastAsia"/>
                <w:color w:val="auto"/>
                <w:sz w:val="24"/>
              </w:rPr>
              <w:t>级活性炭吸附效率根据《排放源统计调查产排污核算方法和系数手册》-292塑料制品业系数手册-2926 塑料包装箱及容器制造行业系数表活性炭吸附的末端治理技术平均去除效率为21%，</w:t>
            </w:r>
            <w:r>
              <w:rPr>
                <w:rFonts w:hint="eastAsia"/>
                <w:color w:val="auto"/>
                <w:sz w:val="24"/>
                <w:lang w:val="en-US" w:eastAsia="zh-CN"/>
              </w:rPr>
              <w:t>三</w:t>
            </w:r>
            <w:r>
              <w:rPr>
                <w:rFonts w:hint="eastAsia"/>
                <w:color w:val="auto"/>
                <w:sz w:val="24"/>
              </w:rPr>
              <w:t>级活性炭吸附处理效率为</w:t>
            </w:r>
            <w:r>
              <w:rPr>
                <w:rFonts w:hint="eastAsia"/>
                <w:color w:val="auto"/>
                <w:sz w:val="24"/>
                <w:lang w:val="en-US" w:eastAsia="zh-CN"/>
              </w:rPr>
              <w:t>50.7</w:t>
            </w:r>
            <w:r>
              <w:rPr>
                <w:rFonts w:hint="eastAsia"/>
                <w:color w:val="auto"/>
                <w:sz w:val="24"/>
              </w:rPr>
              <w:t>%。</w:t>
            </w:r>
          </w:p>
          <w:p w14:paraId="57035255">
            <w:pPr>
              <w:spacing w:line="360" w:lineRule="auto"/>
              <w:ind w:firstLine="480" w:firstLineChars="200"/>
              <w:rPr>
                <w:color w:val="auto"/>
                <w:sz w:val="24"/>
              </w:rPr>
            </w:pPr>
            <w:r>
              <w:rPr>
                <w:rFonts w:hint="eastAsia"/>
                <w:color w:val="auto"/>
                <w:sz w:val="24"/>
              </w:rPr>
              <w:t>有组织非甲烷总烃的产生量约5.4t/a（速率0.68kg/h，浓度34mg/m</w:t>
            </w:r>
            <w:r>
              <w:rPr>
                <w:rFonts w:hint="eastAsia"/>
                <w:color w:val="auto"/>
                <w:sz w:val="24"/>
                <w:vertAlign w:val="superscript"/>
              </w:rPr>
              <w:t>3</w:t>
            </w:r>
            <w:r>
              <w:rPr>
                <w:rFonts w:hint="eastAsia"/>
                <w:color w:val="auto"/>
                <w:sz w:val="24"/>
              </w:rPr>
              <w:t>），非甲烷总烃的排放量约</w:t>
            </w:r>
            <w:r>
              <w:rPr>
                <w:rFonts w:hint="eastAsia"/>
                <w:color w:val="auto"/>
                <w:sz w:val="24"/>
                <w:lang w:val="en-US" w:eastAsia="zh-CN"/>
              </w:rPr>
              <w:t>2.66</w:t>
            </w:r>
            <w:r>
              <w:rPr>
                <w:rFonts w:hint="eastAsia"/>
                <w:color w:val="auto"/>
                <w:sz w:val="24"/>
              </w:rPr>
              <w:t>t/a（速率0.</w:t>
            </w:r>
            <w:r>
              <w:rPr>
                <w:rFonts w:hint="eastAsia"/>
                <w:color w:val="auto"/>
                <w:sz w:val="24"/>
                <w:lang w:val="en-US" w:eastAsia="zh-CN"/>
              </w:rPr>
              <w:t>34</w:t>
            </w:r>
            <w:r>
              <w:rPr>
                <w:rFonts w:hint="eastAsia"/>
                <w:color w:val="auto"/>
                <w:sz w:val="24"/>
              </w:rPr>
              <w:t>kg/h，浓度1</w:t>
            </w:r>
            <w:r>
              <w:rPr>
                <w:rFonts w:hint="eastAsia"/>
                <w:color w:val="auto"/>
                <w:sz w:val="24"/>
                <w:lang w:val="en-US" w:eastAsia="zh-CN"/>
              </w:rPr>
              <w:t>7</w:t>
            </w:r>
            <w:r>
              <w:rPr>
                <w:rFonts w:hint="eastAsia"/>
                <w:color w:val="auto"/>
                <w:sz w:val="24"/>
              </w:rPr>
              <w:t>mg/m</w:t>
            </w:r>
            <w:r>
              <w:rPr>
                <w:rFonts w:hint="eastAsia"/>
                <w:color w:val="auto"/>
                <w:sz w:val="24"/>
                <w:vertAlign w:val="superscript"/>
              </w:rPr>
              <w:t>3</w:t>
            </w:r>
            <w:r>
              <w:rPr>
                <w:rFonts w:hint="eastAsia"/>
                <w:color w:val="auto"/>
                <w:sz w:val="24"/>
              </w:rPr>
              <w:t>）；无组织非甲烷总烃排放量为1.35t/a；非甲烷总烃总排放量为</w:t>
            </w:r>
            <w:r>
              <w:rPr>
                <w:rFonts w:hint="eastAsia"/>
                <w:color w:val="auto"/>
                <w:sz w:val="24"/>
                <w:lang w:val="en-US" w:eastAsia="zh-CN"/>
              </w:rPr>
              <w:t>4.01</w:t>
            </w:r>
            <w:r>
              <w:rPr>
                <w:rFonts w:hint="eastAsia"/>
                <w:color w:val="auto"/>
                <w:sz w:val="24"/>
              </w:rPr>
              <w:t>t/a。</w:t>
            </w:r>
          </w:p>
          <w:p w14:paraId="7B204F89">
            <w:pPr>
              <w:spacing w:line="360" w:lineRule="auto"/>
              <w:ind w:firstLine="480" w:firstLineChars="200"/>
              <w:rPr>
                <w:color w:val="auto"/>
                <w:sz w:val="24"/>
              </w:rPr>
            </w:pPr>
            <w:r>
              <w:rPr>
                <w:rFonts w:hint="eastAsia"/>
                <w:color w:val="auto"/>
                <w:sz w:val="24"/>
              </w:rPr>
              <w:t>2）热转印废气</w:t>
            </w:r>
          </w:p>
          <w:p w14:paraId="5D122B48">
            <w:pPr>
              <w:spacing w:line="360" w:lineRule="auto"/>
              <w:ind w:firstLine="480" w:firstLineChars="200"/>
              <w:rPr>
                <w:color w:val="auto"/>
                <w:sz w:val="24"/>
              </w:rPr>
            </w:pPr>
            <w:r>
              <w:rPr>
                <w:rFonts w:hint="eastAsia"/>
                <w:color w:val="auto"/>
                <w:sz w:val="24"/>
              </w:rPr>
              <w:t>本项目热转印工序产生的废气主要是热转印膜的油墨受热挥发产生的非甲烷总烃。根据建设单位提供资料，本项目热转印膜年用量为25t/a，热转印膜图案中的油墨量占热转印膜重量的2%，即0.5t/a，参考《排放源统计调查产排污核算方法和系数手册》中《245玩具制造行业系数手册》“2452塑胶玩具制造行业系数表”中油墨在移印工序中挥发性有机物产污系数，本项目热转印工序非甲烷总烃产污系数取563千克/吨－原料，则本项目热转印膜热转印过程中非甲烷总烃产生量为0.282t/a，热转印工序年工作时间330天，1天10h，共3300h，则产生速率为0.07kg/h，由于热转印废气产生量很小，在车间内无组织排放</w:t>
            </w:r>
            <w:r>
              <w:rPr>
                <w:color w:val="auto"/>
                <w:sz w:val="24"/>
              </w:rPr>
              <w:t>。</w:t>
            </w:r>
          </w:p>
          <w:p w14:paraId="04A4A122">
            <w:pPr>
              <w:spacing w:line="360" w:lineRule="auto"/>
              <w:ind w:firstLine="480" w:firstLineChars="200"/>
              <w:rPr>
                <w:color w:val="auto"/>
                <w:sz w:val="24"/>
              </w:rPr>
            </w:pPr>
            <w:r>
              <w:rPr>
                <w:rFonts w:hint="eastAsia"/>
                <w:color w:val="auto"/>
                <w:sz w:val="24"/>
              </w:rPr>
              <w:t>3）破碎工序产生的破碎粉尘</w:t>
            </w:r>
          </w:p>
          <w:p w14:paraId="214C222F">
            <w:pPr>
              <w:spacing w:line="360" w:lineRule="auto"/>
              <w:ind w:firstLine="480" w:firstLineChars="200"/>
              <w:rPr>
                <w:color w:val="auto"/>
                <w:sz w:val="24"/>
              </w:rPr>
            </w:pPr>
            <w:r>
              <w:rPr>
                <w:rFonts w:hint="eastAsia"/>
                <w:color w:val="auto"/>
                <w:sz w:val="24"/>
              </w:rPr>
              <w:t>项目设置破碎间，对不合格产品及边角料收集，破碎回用于注塑过程，根据建设单位提供资料，项目不合格品和废边角料6.25t/a，参考《排放源统计调查产排污核算方法和系数手册》4220非金属废料和碎屑加工处理行业，干法破碎颗粒物的产生系数为0.375kg/t原料，则破碎粉尘产生量0.00234t/a，破碎机年运行135h（约45天，每天工作3小时），产生速率约为0.017kg/h。破碎粉尘采用“集气罩（收集效率85%）+布袋除尘器（处理效率不低于95%）”处理后在密闭的破碎区内无组织排放，排放量为0.0001kg/a；未收集15%（0.00035t/a），颗粒物无组织总排放量为0.00045t/a。</w:t>
            </w:r>
          </w:p>
          <w:p w14:paraId="5908AFE2">
            <w:pPr>
              <w:adjustRightInd w:val="0"/>
              <w:snapToGrid w:val="0"/>
              <w:spacing w:line="360" w:lineRule="auto"/>
              <w:ind w:firstLine="480" w:firstLineChars="200"/>
              <w:rPr>
                <w:bCs/>
                <w:color w:val="auto"/>
                <w:sz w:val="24"/>
              </w:rPr>
            </w:pPr>
            <w:r>
              <w:rPr>
                <w:rFonts w:hint="eastAsia"/>
                <w:bCs/>
                <w:color w:val="auto"/>
                <w:sz w:val="24"/>
              </w:rPr>
              <w:t>（3）</w:t>
            </w:r>
            <w:r>
              <w:rPr>
                <w:bCs/>
                <w:color w:val="auto"/>
                <w:sz w:val="24"/>
              </w:rPr>
              <w:t>排放口基本情况</w:t>
            </w:r>
          </w:p>
          <w:p w14:paraId="6D1771D3">
            <w:pPr>
              <w:tabs>
                <w:tab w:val="left" w:pos="2539"/>
              </w:tabs>
              <w:adjustRightInd w:val="0"/>
              <w:snapToGrid w:val="0"/>
              <w:spacing w:line="360" w:lineRule="auto"/>
              <w:ind w:firstLine="480" w:firstLineChars="200"/>
              <w:rPr>
                <w:bCs/>
                <w:color w:val="auto"/>
                <w:sz w:val="24"/>
              </w:rPr>
            </w:pPr>
            <w:r>
              <w:rPr>
                <w:bCs/>
                <w:color w:val="auto"/>
                <w:sz w:val="24"/>
              </w:rPr>
              <w:t>排放口基本情况见</w:t>
            </w:r>
            <w:r>
              <w:rPr>
                <w:rFonts w:hint="eastAsia"/>
                <w:bCs/>
                <w:color w:val="auto"/>
                <w:sz w:val="24"/>
              </w:rPr>
              <w:t>下表</w:t>
            </w:r>
            <w:r>
              <w:rPr>
                <w:bCs/>
                <w:color w:val="auto"/>
                <w:sz w:val="24"/>
              </w:rPr>
              <w:t>。</w:t>
            </w:r>
          </w:p>
          <w:p w14:paraId="79174F3C">
            <w:pPr>
              <w:tabs>
                <w:tab w:val="left" w:pos="2539"/>
              </w:tabs>
              <w:adjustRightInd w:val="0"/>
              <w:snapToGrid w:val="0"/>
              <w:jc w:val="center"/>
              <w:rPr>
                <w:b/>
                <w:color w:val="auto"/>
                <w:sz w:val="24"/>
              </w:rPr>
            </w:pPr>
            <w:r>
              <w:rPr>
                <w:b/>
                <w:color w:val="auto"/>
                <w:sz w:val="24"/>
              </w:rPr>
              <w:t>表4-</w:t>
            </w:r>
            <w:r>
              <w:rPr>
                <w:rFonts w:hint="eastAsia"/>
                <w:b/>
                <w:color w:val="auto"/>
                <w:sz w:val="24"/>
              </w:rPr>
              <w:t>2</w:t>
            </w:r>
            <w:r>
              <w:rPr>
                <w:b/>
                <w:color w:val="auto"/>
                <w:sz w:val="24"/>
              </w:rPr>
              <w:t xml:space="preserve">  排放口基本情况表</w:t>
            </w:r>
          </w:p>
          <w:tbl>
            <w:tblPr>
              <w:tblStyle w:val="26"/>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84"/>
              <w:gridCol w:w="1170"/>
              <w:gridCol w:w="1530"/>
              <w:gridCol w:w="918"/>
              <w:gridCol w:w="974"/>
              <w:gridCol w:w="1001"/>
              <w:gridCol w:w="1001"/>
              <w:gridCol w:w="1193"/>
            </w:tblGrid>
            <w:tr w14:paraId="5F9D55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611" w:type="pct"/>
                  <w:vAlign w:val="center"/>
                </w:tcPr>
                <w:p w14:paraId="60BA878D">
                  <w:pPr>
                    <w:pStyle w:val="6"/>
                    <w:ind w:left="-105" w:leftChars="-50" w:right="-105" w:rightChars="-50" w:firstLine="0"/>
                    <w:jc w:val="center"/>
                    <w:rPr>
                      <w:b/>
                      <w:color w:val="auto"/>
                      <w:sz w:val="21"/>
                      <w:szCs w:val="18"/>
                    </w:rPr>
                  </w:pPr>
                  <w:r>
                    <w:rPr>
                      <w:rFonts w:hint="eastAsia"/>
                      <w:b/>
                      <w:color w:val="auto"/>
                      <w:sz w:val="21"/>
                      <w:szCs w:val="18"/>
                    </w:rPr>
                    <w:t>排气筒名称</w:t>
                  </w:r>
                </w:p>
              </w:tc>
              <w:tc>
                <w:tcPr>
                  <w:tcW w:w="659" w:type="pct"/>
                  <w:vAlign w:val="center"/>
                </w:tcPr>
                <w:p w14:paraId="55BBEB78">
                  <w:pPr>
                    <w:pStyle w:val="6"/>
                    <w:ind w:left="-105" w:leftChars="-50" w:right="-105" w:rightChars="-50" w:firstLine="0"/>
                    <w:jc w:val="center"/>
                    <w:rPr>
                      <w:b/>
                      <w:color w:val="auto"/>
                      <w:sz w:val="21"/>
                      <w:szCs w:val="18"/>
                    </w:rPr>
                  </w:pPr>
                  <w:r>
                    <w:rPr>
                      <w:rFonts w:hint="eastAsia"/>
                      <w:b/>
                      <w:color w:val="auto"/>
                      <w:sz w:val="21"/>
                      <w:szCs w:val="18"/>
                    </w:rPr>
                    <w:t>污染物</w:t>
                  </w:r>
                </w:p>
              </w:tc>
              <w:tc>
                <w:tcPr>
                  <w:tcW w:w="862" w:type="pct"/>
                  <w:vAlign w:val="center"/>
                </w:tcPr>
                <w:p w14:paraId="779E1497">
                  <w:pPr>
                    <w:pStyle w:val="6"/>
                    <w:ind w:left="-105" w:leftChars="-50" w:right="-105" w:rightChars="-50" w:firstLine="0"/>
                    <w:jc w:val="center"/>
                    <w:rPr>
                      <w:b/>
                      <w:color w:val="auto"/>
                      <w:sz w:val="21"/>
                      <w:szCs w:val="18"/>
                    </w:rPr>
                  </w:pPr>
                  <w:r>
                    <w:rPr>
                      <w:rFonts w:hint="eastAsia"/>
                      <w:b/>
                      <w:color w:val="auto"/>
                      <w:sz w:val="21"/>
                      <w:szCs w:val="18"/>
                    </w:rPr>
                    <w:t>排气筒底部中心坐标/°</w:t>
                  </w:r>
                </w:p>
              </w:tc>
              <w:tc>
                <w:tcPr>
                  <w:tcW w:w="517" w:type="pct"/>
                  <w:vAlign w:val="center"/>
                </w:tcPr>
                <w:p w14:paraId="31C685FA">
                  <w:pPr>
                    <w:pStyle w:val="6"/>
                    <w:ind w:left="-105" w:leftChars="-50" w:right="-105" w:rightChars="-50" w:firstLine="0"/>
                    <w:jc w:val="center"/>
                    <w:rPr>
                      <w:b/>
                      <w:color w:val="auto"/>
                      <w:sz w:val="21"/>
                      <w:szCs w:val="18"/>
                    </w:rPr>
                  </w:pPr>
                  <w:r>
                    <w:rPr>
                      <w:b/>
                      <w:color w:val="auto"/>
                      <w:sz w:val="21"/>
                      <w:szCs w:val="18"/>
                    </w:rPr>
                    <w:t>排气筒高度/m</w:t>
                  </w:r>
                </w:p>
              </w:tc>
              <w:tc>
                <w:tcPr>
                  <w:tcW w:w="549" w:type="pct"/>
                  <w:vAlign w:val="center"/>
                </w:tcPr>
                <w:p w14:paraId="482193B5">
                  <w:pPr>
                    <w:pStyle w:val="6"/>
                    <w:ind w:left="-105" w:leftChars="-50" w:right="-105" w:rightChars="-50" w:firstLine="0"/>
                    <w:jc w:val="center"/>
                    <w:rPr>
                      <w:b/>
                      <w:color w:val="auto"/>
                      <w:sz w:val="21"/>
                      <w:szCs w:val="18"/>
                    </w:rPr>
                  </w:pPr>
                  <w:r>
                    <w:rPr>
                      <w:b/>
                      <w:color w:val="auto"/>
                      <w:sz w:val="21"/>
                      <w:szCs w:val="18"/>
                    </w:rPr>
                    <w:t>排气筒出口内径/m</w:t>
                  </w:r>
                </w:p>
              </w:tc>
              <w:tc>
                <w:tcPr>
                  <w:tcW w:w="564" w:type="pct"/>
                  <w:vAlign w:val="center"/>
                </w:tcPr>
                <w:p w14:paraId="72A87A2D">
                  <w:pPr>
                    <w:pStyle w:val="6"/>
                    <w:ind w:left="-105" w:leftChars="-50" w:right="-105" w:rightChars="-50" w:firstLine="0"/>
                    <w:jc w:val="center"/>
                    <w:rPr>
                      <w:b/>
                      <w:color w:val="auto"/>
                      <w:sz w:val="21"/>
                      <w:szCs w:val="18"/>
                    </w:rPr>
                  </w:pPr>
                  <w:r>
                    <w:rPr>
                      <w:rFonts w:hint="eastAsia"/>
                      <w:b/>
                      <w:color w:val="auto"/>
                      <w:sz w:val="21"/>
                      <w:szCs w:val="18"/>
                    </w:rPr>
                    <w:t>废气流速m/s</w:t>
                  </w:r>
                </w:p>
              </w:tc>
              <w:tc>
                <w:tcPr>
                  <w:tcW w:w="564" w:type="pct"/>
                  <w:vAlign w:val="center"/>
                </w:tcPr>
                <w:p w14:paraId="07B6BC29">
                  <w:pPr>
                    <w:pStyle w:val="6"/>
                    <w:ind w:left="-105" w:leftChars="-50" w:right="-105" w:rightChars="-50" w:firstLine="0"/>
                    <w:jc w:val="center"/>
                    <w:rPr>
                      <w:b/>
                      <w:color w:val="auto"/>
                      <w:sz w:val="21"/>
                      <w:szCs w:val="18"/>
                    </w:rPr>
                  </w:pPr>
                  <w:r>
                    <w:rPr>
                      <w:b/>
                      <w:color w:val="auto"/>
                      <w:sz w:val="21"/>
                      <w:szCs w:val="18"/>
                    </w:rPr>
                    <w:t>烟气温度/℃</w:t>
                  </w:r>
                </w:p>
              </w:tc>
              <w:tc>
                <w:tcPr>
                  <w:tcW w:w="672" w:type="pct"/>
                  <w:vAlign w:val="center"/>
                </w:tcPr>
                <w:p w14:paraId="66ACBDFE">
                  <w:pPr>
                    <w:pStyle w:val="6"/>
                    <w:ind w:left="-105" w:leftChars="-50" w:right="-105" w:rightChars="-50" w:firstLine="0"/>
                    <w:jc w:val="center"/>
                    <w:rPr>
                      <w:b/>
                      <w:color w:val="auto"/>
                      <w:sz w:val="21"/>
                      <w:szCs w:val="18"/>
                    </w:rPr>
                  </w:pPr>
                  <w:r>
                    <w:rPr>
                      <w:b/>
                      <w:color w:val="auto"/>
                      <w:sz w:val="21"/>
                      <w:szCs w:val="18"/>
                    </w:rPr>
                    <w:t>排放口类型</w:t>
                  </w:r>
                </w:p>
              </w:tc>
            </w:tr>
            <w:tr w14:paraId="43FE63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1" w:type="pct"/>
                  <w:vAlign w:val="center"/>
                </w:tcPr>
                <w:p w14:paraId="29DC67E5">
                  <w:pPr>
                    <w:pStyle w:val="6"/>
                    <w:ind w:left="-105" w:leftChars="-50" w:right="-105" w:rightChars="-50" w:firstLine="0"/>
                    <w:jc w:val="center"/>
                    <w:rPr>
                      <w:color w:val="auto"/>
                      <w:sz w:val="21"/>
                      <w:szCs w:val="21"/>
                    </w:rPr>
                  </w:pPr>
                  <w:r>
                    <w:rPr>
                      <w:rFonts w:hint="eastAsia"/>
                      <w:color w:val="auto"/>
                      <w:sz w:val="21"/>
                      <w:szCs w:val="21"/>
                    </w:rPr>
                    <w:t>排气筒DA001</w:t>
                  </w:r>
                </w:p>
              </w:tc>
              <w:tc>
                <w:tcPr>
                  <w:tcW w:w="659" w:type="pct"/>
                  <w:vAlign w:val="center"/>
                </w:tcPr>
                <w:p w14:paraId="5553166F">
                  <w:pPr>
                    <w:pStyle w:val="6"/>
                    <w:ind w:firstLine="0"/>
                    <w:jc w:val="center"/>
                    <w:rPr>
                      <w:color w:val="auto"/>
                      <w:sz w:val="21"/>
                      <w:szCs w:val="21"/>
                    </w:rPr>
                  </w:pPr>
                  <w:r>
                    <w:rPr>
                      <w:rFonts w:hint="eastAsia"/>
                      <w:color w:val="auto"/>
                      <w:sz w:val="21"/>
                      <w:szCs w:val="21"/>
                    </w:rPr>
                    <w:t>非甲烷总烃</w:t>
                  </w:r>
                </w:p>
              </w:tc>
              <w:tc>
                <w:tcPr>
                  <w:tcW w:w="862" w:type="pct"/>
                  <w:vAlign w:val="center"/>
                </w:tcPr>
                <w:p w14:paraId="0BE2CE2E">
                  <w:pPr>
                    <w:pStyle w:val="6"/>
                    <w:ind w:firstLine="0"/>
                    <w:jc w:val="center"/>
                    <w:rPr>
                      <w:color w:val="auto"/>
                      <w:sz w:val="21"/>
                      <w:szCs w:val="21"/>
                    </w:rPr>
                  </w:pPr>
                  <w:r>
                    <w:rPr>
                      <w:rFonts w:hint="eastAsia"/>
                      <w:color w:val="auto"/>
                      <w:sz w:val="21"/>
                      <w:szCs w:val="21"/>
                    </w:rPr>
                    <w:t>108.76415950</w:t>
                  </w:r>
                </w:p>
                <w:p w14:paraId="062E4D8E">
                  <w:pPr>
                    <w:pStyle w:val="6"/>
                    <w:ind w:firstLine="0"/>
                    <w:jc w:val="center"/>
                    <w:rPr>
                      <w:color w:val="auto"/>
                      <w:sz w:val="21"/>
                      <w:szCs w:val="21"/>
                    </w:rPr>
                  </w:pPr>
                  <w:r>
                    <w:rPr>
                      <w:rFonts w:hint="eastAsia"/>
                      <w:color w:val="auto"/>
                      <w:sz w:val="21"/>
                      <w:szCs w:val="21"/>
                    </w:rPr>
                    <w:t>34.22580586</w:t>
                  </w:r>
                </w:p>
              </w:tc>
              <w:tc>
                <w:tcPr>
                  <w:tcW w:w="517" w:type="pct"/>
                  <w:vAlign w:val="center"/>
                </w:tcPr>
                <w:p w14:paraId="1CFFEB19">
                  <w:pPr>
                    <w:pStyle w:val="6"/>
                    <w:ind w:firstLine="0"/>
                    <w:jc w:val="center"/>
                    <w:rPr>
                      <w:color w:val="auto"/>
                      <w:sz w:val="21"/>
                      <w:szCs w:val="21"/>
                    </w:rPr>
                  </w:pPr>
                  <w:r>
                    <w:rPr>
                      <w:rFonts w:hint="eastAsia"/>
                      <w:color w:val="auto"/>
                      <w:sz w:val="21"/>
                      <w:szCs w:val="21"/>
                    </w:rPr>
                    <w:t>15</w:t>
                  </w:r>
                </w:p>
              </w:tc>
              <w:tc>
                <w:tcPr>
                  <w:tcW w:w="549" w:type="pct"/>
                  <w:vAlign w:val="center"/>
                </w:tcPr>
                <w:p w14:paraId="651B90B4">
                  <w:pPr>
                    <w:pStyle w:val="6"/>
                    <w:ind w:firstLine="0"/>
                    <w:jc w:val="center"/>
                    <w:rPr>
                      <w:color w:val="auto"/>
                      <w:sz w:val="21"/>
                      <w:szCs w:val="21"/>
                    </w:rPr>
                  </w:pPr>
                  <w:r>
                    <w:rPr>
                      <w:rFonts w:hint="eastAsia"/>
                      <w:color w:val="auto"/>
                      <w:sz w:val="21"/>
                      <w:szCs w:val="21"/>
                    </w:rPr>
                    <w:t>0.6</w:t>
                  </w:r>
                </w:p>
              </w:tc>
              <w:tc>
                <w:tcPr>
                  <w:tcW w:w="564" w:type="pct"/>
                  <w:vAlign w:val="center"/>
                </w:tcPr>
                <w:p w14:paraId="486A5CD4">
                  <w:pPr>
                    <w:pStyle w:val="6"/>
                    <w:ind w:firstLine="0"/>
                    <w:jc w:val="center"/>
                    <w:rPr>
                      <w:color w:val="auto"/>
                      <w:sz w:val="21"/>
                      <w:szCs w:val="21"/>
                    </w:rPr>
                  </w:pPr>
                  <w:r>
                    <w:rPr>
                      <w:rFonts w:hint="eastAsia"/>
                      <w:color w:val="auto"/>
                      <w:sz w:val="21"/>
                      <w:szCs w:val="21"/>
                    </w:rPr>
                    <w:t>19.6</w:t>
                  </w:r>
                </w:p>
              </w:tc>
              <w:tc>
                <w:tcPr>
                  <w:tcW w:w="564" w:type="pct"/>
                  <w:vAlign w:val="center"/>
                </w:tcPr>
                <w:p w14:paraId="71545715">
                  <w:pPr>
                    <w:pStyle w:val="6"/>
                    <w:ind w:firstLine="0"/>
                    <w:jc w:val="center"/>
                    <w:rPr>
                      <w:color w:val="auto"/>
                      <w:sz w:val="21"/>
                      <w:szCs w:val="21"/>
                    </w:rPr>
                  </w:pPr>
                  <w:r>
                    <w:rPr>
                      <w:rFonts w:hint="eastAsia"/>
                      <w:color w:val="auto"/>
                      <w:sz w:val="21"/>
                      <w:szCs w:val="21"/>
                    </w:rPr>
                    <w:t>40</w:t>
                  </w:r>
                </w:p>
              </w:tc>
              <w:tc>
                <w:tcPr>
                  <w:tcW w:w="672" w:type="pct"/>
                  <w:vAlign w:val="center"/>
                </w:tcPr>
                <w:p w14:paraId="3DF78488">
                  <w:pPr>
                    <w:pStyle w:val="6"/>
                    <w:ind w:firstLine="0"/>
                    <w:jc w:val="center"/>
                    <w:rPr>
                      <w:color w:val="auto"/>
                      <w:sz w:val="21"/>
                      <w:szCs w:val="21"/>
                    </w:rPr>
                  </w:pPr>
                  <w:r>
                    <w:rPr>
                      <w:color w:val="auto"/>
                      <w:sz w:val="21"/>
                      <w:szCs w:val="21"/>
                    </w:rPr>
                    <w:t>一般排放口</w:t>
                  </w:r>
                </w:p>
              </w:tc>
            </w:tr>
          </w:tbl>
          <w:p w14:paraId="1727DD26">
            <w:pPr>
              <w:spacing w:before="120" w:beforeLines="50" w:line="360" w:lineRule="auto"/>
              <w:ind w:firstLine="480" w:firstLineChars="200"/>
              <w:rPr>
                <w:color w:val="auto"/>
                <w:sz w:val="24"/>
              </w:rPr>
            </w:pPr>
            <w:r>
              <w:rPr>
                <w:rFonts w:hint="eastAsia"/>
                <w:color w:val="auto"/>
                <w:sz w:val="24"/>
              </w:rPr>
              <w:t>（4）污染防治措施可行性分析</w:t>
            </w:r>
          </w:p>
          <w:p w14:paraId="1A45F0B2">
            <w:pPr>
              <w:pStyle w:val="78"/>
              <w:ind w:firstLine="480"/>
              <w:rPr>
                <w:rFonts w:ascii="Times New Roman" w:hAnsi="Times New Roman" w:cs="Times New Roman"/>
                <w:color w:val="auto"/>
              </w:rPr>
            </w:pPr>
            <w:r>
              <w:rPr>
                <w:rFonts w:ascii="Times New Roman" w:hAnsi="Times New Roman" w:cs="Times New Roman"/>
                <w:color w:val="auto"/>
              </w:rPr>
              <w:t>本项目废气治理设施可行性分析情况见</w:t>
            </w:r>
            <w:r>
              <w:rPr>
                <w:rFonts w:hint="eastAsia" w:ascii="Times New Roman" w:hAnsi="Times New Roman" w:cs="Times New Roman"/>
                <w:color w:val="auto"/>
              </w:rPr>
              <w:t>下</w:t>
            </w:r>
            <w:r>
              <w:rPr>
                <w:rFonts w:ascii="Times New Roman" w:hAnsi="Times New Roman" w:cs="Times New Roman"/>
                <w:color w:val="auto"/>
              </w:rPr>
              <w:t>表。</w:t>
            </w:r>
          </w:p>
          <w:p w14:paraId="2E9F83CD">
            <w:pPr>
              <w:pStyle w:val="77"/>
              <w:rPr>
                <w:rFonts w:ascii="Times New Roman" w:hAnsi="Times New Roman" w:cs="Times New Roman"/>
                <w:b w:val="0"/>
                <w:color w:val="auto"/>
                <w:sz w:val="24"/>
                <w:szCs w:val="24"/>
              </w:rPr>
            </w:pPr>
            <w:r>
              <w:rPr>
                <w:rFonts w:ascii="Times New Roman" w:hAnsi="Times New Roman" w:cs="Times New Roman"/>
                <w:color w:val="auto"/>
                <w:sz w:val="24"/>
                <w:szCs w:val="24"/>
              </w:rPr>
              <w:t>表4-</w:t>
            </w:r>
            <w:r>
              <w:rPr>
                <w:rFonts w:hint="eastAsia" w:ascii="Times New Roman" w:hAnsi="Times New Roman" w:cs="Times New Roman"/>
                <w:color w:val="auto"/>
                <w:sz w:val="24"/>
                <w:szCs w:val="24"/>
              </w:rPr>
              <w:t xml:space="preserve">3 </w:t>
            </w:r>
            <w:r>
              <w:rPr>
                <w:rFonts w:ascii="Times New Roman" w:hAnsi="Times New Roman" w:cs="Times New Roman"/>
                <w:color w:val="auto"/>
                <w:sz w:val="24"/>
                <w:szCs w:val="24"/>
              </w:rPr>
              <w:t xml:space="preserve"> 项目废气治理设施可行性分析情况</w:t>
            </w:r>
          </w:p>
          <w:tbl>
            <w:tblPr>
              <w:tblStyle w:val="26"/>
              <w:tblW w:w="835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1488"/>
              <w:gridCol w:w="6076"/>
            </w:tblGrid>
            <w:tr w14:paraId="2AB928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3" w:type="pct"/>
                  <w:vAlign w:val="center"/>
                </w:tcPr>
                <w:p w14:paraId="69C90F0B">
                  <w:pPr>
                    <w:pStyle w:val="12"/>
                    <w:jc w:val="center"/>
                    <w:rPr>
                      <w:rFonts w:ascii="Times New Roman"/>
                      <w:b/>
                      <w:bCs/>
                      <w:color w:val="auto"/>
                    </w:rPr>
                  </w:pPr>
                  <w:r>
                    <w:rPr>
                      <w:rFonts w:ascii="Times New Roman"/>
                      <w:b/>
                      <w:bCs/>
                      <w:color w:val="auto"/>
                    </w:rPr>
                    <w:t>产污工序</w:t>
                  </w:r>
                </w:p>
              </w:tc>
              <w:tc>
                <w:tcPr>
                  <w:tcW w:w="890" w:type="pct"/>
                  <w:vAlign w:val="center"/>
                </w:tcPr>
                <w:p w14:paraId="5BD34354">
                  <w:pPr>
                    <w:pStyle w:val="12"/>
                    <w:jc w:val="center"/>
                    <w:rPr>
                      <w:rFonts w:ascii="Times New Roman"/>
                      <w:b/>
                      <w:bCs/>
                      <w:color w:val="auto"/>
                    </w:rPr>
                  </w:pPr>
                  <w:r>
                    <w:rPr>
                      <w:rFonts w:ascii="Times New Roman"/>
                      <w:b/>
                      <w:bCs/>
                      <w:color w:val="auto"/>
                    </w:rPr>
                    <w:t>治理设施</w:t>
                  </w:r>
                </w:p>
              </w:tc>
              <w:tc>
                <w:tcPr>
                  <w:tcW w:w="3635" w:type="pct"/>
                  <w:vAlign w:val="center"/>
                </w:tcPr>
                <w:p w14:paraId="0C2EC2DC">
                  <w:pPr>
                    <w:pStyle w:val="12"/>
                    <w:jc w:val="center"/>
                    <w:rPr>
                      <w:rFonts w:ascii="Times New Roman"/>
                      <w:b/>
                      <w:bCs/>
                      <w:color w:val="auto"/>
                    </w:rPr>
                  </w:pPr>
                  <w:r>
                    <w:rPr>
                      <w:rFonts w:ascii="Times New Roman"/>
                      <w:b/>
                      <w:bCs/>
                      <w:color w:val="auto"/>
                    </w:rPr>
                    <w:t>可行性分析</w:t>
                  </w:r>
                </w:p>
              </w:tc>
            </w:tr>
            <w:tr w14:paraId="195D8B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473" w:type="pct"/>
                  <w:vAlign w:val="center"/>
                </w:tcPr>
                <w:p w14:paraId="4D3AFA3A">
                  <w:pPr>
                    <w:pStyle w:val="12"/>
                    <w:jc w:val="center"/>
                    <w:rPr>
                      <w:rFonts w:ascii="Times New Roman"/>
                      <w:color w:val="auto"/>
                    </w:rPr>
                  </w:pPr>
                  <w:r>
                    <w:rPr>
                      <w:rFonts w:hint="eastAsia" w:ascii="Times New Roman"/>
                      <w:color w:val="auto"/>
                    </w:rPr>
                    <w:t>有机废气</w:t>
                  </w:r>
                </w:p>
              </w:tc>
              <w:tc>
                <w:tcPr>
                  <w:tcW w:w="890" w:type="pct"/>
                  <w:vAlign w:val="center"/>
                </w:tcPr>
                <w:p w14:paraId="1B037973">
                  <w:pPr>
                    <w:pStyle w:val="12"/>
                    <w:jc w:val="center"/>
                    <w:rPr>
                      <w:rFonts w:ascii="Times New Roman"/>
                      <w:color w:val="auto"/>
                    </w:rPr>
                  </w:pPr>
                  <w:r>
                    <w:rPr>
                      <w:rFonts w:hint="eastAsia" w:ascii="Times New Roman"/>
                      <w:color w:val="auto"/>
                    </w:rPr>
                    <w:t>集气罩+软帘+</w:t>
                  </w:r>
                  <w:r>
                    <w:rPr>
                      <w:rFonts w:hint="eastAsia" w:ascii="Times New Roman"/>
                      <w:color w:val="auto"/>
                      <w:lang w:eastAsia="zh-CN"/>
                    </w:rPr>
                    <w:t>三级活性炭</w:t>
                  </w:r>
                  <w:r>
                    <w:rPr>
                      <w:rFonts w:hint="eastAsia" w:ascii="Times New Roman"/>
                      <w:color w:val="auto"/>
                    </w:rPr>
                    <w:t>吸附+15m高排气筒排放</w:t>
                  </w:r>
                </w:p>
              </w:tc>
              <w:tc>
                <w:tcPr>
                  <w:tcW w:w="3635" w:type="pct"/>
                  <w:vAlign w:val="center"/>
                </w:tcPr>
                <w:p w14:paraId="14738E6B">
                  <w:pPr>
                    <w:pStyle w:val="12"/>
                    <w:jc w:val="center"/>
                    <w:rPr>
                      <w:rFonts w:ascii="Times New Roman" w:hAnsi="Times New Roman" w:cs="Times New Roman"/>
                      <w:color w:val="auto"/>
                    </w:rPr>
                  </w:pPr>
                  <w:r>
                    <w:rPr>
                      <w:rFonts w:ascii="Times New Roman" w:hAnsi="Times New Roman" w:cs="Times New Roman"/>
                      <w:color w:val="auto"/>
                    </w:rPr>
                    <w:t>根据《排污许可证申请与核发技术规范 橡胶和塑料制品工业》（HJ1122</w:t>
                  </w:r>
                  <w:r>
                    <w:rPr>
                      <w:rFonts w:hint="eastAsia" w:ascii="Times New Roman" w:hAnsi="Times New Roman" w:cs="Times New Roman"/>
                      <w:color w:val="auto"/>
                    </w:rPr>
                    <w:t>-</w:t>
                  </w:r>
                  <w:r>
                    <w:rPr>
                      <w:rFonts w:ascii="Times New Roman" w:hAnsi="Times New Roman" w:cs="Times New Roman"/>
                      <w:color w:val="auto"/>
                    </w:rPr>
                    <w:t>2020）中“塑料零件及其他塑料制品制造”类排污单位“注塑成型、层压成型”生产单元“注塑机”产生的“挥发废气”对应污染防治可行技术为“除尘、喷淋、吸附、热力燃烧、催化燃烧、低温等离子体、UV光氧化/光催化、生物法、以上组合技术”，</w:t>
                  </w:r>
                  <w:r>
                    <w:rPr>
                      <w:rFonts w:ascii="Times New Roman" w:hAnsi="Times New Roman" w:cs="Times New Roman"/>
                      <w:color w:val="auto"/>
                    </w:rPr>
                    <w:t>本项目采用</w:t>
                  </w:r>
                  <w:r>
                    <w:rPr>
                      <w:rFonts w:hint="eastAsia" w:ascii="Times New Roman" w:hAnsi="Times New Roman" w:cs="Times New Roman"/>
                      <w:color w:val="auto"/>
                      <w:lang w:eastAsia="zh-CN"/>
                    </w:rPr>
                    <w:t>三级活性炭</w:t>
                  </w:r>
                  <w:r>
                    <w:rPr>
                      <w:rFonts w:ascii="Times New Roman" w:hAnsi="Times New Roman" w:cs="Times New Roman"/>
                      <w:color w:val="auto"/>
                    </w:rPr>
                    <w:t>吸附工艺，属于可行技术</w:t>
                  </w:r>
                  <w:r>
                    <w:rPr>
                      <w:rFonts w:ascii="Times New Roman" w:hAnsi="Times New Roman" w:cs="Times New Roman"/>
                      <w:color w:val="auto"/>
                    </w:rPr>
                    <w:t>。</w:t>
                  </w:r>
                </w:p>
              </w:tc>
            </w:tr>
            <w:tr w14:paraId="4E3C3C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473" w:type="pct"/>
                  <w:vAlign w:val="center"/>
                </w:tcPr>
                <w:p w14:paraId="2BC96CAC">
                  <w:pPr>
                    <w:pStyle w:val="84"/>
                    <w:rPr>
                      <w:rFonts w:hint="default"/>
                      <w:color w:val="auto"/>
                      <w:szCs w:val="21"/>
                    </w:rPr>
                  </w:pPr>
                  <w:r>
                    <w:rPr>
                      <w:b w:val="0"/>
                      <w:bCs/>
                      <w:color w:val="auto"/>
                      <w:szCs w:val="21"/>
                    </w:rPr>
                    <w:t>破碎粉尘</w:t>
                  </w:r>
                </w:p>
              </w:tc>
              <w:tc>
                <w:tcPr>
                  <w:tcW w:w="890" w:type="pct"/>
                  <w:vAlign w:val="center"/>
                </w:tcPr>
                <w:p w14:paraId="05F711CB">
                  <w:pPr>
                    <w:jc w:val="center"/>
                    <w:rPr>
                      <w:color w:val="auto"/>
                      <w:szCs w:val="21"/>
                    </w:rPr>
                  </w:pPr>
                  <w:r>
                    <w:rPr>
                      <w:rFonts w:hint="eastAsia"/>
                      <w:color w:val="auto"/>
                      <w:szCs w:val="21"/>
                    </w:rPr>
                    <w:t>集气罩+布袋除尘器+无组织排放</w:t>
                  </w:r>
                </w:p>
              </w:tc>
              <w:tc>
                <w:tcPr>
                  <w:tcW w:w="3635" w:type="pct"/>
                  <w:vAlign w:val="center"/>
                </w:tcPr>
                <w:p w14:paraId="37BA86A0">
                  <w:pPr>
                    <w:pStyle w:val="12"/>
                    <w:jc w:val="center"/>
                    <w:rPr>
                      <w:rFonts w:ascii="Times New Roman" w:hAnsi="Times New Roman" w:cs="Times New Roman"/>
                      <w:color w:val="auto"/>
                    </w:rPr>
                  </w:pPr>
                  <w:r>
                    <w:rPr>
                      <w:rFonts w:ascii="Times New Roman" w:hAnsi="Times New Roman" w:cs="Times New Roman"/>
                      <w:color w:val="auto"/>
                    </w:rPr>
                    <w:t>根据《排污许可证申请与核发技术规范 废弃资源加工工业》（HJ 1034</w:t>
                  </w:r>
                  <w:r>
                    <w:rPr>
                      <w:rFonts w:hint="eastAsia" w:ascii="Times New Roman" w:hAnsi="Times New Roman" w:cs="Times New Roman"/>
                      <w:color w:val="auto"/>
                    </w:rPr>
                    <w:t>-</w:t>
                  </w:r>
                  <w:r>
                    <w:rPr>
                      <w:rFonts w:ascii="Times New Roman" w:hAnsi="Times New Roman" w:cs="Times New Roman"/>
                      <w:color w:val="auto"/>
                    </w:rPr>
                    <w:t>2019）表A.1废弃资源加工工业排污单位废气污染防治可行技术参考表，干法破碎产生的颗粒物，对应可行技术为“喷淋降尘，布袋除尘，喷淋降尘+布袋除尘”，本项目采用袋式除尘器，属于可行技术。</w:t>
                  </w:r>
                </w:p>
              </w:tc>
            </w:tr>
            <w:tr w14:paraId="498D11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473" w:type="pct"/>
                  <w:vAlign w:val="center"/>
                </w:tcPr>
                <w:p w14:paraId="5DEB0FB4">
                  <w:pPr>
                    <w:pStyle w:val="84"/>
                    <w:rPr>
                      <w:rFonts w:hint="default"/>
                      <w:b w:val="0"/>
                      <w:bCs/>
                      <w:color w:val="auto"/>
                      <w:szCs w:val="21"/>
                    </w:rPr>
                  </w:pPr>
                  <w:r>
                    <w:rPr>
                      <w:b w:val="0"/>
                      <w:bCs/>
                      <w:color w:val="auto"/>
                      <w:szCs w:val="21"/>
                    </w:rPr>
                    <w:t>热转印废气</w:t>
                  </w:r>
                </w:p>
              </w:tc>
              <w:tc>
                <w:tcPr>
                  <w:tcW w:w="890" w:type="pct"/>
                  <w:vAlign w:val="center"/>
                </w:tcPr>
                <w:p w14:paraId="1CCE40E2">
                  <w:pPr>
                    <w:jc w:val="center"/>
                    <w:rPr>
                      <w:color w:val="auto"/>
                      <w:szCs w:val="21"/>
                    </w:rPr>
                  </w:pPr>
                  <w:r>
                    <w:rPr>
                      <w:rFonts w:hint="eastAsia"/>
                      <w:color w:val="auto"/>
                      <w:szCs w:val="21"/>
                    </w:rPr>
                    <w:t>车间内无组织排放</w:t>
                  </w:r>
                </w:p>
              </w:tc>
              <w:tc>
                <w:tcPr>
                  <w:tcW w:w="3635" w:type="pct"/>
                  <w:vAlign w:val="center"/>
                </w:tcPr>
                <w:p w14:paraId="6D2BFF30">
                  <w:pPr>
                    <w:pStyle w:val="12"/>
                    <w:jc w:val="center"/>
                    <w:rPr>
                      <w:rFonts w:ascii="Times New Roman"/>
                      <w:color w:val="auto"/>
                    </w:rPr>
                  </w:pPr>
                  <w:r>
                    <w:rPr>
                      <w:rFonts w:hint="eastAsia" w:ascii="Times New Roman"/>
                      <w:color w:val="auto"/>
                    </w:rPr>
                    <w:t>根据《挥发性有机物无组织排放控制标准（GB 37822-2019）》VOCs质量占比大于等于10%的含VOCs产品，其使用过程应采用密闭设备或在密闭空间内操作，废气应排至VOCs废气收集处理系统，本项目使用的热转印膜中产生VOCs占热转印膜重量的2%，热转印过程在车间内，因此不设废气收集设施可行；根据《印刷工业大气污染物排放标准（GB 41616—2022）》，对于重点地区，收集的废气中NMHC初始排放速率≥2kg/h时，应配置VOCs处理设施，处理效率不应低于80%；</w:t>
                  </w:r>
                  <w:r>
                    <w:rPr>
                      <w:rFonts w:hint="eastAsia"/>
                      <w:bCs/>
                      <w:color w:val="auto"/>
                    </w:rPr>
                    <w:t>热转印</w:t>
                  </w:r>
                  <w:r>
                    <w:rPr>
                      <w:rFonts w:hint="eastAsia" w:ascii="Times New Roman"/>
                      <w:color w:val="auto"/>
                    </w:rPr>
                    <w:t>产生的废气产生量较小，产生速率小于2kg/h，因此不设置废气处理设施可行。</w:t>
                  </w:r>
                </w:p>
              </w:tc>
            </w:tr>
          </w:tbl>
          <w:p w14:paraId="754BE2C9">
            <w:pPr>
              <w:spacing w:before="120" w:beforeLines="50" w:line="360" w:lineRule="auto"/>
              <w:ind w:firstLine="480" w:firstLineChars="200"/>
              <w:rPr>
                <w:color w:val="auto"/>
                <w:sz w:val="24"/>
              </w:rPr>
            </w:pPr>
            <w:r>
              <w:rPr>
                <w:rFonts w:hint="eastAsia"/>
                <w:color w:val="auto"/>
                <w:sz w:val="24"/>
              </w:rPr>
              <w:t>（5）废气达标排放分析</w:t>
            </w:r>
          </w:p>
          <w:p w14:paraId="72F021DF">
            <w:pPr>
              <w:spacing w:line="360" w:lineRule="auto"/>
              <w:ind w:firstLine="480" w:firstLineChars="200"/>
              <w:rPr>
                <w:color w:val="auto"/>
                <w:sz w:val="24"/>
              </w:rPr>
            </w:pPr>
            <w:r>
              <w:rPr>
                <w:rFonts w:hint="eastAsia"/>
                <w:color w:val="auto"/>
                <w:sz w:val="24"/>
              </w:rPr>
              <w:t>根据前述计算，项目非甲烷总烃有组织排放满足《合成树脂工业污染物排放标准》（GB31572-2015）表5大气污染物特别排放限值；非甲烷总烃、颗粒物无组织排放满足《合成树脂工业污染物排放标准》表9企业边界大气污染物浓度限值；厂区内非甲烷总烃排放满足《挥发性有机物无组织排放控制标准》（GB37822-2019）表 A.1厂区内无组织特别排放限值要求。</w:t>
            </w:r>
          </w:p>
          <w:p w14:paraId="3E9893C3">
            <w:pPr>
              <w:spacing w:line="360" w:lineRule="auto"/>
              <w:ind w:firstLine="480" w:firstLineChars="200"/>
              <w:rPr>
                <w:color w:val="auto"/>
                <w:sz w:val="24"/>
              </w:rPr>
            </w:pPr>
            <w:r>
              <w:rPr>
                <w:rFonts w:hint="eastAsia"/>
                <w:color w:val="auto"/>
                <w:sz w:val="24"/>
              </w:rPr>
              <w:t>综上所述，废气采取相应的污染防治措施后，均能达标排放，对丰镐遗址保护区外环境影响较小。</w:t>
            </w:r>
          </w:p>
          <w:p w14:paraId="5B31F976">
            <w:pPr>
              <w:spacing w:line="360" w:lineRule="auto"/>
              <w:ind w:firstLine="480" w:firstLineChars="200"/>
              <w:rPr>
                <w:color w:val="auto"/>
                <w:sz w:val="24"/>
              </w:rPr>
            </w:pPr>
            <w:r>
              <w:rPr>
                <w:rFonts w:hint="eastAsia"/>
                <w:color w:val="auto"/>
                <w:sz w:val="24"/>
              </w:rPr>
              <w:t>（6）废气监测要求</w:t>
            </w:r>
          </w:p>
          <w:p w14:paraId="40CE4D77">
            <w:pPr>
              <w:adjustRightInd w:val="0"/>
              <w:snapToGrid w:val="0"/>
              <w:spacing w:line="360" w:lineRule="auto"/>
              <w:ind w:firstLine="480" w:firstLineChars="200"/>
              <w:rPr>
                <w:color w:val="auto"/>
                <w:sz w:val="24"/>
              </w:rPr>
            </w:pPr>
            <w:r>
              <w:rPr>
                <w:rFonts w:hint="eastAsia"/>
                <w:color w:val="auto"/>
                <w:sz w:val="24"/>
              </w:rPr>
              <w:t>根据《排污许可证申请与核发技术规范 总则》（HJ942—2018）及根据《排污单位自行监测技术指南 橡胶和塑料制品》（HJ 1207-2021），本项目废气自行监测要求如下表：</w:t>
            </w:r>
          </w:p>
          <w:p w14:paraId="68BFAA39">
            <w:pPr>
              <w:keepNext/>
              <w:adjustRightInd w:val="0"/>
              <w:snapToGrid w:val="0"/>
              <w:jc w:val="center"/>
              <w:rPr>
                <w:rFonts w:eastAsia="黑体"/>
                <w:color w:val="auto"/>
                <w:sz w:val="24"/>
                <w:szCs w:val="20"/>
              </w:rPr>
            </w:pPr>
            <w:r>
              <w:rPr>
                <w:rFonts w:hint="eastAsia"/>
                <w:b/>
                <w:color w:val="auto"/>
                <w:sz w:val="24"/>
              </w:rPr>
              <w:t>表4-4  废气自行监测要求</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89"/>
              <w:gridCol w:w="1957"/>
              <w:gridCol w:w="2352"/>
              <w:gridCol w:w="2581"/>
            </w:tblGrid>
            <w:tr w14:paraId="51874E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75" w:type="pct"/>
                  <w:vAlign w:val="center"/>
                </w:tcPr>
                <w:p w14:paraId="40EEDDF8">
                  <w:pPr>
                    <w:adjustRightInd w:val="0"/>
                    <w:snapToGrid w:val="0"/>
                    <w:jc w:val="center"/>
                    <w:rPr>
                      <w:b/>
                      <w:bCs/>
                      <w:color w:val="auto"/>
                    </w:rPr>
                  </w:pPr>
                  <w:r>
                    <w:rPr>
                      <w:rFonts w:hint="eastAsia"/>
                      <w:b/>
                      <w:bCs/>
                      <w:color w:val="auto"/>
                    </w:rPr>
                    <w:t>监测点位</w:t>
                  </w:r>
                </w:p>
              </w:tc>
              <w:tc>
                <w:tcPr>
                  <w:tcW w:w="1114" w:type="pct"/>
                  <w:vAlign w:val="center"/>
                </w:tcPr>
                <w:p w14:paraId="45F5A06F">
                  <w:pPr>
                    <w:adjustRightInd w:val="0"/>
                    <w:snapToGrid w:val="0"/>
                    <w:jc w:val="center"/>
                    <w:rPr>
                      <w:rFonts w:ascii="宋体" w:hAnsi="宋体" w:cs="宋体"/>
                      <w:b/>
                      <w:bCs/>
                      <w:color w:val="auto"/>
                      <w:kern w:val="21"/>
                      <w:szCs w:val="21"/>
                    </w:rPr>
                  </w:pPr>
                  <w:r>
                    <w:rPr>
                      <w:rFonts w:hint="eastAsia" w:ascii="宋体" w:hAnsi="宋体" w:cs="宋体"/>
                      <w:b/>
                      <w:bCs/>
                      <w:color w:val="auto"/>
                      <w:kern w:val="21"/>
                      <w:szCs w:val="21"/>
                    </w:rPr>
                    <w:t>排放方式</w:t>
                  </w:r>
                </w:p>
              </w:tc>
              <w:tc>
                <w:tcPr>
                  <w:tcW w:w="1339" w:type="pct"/>
                  <w:vAlign w:val="center"/>
                </w:tcPr>
                <w:p w14:paraId="6FC267CC">
                  <w:pPr>
                    <w:adjustRightInd w:val="0"/>
                    <w:snapToGrid w:val="0"/>
                    <w:jc w:val="center"/>
                    <w:rPr>
                      <w:rFonts w:ascii="宋体" w:hAnsi="宋体" w:cs="宋体"/>
                      <w:b/>
                      <w:bCs/>
                      <w:color w:val="auto"/>
                      <w:kern w:val="21"/>
                      <w:szCs w:val="21"/>
                    </w:rPr>
                  </w:pPr>
                  <w:r>
                    <w:rPr>
                      <w:rFonts w:hint="eastAsia" w:ascii="宋体" w:hAnsi="宋体" w:cs="宋体"/>
                      <w:b/>
                      <w:bCs/>
                      <w:color w:val="auto"/>
                      <w:kern w:val="21"/>
                      <w:szCs w:val="21"/>
                    </w:rPr>
                    <w:t>监测因子</w:t>
                  </w:r>
                </w:p>
              </w:tc>
              <w:tc>
                <w:tcPr>
                  <w:tcW w:w="1469" w:type="pct"/>
                  <w:vAlign w:val="center"/>
                </w:tcPr>
                <w:p w14:paraId="78D16822">
                  <w:pPr>
                    <w:adjustRightInd w:val="0"/>
                    <w:snapToGrid w:val="0"/>
                    <w:jc w:val="center"/>
                    <w:rPr>
                      <w:b/>
                      <w:bCs/>
                      <w:color w:val="auto"/>
                      <w:szCs w:val="21"/>
                    </w:rPr>
                  </w:pPr>
                  <w:r>
                    <w:rPr>
                      <w:rFonts w:hint="eastAsia" w:ascii="宋体" w:hAnsi="宋体" w:cs="宋体"/>
                      <w:b/>
                      <w:bCs/>
                      <w:color w:val="auto"/>
                      <w:kern w:val="21"/>
                      <w:szCs w:val="21"/>
                    </w:rPr>
                    <w:t>监测频次</w:t>
                  </w:r>
                </w:p>
              </w:tc>
            </w:tr>
            <w:tr w14:paraId="786AEF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75" w:type="pct"/>
                  <w:vAlign w:val="center"/>
                </w:tcPr>
                <w:p w14:paraId="35B17AC5">
                  <w:pPr>
                    <w:adjustRightInd w:val="0"/>
                    <w:snapToGrid w:val="0"/>
                    <w:jc w:val="center"/>
                    <w:rPr>
                      <w:color w:val="auto"/>
                    </w:rPr>
                  </w:pPr>
                  <w:r>
                    <w:rPr>
                      <w:rFonts w:hint="eastAsia"/>
                      <w:color w:val="auto"/>
                    </w:rPr>
                    <w:t>排气筒DA001</w:t>
                  </w:r>
                </w:p>
              </w:tc>
              <w:tc>
                <w:tcPr>
                  <w:tcW w:w="1114" w:type="pct"/>
                  <w:vAlign w:val="center"/>
                </w:tcPr>
                <w:p w14:paraId="0728D6F9">
                  <w:pPr>
                    <w:adjustRightInd w:val="0"/>
                    <w:snapToGrid w:val="0"/>
                    <w:jc w:val="center"/>
                    <w:rPr>
                      <w:color w:val="auto"/>
                      <w:szCs w:val="21"/>
                    </w:rPr>
                  </w:pPr>
                  <w:r>
                    <w:rPr>
                      <w:rFonts w:hint="eastAsia"/>
                      <w:color w:val="auto"/>
                      <w:szCs w:val="21"/>
                    </w:rPr>
                    <w:t>有组织</w:t>
                  </w:r>
                </w:p>
              </w:tc>
              <w:tc>
                <w:tcPr>
                  <w:tcW w:w="1339" w:type="pct"/>
                  <w:vAlign w:val="center"/>
                </w:tcPr>
                <w:p w14:paraId="190CB888">
                  <w:pPr>
                    <w:adjustRightInd w:val="0"/>
                    <w:snapToGrid w:val="0"/>
                    <w:jc w:val="center"/>
                    <w:rPr>
                      <w:color w:val="auto"/>
                      <w:szCs w:val="21"/>
                    </w:rPr>
                  </w:pPr>
                  <w:r>
                    <w:rPr>
                      <w:rFonts w:hint="eastAsia"/>
                      <w:color w:val="auto"/>
                      <w:szCs w:val="21"/>
                    </w:rPr>
                    <w:t>非甲烷总烃</w:t>
                  </w:r>
                </w:p>
              </w:tc>
              <w:tc>
                <w:tcPr>
                  <w:tcW w:w="1469" w:type="pct"/>
                  <w:vAlign w:val="center"/>
                </w:tcPr>
                <w:p w14:paraId="6A64DE24">
                  <w:pPr>
                    <w:adjustRightInd w:val="0"/>
                    <w:snapToGrid w:val="0"/>
                    <w:jc w:val="center"/>
                    <w:rPr>
                      <w:color w:val="auto"/>
                      <w:szCs w:val="21"/>
                    </w:rPr>
                  </w:pPr>
                  <w:r>
                    <w:rPr>
                      <w:rFonts w:hint="eastAsia"/>
                      <w:color w:val="auto"/>
                      <w:szCs w:val="21"/>
                    </w:rPr>
                    <w:t>1</w:t>
                  </w:r>
                  <w:r>
                    <w:rPr>
                      <w:color w:val="auto"/>
                      <w:szCs w:val="21"/>
                    </w:rPr>
                    <w:t>次/</w:t>
                  </w:r>
                  <w:r>
                    <w:rPr>
                      <w:rFonts w:hint="eastAsia"/>
                      <w:color w:val="auto"/>
                      <w:szCs w:val="21"/>
                    </w:rPr>
                    <w:t>半</w:t>
                  </w:r>
                  <w:r>
                    <w:rPr>
                      <w:color w:val="auto"/>
                      <w:szCs w:val="21"/>
                    </w:rPr>
                    <w:t>年</w:t>
                  </w:r>
                </w:p>
              </w:tc>
            </w:tr>
            <w:tr w14:paraId="66BE0B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75" w:type="pct"/>
                  <w:vAlign w:val="center"/>
                </w:tcPr>
                <w:p w14:paraId="5FBE6346">
                  <w:pPr>
                    <w:adjustRightInd w:val="0"/>
                    <w:snapToGrid w:val="0"/>
                    <w:jc w:val="center"/>
                    <w:rPr>
                      <w:color w:val="auto"/>
                    </w:rPr>
                  </w:pPr>
                  <w:r>
                    <w:rPr>
                      <w:rFonts w:hint="eastAsia"/>
                      <w:color w:val="auto"/>
                    </w:rPr>
                    <w:t>厂界</w:t>
                  </w:r>
                </w:p>
              </w:tc>
              <w:tc>
                <w:tcPr>
                  <w:tcW w:w="1114" w:type="pct"/>
                  <w:vMerge w:val="restart"/>
                  <w:vAlign w:val="center"/>
                </w:tcPr>
                <w:p w14:paraId="73CA8230">
                  <w:pPr>
                    <w:adjustRightInd w:val="0"/>
                    <w:snapToGrid w:val="0"/>
                    <w:jc w:val="center"/>
                    <w:rPr>
                      <w:color w:val="auto"/>
                      <w:szCs w:val="21"/>
                    </w:rPr>
                  </w:pPr>
                  <w:r>
                    <w:rPr>
                      <w:rFonts w:hint="eastAsia"/>
                      <w:color w:val="auto"/>
                      <w:szCs w:val="21"/>
                    </w:rPr>
                    <w:t>无组织</w:t>
                  </w:r>
                </w:p>
              </w:tc>
              <w:tc>
                <w:tcPr>
                  <w:tcW w:w="1339" w:type="pct"/>
                  <w:vAlign w:val="center"/>
                </w:tcPr>
                <w:p w14:paraId="0E4B2695">
                  <w:pPr>
                    <w:adjustRightInd w:val="0"/>
                    <w:snapToGrid w:val="0"/>
                    <w:jc w:val="center"/>
                    <w:rPr>
                      <w:color w:val="auto"/>
                      <w:szCs w:val="21"/>
                    </w:rPr>
                  </w:pPr>
                  <w:r>
                    <w:rPr>
                      <w:rFonts w:hint="eastAsia"/>
                      <w:color w:val="auto"/>
                      <w:szCs w:val="21"/>
                    </w:rPr>
                    <w:t>非甲烷总烃、颗粒物</w:t>
                  </w:r>
                </w:p>
              </w:tc>
              <w:tc>
                <w:tcPr>
                  <w:tcW w:w="1469" w:type="pct"/>
                  <w:vAlign w:val="center"/>
                </w:tcPr>
                <w:p w14:paraId="09253484">
                  <w:pPr>
                    <w:adjustRightInd w:val="0"/>
                    <w:snapToGrid w:val="0"/>
                    <w:jc w:val="center"/>
                    <w:rPr>
                      <w:color w:val="auto"/>
                      <w:szCs w:val="21"/>
                    </w:rPr>
                  </w:pPr>
                  <w:r>
                    <w:rPr>
                      <w:color w:val="auto"/>
                      <w:szCs w:val="21"/>
                    </w:rPr>
                    <w:t>1次/年</w:t>
                  </w:r>
                </w:p>
              </w:tc>
            </w:tr>
            <w:tr w14:paraId="0409B7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10" w:hRule="atLeast"/>
                <w:jc w:val="center"/>
              </w:trPr>
              <w:tc>
                <w:tcPr>
                  <w:tcW w:w="1075" w:type="pct"/>
                  <w:vAlign w:val="center"/>
                </w:tcPr>
                <w:p w14:paraId="5600B202">
                  <w:pPr>
                    <w:adjustRightInd w:val="0"/>
                    <w:snapToGrid w:val="0"/>
                    <w:jc w:val="center"/>
                    <w:rPr>
                      <w:color w:val="auto"/>
                    </w:rPr>
                  </w:pPr>
                  <w:r>
                    <w:rPr>
                      <w:rFonts w:hint="eastAsia"/>
                      <w:color w:val="auto"/>
                    </w:rPr>
                    <w:t>厂区内</w:t>
                  </w:r>
                </w:p>
              </w:tc>
              <w:tc>
                <w:tcPr>
                  <w:tcW w:w="1114" w:type="pct"/>
                  <w:vMerge w:val="continue"/>
                  <w:vAlign w:val="center"/>
                </w:tcPr>
                <w:p w14:paraId="02BE8E1A">
                  <w:pPr>
                    <w:adjustRightInd w:val="0"/>
                    <w:snapToGrid w:val="0"/>
                    <w:jc w:val="center"/>
                    <w:rPr>
                      <w:color w:val="auto"/>
                      <w:szCs w:val="21"/>
                    </w:rPr>
                  </w:pPr>
                </w:p>
              </w:tc>
              <w:tc>
                <w:tcPr>
                  <w:tcW w:w="1339" w:type="pct"/>
                  <w:vAlign w:val="center"/>
                </w:tcPr>
                <w:p w14:paraId="65DB99CC">
                  <w:pPr>
                    <w:adjustRightInd w:val="0"/>
                    <w:snapToGrid w:val="0"/>
                    <w:jc w:val="center"/>
                    <w:rPr>
                      <w:color w:val="auto"/>
                      <w:szCs w:val="21"/>
                    </w:rPr>
                  </w:pPr>
                  <w:r>
                    <w:rPr>
                      <w:rFonts w:hint="eastAsia"/>
                      <w:color w:val="auto"/>
                      <w:szCs w:val="21"/>
                    </w:rPr>
                    <w:t>非甲烷总烃</w:t>
                  </w:r>
                </w:p>
              </w:tc>
              <w:tc>
                <w:tcPr>
                  <w:tcW w:w="1469" w:type="pct"/>
                  <w:vAlign w:val="center"/>
                </w:tcPr>
                <w:p w14:paraId="46B31E35">
                  <w:pPr>
                    <w:adjustRightInd w:val="0"/>
                    <w:snapToGrid w:val="0"/>
                    <w:jc w:val="center"/>
                    <w:rPr>
                      <w:color w:val="auto"/>
                      <w:szCs w:val="21"/>
                    </w:rPr>
                  </w:pPr>
                  <w:r>
                    <w:rPr>
                      <w:color w:val="auto"/>
                      <w:szCs w:val="21"/>
                    </w:rPr>
                    <w:t>1次/年</w:t>
                  </w:r>
                </w:p>
              </w:tc>
            </w:tr>
          </w:tbl>
          <w:p w14:paraId="3ED2EE22">
            <w:pPr>
              <w:adjustRightInd w:val="0"/>
              <w:snapToGrid w:val="0"/>
              <w:spacing w:before="120" w:beforeLines="50" w:line="360" w:lineRule="auto"/>
              <w:ind w:firstLine="480" w:firstLineChars="200"/>
              <w:rPr>
                <w:color w:val="auto"/>
                <w:sz w:val="24"/>
              </w:rPr>
            </w:pPr>
            <w:r>
              <w:rPr>
                <w:rFonts w:hint="eastAsia"/>
                <w:color w:val="auto"/>
                <w:sz w:val="24"/>
              </w:rPr>
              <w:t>（7）非正常排放</w:t>
            </w:r>
            <w:r>
              <w:rPr>
                <w:color w:val="auto"/>
                <w:sz w:val="24"/>
              </w:rPr>
              <w:t>情况</w:t>
            </w:r>
          </w:p>
          <w:p w14:paraId="7D639852">
            <w:pPr>
              <w:spacing w:line="312" w:lineRule="auto"/>
              <w:ind w:firstLine="480" w:firstLineChars="200"/>
              <w:rPr>
                <w:color w:val="auto"/>
                <w:sz w:val="24"/>
              </w:rPr>
            </w:pPr>
            <w:r>
              <w:rPr>
                <w:color w:val="auto"/>
                <w:sz w:val="24"/>
              </w:rPr>
              <w:t>非正常排放是指</w:t>
            </w:r>
            <w:r>
              <w:rPr>
                <w:rFonts w:hint="eastAsia"/>
                <w:color w:val="auto"/>
                <w:sz w:val="24"/>
              </w:rPr>
              <w:t>生产</w:t>
            </w:r>
            <w:r>
              <w:rPr>
                <w:color w:val="auto"/>
                <w:sz w:val="24"/>
              </w:rPr>
              <w:t>过程中设备检修、工艺设备运转异常等非正常工况下的污染物排放，以及污染物排放控制措施达不到应</w:t>
            </w:r>
            <w:r>
              <w:rPr>
                <w:rFonts w:hint="eastAsia"/>
                <w:color w:val="auto"/>
                <w:sz w:val="24"/>
              </w:rPr>
              <w:t>有</w:t>
            </w:r>
            <w:r>
              <w:rPr>
                <w:color w:val="auto"/>
                <w:sz w:val="24"/>
              </w:rPr>
              <w:t>效率等情况下的排放。</w:t>
            </w:r>
          </w:p>
          <w:p w14:paraId="5AB9C91D">
            <w:pPr>
              <w:spacing w:line="312" w:lineRule="auto"/>
              <w:ind w:firstLine="480" w:firstLineChars="200"/>
              <w:rPr>
                <w:color w:val="auto"/>
                <w:sz w:val="24"/>
              </w:rPr>
            </w:pPr>
            <w:r>
              <w:rPr>
                <w:color w:val="auto"/>
                <w:sz w:val="24"/>
              </w:rPr>
              <w:t>项目废气非正常工况</w:t>
            </w:r>
            <w:r>
              <w:rPr>
                <w:rFonts w:hint="eastAsia"/>
                <w:color w:val="auto"/>
                <w:sz w:val="24"/>
              </w:rPr>
              <w:t>情况</w:t>
            </w:r>
            <w:r>
              <w:rPr>
                <w:color w:val="auto"/>
                <w:sz w:val="24"/>
              </w:rPr>
              <w:t>主要为</w:t>
            </w:r>
            <w:r>
              <w:rPr>
                <w:rFonts w:hint="eastAsia"/>
                <w:color w:val="auto"/>
                <w:sz w:val="24"/>
              </w:rPr>
              <w:t>：“活性炭吸附装置”吸附接近饱和时，按照收集处理效率为0的状态估算废气通过排气筒排放等情况；袋式除尘器故障时</w:t>
            </w:r>
            <w:r>
              <w:rPr>
                <w:color w:val="auto"/>
                <w:sz w:val="24"/>
              </w:rPr>
              <w:t>废气</w:t>
            </w:r>
            <w:r>
              <w:rPr>
                <w:rFonts w:hint="eastAsia"/>
                <w:color w:val="auto"/>
                <w:sz w:val="24"/>
              </w:rPr>
              <w:t>收集</w:t>
            </w:r>
            <w:r>
              <w:rPr>
                <w:color w:val="auto"/>
                <w:sz w:val="24"/>
              </w:rPr>
              <w:t>效率下降，按照处理效率为</w:t>
            </w:r>
            <w:r>
              <w:rPr>
                <w:rFonts w:hint="eastAsia"/>
                <w:color w:val="auto"/>
                <w:sz w:val="24"/>
              </w:rPr>
              <w:t>50%</w:t>
            </w:r>
            <w:r>
              <w:rPr>
                <w:color w:val="auto"/>
                <w:sz w:val="24"/>
              </w:rPr>
              <w:t>的状态估算废气通过排气筒排放</w:t>
            </w:r>
            <w:r>
              <w:rPr>
                <w:rFonts w:hint="eastAsia"/>
                <w:color w:val="auto"/>
                <w:sz w:val="24"/>
              </w:rPr>
              <w:t>。</w:t>
            </w:r>
            <w:r>
              <w:rPr>
                <w:color w:val="auto"/>
                <w:sz w:val="24"/>
              </w:rPr>
              <w:t>废气非正常工况源强情况见</w:t>
            </w:r>
            <w:r>
              <w:rPr>
                <w:rFonts w:hint="eastAsia"/>
                <w:color w:val="auto"/>
                <w:sz w:val="24"/>
              </w:rPr>
              <w:t>下</w:t>
            </w:r>
            <w:r>
              <w:rPr>
                <w:color w:val="auto"/>
                <w:sz w:val="24"/>
              </w:rPr>
              <w:t>表。</w:t>
            </w:r>
          </w:p>
          <w:p w14:paraId="6ADED354">
            <w:pPr>
              <w:pStyle w:val="65"/>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表4-</w:t>
            </w:r>
            <w:r>
              <w:rPr>
                <w:rFonts w:hint="eastAsia" w:hAnsi="Times New Roman" w:cs="Times New Roman"/>
                <w:b/>
                <w:bCs/>
                <w:color w:val="auto"/>
                <w:kern w:val="21"/>
                <w:szCs w:val="24"/>
              </w:rPr>
              <w:t>5</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污染源非正常排放量核算表</w:t>
            </w:r>
          </w:p>
          <w:tbl>
            <w:tblPr>
              <w:tblStyle w:val="26"/>
              <w:tblW w:w="504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671"/>
              <w:gridCol w:w="1222"/>
              <w:gridCol w:w="803"/>
              <w:gridCol w:w="1170"/>
              <w:gridCol w:w="1057"/>
              <w:gridCol w:w="813"/>
              <w:gridCol w:w="682"/>
              <w:gridCol w:w="902"/>
              <w:gridCol w:w="1547"/>
            </w:tblGrid>
            <w:tr w14:paraId="65076A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78" w:type="pct"/>
                  <w:vAlign w:val="center"/>
                </w:tcPr>
                <w:p w14:paraId="6474ABEE">
                  <w:pPr>
                    <w:jc w:val="center"/>
                    <w:rPr>
                      <w:b/>
                      <w:bCs/>
                      <w:color w:val="auto"/>
                      <w:szCs w:val="21"/>
                    </w:rPr>
                  </w:pPr>
                  <w:r>
                    <w:rPr>
                      <w:b/>
                      <w:bCs/>
                      <w:color w:val="auto"/>
                      <w:szCs w:val="21"/>
                    </w:rPr>
                    <w:t>污染源</w:t>
                  </w:r>
                </w:p>
              </w:tc>
              <w:tc>
                <w:tcPr>
                  <w:tcW w:w="688" w:type="pct"/>
                  <w:vAlign w:val="center"/>
                </w:tcPr>
                <w:p w14:paraId="34984438">
                  <w:pPr>
                    <w:jc w:val="center"/>
                    <w:rPr>
                      <w:b/>
                      <w:bCs/>
                      <w:color w:val="auto"/>
                      <w:szCs w:val="21"/>
                    </w:rPr>
                  </w:pPr>
                  <w:r>
                    <w:rPr>
                      <w:b/>
                      <w:bCs/>
                      <w:color w:val="auto"/>
                      <w:szCs w:val="21"/>
                    </w:rPr>
                    <w:t>非正常</w:t>
                  </w:r>
                </w:p>
                <w:p w14:paraId="0FB39A29">
                  <w:pPr>
                    <w:jc w:val="center"/>
                    <w:rPr>
                      <w:b/>
                      <w:bCs/>
                      <w:color w:val="auto"/>
                      <w:szCs w:val="21"/>
                    </w:rPr>
                  </w:pPr>
                  <w:r>
                    <w:rPr>
                      <w:b/>
                      <w:bCs/>
                      <w:color w:val="auto"/>
                      <w:szCs w:val="21"/>
                    </w:rPr>
                    <w:t>排放原因</w:t>
                  </w:r>
                </w:p>
              </w:tc>
              <w:tc>
                <w:tcPr>
                  <w:tcW w:w="452" w:type="pct"/>
                  <w:vAlign w:val="center"/>
                </w:tcPr>
                <w:p w14:paraId="53992B37">
                  <w:pPr>
                    <w:jc w:val="center"/>
                    <w:rPr>
                      <w:b/>
                      <w:bCs/>
                      <w:color w:val="auto"/>
                      <w:szCs w:val="21"/>
                    </w:rPr>
                  </w:pPr>
                  <w:r>
                    <w:rPr>
                      <w:b/>
                      <w:bCs/>
                      <w:color w:val="auto"/>
                      <w:szCs w:val="21"/>
                    </w:rPr>
                    <w:t>污染物</w:t>
                  </w:r>
                </w:p>
              </w:tc>
              <w:tc>
                <w:tcPr>
                  <w:tcW w:w="659" w:type="pct"/>
                  <w:vAlign w:val="center"/>
                </w:tcPr>
                <w:p w14:paraId="3D1E82C5">
                  <w:pPr>
                    <w:jc w:val="center"/>
                    <w:rPr>
                      <w:b/>
                      <w:bCs/>
                      <w:color w:val="auto"/>
                      <w:szCs w:val="21"/>
                    </w:rPr>
                  </w:pPr>
                  <w:r>
                    <w:rPr>
                      <w:b/>
                      <w:bCs/>
                      <w:color w:val="auto"/>
                      <w:szCs w:val="21"/>
                    </w:rPr>
                    <w:t>非正常排放浓度/（mg/m</w:t>
                  </w:r>
                  <w:r>
                    <w:rPr>
                      <w:b/>
                      <w:bCs/>
                      <w:color w:val="auto"/>
                      <w:szCs w:val="21"/>
                      <w:vertAlign w:val="superscript"/>
                    </w:rPr>
                    <w:t>3</w:t>
                  </w:r>
                  <w:r>
                    <w:rPr>
                      <w:b/>
                      <w:bCs/>
                      <w:color w:val="auto"/>
                      <w:szCs w:val="21"/>
                    </w:rPr>
                    <w:t>）</w:t>
                  </w:r>
                </w:p>
              </w:tc>
              <w:tc>
                <w:tcPr>
                  <w:tcW w:w="595" w:type="pct"/>
                  <w:vAlign w:val="center"/>
                </w:tcPr>
                <w:p w14:paraId="2E36157B">
                  <w:pPr>
                    <w:jc w:val="center"/>
                    <w:rPr>
                      <w:b/>
                      <w:bCs/>
                      <w:color w:val="auto"/>
                      <w:szCs w:val="21"/>
                    </w:rPr>
                  </w:pPr>
                  <w:r>
                    <w:rPr>
                      <w:b/>
                      <w:bCs/>
                      <w:color w:val="auto"/>
                      <w:szCs w:val="21"/>
                    </w:rPr>
                    <w:t>非正常排放速率/（kg/h）</w:t>
                  </w:r>
                </w:p>
              </w:tc>
              <w:tc>
                <w:tcPr>
                  <w:tcW w:w="458" w:type="pct"/>
                  <w:vAlign w:val="center"/>
                </w:tcPr>
                <w:p w14:paraId="562040C1">
                  <w:pPr>
                    <w:jc w:val="center"/>
                    <w:rPr>
                      <w:b/>
                      <w:bCs/>
                      <w:color w:val="auto"/>
                      <w:szCs w:val="21"/>
                    </w:rPr>
                  </w:pPr>
                  <w:r>
                    <w:rPr>
                      <w:b/>
                      <w:bCs/>
                      <w:color w:val="auto"/>
                      <w:szCs w:val="21"/>
                    </w:rPr>
                    <w:t>单次持续时间/h</w:t>
                  </w:r>
                </w:p>
              </w:tc>
              <w:tc>
                <w:tcPr>
                  <w:tcW w:w="384" w:type="pct"/>
                  <w:vAlign w:val="center"/>
                </w:tcPr>
                <w:p w14:paraId="2C0FAB1F">
                  <w:pPr>
                    <w:jc w:val="center"/>
                    <w:rPr>
                      <w:b/>
                      <w:bCs/>
                      <w:color w:val="auto"/>
                      <w:szCs w:val="21"/>
                    </w:rPr>
                  </w:pPr>
                  <w:r>
                    <w:rPr>
                      <w:b/>
                      <w:bCs/>
                      <w:color w:val="auto"/>
                      <w:szCs w:val="21"/>
                    </w:rPr>
                    <w:t>年发生频次/次</w:t>
                  </w:r>
                </w:p>
              </w:tc>
              <w:tc>
                <w:tcPr>
                  <w:tcW w:w="508" w:type="pct"/>
                  <w:vAlign w:val="center"/>
                </w:tcPr>
                <w:p w14:paraId="620C0669">
                  <w:pPr>
                    <w:jc w:val="center"/>
                    <w:rPr>
                      <w:b/>
                      <w:bCs/>
                      <w:color w:val="auto"/>
                      <w:szCs w:val="21"/>
                    </w:rPr>
                  </w:pPr>
                  <w:r>
                    <w:rPr>
                      <w:b/>
                      <w:bCs/>
                      <w:color w:val="auto"/>
                      <w:szCs w:val="21"/>
                    </w:rPr>
                    <w:t>排放量/（kg/a）</w:t>
                  </w:r>
                </w:p>
              </w:tc>
              <w:tc>
                <w:tcPr>
                  <w:tcW w:w="871" w:type="pct"/>
                  <w:vAlign w:val="center"/>
                </w:tcPr>
                <w:p w14:paraId="3496B794">
                  <w:pPr>
                    <w:jc w:val="center"/>
                    <w:rPr>
                      <w:b/>
                      <w:bCs/>
                      <w:color w:val="auto"/>
                      <w:szCs w:val="21"/>
                    </w:rPr>
                  </w:pPr>
                  <w:r>
                    <w:rPr>
                      <w:b/>
                      <w:bCs/>
                      <w:color w:val="auto"/>
                      <w:szCs w:val="21"/>
                    </w:rPr>
                    <w:t>应对措施</w:t>
                  </w:r>
                </w:p>
              </w:tc>
            </w:tr>
            <w:tr w14:paraId="585891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78" w:type="pct"/>
                  <w:vAlign w:val="center"/>
                </w:tcPr>
                <w:p w14:paraId="5280DE81">
                  <w:pPr>
                    <w:jc w:val="center"/>
                    <w:rPr>
                      <w:color w:val="auto"/>
                      <w:szCs w:val="21"/>
                    </w:rPr>
                  </w:pPr>
                  <w:r>
                    <w:rPr>
                      <w:rFonts w:hint="eastAsia"/>
                      <w:color w:val="auto"/>
                      <w:szCs w:val="21"/>
                    </w:rPr>
                    <w:t>注塑</w:t>
                  </w:r>
                </w:p>
              </w:tc>
              <w:tc>
                <w:tcPr>
                  <w:tcW w:w="688" w:type="pct"/>
                  <w:vAlign w:val="center"/>
                </w:tcPr>
                <w:p w14:paraId="68E18054">
                  <w:pPr>
                    <w:jc w:val="center"/>
                    <w:rPr>
                      <w:color w:val="auto"/>
                      <w:szCs w:val="21"/>
                    </w:rPr>
                  </w:pPr>
                  <w:r>
                    <w:rPr>
                      <w:rFonts w:hint="eastAsia"/>
                      <w:color w:val="auto"/>
                      <w:szCs w:val="21"/>
                    </w:rPr>
                    <w:t>“活性炭吸附”装置吸附接近饱和，处理效率为0</w:t>
                  </w:r>
                </w:p>
              </w:tc>
              <w:tc>
                <w:tcPr>
                  <w:tcW w:w="452" w:type="pct"/>
                  <w:vAlign w:val="center"/>
                </w:tcPr>
                <w:p w14:paraId="30CEF909">
                  <w:pPr>
                    <w:jc w:val="center"/>
                    <w:rPr>
                      <w:color w:val="auto"/>
                      <w:szCs w:val="21"/>
                    </w:rPr>
                  </w:pPr>
                  <w:r>
                    <w:rPr>
                      <w:rFonts w:hint="eastAsia"/>
                      <w:color w:val="auto"/>
                      <w:szCs w:val="21"/>
                    </w:rPr>
                    <w:t>非甲烷总烃</w:t>
                  </w:r>
                </w:p>
              </w:tc>
              <w:tc>
                <w:tcPr>
                  <w:tcW w:w="659" w:type="pct"/>
                  <w:vAlign w:val="center"/>
                </w:tcPr>
                <w:p w14:paraId="7F7EC50D">
                  <w:pPr>
                    <w:jc w:val="center"/>
                    <w:rPr>
                      <w:color w:val="auto"/>
                      <w:szCs w:val="21"/>
                    </w:rPr>
                  </w:pPr>
                  <w:r>
                    <w:rPr>
                      <w:rFonts w:hint="eastAsia"/>
                      <w:color w:val="auto"/>
                      <w:szCs w:val="21"/>
                    </w:rPr>
                    <w:t>34</w:t>
                  </w:r>
                </w:p>
              </w:tc>
              <w:tc>
                <w:tcPr>
                  <w:tcW w:w="595" w:type="pct"/>
                  <w:vAlign w:val="center"/>
                </w:tcPr>
                <w:p w14:paraId="534259B6">
                  <w:pPr>
                    <w:jc w:val="center"/>
                    <w:rPr>
                      <w:color w:val="auto"/>
                      <w:szCs w:val="21"/>
                    </w:rPr>
                  </w:pPr>
                  <w:r>
                    <w:rPr>
                      <w:rFonts w:hint="eastAsia"/>
                      <w:color w:val="auto"/>
                      <w:szCs w:val="21"/>
                    </w:rPr>
                    <w:t>0.68</w:t>
                  </w:r>
                </w:p>
              </w:tc>
              <w:tc>
                <w:tcPr>
                  <w:tcW w:w="458" w:type="pct"/>
                  <w:vAlign w:val="center"/>
                </w:tcPr>
                <w:p w14:paraId="5CD5B692">
                  <w:pPr>
                    <w:jc w:val="center"/>
                    <w:rPr>
                      <w:color w:val="auto"/>
                      <w:szCs w:val="21"/>
                    </w:rPr>
                  </w:pPr>
                  <w:r>
                    <w:rPr>
                      <w:rFonts w:hint="eastAsia"/>
                      <w:color w:val="auto"/>
                      <w:szCs w:val="21"/>
                    </w:rPr>
                    <w:t>0.5</w:t>
                  </w:r>
                </w:p>
              </w:tc>
              <w:tc>
                <w:tcPr>
                  <w:tcW w:w="384" w:type="pct"/>
                  <w:vAlign w:val="center"/>
                </w:tcPr>
                <w:p w14:paraId="1D6F6440">
                  <w:pPr>
                    <w:jc w:val="center"/>
                    <w:rPr>
                      <w:color w:val="auto"/>
                      <w:szCs w:val="21"/>
                    </w:rPr>
                  </w:pPr>
                  <w:r>
                    <w:rPr>
                      <w:rFonts w:hint="eastAsia"/>
                      <w:color w:val="auto"/>
                      <w:szCs w:val="21"/>
                    </w:rPr>
                    <w:t>2</w:t>
                  </w:r>
                </w:p>
              </w:tc>
              <w:tc>
                <w:tcPr>
                  <w:tcW w:w="508" w:type="pct"/>
                  <w:vAlign w:val="center"/>
                </w:tcPr>
                <w:p w14:paraId="70BDC3A4">
                  <w:pPr>
                    <w:jc w:val="center"/>
                    <w:rPr>
                      <w:color w:val="auto"/>
                      <w:szCs w:val="21"/>
                    </w:rPr>
                  </w:pPr>
                  <w:r>
                    <w:rPr>
                      <w:rFonts w:hint="eastAsia"/>
                      <w:color w:val="auto"/>
                      <w:szCs w:val="21"/>
                    </w:rPr>
                    <w:t>0.68</w:t>
                  </w:r>
                </w:p>
              </w:tc>
              <w:tc>
                <w:tcPr>
                  <w:tcW w:w="871" w:type="pct"/>
                  <w:vAlign w:val="center"/>
                </w:tcPr>
                <w:p w14:paraId="222D0541">
                  <w:pPr>
                    <w:jc w:val="center"/>
                    <w:rPr>
                      <w:color w:val="auto"/>
                      <w:szCs w:val="21"/>
                    </w:rPr>
                  </w:pPr>
                  <w:r>
                    <w:rPr>
                      <w:rFonts w:hint="eastAsia"/>
                      <w:color w:val="auto"/>
                      <w:szCs w:val="21"/>
                    </w:rPr>
                    <w:t>立即停止生产，关闭排放阀，及时检修</w:t>
                  </w:r>
                </w:p>
              </w:tc>
            </w:tr>
            <w:tr w14:paraId="61E490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378" w:type="pct"/>
                  <w:vAlign w:val="center"/>
                </w:tcPr>
                <w:p w14:paraId="2A187246">
                  <w:pPr>
                    <w:pStyle w:val="6"/>
                    <w:ind w:left="-105" w:leftChars="-50" w:right="-105" w:rightChars="-50" w:firstLine="0"/>
                    <w:jc w:val="center"/>
                    <w:rPr>
                      <w:color w:val="auto"/>
                      <w:szCs w:val="21"/>
                    </w:rPr>
                  </w:pPr>
                  <w:r>
                    <w:rPr>
                      <w:rFonts w:hint="eastAsia"/>
                      <w:color w:val="auto"/>
                      <w:kern w:val="0"/>
                      <w:sz w:val="21"/>
                      <w:szCs w:val="21"/>
                    </w:rPr>
                    <w:t>粉尘</w:t>
                  </w:r>
                </w:p>
              </w:tc>
              <w:tc>
                <w:tcPr>
                  <w:tcW w:w="688" w:type="pct"/>
                  <w:vAlign w:val="center"/>
                </w:tcPr>
                <w:p w14:paraId="2B5687B3">
                  <w:pPr>
                    <w:jc w:val="center"/>
                    <w:rPr>
                      <w:color w:val="auto"/>
                      <w:szCs w:val="21"/>
                    </w:rPr>
                  </w:pPr>
                  <w:r>
                    <w:rPr>
                      <w:rFonts w:hint="eastAsia"/>
                      <w:color w:val="auto"/>
                      <w:szCs w:val="21"/>
                    </w:rPr>
                    <w:t>袋式除尘器故障，处理效率按50%状态估算</w:t>
                  </w:r>
                </w:p>
              </w:tc>
              <w:tc>
                <w:tcPr>
                  <w:tcW w:w="452" w:type="pct"/>
                  <w:vAlign w:val="center"/>
                </w:tcPr>
                <w:p w14:paraId="5EEE0580">
                  <w:pPr>
                    <w:pStyle w:val="10"/>
                    <w:adjustRightInd w:val="0"/>
                    <w:snapToGrid w:val="0"/>
                    <w:spacing w:after="0"/>
                    <w:ind w:left="0" w:leftChars="0"/>
                    <w:jc w:val="center"/>
                    <w:rPr>
                      <w:color w:val="auto"/>
                      <w:sz w:val="21"/>
                      <w:szCs w:val="21"/>
                    </w:rPr>
                  </w:pPr>
                  <w:r>
                    <w:rPr>
                      <w:rFonts w:hint="eastAsia"/>
                      <w:color w:val="auto"/>
                      <w:sz w:val="21"/>
                      <w:szCs w:val="21"/>
                    </w:rPr>
                    <w:t>颗粒物</w:t>
                  </w:r>
                </w:p>
              </w:tc>
              <w:tc>
                <w:tcPr>
                  <w:tcW w:w="659" w:type="pct"/>
                  <w:vAlign w:val="center"/>
                </w:tcPr>
                <w:p w14:paraId="3589FB98">
                  <w:pPr>
                    <w:jc w:val="center"/>
                    <w:rPr>
                      <w:color w:val="auto"/>
                      <w:szCs w:val="21"/>
                    </w:rPr>
                  </w:pPr>
                  <w:r>
                    <w:rPr>
                      <w:rFonts w:hint="eastAsia"/>
                      <w:color w:val="auto"/>
                      <w:szCs w:val="21"/>
                    </w:rPr>
                    <w:t>/</w:t>
                  </w:r>
                </w:p>
              </w:tc>
              <w:tc>
                <w:tcPr>
                  <w:tcW w:w="595" w:type="pct"/>
                  <w:vAlign w:val="center"/>
                </w:tcPr>
                <w:p w14:paraId="583E1074">
                  <w:pPr>
                    <w:jc w:val="center"/>
                    <w:rPr>
                      <w:color w:val="auto"/>
                      <w:szCs w:val="21"/>
                    </w:rPr>
                  </w:pPr>
                  <w:r>
                    <w:rPr>
                      <w:rFonts w:hint="eastAsia"/>
                      <w:color w:val="auto"/>
                      <w:szCs w:val="21"/>
                    </w:rPr>
                    <w:t>0.0139</w:t>
                  </w:r>
                </w:p>
              </w:tc>
              <w:tc>
                <w:tcPr>
                  <w:tcW w:w="458" w:type="pct"/>
                  <w:vAlign w:val="center"/>
                </w:tcPr>
                <w:p w14:paraId="0C30BB7D">
                  <w:pPr>
                    <w:jc w:val="center"/>
                    <w:rPr>
                      <w:color w:val="auto"/>
                      <w:szCs w:val="21"/>
                    </w:rPr>
                  </w:pPr>
                  <w:r>
                    <w:rPr>
                      <w:color w:val="auto"/>
                      <w:szCs w:val="21"/>
                    </w:rPr>
                    <w:t>0.5</w:t>
                  </w:r>
                </w:p>
              </w:tc>
              <w:tc>
                <w:tcPr>
                  <w:tcW w:w="384" w:type="pct"/>
                  <w:vAlign w:val="center"/>
                </w:tcPr>
                <w:p w14:paraId="039C93F7">
                  <w:pPr>
                    <w:jc w:val="center"/>
                    <w:rPr>
                      <w:color w:val="auto"/>
                      <w:szCs w:val="21"/>
                    </w:rPr>
                  </w:pPr>
                  <w:r>
                    <w:rPr>
                      <w:color w:val="auto"/>
                      <w:szCs w:val="21"/>
                    </w:rPr>
                    <w:t>2</w:t>
                  </w:r>
                </w:p>
              </w:tc>
              <w:tc>
                <w:tcPr>
                  <w:tcW w:w="508" w:type="pct"/>
                  <w:vAlign w:val="center"/>
                </w:tcPr>
                <w:p w14:paraId="23DE12AE">
                  <w:pPr>
                    <w:jc w:val="center"/>
                    <w:rPr>
                      <w:color w:val="auto"/>
                      <w:szCs w:val="21"/>
                    </w:rPr>
                  </w:pPr>
                  <w:r>
                    <w:rPr>
                      <w:rFonts w:hint="eastAsia"/>
                      <w:color w:val="auto"/>
                      <w:szCs w:val="21"/>
                    </w:rPr>
                    <w:t>0.0139</w:t>
                  </w:r>
                </w:p>
              </w:tc>
              <w:tc>
                <w:tcPr>
                  <w:tcW w:w="871" w:type="pct"/>
                  <w:vAlign w:val="center"/>
                </w:tcPr>
                <w:p w14:paraId="2FA0E221">
                  <w:pPr>
                    <w:adjustRightInd w:val="0"/>
                    <w:snapToGrid w:val="0"/>
                    <w:jc w:val="center"/>
                    <w:rPr>
                      <w:color w:val="auto"/>
                      <w:szCs w:val="21"/>
                    </w:rPr>
                  </w:pPr>
                  <w:r>
                    <w:rPr>
                      <w:color w:val="auto"/>
                      <w:szCs w:val="21"/>
                    </w:rPr>
                    <w:t>立即停止</w:t>
                  </w:r>
                  <w:r>
                    <w:rPr>
                      <w:rFonts w:hint="eastAsia"/>
                      <w:color w:val="auto"/>
                      <w:szCs w:val="21"/>
                    </w:rPr>
                    <w:t>生产</w:t>
                  </w:r>
                  <w:r>
                    <w:rPr>
                      <w:color w:val="auto"/>
                      <w:szCs w:val="21"/>
                    </w:rPr>
                    <w:t>，关闭排放阀，</w:t>
                  </w:r>
                  <w:r>
                    <w:rPr>
                      <w:rFonts w:hint="eastAsia"/>
                      <w:color w:val="auto"/>
                      <w:szCs w:val="21"/>
                    </w:rPr>
                    <w:t>及</w:t>
                  </w:r>
                  <w:r>
                    <w:rPr>
                      <w:color w:val="auto"/>
                      <w:szCs w:val="21"/>
                    </w:rPr>
                    <w:t>时</w:t>
                  </w:r>
                  <w:r>
                    <w:rPr>
                      <w:rFonts w:hint="eastAsia"/>
                      <w:color w:val="auto"/>
                      <w:szCs w:val="21"/>
                    </w:rPr>
                    <w:t>检修</w:t>
                  </w:r>
                </w:p>
              </w:tc>
            </w:tr>
          </w:tbl>
          <w:p w14:paraId="5A30F892">
            <w:pPr>
              <w:keepNext w:val="0"/>
              <w:keepLines w:val="0"/>
              <w:pageBreakBefore w:val="0"/>
              <w:widowControl w:val="0"/>
              <w:kinsoku/>
              <w:wordWrap/>
              <w:overflowPunct/>
              <w:topLinePunct w:val="0"/>
              <w:autoSpaceDE/>
              <w:autoSpaceDN/>
              <w:bidi w:val="0"/>
              <w:adjustRightInd/>
              <w:snapToGrid/>
              <w:spacing w:before="120" w:beforeLines="50" w:line="360" w:lineRule="auto"/>
              <w:ind w:firstLine="480" w:firstLineChars="200"/>
              <w:textAlignment w:val="auto"/>
              <w:rPr>
                <w:color w:val="auto"/>
                <w:sz w:val="24"/>
              </w:rPr>
            </w:pPr>
            <w:r>
              <w:rPr>
                <w:rFonts w:hint="eastAsia"/>
                <w:color w:val="auto"/>
                <w:sz w:val="24"/>
              </w:rPr>
              <w:t>由上表可知，非正常工况下，废气污染物排放浓度不能达到相关限值要求。为防止非正常工况排放，企业必须加强废气处理设施的管理，定期检修，确保废气处理设施正常运行，在废气处理设施停止运行或出现故障时，产生废气的各工序也必须立即停产。为杜绝废气非正常排放，应采取以下措施确保废气达标排放：</w:t>
            </w:r>
          </w:p>
          <w:p w14:paraId="7309A0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rPr>
              <w:t>①安排专人负责环保设备的日常维护和管理，及时发现隐患，确保废气处理设施正常运行；</w:t>
            </w:r>
          </w:p>
          <w:p w14:paraId="4DABC0B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rPr>
              <w:t>②定期更换活性炭，定期清理布袋；</w:t>
            </w:r>
          </w:p>
          <w:p w14:paraId="101851E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rPr>
              <w:t>③建立健全环保管理机构，对环保管理人员和技术人员进行岗位培训；委托具有专业资质的环境检测机构对各污染物进行定期监测。</w:t>
            </w:r>
          </w:p>
          <w:p w14:paraId="3615F7E9">
            <w:pPr>
              <w:spacing w:line="312" w:lineRule="auto"/>
              <w:ind w:firstLine="482" w:firstLineChars="200"/>
              <w:rPr>
                <w:b/>
                <w:bCs/>
                <w:color w:val="auto"/>
                <w:sz w:val="24"/>
              </w:rPr>
            </w:pPr>
            <w:r>
              <w:rPr>
                <w:rFonts w:hint="eastAsia"/>
                <w:b/>
                <w:bCs/>
                <w:color w:val="auto"/>
                <w:sz w:val="24"/>
              </w:rPr>
              <w:t>2、废水</w:t>
            </w:r>
          </w:p>
          <w:p w14:paraId="00813D00">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color w:val="auto"/>
              </w:rPr>
            </w:pPr>
            <w:r>
              <w:rPr>
                <w:rFonts w:hint="eastAsia"/>
                <w:color w:val="auto"/>
              </w:rPr>
              <w:t>（1）废水产排情况</w:t>
            </w:r>
          </w:p>
          <w:p w14:paraId="505FB4C3">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color w:val="auto"/>
              </w:rPr>
            </w:pPr>
            <w:r>
              <w:rPr>
                <w:rFonts w:hint="eastAsia"/>
                <w:color w:val="auto"/>
                <w:szCs w:val="24"/>
              </w:rPr>
              <w:t>根据前文分析，</w:t>
            </w:r>
            <w:r>
              <w:rPr>
                <w:rFonts w:hint="eastAsia"/>
                <w:color w:val="auto"/>
              </w:rPr>
              <w:t>项目生活污水产生量为100m</w:t>
            </w:r>
            <w:r>
              <w:rPr>
                <w:rFonts w:hint="eastAsia"/>
                <w:color w:val="auto"/>
                <w:vertAlign w:val="superscript"/>
              </w:rPr>
              <w:t>3</w:t>
            </w:r>
            <w:r>
              <w:rPr>
                <w:rFonts w:hint="eastAsia"/>
                <w:color w:val="auto"/>
              </w:rPr>
              <w:t>/a，主要污染物为COD、BOD</w:t>
            </w:r>
            <w:r>
              <w:rPr>
                <w:rFonts w:hint="eastAsia"/>
                <w:color w:val="auto"/>
                <w:vertAlign w:val="subscript"/>
              </w:rPr>
              <w:t>5</w:t>
            </w:r>
            <w:r>
              <w:rPr>
                <w:rFonts w:hint="eastAsia"/>
                <w:color w:val="auto"/>
              </w:rPr>
              <w:t>、SS、氨氮、TN、TP等，生活污水经租赁厂区</w:t>
            </w:r>
            <w:r>
              <w:rPr>
                <w:rFonts w:hint="eastAsia"/>
                <w:color w:val="auto"/>
                <w:highlight w:val="none"/>
                <w:lang w:eastAsia="zh-CN"/>
              </w:rPr>
              <w:t>防渗旱厕</w:t>
            </w:r>
            <w:r>
              <w:rPr>
                <w:rFonts w:hint="eastAsia"/>
                <w:color w:val="auto"/>
                <w:highlight w:val="none"/>
              </w:rPr>
              <w:t>（20m</w:t>
            </w:r>
            <w:r>
              <w:rPr>
                <w:rFonts w:hint="eastAsia"/>
                <w:color w:val="auto"/>
                <w:highlight w:val="none"/>
                <w:vertAlign w:val="superscript"/>
              </w:rPr>
              <w:t>3</w:t>
            </w:r>
            <w:r>
              <w:rPr>
                <w:rFonts w:hint="eastAsia"/>
                <w:color w:val="auto"/>
                <w:highlight w:val="none"/>
              </w:rPr>
              <w:t>/d）</w:t>
            </w:r>
            <w:r>
              <w:rPr>
                <w:rFonts w:hint="eastAsia"/>
                <w:color w:val="auto"/>
              </w:rPr>
              <w:t>处理后，定期清掏用于周边农地，不外排；</w:t>
            </w:r>
            <w:r>
              <w:rPr>
                <w:rFonts w:hint="eastAsia"/>
                <w:color w:val="auto"/>
                <w:szCs w:val="24"/>
              </w:rPr>
              <w:t>本项目生产中无废水产生；本项目生产中冷却水循环使用，不外排。</w:t>
            </w:r>
            <w:r>
              <w:rPr>
                <w:rFonts w:hint="eastAsia"/>
                <w:bCs/>
                <w:color w:val="auto"/>
              </w:rPr>
              <w:t>对周边环境影响很小</w:t>
            </w:r>
            <w:r>
              <w:rPr>
                <w:color w:val="auto"/>
              </w:rPr>
              <w:t>。</w:t>
            </w:r>
          </w:p>
          <w:p w14:paraId="79451835">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color w:val="auto"/>
              </w:rPr>
            </w:pPr>
            <w:r>
              <w:rPr>
                <w:rFonts w:hint="eastAsia"/>
                <w:color w:val="auto"/>
              </w:rPr>
              <w:t>（2）废水处理设施可行性分析</w:t>
            </w:r>
          </w:p>
          <w:p w14:paraId="25425387">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color w:val="auto"/>
              </w:rPr>
            </w:pPr>
            <w:r>
              <w:rPr>
                <w:color w:val="auto"/>
              </w:rPr>
              <w:t>根据《陕西省农村户厕改造建设标准》(DB</w:t>
            </w:r>
            <w:r>
              <w:rPr>
                <w:rFonts w:hint="eastAsia"/>
                <w:color w:val="auto"/>
              </w:rPr>
              <w:t xml:space="preserve"> </w:t>
            </w:r>
            <w:r>
              <w:rPr>
                <w:color w:val="auto"/>
              </w:rPr>
              <w:t>61/T5031-2022)</w:t>
            </w:r>
            <w:r>
              <w:rPr>
                <w:rFonts w:hint="eastAsia"/>
                <w:color w:val="auto"/>
              </w:rPr>
              <w:t>：</w:t>
            </w:r>
            <w:r>
              <w:rPr>
                <w:color w:val="auto"/>
              </w:rPr>
              <w:t>“清掏出的粪污不得随意倾倒，但可以用作粪肥，或运至污水处理厂处理，也可运至粪便资源化处理中心集中处理后进行利用”，清掏出的粪污含N、P</w:t>
            </w:r>
            <w:r>
              <w:rPr>
                <w:rFonts w:hint="eastAsia"/>
                <w:color w:val="auto"/>
              </w:rPr>
              <w:t>、</w:t>
            </w:r>
            <w:r>
              <w:rPr>
                <w:color w:val="auto"/>
              </w:rPr>
              <w:t>K等植物所需养分及有机质</w:t>
            </w:r>
            <w:r>
              <w:rPr>
                <w:rFonts w:hint="eastAsia"/>
                <w:color w:val="auto"/>
              </w:rPr>
              <w:t>，</w:t>
            </w:r>
            <w:r>
              <w:rPr>
                <w:color w:val="auto"/>
              </w:rPr>
              <w:t>由项目地周边农户用作农田粪肥，故本项目生活污水治理措施属于可行技术。</w:t>
            </w:r>
          </w:p>
          <w:p w14:paraId="3AE25517">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color w:val="auto"/>
              </w:rPr>
            </w:pPr>
            <w:r>
              <w:rPr>
                <w:rFonts w:hint="eastAsia"/>
                <w:color w:val="auto"/>
              </w:rPr>
              <w:t>（3）自行监测要求</w:t>
            </w:r>
          </w:p>
          <w:p w14:paraId="0DDDD2A6">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color w:val="auto"/>
              </w:rPr>
            </w:pPr>
            <w:r>
              <w:rPr>
                <w:rFonts w:hint="eastAsia"/>
                <w:color w:val="auto"/>
              </w:rPr>
              <w:t>根据《排污许可证申请与核发技术规范 总则》（HJ942-2018）及《排污单位自行监测技术指南 总则》（HJ 819-2017），本项目无需对生活污水进行自行监测。</w:t>
            </w:r>
          </w:p>
          <w:p w14:paraId="33E83793">
            <w:pPr>
              <w:pStyle w:val="6"/>
              <w:spacing w:line="312" w:lineRule="auto"/>
              <w:ind w:firstLine="482" w:firstLineChars="200"/>
              <w:rPr>
                <w:b/>
                <w:bCs/>
                <w:color w:val="auto"/>
                <w:szCs w:val="24"/>
              </w:rPr>
            </w:pPr>
            <w:r>
              <w:rPr>
                <w:rFonts w:hint="eastAsia"/>
                <w:b/>
                <w:bCs/>
                <w:color w:val="auto"/>
                <w:szCs w:val="24"/>
              </w:rPr>
              <w:t>3、噪声</w:t>
            </w:r>
          </w:p>
          <w:p w14:paraId="2EFA61E8">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eastAsia="宋体"/>
                <w:color w:val="auto"/>
                <w:szCs w:val="24"/>
                <w:lang w:val="en-US" w:eastAsia="zh-CN"/>
              </w:rPr>
            </w:pPr>
            <w:r>
              <w:rPr>
                <w:rFonts w:hint="eastAsia"/>
                <w:color w:val="auto"/>
                <w:szCs w:val="24"/>
              </w:rPr>
              <w:t>（1）</w:t>
            </w:r>
            <w:r>
              <w:rPr>
                <w:rFonts w:hint="eastAsia"/>
                <w:color w:val="auto"/>
                <w:szCs w:val="24"/>
                <w:lang w:val="en-US" w:eastAsia="zh-CN"/>
              </w:rPr>
              <w:t>厂界四周噪声预测</w:t>
            </w:r>
          </w:p>
          <w:p w14:paraId="25DD5D30">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eastAsia="宋体"/>
                <w:color w:val="auto"/>
                <w:szCs w:val="24"/>
                <w:lang w:val="en-US" w:eastAsia="zh-CN"/>
              </w:rPr>
            </w:pPr>
            <w:r>
              <w:rPr>
                <w:rFonts w:hint="eastAsia"/>
                <w:color w:val="auto"/>
                <w:szCs w:val="24"/>
                <w:lang w:val="en-US" w:eastAsia="zh-CN"/>
              </w:rPr>
              <w:t>①噪声源</w:t>
            </w:r>
          </w:p>
          <w:p w14:paraId="531EE8CD">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color w:val="auto"/>
                <w:szCs w:val="24"/>
              </w:rPr>
            </w:pPr>
            <w:r>
              <w:rPr>
                <w:color w:val="auto"/>
                <w:szCs w:val="24"/>
              </w:rPr>
              <w:t>本项目运营期噪声源主要为</w:t>
            </w:r>
            <w:r>
              <w:rPr>
                <w:rFonts w:hint="eastAsia"/>
                <w:color w:val="auto"/>
                <w:szCs w:val="24"/>
              </w:rPr>
              <w:t>生产</w:t>
            </w:r>
            <w:r>
              <w:rPr>
                <w:color w:val="auto"/>
                <w:szCs w:val="24"/>
              </w:rPr>
              <w:t>设备</w:t>
            </w:r>
            <w:r>
              <w:rPr>
                <w:rFonts w:hint="eastAsia"/>
                <w:color w:val="auto"/>
                <w:szCs w:val="24"/>
              </w:rPr>
              <w:t>及环保设施</w:t>
            </w:r>
            <w:r>
              <w:rPr>
                <w:color w:val="auto"/>
                <w:szCs w:val="24"/>
              </w:rPr>
              <w:t>运行噪声，其噪声值</w:t>
            </w:r>
            <w:r>
              <w:rPr>
                <w:rFonts w:hint="eastAsia"/>
                <w:color w:val="auto"/>
                <w:szCs w:val="24"/>
              </w:rPr>
              <w:t>70~95</w:t>
            </w:r>
            <w:r>
              <w:rPr>
                <w:color w:val="auto"/>
                <w:szCs w:val="24"/>
              </w:rPr>
              <w:t>dB（A），各声源声级值详见下表。</w:t>
            </w:r>
          </w:p>
          <w:p w14:paraId="604C92D8">
            <w:pPr>
              <w:tabs>
                <w:tab w:val="left" w:pos="3870"/>
              </w:tabs>
              <w:jc w:val="center"/>
              <w:rPr>
                <w:b/>
                <w:color w:val="auto"/>
                <w:sz w:val="24"/>
              </w:rPr>
            </w:pPr>
            <w:r>
              <w:rPr>
                <w:b/>
                <w:color w:val="auto"/>
                <w:sz w:val="24"/>
              </w:rPr>
              <w:t>表</w:t>
            </w:r>
            <w:r>
              <w:rPr>
                <w:rFonts w:hint="eastAsia"/>
                <w:b/>
                <w:color w:val="auto"/>
                <w:sz w:val="24"/>
              </w:rPr>
              <w:t>4-7</w:t>
            </w:r>
            <w:r>
              <w:rPr>
                <w:b/>
                <w:color w:val="auto"/>
                <w:sz w:val="24"/>
              </w:rPr>
              <w:t xml:space="preserve"> </w:t>
            </w:r>
            <w:r>
              <w:rPr>
                <w:rFonts w:hint="eastAsia"/>
                <w:b/>
                <w:color w:val="auto"/>
                <w:sz w:val="24"/>
              </w:rPr>
              <w:t xml:space="preserve"> </w:t>
            </w:r>
            <w:r>
              <w:rPr>
                <w:b/>
                <w:bCs/>
                <w:color w:val="auto"/>
                <w:sz w:val="24"/>
              </w:rPr>
              <w:t>项目运营期噪声源</w:t>
            </w:r>
            <w:r>
              <w:rPr>
                <w:rFonts w:hint="eastAsia"/>
                <w:b/>
                <w:bCs/>
                <w:color w:val="auto"/>
                <w:sz w:val="24"/>
              </w:rPr>
              <w:t>调查清单</w:t>
            </w:r>
            <w:r>
              <w:rPr>
                <w:rFonts w:hint="eastAsia"/>
                <w:b/>
                <w:color w:val="auto"/>
                <w:sz w:val="24"/>
              </w:rPr>
              <w:t>（室内声源）</w:t>
            </w:r>
          </w:p>
          <w:tbl>
            <w:tblPr>
              <w:tblStyle w:val="26"/>
              <w:tblW w:w="878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345"/>
              <w:gridCol w:w="651"/>
              <w:gridCol w:w="1056"/>
              <w:gridCol w:w="877"/>
              <w:gridCol w:w="729"/>
              <w:gridCol w:w="843"/>
              <w:gridCol w:w="629"/>
              <w:gridCol w:w="708"/>
              <w:gridCol w:w="759"/>
              <w:gridCol w:w="487"/>
              <w:gridCol w:w="699"/>
            </w:tblGrid>
            <w:tr w14:paraId="11CE7C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66" w:type="pct"/>
                  <w:vMerge w:val="restart"/>
                  <w:shd w:val="clear" w:color="auto" w:fill="auto"/>
                  <w:noWrap w:val="0"/>
                  <w:vAlign w:val="center"/>
                </w:tcPr>
                <w:p w14:paraId="4542961A">
                  <w:pPr>
                    <w:jc w:val="center"/>
                    <w:rPr>
                      <w:rFonts w:ascii="Times New Roman" w:hAnsi="Times New Roman" w:eastAsia="宋体" w:cs="Times New Roman"/>
                      <w:b/>
                      <w:bCs/>
                      <w:color w:val="auto"/>
                      <w:kern w:val="2"/>
                      <w:sz w:val="21"/>
                      <w:szCs w:val="21"/>
                      <w:lang w:val="en-US" w:eastAsia="zh-CN" w:bidi="ar-SA"/>
                    </w:rPr>
                  </w:pPr>
                  <w:r>
                    <w:rPr>
                      <w:b/>
                      <w:bCs/>
                      <w:color w:val="auto"/>
                      <w:szCs w:val="21"/>
                    </w:rPr>
                    <w:t>声源</w:t>
                  </w:r>
                  <w:r>
                    <w:rPr>
                      <w:rFonts w:hint="eastAsia"/>
                      <w:b/>
                      <w:bCs/>
                      <w:color w:val="auto"/>
                      <w:szCs w:val="21"/>
                    </w:rPr>
                    <w:t>名称</w:t>
                  </w:r>
                </w:p>
              </w:tc>
              <w:tc>
                <w:tcPr>
                  <w:tcW w:w="371" w:type="pct"/>
                  <w:vMerge w:val="restart"/>
                  <w:shd w:val="clear" w:color="auto" w:fill="auto"/>
                  <w:noWrap w:val="0"/>
                  <w:vAlign w:val="center"/>
                </w:tcPr>
                <w:p w14:paraId="7D71EE13">
                  <w:pPr>
                    <w:adjustRightInd w:val="0"/>
                    <w:snapToGrid w:val="0"/>
                    <w:jc w:val="center"/>
                    <w:rPr>
                      <w:rFonts w:ascii="Times New Roman" w:hAnsi="Times New Roman" w:eastAsia="Times New Roman" w:cs="Times New Roman"/>
                      <w:b/>
                      <w:bCs/>
                      <w:color w:val="auto"/>
                      <w:kern w:val="2"/>
                      <w:sz w:val="21"/>
                      <w:szCs w:val="21"/>
                      <w:lang w:val="zh-CN" w:eastAsia="zh-CN" w:bidi="zh-CN"/>
                    </w:rPr>
                  </w:pPr>
                  <w:r>
                    <w:rPr>
                      <w:rFonts w:eastAsia="Times New Roman"/>
                      <w:b/>
                      <w:bCs/>
                      <w:color w:val="auto"/>
                      <w:szCs w:val="21"/>
                      <w:lang w:val="zh-CN" w:bidi="zh-CN"/>
                    </w:rPr>
                    <w:t>数量</w:t>
                  </w:r>
                </w:p>
              </w:tc>
              <w:tc>
                <w:tcPr>
                  <w:tcW w:w="601" w:type="pct"/>
                  <w:vMerge w:val="restart"/>
                  <w:shd w:val="clear" w:color="auto" w:fill="auto"/>
                  <w:noWrap w:val="0"/>
                  <w:vAlign w:val="center"/>
                </w:tcPr>
                <w:p w14:paraId="09FDEC6D">
                  <w:pPr>
                    <w:jc w:val="center"/>
                    <w:rPr>
                      <w:rFonts w:hint="eastAsia" w:ascii="Times New Roman" w:hAnsi="Times New Roman" w:eastAsia="宋体" w:cs="Times New Roman"/>
                      <w:b/>
                      <w:bCs/>
                      <w:color w:val="auto"/>
                      <w:kern w:val="2"/>
                      <w:sz w:val="21"/>
                      <w:szCs w:val="21"/>
                      <w:lang w:val="en-US" w:eastAsia="zh-CN" w:bidi="ar-SA"/>
                    </w:rPr>
                  </w:pPr>
                  <w:r>
                    <w:rPr>
                      <w:rFonts w:hint="eastAsia"/>
                      <w:b/>
                      <w:bCs/>
                      <w:color w:val="auto"/>
                      <w:szCs w:val="21"/>
                    </w:rPr>
                    <w:t>单台设备声源源强</w:t>
                  </w:r>
                  <w:r>
                    <w:rPr>
                      <w:b/>
                      <w:bCs/>
                      <w:color w:val="auto"/>
                      <w:szCs w:val="21"/>
                    </w:rPr>
                    <w:t>dB（A）</w:t>
                  </w:r>
                </w:p>
              </w:tc>
              <w:tc>
                <w:tcPr>
                  <w:tcW w:w="1394" w:type="pct"/>
                  <w:gridSpan w:val="3"/>
                  <w:noWrap w:val="0"/>
                  <w:vAlign w:val="center"/>
                </w:tcPr>
                <w:p w14:paraId="00CDF506">
                  <w:pPr>
                    <w:jc w:val="center"/>
                    <w:rPr>
                      <w:rFonts w:hint="eastAsia"/>
                      <w:b/>
                      <w:bCs/>
                      <w:color w:val="auto"/>
                      <w:szCs w:val="21"/>
                    </w:rPr>
                  </w:pPr>
                  <w:r>
                    <w:rPr>
                      <w:rFonts w:hint="eastAsia"/>
                      <w:b/>
                      <w:bCs/>
                      <w:color w:val="auto"/>
                      <w:szCs w:val="21"/>
                      <w:lang w:val="en-US" w:eastAsia="zh-CN"/>
                    </w:rPr>
                    <w:t>降噪措施</w:t>
                  </w:r>
                </w:p>
              </w:tc>
              <w:tc>
                <w:tcPr>
                  <w:tcW w:w="1193" w:type="pct"/>
                  <w:gridSpan w:val="3"/>
                  <w:vMerge w:val="restart"/>
                  <w:noWrap w:val="0"/>
                  <w:vAlign w:val="center"/>
                </w:tcPr>
                <w:p w14:paraId="749284C0">
                  <w:pPr>
                    <w:jc w:val="center"/>
                    <w:rPr>
                      <w:rFonts w:hint="eastAsia"/>
                      <w:b/>
                      <w:bCs/>
                      <w:color w:val="auto"/>
                      <w:szCs w:val="21"/>
                    </w:rPr>
                  </w:pPr>
                  <w:r>
                    <w:rPr>
                      <w:rFonts w:hint="eastAsia"/>
                      <w:b/>
                      <w:bCs/>
                      <w:color w:val="auto"/>
                      <w:szCs w:val="21"/>
                    </w:rPr>
                    <w:t>空间相对位置/m</w:t>
                  </w:r>
                </w:p>
              </w:tc>
              <w:tc>
                <w:tcPr>
                  <w:tcW w:w="277" w:type="pct"/>
                  <w:vMerge w:val="restart"/>
                  <w:shd w:val="clear" w:color="auto" w:fill="auto"/>
                  <w:noWrap w:val="0"/>
                  <w:vAlign w:val="center"/>
                </w:tcPr>
                <w:p w14:paraId="0155D7BD">
                  <w:pPr>
                    <w:adjustRightInd w:val="0"/>
                    <w:snapToGrid w:val="0"/>
                    <w:jc w:val="center"/>
                    <w:rPr>
                      <w:rFonts w:ascii="Times New Roman" w:hAnsi="Times New Roman" w:eastAsia="宋体" w:cs="Times New Roman"/>
                      <w:b/>
                      <w:bCs/>
                      <w:color w:val="auto"/>
                      <w:kern w:val="2"/>
                      <w:sz w:val="21"/>
                      <w:szCs w:val="21"/>
                      <w:lang w:val="zh-CN" w:eastAsia="zh-CN" w:bidi="zh-CN"/>
                    </w:rPr>
                  </w:pPr>
                  <w:r>
                    <w:rPr>
                      <w:rFonts w:eastAsia="Times New Roman"/>
                      <w:b/>
                      <w:bCs/>
                      <w:color w:val="auto"/>
                      <w:szCs w:val="21"/>
                      <w:lang w:bidi="zh-CN"/>
                    </w:rPr>
                    <w:t>运行时</w:t>
                  </w:r>
                  <w:r>
                    <w:rPr>
                      <w:rFonts w:hint="eastAsia" w:eastAsia="Times New Roman"/>
                      <w:b/>
                      <w:bCs/>
                      <w:color w:val="auto"/>
                      <w:szCs w:val="21"/>
                      <w:lang w:bidi="zh-CN"/>
                    </w:rPr>
                    <w:t>段</w:t>
                  </w:r>
                </w:p>
              </w:tc>
              <w:tc>
                <w:tcPr>
                  <w:tcW w:w="396" w:type="pct"/>
                  <w:vMerge w:val="restart"/>
                  <w:shd w:val="clear" w:color="auto" w:fill="auto"/>
                  <w:noWrap w:val="0"/>
                  <w:vAlign w:val="center"/>
                </w:tcPr>
                <w:p w14:paraId="763B7218">
                  <w:pPr>
                    <w:adjustRightInd w:val="0"/>
                    <w:snapToGrid w:val="0"/>
                    <w:jc w:val="center"/>
                    <w:rPr>
                      <w:rFonts w:ascii="Times New Roman" w:hAnsi="Times New Roman" w:eastAsia="Times New Roman" w:cs="Times New Roman"/>
                      <w:b/>
                      <w:bCs/>
                      <w:color w:val="auto"/>
                      <w:kern w:val="2"/>
                      <w:sz w:val="21"/>
                      <w:szCs w:val="21"/>
                      <w:lang w:val="zh-CN" w:eastAsia="zh-CN" w:bidi="zh-CN"/>
                    </w:rPr>
                  </w:pPr>
                  <w:r>
                    <w:rPr>
                      <w:b/>
                      <w:bCs/>
                      <w:color w:val="auto"/>
                      <w:szCs w:val="21"/>
                      <w:lang w:val="zh-CN" w:bidi="zh-CN"/>
                    </w:rPr>
                    <w:t>建筑物插入损失/dB(A)</w:t>
                  </w:r>
                </w:p>
              </w:tc>
            </w:tr>
            <w:tr w14:paraId="08699A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66" w:type="pct"/>
                  <w:vMerge w:val="continue"/>
                  <w:noWrap w:val="0"/>
                  <w:vAlign w:val="center"/>
                </w:tcPr>
                <w:p w14:paraId="414C7E02">
                  <w:pPr>
                    <w:jc w:val="center"/>
                    <w:rPr>
                      <w:b/>
                      <w:bCs/>
                      <w:color w:val="auto"/>
                      <w:szCs w:val="21"/>
                    </w:rPr>
                  </w:pPr>
                </w:p>
              </w:tc>
              <w:tc>
                <w:tcPr>
                  <w:tcW w:w="371" w:type="pct"/>
                  <w:vMerge w:val="continue"/>
                  <w:noWrap w:val="0"/>
                  <w:vAlign w:val="center"/>
                </w:tcPr>
                <w:p w14:paraId="070BFB9C">
                  <w:pPr>
                    <w:adjustRightInd w:val="0"/>
                    <w:snapToGrid w:val="0"/>
                    <w:jc w:val="center"/>
                    <w:rPr>
                      <w:rFonts w:eastAsia="Times New Roman"/>
                      <w:b/>
                      <w:bCs/>
                      <w:color w:val="auto"/>
                      <w:szCs w:val="21"/>
                      <w:lang w:val="zh-CN" w:bidi="zh-CN"/>
                    </w:rPr>
                  </w:pPr>
                </w:p>
              </w:tc>
              <w:tc>
                <w:tcPr>
                  <w:tcW w:w="601" w:type="pct"/>
                  <w:vMerge w:val="continue"/>
                  <w:noWrap w:val="0"/>
                  <w:vAlign w:val="center"/>
                </w:tcPr>
                <w:p w14:paraId="7464901C">
                  <w:pPr>
                    <w:jc w:val="center"/>
                    <w:rPr>
                      <w:b/>
                      <w:bCs/>
                      <w:color w:val="auto"/>
                      <w:szCs w:val="21"/>
                    </w:rPr>
                  </w:pPr>
                </w:p>
              </w:tc>
              <w:tc>
                <w:tcPr>
                  <w:tcW w:w="499" w:type="pct"/>
                  <w:vMerge w:val="restart"/>
                  <w:noWrap w:val="0"/>
                  <w:vAlign w:val="center"/>
                </w:tcPr>
                <w:p w14:paraId="43D1488C">
                  <w:pPr>
                    <w:jc w:val="center"/>
                    <w:rPr>
                      <w:b/>
                      <w:bCs/>
                      <w:color w:val="auto"/>
                      <w:szCs w:val="21"/>
                    </w:rPr>
                  </w:pPr>
                  <w:r>
                    <w:rPr>
                      <w:rFonts w:hint="eastAsia"/>
                      <w:b/>
                      <w:bCs/>
                      <w:color w:val="auto"/>
                      <w:szCs w:val="21"/>
                    </w:rPr>
                    <w:t>声源控制</w:t>
                  </w:r>
                  <w:r>
                    <w:rPr>
                      <w:b/>
                      <w:bCs/>
                      <w:color w:val="auto"/>
                      <w:szCs w:val="21"/>
                    </w:rPr>
                    <w:t>措施</w:t>
                  </w:r>
                </w:p>
              </w:tc>
              <w:tc>
                <w:tcPr>
                  <w:tcW w:w="415" w:type="pct"/>
                  <w:vMerge w:val="restart"/>
                  <w:noWrap w:val="0"/>
                  <w:vAlign w:val="center"/>
                </w:tcPr>
                <w:p w14:paraId="033AE35B">
                  <w:pPr>
                    <w:jc w:val="center"/>
                    <w:rPr>
                      <w:rFonts w:hint="default" w:eastAsia="宋体"/>
                      <w:b/>
                      <w:bCs/>
                      <w:color w:val="auto"/>
                      <w:szCs w:val="21"/>
                      <w:lang w:val="en-US" w:eastAsia="zh-CN"/>
                    </w:rPr>
                  </w:pPr>
                  <w:r>
                    <w:rPr>
                      <w:rFonts w:hint="eastAsia"/>
                      <w:b/>
                      <w:bCs/>
                      <w:color w:val="auto"/>
                      <w:szCs w:val="21"/>
                      <w:lang w:val="en-US" w:eastAsia="zh-CN"/>
                    </w:rPr>
                    <w:t>降噪效果</w:t>
                  </w:r>
                </w:p>
              </w:tc>
              <w:tc>
                <w:tcPr>
                  <w:tcW w:w="479" w:type="pct"/>
                  <w:vMerge w:val="restart"/>
                  <w:noWrap w:val="0"/>
                  <w:vAlign w:val="center"/>
                </w:tcPr>
                <w:p w14:paraId="1150561D">
                  <w:pPr>
                    <w:jc w:val="center"/>
                    <w:rPr>
                      <w:rFonts w:hint="eastAsia"/>
                      <w:b/>
                      <w:bCs/>
                      <w:color w:val="auto"/>
                      <w:szCs w:val="21"/>
                    </w:rPr>
                  </w:pPr>
                  <w:r>
                    <w:rPr>
                      <w:rFonts w:hint="eastAsia"/>
                      <w:b/>
                      <w:bCs/>
                      <w:color w:val="auto"/>
                      <w:szCs w:val="21"/>
                    </w:rPr>
                    <w:t>降噪后声源源强</w:t>
                  </w:r>
                  <w:r>
                    <w:rPr>
                      <w:b/>
                      <w:bCs/>
                      <w:color w:val="auto"/>
                      <w:szCs w:val="21"/>
                    </w:rPr>
                    <w:t>dB（A）</w:t>
                  </w:r>
                </w:p>
              </w:tc>
              <w:tc>
                <w:tcPr>
                  <w:tcW w:w="1193" w:type="pct"/>
                  <w:gridSpan w:val="3"/>
                  <w:vMerge w:val="continue"/>
                  <w:noWrap w:val="0"/>
                  <w:vAlign w:val="center"/>
                </w:tcPr>
                <w:p w14:paraId="69F211B4">
                  <w:pPr>
                    <w:jc w:val="center"/>
                    <w:rPr>
                      <w:rFonts w:hint="eastAsia"/>
                      <w:b/>
                      <w:bCs/>
                      <w:color w:val="auto"/>
                      <w:szCs w:val="21"/>
                    </w:rPr>
                  </w:pPr>
                </w:p>
              </w:tc>
              <w:tc>
                <w:tcPr>
                  <w:tcW w:w="277" w:type="pct"/>
                  <w:vMerge w:val="continue"/>
                  <w:noWrap w:val="0"/>
                  <w:vAlign w:val="center"/>
                </w:tcPr>
                <w:p w14:paraId="35F4CEAE">
                  <w:pPr>
                    <w:adjustRightInd w:val="0"/>
                    <w:snapToGrid w:val="0"/>
                    <w:jc w:val="center"/>
                    <w:rPr>
                      <w:b/>
                      <w:bCs/>
                      <w:color w:val="auto"/>
                      <w:szCs w:val="21"/>
                      <w:lang w:val="zh-CN" w:bidi="zh-CN"/>
                    </w:rPr>
                  </w:pPr>
                </w:p>
              </w:tc>
              <w:tc>
                <w:tcPr>
                  <w:tcW w:w="396" w:type="pct"/>
                  <w:vMerge w:val="continue"/>
                  <w:noWrap w:val="0"/>
                  <w:vAlign w:val="center"/>
                </w:tcPr>
                <w:p w14:paraId="7434A71F">
                  <w:pPr>
                    <w:adjustRightInd w:val="0"/>
                    <w:snapToGrid w:val="0"/>
                    <w:jc w:val="center"/>
                    <w:rPr>
                      <w:rFonts w:eastAsia="Times New Roman"/>
                      <w:b/>
                      <w:bCs/>
                      <w:color w:val="auto"/>
                      <w:szCs w:val="21"/>
                      <w:lang w:bidi="zh-CN"/>
                    </w:rPr>
                  </w:pPr>
                </w:p>
              </w:tc>
            </w:tr>
            <w:tr w14:paraId="7E6BC1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66" w:type="pct"/>
                  <w:vMerge w:val="continue"/>
                  <w:noWrap w:val="0"/>
                  <w:vAlign w:val="center"/>
                </w:tcPr>
                <w:p w14:paraId="7262B9AB">
                  <w:pPr>
                    <w:adjustRightInd w:val="0"/>
                    <w:snapToGrid w:val="0"/>
                    <w:jc w:val="center"/>
                    <w:rPr>
                      <w:rFonts w:eastAsia="Times New Roman"/>
                      <w:color w:val="auto"/>
                      <w:szCs w:val="21"/>
                      <w:lang w:val="zh-CN" w:bidi="zh-CN"/>
                    </w:rPr>
                  </w:pPr>
                </w:p>
              </w:tc>
              <w:tc>
                <w:tcPr>
                  <w:tcW w:w="371" w:type="pct"/>
                  <w:vMerge w:val="continue"/>
                  <w:noWrap w:val="0"/>
                  <w:vAlign w:val="center"/>
                </w:tcPr>
                <w:p w14:paraId="6578CAE5">
                  <w:pPr>
                    <w:adjustRightInd w:val="0"/>
                    <w:snapToGrid w:val="0"/>
                    <w:jc w:val="center"/>
                    <w:rPr>
                      <w:rFonts w:eastAsia="Times New Roman"/>
                      <w:color w:val="auto"/>
                      <w:szCs w:val="21"/>
                      <w:lang w:val="zh-CN" w:bidi="zh-CN"/>
                    </w:rPr>
                  </w:pPr>
                </w:p>
              </w:tc>
              <w:tc>
                <w:tcPr>
                  <w:tcW w:w="601" w:type="pct"/>
                  <w:vMerge w:val="continue"/>
                  <w:noWrap w:val="0"/>
                  <w:vAlign w:val="center"/>
                </w:tcPr>
                <w:p w14:paraId="223A1589">
                  <w:pPr>
                    <w:jc w:val="center"/>
                    <w:rPr>
                      <w:rFonts w:eastAsia="Times New Roman"/>
                      <w:color w:val="auto"/>
                      <w:szCs w:val="21"/>
                      <w:lang w:bidi="zh-CN"/>
                    </w:rPr>
                  </w:pPr>
                </w:p>
              </w:tc>
              <w:tc>
                <w:tcPr>
                  <w:tcW w:w="499" w:type="pct"/>
                  <w:vMerge w:val="continue"/>
                  <w:noWrap w:val="0"/>
                  <w:vAlign w:val="center"/>
                </w:tcPr>
                <w:p w14:paraId="563120F0">
                  <w:pPr>
                    <w:adjustRightInd w:val="0"/>
                    <w:snapToGrid w:val="0"/>
                    <w:jc w:val="center"/>
                    <w:rPr>
                      <w:rFonts w:eastAsia="Times New Roman"/>
                      <w:color w:val="auto"/>
                      <w:szCs w:val="21"/>
                      <w:lang w:bidi="zh-CN"/>
                    </w:rPr>
                  </w:pPr>
                </w:p>
              </w:tc>
              <w:tc>
                <w:tcPr>
                  <w:tcW w:w="415" w:type="pct"/>
                  <w:vMerge w:val="continue"/>
                  <w:noWrap w:val="0"/>
                  <w:vAlign w:val="center"/>
                </w:tcPr>
                <w:p w14:paraId="3EBB315F">
                  <w:pPr>
                    <w:adjustRightInd w:val="0"/>
                    <w:snapToGrid w:val="0"/>
                    <w:jc w:val="center"/>
                    <w:rPr>
                      <w:rFonts w:eastAsia="Times New Roman"/>
                      <w:color w:val="auto"/>
                      <w:szCs w:val="21"/>
                      <w:lang w:bidi="zh-CN"/>
                    </w:rPr>
                  </w:pPr>
                </w:p>
              </w:tc>
              <w:tc>
                <w:tcPr>
                  <w:tcW w:w="479" w:type="pct"/>
                  <w:vMerge w:val="continue"/>
                  <w:noWrap w:val="0"/>
                  <w:vAlign w:val="center"/>
                </w:tcPr>
                <w:p w14:paraId="34606D2D">
                  <w:pPr>
                    <w:adjustRightInd w:val="0"/>
                    <w:snapToGrid w:val="0"/>
                    <w:jc w:val="center"/>
                    <w:rPr>
                      <w:rFonts w:eastAsia="Times New Roman"/>
                      <w:color w:val="auto"/>
                      <w:szCs w:val="21"/>
                      <w:lang w:bidi="zh-CN"/>
                    </w:rPr>
                  </w:pPr>
                </w:p>
              </w:tc>
              <w:tc>
                <w:tcPr>
                  <w:tcW w:w="358" w:type="pct"/>
                  <w:noWrap w:val="0"/>
                  <w:vAlign w:val="center"/>
                </w:tcPr>
                <w:p w14:paraId="7B3DBDA8">
                  <w:pPr>
                    <w:adjustRightInd w:val="0"/>
                    <w:snapToGrid w:val="0"/>
                    <w:jc w:val="center"/>
                    <w:rPr>
                      <w:rFonts w:eastAsia="Times New Roman"/>
                      <w:b/>
                      <w:bCs/>
                      <w:color w:val="auto"/>
                      <w:szCs w:val="21"/>
                      <w:lang w:bidi="zh-CN"/>
                    </w:rPr>
                  </w:pPr>
                  <w:r>
                    <w:rPr>
                      <w:rFonts w:hint="eastAsia" w:eastAsia="Times New Roman"/>
                      <w:b/>
                      <w:bCs/>
                      <w:color w:val="auto"/>
                      <w:szCs w:val="21"/>
                      <w:lang w:bidi="zh-CN"/>
                    </w:rPr>
                    <w:t>X</w:t>
                  </w:r>
                </w:p>
              </w:tc>
              <w:tc>
                <w:tcPr>
                  <w:tcW w:w="403" w:type="pct"/>
                  <w:noWrap w:val="0"/>
                  <w:vAlign w:val="center"/>
                </w:tcPr>
                <w:p w14:paraId="64C3F8E7">
                  <w:pPr>
                    <w:adjustRightInd w:val="0"/>
                    <w:snapToGrid w:val="0"/>
                    <w:jc w:val="center"/>
                    <w:rPr>
                      <w:rFonts w:eastAsia="Times New Roman"/>
                      <w:b/>
                      <w:bCs/>
                      <w:color w:val="auto"/>
                      <w:szCs w:val="21"/>
                      <w:lang w:bidi="zh-CN"/>
                    </w:rPr>
                  </w:pPr>
                  <w:r>
                    <w:rPr>
                      <w:rFonts w:hint="eastAsia" w:eastAsia="Times New Roman"/>
                      <w:b/>
                      <w:bCs/>
                      <w:color w:val="auto"/>
                      <w:szCs w:val="21"/>
                      <w:lang w:bidi="zh-CN"/>
                    </w:rPr>
                    <w:t>Y</w:t>
                  </w:r>
                </w:p>
              </w:tc>
              <w:tc>
                <w:tcPr>
                  <w:tcW w:w="432" w:type="pct"/>
                  <w:noWrap w:val="0"/>
                  <w:vAlign w:val="center"/>
                </w:tcPr>
                <w:p w14:paraId="6FA57E5F">
                  <w:pPr>
                    <w:adjustRightInd w:val="0"/>
                    <w:snapToGrid w:val="0"/>
                    <w:jc w:val="center"/>
                    <w:rPr>
                      <w:rFonts w:eastAsia="Times New Roman"/>
                      <w:b/>
                      <w:bCs/>
                      <w:color w:val="auto"/>
                      <w:szCs w:val="21"/>
                      <w:lang w:bidi="zh-CN"/>
                    </w:rPr>
                  </w:pPr>
                  <w:r>
                    <w:rPr>
                      <w:rFonts w:hint="eastAsia" w:eastAsia="Times New Roman"/>
                      <w:b/>
                      <w:bCs/>
                      <w:color w:val="auto"/>
                      <w:szCs w:val="21"/>
                      <w:lang w:bidi="zh-CN"/>
                    </w:rPr>
                    <w:t>Z</w:t>
                  </w:r>
                </w:p>
              </w:tc>
              <w:tc>
                <w:tcPr>
                  <w:tcW w:w="277" w:type="pct"/>
                  <w:vMerge w:val="continue"/>
                  <w:noWrap w:val="0"/>
                  <w:vAlign w:val="center"/>
                </w:tcPr>
                <w:p w14:paraId="0B8D6C21">
                  <w:pPr>
                    <w:adjustRightInd w:val="0"/>
                    <w:snapToGrid w:val="0"/>
                    <w:jc w:val="center"/>
                    <w:rPr>
                      <w:rFonts w:eastAsia="Times New Roman"/>
                      <w:color w:val="auto"/>
                      <w:szCs w:val="21"/>
                      <w:lang w:bidi="zh-CN"/>
                    </w:rPr>
                  </w:pPr>
                </w:p>
              </w:tc>
              <w:tc>
                <w:tcPr>
                  <w:tcW w:w="396" w:type="pct"/>
                  <w:vMerge w:val="continue"/>
                  <w:noWrap w:val="0"/>
                  <w:vAlign w:val="center"/>
                </w:tcPr>
                <w:p w14:paraId="656C30B5">
                  <w:pPr>
                    <w:adjustRightInd w:val="0"/>
                    <w:snapToGrid w:val="0"/>
                    <w:jc w:val="center"/>
                    <w:rPr>
                      <w:rFonts w:eastAsia="Times New Roman"/>
                      <w:color w:val="auto"/>
                      <w:szCs w:val="21"/>
                      <w:lang w:bidi="zh-CN"/>
                    </w:rPr>
                  </w:pPr>
                </w:p>
              </w:tc>
            </w:tr>
            <w:tr w14:paraId="2F592A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5" w:hRule="atLeast"/>
                <w:jc w:val="center"/>
              </w:trPr>
              <w:tc>
                <w:tcPr>
                  <w:tcW w:w="766" w:type="pct"/>
                  <w:vMerge w:val="restart"/>
                  <w:noWrap w:val="0"/>
                  <w:vAlign w:val="center"/>
                </w:tcPr>
                <w:p w14:paraId="2270A798">
                  <w:pPr>
                    <w:pStyle w:val="16"/>
                    <w:jc w:val="center"/>
                    <w:rPr>
                      <w:rFonts w:hint="eastAsia" w:eastAsia="宋体"/>
                      <w:color w:val="auto"/>
                      <w:kern w:val="2"/>
                      <w:sz w:val="21"/>
                      <w:szCs w:val="21"/>
                      <w:lang w:val="en-US" w:eastAsia="zh-CN"/>
                    </w:rPr>
                  </w:pPr>
                  <w:r>
                    <w:rPr>
                      <w:rFonts w:hint="eastAsia"/>
                      <w:color w:val="auto"/>
                      <w:kern w:val="2"/>
                      <w:sz w:val="21"/>
                      <w:szCs w:val="21"/>
                      <w:lang w:val="en-US" w:eastAsia="zh-CN"/>
                    </w:rPr>
                    <w:t>注塑机</w:t>
                  </w:r>
                </w:p>
              </w:tc>
              <w:tc>
                <w:tcPr>
                  <w:tcW w:w="371" w:type="pct"/>
                  <w:vMerge w:val="restart"/>
                  <w:noWrap w:val="0"/>
                  <w:vAlign w:val="center"/>
                </w:tcPr>
                <w:p w14:paraId="1A15D448">
                  <w:pPr>
                    <w:pStyle w:val="59"/>
                    <w:spacing w:before="48" w:after="48"/>
                    <w:rPr>
                      <w:rFonts w:hint="eastAsia" w:ascii="Times New Roman" w:hAnsi="Times New Roman" w:eastAsia="宋体"/>
                      <w:color w:val="auto"/>
                      <w:szCs w:val="21"/>
                      <w:lang w:val="en-US" w:eastAsia="zh-CN"/>
                    </w:rPr>
                  </w:pPr>
                  <w:r>
                    <w:rPr>
                      <w:rFonts w:hint="eastAsia" w:ascii="Times New Roman" w:hAnsi="Times New Roman"/>
                      <w:color w:val="auto"/>
                      <w:szCs w:val="21"/>
                      <w:lang w:val="en-US" w:eastAsia="zh-CN"/>
                    </w:rPr>
                    <w:t>8</w:t>
                  </w:r>
                </w:p>
              </w:tc>
              <w:tc>
                <w:tcPr>
                  <w:tcW w:w="601" w:type="pct"/>
                  <w:noWrap w:val="0"/>
                  <w:vAlign w:val="center"/>
                </w:tcPr>
                <w:p w14:paraId="7A78AC23">
                  <w:pPr>
                    <w:pStyle w:val="59"/>
                    <w:spacing w:before="48" w:after="48"/>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70</w:t>
                  </w:r>
                </w:p>
              </w:tc>
              <w:tc>
                <w:tcPr>
                  <w:tcW w:w="499" w:type="pct"/>
                  <w:vMerge w:val="restart"/>
                  <w:noWrap w:val="0"/>
                  <w:vAlign w:val="center"/>
                </w:tcPr>
                <w:p w14:paraId="065A6634">
                  <w:pPr>
                    <w:jc w:val="center"/>
                    <w:rPr>
                      <w:color w:val="auto"/>
                      <w:szCs w:val="21"/>
                    </w:rPr>
                  </w:pPr>
                  <w:r>
                    <w:rPr>
                      <w:rFonts w:hint="eastAsia"/>
                      <w:color w:val="auto"/>
                      <w:sz w:val="21"/>
                      <w:szCs w:val="21"/>
                      <w:lang w:val="en-US" w:eastAsia="zh-CN"/>
                    </w:rPr>
                    <w:t>设备均</w:t>
                  </w:r>
                  <w:r>
                    <w:rPr>
                      <w:rFonts w:hint="eastAsia"/>
                      <w:color w:val="auto"/>
                      <w:sz w:val="21"/>
                      <w:szCs w:val="21"/>
                    </w:rPr>
                    <w:t>选用低噪声设备，</w:t>
                  </w:r>
                  <w:r>
                    <w:rPr>
                      <w:rFonts w:hint="eastAsia"/>
                      <w:color w:val="auto"/>
                      <w:sz w:val="21"/>
                      <w:szCs w:val="21"/>
                      <w:lang w:val="en-US" w:eastAsia="zh-CN"/>
                    </w:rPr>
                    <w:t>除尘器风机等</w:t>
                  </w:r>
                  <w:r>
                    <w:rPr>
                      <w:rFonts w:hint="eastAsia"/>
                      <w:color w:val="auto"/>
                      <w:sz w:val="21"/>
                      <w:szCs w:val="21"/>
                    </w:rPr>
                    <w:t>采取基础减振，设备设置</w:t>
                  </w:r>
                  <w:r>
                    <w:rPr>
                      <w:rFonts w:hint="eastAsia"/>
                      <w:color w:val="auto"/>
                      <w:sz w:val="21"/>
                      <w:szCs w:val="21"/>
                      <w:lang w:val="en-US" w:eastAsia="zh-CN"/>
                    </w:rPr>
                    <w:t>车间</w:t>
                  </w:r>
                  <w:r>
                    <w:rPr>
                      <w:rFonts w:hint="eastAsia"/>
                      <w:color w:val="auto"/>
                      <w:sz w:val="21"/>
                      <w:szCs w:val="21"/>
                    </w:rPr>
                    <w:t>房内，采用隔声及合理布局</w:t>
                  </w:r>
                  <w:r>
                    <w:rPr>
                      <w:rFonts w:hint="eastAsia"/>
                      <w:color w:val="auto"/>
                      <w:sz w:val="21"/>
                      <w:szCs w:val="21"/>
                      <w:lang w:eastAsia="zh-CN"/>
                    </w:rPr>
                    <w:t>，</w:t>
                  </w:r>
                  <w:r>
                    <w:rPr>
                      <w:rFonts w:hint="eastAsia"/>
                      <w:color w:val="auto"/>
                      <w:szCs w:val="21"/>
                    </w:rPr>
                    <w:t>加强设备保养</w:t>
                  </w:r>
                  <w:r>
                    <w:rPr>
                      <w:rFonts w:hint="eastAsia"/>
                      <w:color w:val="auto"/>
                      <w:sz w:val="21"/>
                      <w:szCs w:val="21"/>
                    </w:rPr>
                    <w:t>等措施降噪</w:t>
                  </w:r>
                </w:p>
              </w:tc>
              <w:tc>
                <w:tcPr>
                  <w:tcW w:w="415" w:type="pct"/>
                  <w:shd w:val="clear" w:color="auto" w:fill="auto"/>
                  <w:noWrap w:val="0"/>
                  <w:vAlign w:val="center"/>
                </w:tcPr>
                <w:p w14:paraId="3F09B001">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2A68D379">
                  <w:pPr>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62</w:t>
                  </w:r>
                </w:p>
              </w:tc>
              <w:tc>
                <w:tcPr>
                  <w:tcW w:w="358" w:type="pct"/>
                  <w:shd w:val="clear" w:color="auto" w:fill="auto"/>
                  <w:noWrap w:val="0"/>
                  <w:vAlign w:val="center"/>
                </w:tcPr>
                <w:p w14:paraId="6DE8280C">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66.52</w:t>
                  </w:r>
                </w:p>
              </w:tc>
              <w:tc>
                <w:tcPr>
                  <w:tcW w:w="403" w:type="pct"/>
                  <w:shd w:val="clear" w:color="auto" w:fill="auto"/>
                  <w:noWrap w:val="0"/>
                  <w:vAlign w:val="center"/>
                </w:tcPr>
                <w:p w14:paraId="45E0B0C7">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11.27</w:t>
                  </w:r>
                </w:p>
              </w:tc>
              <w:tc>
                <w:tcPr>
                  <w:tcW w:w="432" w:type="pct"/>
                  <w:noWrap w:val="0"/>
                  <w:vAlign w:val="center"/>
                </w:tcPr>
                <w:p w14:paraId="4C892797">
                  <w:pPr>
                    <w:jc w:val="center"/>
                    <w:rPr>
                      <w:color w:val="auto"/>
                      <w:szCs w:val="21"/>
                    </w:rPr>
                  </w:pPr>
                  <w:r>
                    <w:rPr>
                      <w:rFonts w:hint="eastAsia"/>
                      <w:color w:val="auto"/>
                      <w:szCs w:val="21"/>
                    </w:rPr>
                    <w:t>1</w:t>
                  </w:r>
                </w:p>
              </w:tc>
              <w:tc>
                <w:tcPr>
                  <w:tcW w:w="277" w:type="pct"/>
                  <w:vMerge w:val="restart"/>
                  <w:noWrap w:val="0"/>
                  <w:vAlign w:val="center"/>
                </w:tcPr>
                <w:p w14:paraId="6A933DEC">
                  <w:pPr>
                    <w:jc w:val="center"/>
                    <w:rPr>
                      <w:rFonts w:hint="eastAsia" w:eastAsia="宋体"/>
                      <w:color w:val="auto"/>
                      <w:szCs w:val="21"/>
                      <w:lang w:eastAsia="zh-CN"/>
                    </w:rPr>
                  </w:pPr>
                  <w:r>
                    <w:rPr>
                      <w:rFonts w:hint="eastAsia"/>
                      <w:color w:val="auto"/>
                      <w:szCs w:val="21"/>
                      <w:lang w:val="en-US" w:eastAsia="zh-CN"/>
                    </w:rPr>
                    <w:t>全天</w:t>
                  </w:r>
                </w:p>
              </w:tc>
              <w:tc>
                <w:tcPr>
                  <w:tcW w:w="396" w:type="pct"/>
                  <w:vMerge w:val="restart"/>
                  <w:noWrap w:val="0"/>
                  <w:vAlign w:val="center"/>
                </w:tcPr>
                <w:p w14:paraId="4F38E844">
                  <w:pPr>
                    <w:jc w:val="center"/>
                    <w:rPr>
                      <w:rFonts w:hint="eastAsia" w:eastAsia="宋体"/>
                      <w:color w:val="auto"/>
                      <w:szCs w:val="21"/>
                      <w:lang w:eastAsia="zh-CN"/>
                    </w:rPr>
                  </w:pPr>
                  <w:r>
                    <w:rPr>
                      <w:rFonts w:hint="eastAsia"/>
                      <w:color w:val="auto"/>
                      <w:szCs w:val="21"/>
                    </w:rPr>
                    <w:t>2</w:t>
                  </w:r>
                  <w:r>
                    <w:rPr>
                      <w:rFonts w:hint="eastAsia"/>
                      <w:color w:val="auto"/>
                      <w:szCs w:val="21"/>
                      <w:lang w:val="en-US" w:eastAsia="zh-CN"/>
                    </w:rPr>
                    <w:t>0</w:t>
                  </w:r>
                </w:p>
              </w:tc>
            </w:tr>
            <w:tr w14:paraId="67509C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66" w:type="pct"/>
                  <w:vMerge w:val="continue"/>
                  <w:noWrap w:val="0"/>
                  <w:vAlign w:val="center"/>
                </w:tcPr>
                <w:p w14:paraId="589E15CF">
                  <w:pPr>
                    <w:pStyle w:val="16"/>
                    <w:jc w:val="center"/>
                    <w:rPr>
                      <w:rFonts w:hint="eastAsia"/>
                      <w:color w:val="auto"/>
                      <w:kern w:val="2"/>
                      <w:sz w:val="21"/>
                      <w:szCs w:val="21"/>
                      <w:lang w:val="en-US" w:eastAsia="zh-CN"/>
                    </w:rPr>
                  </w:pPr>
                </w:p>
              </w:tc>
              <w:tc>
                <w:tcPr>
                  <w:tcW w:w="371" w:type="pct"/>
                  <w:vMerge w:val="continue"/>
                  <w:noWrap w:val="0"/>
                  <w:vAlign w:val="center"/>
                </w:tcPr>
                <w:p w14:paraId="30C0B867">
                  <w:pPr>
                    <w:pStyle w:val="59"/>
                    <w:spacing w:before="48" w:after="48"/>
                    <w:rPr>
                      <w:rFonts w:hint="eastAsia" w:ascii="Times New Roman" w:hAnsi="Times New Roman"/>
                      <w:color w:val="auto"/>
                      <w:szCs w:val="21"/>
                      <w:lang w:val="en-US" w:eastAsia="zh-CN"/>
                    </w:rPr>
                  </w:pPr>
                </w:p>
              </w:tc>
              <w:tc>
                <w:tcPr>
                  <w:tcW w:w="601" w:type="pct"/>
                  <w:noWrap w:val="0"/>
                  <w:vAlign w:val="center"/>
                </w:tcPr>
                <w:p w14:paraId="52A7CFF9">
                  <w:pPr>
                    <w:pStyle w:val="59"/>
                    <w:spacing w:before="48" w:after="48"/>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70</w:t>
                  </w:r>
                </w:p>
              </w:tc>
              <w:tc>
                <w:tcPr>
                  <w:tcW w:w="499" w:type="pct"/>
                  <w:vMerge w:val="continue"/>
                  <w:noWrap w:val="0"/>
                  <w:vAlign w:val="center"/>
                </w:tcPr>
                <w:p w14:paraId="1A551446">
                  <w:pPr>
                    <w:jc w:val="center"/>
                    <w:rPr>
                      <w:rFonts w:hint="eastAsia"/>
                      <w:color w:val="auto"/>
                      <w:szCs w:val="21"/>
                    </w:rPr>
                  </w:pPr>
                </w:p>
              </w:tc>
              <w:tc>
                <w:tcPr>
                  <w:tcW w:w="415" w:type="pct"/>
                  <w:shd w:val="clear" w:color="auto" w:fill="auto"/>
                  <w:noWrap w:val="0"/>
                  <w:vAlign w:val="center"/>
                </w:tcPr>
                <w:p w14:paraId="7F4709FE">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1E40C7FC">
                  <w:pPr>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62</w:t>
                  </w:r>
                </w:p>
              </w:tc>
              <w:tc>
                <w:tcPr>
                  <w:tcW w:w="358" w:type="pct"/>
                  <w:shd w:val="clear" w:color="auto" w:fill="auto"/>
                  <w:noWrap w:val="0"/>
                  <w:vAlign w:val="center"/>
                </w:tcPr>
                <w:p w14:paraId="337E22A7">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65.51</w:t>
                  </w:r>
                </w:p>
              </w:tc>
              <w:tc>
                <w:tcPr>
                  <w:tcW w:w="403" w:type="pct"/>
                  <w:shd w:val="clear" w:color="auto" w:fill="auto"/>
                  <w:noWrap w:val="0"/>
                  <w:vAlign w:val="center"/>
                </w:tcPr>
                <w:p w14:paraId="7BDAB77C">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4.54</w:t>
                  </w:r>
                </w:p>
              </w:tc>
              <w:tc>
                <w:tcPr>
                  <w:tcW w:w="432" w:type="pct"/>
                  <w:noWrap w:val="0"/>
                  <w:vAlign w:val="center"/>
                </w:tcPr>
                <w:p w14:paraId="61FA21FD">
                  <w:pPr>
                    <w:jc w:val="center"/>
                    <w:rPr>
                      <w:rFonts w:hint="eastAsia" w:eastAsia="宋体"/>
                      <w:color w:val="auto"/>
                      <w:szCs w:val="21"/>
                      <w:lang w:val="en-US" w:eastAsia="zh-CN"/>
                    </w:rPr>
                  </w:pPr>
                  <w:r>
                    <w:rPr>
                      <w:rFonts w:hint="eastAsia"/>
                      <w:color w:val="auto"/>
                      <w:szCs w:val="21"/>
                      <w:lang w:val="en-US" w:eastAsia="zh-CN"/>
                    </w:rPr>
                    <w:t>1</w:t>
                  </w:r>
                </w:p>
              </w:tc>
              <w:tc>
                <w:tcPr>
                  <w:tcW w:w="277" w:type="pct"/>
                  <w:vMerge w:val="continue"/>
                  <w:noWrap w:val="0"/>
                  <w:vAlign w:val="center"/>
                </w:tcPr>
                <w:p w14:paraId="52C04DF7">
                  <w:pPr>
                    <w:jc w:val="center"/>
                    <w:rPr>
                      <w:rFonts w:hint="eastAsia"/>
                      <w:color w:val="auto"/>
                      <w:szCs w:val="21"/>
                    </w:rPr>
                  </w:pPr>
                </w:p>
              </w:tc>
              <w:tc>
                <w:tcPr>
                  <w:tcW w:w="396" w:type="pct"/>
                  <w:vMerge w:val="continue"/>
                  <w:noWrap w:val="0"/>
                  <w:vAlign w:val="center"/>
                </w:tcPr>
                <w:p w14:paraId="7D1D099B">
                  <w:pPr>
                    <w:jc w:val="center"/>
                    <w:rPr>
                      <w:rFonts w:hint="eastAsia"/>
                      <w:color w:val="auto"/>
                      <w:szCs w:val="21"/>
                    </w:rPr>
                  </w:pPr>
                </w:p>
              </w:tc>
            </w:tr>
            <w:tr w14:paraId="4366D7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66" w:type="pct"/>
                  <w:vMerge w:val="continue"/>
                  <w:noWrap w:val="0"/>
                  <w:vAlign w:val="center"/>
                </w:tcPr>
                <w:p w14:paraId="3BECCCC1">
                  <w:pPr>
                    <w:pStyle w:val="16"/>
                    <w:jc w:val="center"/>
                    <w:rPr>
                      <w:rFonts w:hint="eastAsia"/>
                      <w:color w:val="auto"/>
                      <w:kern w:val="2"/>
                      <w:sz w:val="21"/>
                      <w:szCs w:val="21"/>
                      <w:lang w:val="en-US" w:eastAsia="zh-CN"/>
                    </w:rPr>
                  </w:pPr>
                </w:p>
              </w:tc>
              <w:tc>
                <w:tcPr>
                  <w:tcW w:w="371" w:type="pct"/>
                  <w:vMerge w:val="continue"/>
                  <w:noWrap w:val="0"/>
                  <w:vAlign w:val="center"/>
                </w:tcPr>
                <w:p w14:paraId="6DE0F31A">
                  <w:pPr>
                    <w:pStyle w:val="59"/>
                    <w:spacing w:before="48" w:after="48"/>
                    <w:rPr>
                      <w:rFonts w:hint="eastAsia" w:ascii="Times New Roman" w:hAnsi="Times New Roman"/>
                      <w:color w:val="auto"/>
                      <w:szCs w:val="21"/>
                      <w:lang w:val="en-US" w:eastAsia="zh-CN"/>
                    </w:rPr>
                  </w:pPr>
                </w:p>
              </w:tc>
              <w:tc>
                <w:tcPr>
                  <w:tcW w:w="601" w:type="pct"/>
                  <w:noWrap w:val="0"/>
                  <w:vAlign w:val="center"/>
                </w:tcPr>
                <w:p w14:paraId="3CF0A2C3">
                  <w:pPr>
                    <w:pStyle w:val="59"/>
                    <w:spacing w:before="48" w:after="48"/>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70</w:t>
                  </w:r>
                </w:p>
              </w:tc>
              <w:tc>
                <w:tcPr>
                  <w:tcW w:w="499" w:type="pct"/>
                  <w:vMerge w:val="continue"/>
                  <w:noWrap w:val="0"/>
                  <w:vAlign w:val="center"/>
                </w:tcPr>
                <w:p w14:paraId="56BB9B13">
                  <w:pPr>
                    <w:jc w:val="center"/>
                    <w:rPr>
                      <w:rFonts w:hint="eastAsia"/>
                      <w:color w:val="auto"/>
                      <w:szCs w:val="21"/>
                    </w:rPr>
                  </w:pPr>
                  <w:r>
                    <w:rPr>
                      <w:rFonts w:hint="eastAsia" w:ascii="Times New Roman" w:hAnsi="Times New Roman"/>
                      <w:color w:val="auto"/>
                      <w:szCs w:val="21"/>
                      <w:lang w:val="en-US" w:eastAsia="zh-CN"/>
                    </w:rPr>
                    <w:t>70</w:t>
                  </w:r>
                </w:p>
              </w:tc>
              <w:tc>
                <w:tcPr>
                  <w:tcW w:w="415" w:type="pct"/>
                  <w:shd w:val="clear" w:color="auto" w:fill="auto"/>
                  <w:noWrap w:val="0"/>
                  <w:vAlign w:val="center"/>
                </w:tcPr>
                <w:p w14:paraId="4ED1E269">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2E0DE80F">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62</w:t>
                  </w:r>
                </w:p>
              </w:tc>
              <w:tc>
                <w:tcPr>
                  <w:tcW w:w="358" w:type="pct"/>
                  <w:shd w:val="clear" w:color="auto" w:fill="auto"/>
                  <w:noWrap w:val="0"/>
                  <w:vAlign w:val="center"/>
                </w:tcPr>
                <w:p w14:paraId="729724C2">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71.96</w:t>
                  </w:r>
                </w:p>
              </w:tc>
              <w:tc>
                <w:tcPr>
                  <w:tcW w:w="403" w:type="pct"/>
                  <w:shd w:val="clear" w:color="auto" w:fill="auto"/>
                  <w:noWrap w:val="0"/>
                  <w:vAlign w:val="center"/>
                </w:tcPr>
                <w:p w14:paraId="2CAC1F81">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10.41</w:t>
                  </w:r>
                </w:p>
              </w:tc>
              <w:tc>
                <w:tcPr>
                  <w:tcW w:w="432" w:type="pct"/>
                  <w:shd w:val="clear" w:color="auto" w:fill="auto"/>
                  <w:noWrap w:val="0"/>
                  <w:vAlign w:val="center"/>
                </w:tcPr>
                <w:p w14:paraId="5E0D87D8">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1</w:t>
                  </w:r>
                </w:p>
              </w:tc>
              <w:tc>
                <w:tcPr>
                  <w:tcW w:w="277" w:type="pct"/>
                  <w:vMerge w:val="continue"/>
                  <w:noWrap w:val="0"/>
                  <w:vAlign w:val="center"/>
                </w:tcPr>
                <w:p w14:paraId="0D6AE0B7">
                  <w:pPr>
                    <w:jc w:val="center"/>
                    <w:rPr>
                      <w:rFonts w:hint="eastAsia"/>
                      <w:color w:val="auto"/>
                      <w:szCs w:val="21"/>
                    </w:rPr>
                  </w:pPr>
                </w:p>
              </w:tc>
              <w:tc>
                <w:tcPr>
                  <w:tcW w:w="396" w:type="pct"/>
                  <w:vMerge w:val="continue"/>
                  <w:noWrap w:val="0"/>
                  <w:vAlign w:val="center"/>
                </w:tcPr>
                <w:p w14:paraId="2C71CBD3">
                  <w:pPr>
                    <w:jc w:val="center"/>
                    <w:rPr>
                      <w:rFonts w:hint="eastAsia"/>
                      <w:color w:val="auto"/>
                      <w:szCs w:val="21"/>
                    </w:rPr>
                  </w:pPr>
                </w:p>
              </w:tc>
            </w:tr>
            <w:tr w14:paraId="61BF55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66" w:type="pct"/>
                  <w:vMerge w:val="continue"/>
                  <w:noWrap w:val="0"/>
                  <w:vAlign w:val="center"/>
                </w:tcPr>
                <w:p w14:paraId="3416DC8D">
                  <w:pPr>
                    <w:pStyle w:val="16"/>
                    <w:jc w:val="center"/>
                    <w:rPr>
                      <w:rFonts w:hint="eastAsia"/>
                      <w:color w:val="auto"/>
                      <w:kern w:val="2"/>
                      <w:sz w:val="21"/>
                      <w:szCs w:val="21"/>
                      <w:lang w:val="en-US" w:eastAsia="zh-CN"/>
                    </w:rPr>
                  </w:pPr>
                </w:p>
              </w:tc>
              <w:tc>
                <w:tcPr>
                  <w:tcW w:w="371" w:type="pct"/>
                  <w:vMerge w:val="continue"/>
                  <w:noWrap w:val="0"/>
                  <w:vAlign w:val="center"/>
                </w:tcPr>
                <w:p w14:paraId="01C2AFDF">
                  <w:pPr>
                    <w:pStyle w:val="59"/>
                    <w:spacing w:before="48" w:after="48"/>
                    <w:rPr>
                      <w:rFonts w:hint="eastAsia" w:ascii="Times New Roman" w:hAnsi="Times New Roman"/>
                      <w:color w:val="auto"/>
                      <w:szCs w:val="21"/>
                      <w:lang w:val="en-US" w:eastAsia="zh-CN"/>
                    </w:rPr>
                  </w:pPr>
                </w:p>
              </w:tc>
              <w:tc>
                <w:tcPr>
                  <w:tcW w:w="601" w:type="pct"/>
                  <w:noWrap w:val="0"/>
                  <w:vAlign w:val="center"/>
                </w:tcPr>
                <w:p w14:paraId="50BE8BE5">
                  <w:pPr>
                    <w:pStyle w:val="59"/>
                    <w:spacing w:before="48" w:after="48"/>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70</w:t>
                  </w:r>
                </w:p>
              </w:tc>
              <w:tc>
                <w:tcPr>
                  <w:tcW w:w="499" w:type="pct"/>
                  <w:vMerge w:val="continue"/>
                  <w:noWrap w:val="0"/>
                  <w:vAlign w:val="center"/>
                </w:tcPr>
                <w:p w14:paraId="48F562E6">
                  <w:pPr>
                    <w:jc w:val="center"/>
                    <w:rPr>
                      <w:rFonts w:hint="eastAsia"/>
                      <w:color w:val="auto"/>
                      <w:szCs w:val="21"/>
                    </w:rPr>
                  </w:pPr>
                </w:p>
              </w:tc>
              <w:tc>
                <w:tcPr>
                  <w:tcW w:w="415" w:type="pct"/>
                  <w:shd w:val="clear" w:color="auto" w:fill="auto"/>
                  <w:noWrap w:val="0"/>
                  <w:vAlign w:val="center"/>
                </w:tcPr>
                <w:p w14:paraId="6051327C">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7066F916">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62</w:t>
                  </w:r>
                </w:p>
              </w:tc>
              <w:tc>
                <w:tcPr>
                  <w:tcW w:w="358" w:type="pct"/>
                  <w:shd w:val="clear" w:color="auto" w:fill="auto"/>
                  <w:noWrap w:val="0"/>
                  <w:vAlign w:val="center"/>
                </w:tcPr>
                <w:p w14:paraId="1DC2B7FB">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70.81</w:t>
                  </w:r>
                </w:p>
              </w:tc>
              <w:tc>
                <w:tcPr>
                  <w:tcW w:w="403" w:type="pct"/>
                  <w:shd w:val="clear" w:color="auto" w:fill="auto"/>
                  <w:noWrap w:val="0"/>
                  <w:vAlign w:val="center"/>
                </w:tcPr>
                <w:p w14:paraId="2A5096A2">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3.39</w:t>
                  </w:r>
                </w:p>
              </w:tc>
              <w:tc>
                <w:tcPr>
                  <w:tcW w:w="432" w:type="pct"/>
                  <w:shd w:val="clear" w:color="auto" w:fill="auto"/>
                  <w:noWrap w:val="0"/>
                  <w:vAlign w:val="center"/>
                </w:tcPr>
                <w:p w14:paraId="16E5285A">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1</w:t>
                  </w:r>
                </w:p>
              </w:tc>
              <w:tc>
                <w:tcPr>
                  <w:tcW w:w="277" w:type="pct"/>
                  <w:vMerge w:val="continue"/>
                  <w:noWrap w:val="0"/>
                  <w:vAlign w:val="center"/>
                </w:tcPr>
                <w:p w14:paraId="4A0E2B87">
                  <w:pPr>
                    <w:jc w:val="center"/>
                    <w:rPr>
                      <w:rFonts w:hint="eastAsia"/>
                      <w:color w:val="auto"/>
                      <w:szCs w:val="21"/>
                    </w:rPr>
                  </w:pPr>
                </w:p>
              </w:tc>
              <w:tc>
                <w:tcPr>
                  <w:tcW w:w="396" w:type="pct"/>
                  <w:vMerge w:val="continue"/>
                  <w:noWrap w:val="0"/>
                  <w:vAlign w:val="center"/>
                </w:tcPr>
                <w:p w14:paraId="63D33C80">
                  <w:pPr>
                    <w:jc w:val="center"/>
                    <w:rPr>
                      <w:rFonts w:hint="eastAsia"/>
                      <w:color w:val="auto"/>
                      <w:szCs w:val="21"/>
                    </w:rPr>
                  </w:pPr>
                </w:p>
              </w:tc>
            </w:tr>
            <w:tr w14:paraId="7EB195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66" w:type="pct"/>
                  <w:vMerge w:val="continue"/>
                  <w:noWrap w:val="0"/>
                  <w:vAlign w:val="center"/>
                </w:tcPr>
                <w:p w14:paraId="1B6A925E">
                  <w:pPr>
                    <w:pStyle w:val="16"/>
                    <w:jc w:val="center"/>
                    <w:rPr>
                      <w:rFonts w:hint="eastAsia"/>
                      <w:color w:val="auto"/>
                      <w:kern w:val="2"/>
                      <w:sz w:val="21"/>
                      <w:szCs w:val="21"/>
                      <w:lang w:val="en-US" w:eastAsia="zh-CN"/>
                    </w:rPr>
                  </w:pPr>
                </w:p>
              </w:tc>
              <w:tc>
                <w:tcPr>
                  <w:tcW w:w="371" w:type="pct"/>
                  <w:vMerge w:val="continue"/>
                  <w:noWrap w:val="0"/>
                  <w:vAlign w:val="center"/>
                </w:tcPr>
                <w:p w14:paraId="45303AC8">
                  <w:pPr>
                    <w:pStyle w:val="59"/>
                    <w:spacing w:before="48" w:after="48"/>
                    <w:rPr>
                      <w:rFonts w:hint="eastAsia" w:ascii="Times New Roman" w:hAnsi="Times New Roman"/>
                      <w:color w:val="auto"/>
                      <w:szCs w:val="21"/>
                      <w:lang w:val="en-US" w:eastAsia="zh-CN"/>
                    </w:rPr>
                  </w:pPr>
                </w:p>
              </w:tc>
              <w:tc>
                <w:tcPr>
                  <w:tcW w:w="601" w:type="pct"/>
                  <w:noWrap w:val="0"/>
                  <w:vAlign w:val="center"/>
                </w:tcPr>
                <w:p w14:paraId="3A46A4B2">
                  <w:pPr>
                    <w:pStyle w:val="59"/>
                    <w:spacing w:before="48" w:after="48"/>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70</w:t>
                  </w:r>
                </w:p>
              </w:tc>
              <w:tc>
                <w:tcPr>
                  <w:tcW w:w="499" w:type="pct"/>
                  <w:vMerge w:val="continue"/>
                  <w:noWrap w:val="0"/>
                  <w:vAlign w:val="center"/>
                </w:tcPr>
                <w:p w14:paraId="2D4C3043">
                  <w:pPr>
                    <w:jc w:val="center"/>
                    <w:rPr>
                      <w:rFonts w:hint="eastAsia"/>
                      <w:color w:val="auto"/>
                      <w:szCs w:val="21"/>
                    </w:rPr>
                  </w:pPr>
                </w:p>
              </w:tc>
              <w:tc>
                <w:tcPr>
                  <w:tcW w:w="415" w:type="pct"/>
                  <w:shd w:val="clear" w:color="auto" w:fill="auto"/>
                  <w:noWrap w:val="0"/>
                  <w:vAlign w:val="center"/>
                </w:tcPr>
                <w:p w14:paraId="65D2FA9B">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7243580A">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62</w:t>
                  </w:r>
                </w:p>
              </w:tc>
              <w:tc>
                <w:tcPr>
                  <w:tcW w:w="358" w:type="pct"/>
                  <w:shd w:val="clear" w:color="auto" w:fill="auto"/>
                  <w:noWrap w:val="0"/>
                  <w:vAlign w:val="center"/>
                </w:tcPr>
                <w:p w14:paraId="5D211E4B">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77.69</w:t>
                  </w:r>
                </w:p>
              </w:tc>
              <w:tc>
                <w:tcPr>
                  <w:tcW w:w="403" w:type="pct"/>
                  <w:shd w:val="clear" w:color="auto" w:fill="auto"/>
                  <w:noWrap w:val="0"/>
                  <w:vAlign w:val="center"/>
                </w:tcPr>
                <w:p w14:paraId="302AE69D">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9.55</w:t>
                  </w:r>
                </w:p>
              </w:tc>
              <w:tc>
                <w:tcPr>
                  <w:tcW w:w="432" w:type="pct"/>
                  <w:shd w:val="clear" w:color="auto" w:fill="auto"/>
                  <w:noWrap w:val="0"/>
                  <w:vAlign w:val="center"/>
                </w:tcPr>
                <w:p w14:paraId="1B24398A">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1</w:t>
                  </w:r>
                </w:p>
              </w:tc>
              <w:tc>
                <w:tcPr>
                  <w:tcW w:w="277" w:type="pct"/>
                  <w:vMerge w:val="continue"/>
                  <w:noWrap w:val="0"/>
                  <w:vAlign w:val="center"/>
                </w:tcPr>
                <w:p w14:paraId="0BFC5C6C">
                  <w:pPr>
                    <w:jc w:val="center"/>
                    <w:rPr>
                      <w:rFonts w:hint="eastAsia"/>
                      <w:color w:val="auto"/>
                      <w:szCs w:val="21"/>
                    </w:rPr>
                  </w:pPr>
                </w:p>
              </w:tc>
              <w:tc>
                <w:tcPr>
                  <w:tcW w:w="396" w:type="pct"/>
                  <w:vMerge w:val="continue"/>
                  <w:noWrap w:val="0"/>
                  <w:vAlign w:val="center"/>
                </w:tcPr>
                <w:p w14:paraId="11205707">
                  <w:pPr>
                    <w:jc w:val="center"/>
                    <w:rPr>
                      <w:rFonts w:hint="eastAsia"/>
                      <w:color w:val="auto"/>
                      <w:szCs w:val="21"/>
                    </w:rPr>
                  </w:pPr>
                </w:p>
              </w:tc>
            </w:tr>
            <w:tr w14:paraId="4F70CB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66" w:type="pct"/>
                  <w:vMerge w:val="continue"/>
                  <w:noWrap w:val="0"/>
                  <w:vAlign w:val="center"/>
                </w:tcPr>
                <w:p w14:paraId="57CDDD26">
                  <w:pPr>
                    <w:pStyle w:val="16"/>
                    <w:jc w:val="center"/>
                    <w:rPr>
                      <w:rFonts w:hint="eastAsia"/>
                      <w:color w:val="auto"/>
                      <w:kern w:val="2"/>
                      <w:sz w:val="21"/>
                      <w:szCs w:val="21"/>
                      <w:lang w:val="en-US" w:eastAsia="zh-CN"/>
                    </w:rPr>
                  </w:pPr>
                </w:p>
              </w:tc>
              <w:tc>
                <w:tcPr>
                  <w:tcW w:w="371" w:type="pct"/>
                  <w:vMerge w:val="continue"/>
                  <w:noWrap w:val="0"/>
                  <w:vAlign w:val="center"/>
                </w:tcPr>
                <w:p w14:paraId="73655619">
                  <w:pPr>
                    <w:pStyle w:val="59"/>
                    <w:spacing w:before="48" w:after="48"/>
                    <w:rPr>
                      <w:rFonts w:hint="eastAsia" w:ascii="Times New Roman" w:hAnsi="Times New Roman"/>
                      <w:color w:val="auto"/>
                      <w:szCs w:val="21"/>
                      <w:lang w:val="en-US" w:eastAsia="zh-CN"/>
                    </w:rPr>
                  </w:pPr>
                </w:p>
              </w:tc>
              <w:tc>
                <w:tcPr>
                  <w:tcW w:w="601" w:type="pct"/>
                  <w:noWrap w:val="0"/>
                  <w:vAlign w:val="center"/>
                </w:tcPr>
                <w:p w14:paraId="2F726E52">
                  <w:pPr>
                    <w:pStyle w:val="59"/>
                    <w:spacing w:before="48" w:after="48"/>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70</w:t>
                  </w:r>
                </w:p>
              </w:tc>
              <w:tc>
                <w:tcPr>
                  <w:tcW w:w="499" w:type="pct"/>
                  <w:vMerge w:val="continue"/>
                  <w:noWrap w:val="0"/>
                  <w:vAlign w:val="center"/>
                </w:tcPr>
                <w:p w14:paraId="78499C25">
                  <w:pPr>
                    <w:jc w:val="center"/>
                    <w:rPr>
                      <w:rFonts w:hint="eastAsia"/>
                      <w:color w:val="auto"/>
                      <w:szCs w:val="21"/>
                    </w:rPr>
                  </w:pPr>
                </w:p>
              </w:tc>
              <w:tc>
                <w:tcPr>
                  <w:tcW w:w="415" w:type="pct"/>
                  <w:shd w:val="clear" w:color="auto" w:fill="auto"/>
                  <w:noWrap w:val="0"/>
                  <w:vAlign w:val="center"/>
                </w:tcPr>
                <w:p w14:paraId="695DD843">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5A051C0B">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62</w:t>
                  </w:r>
                </w:p>
              </w:tc>
              <w:tc>
                <w:tcPr>
                  <w:tcW w:w="358" w:type="pct"/>
                  <w:shd w:val="clear" w:color="auto" w:fill="auto"/>
                  <w:noWrap w:val="0"/>
                  <w:vAlign w:val="center"/>
                </w:tcPr>
                <w:p w14:paraId="62C7635B">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75.97</w:t>
                  </w:r>
                </w:p>
              </w:tc>
              <w:tc>
                <w:tcPr>
                  <w:tcW w:w="403" w:type="pct"/>
                  <w:shd w:val="clear" w:color="auto" w:fill="auto"/>
                  <w:noWrap w:val="0"/>
                  <w:vAlign w:val="center"/>
                </w:tcPr>
                <w:p w14:paraId="70001226">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2.39</w:t>
                  </w:r>
                </w:p>
              </w:tc>
              <w:tc>
                <w:tcPr>
                  <w:tcW w:w="432" w:type="pct"/>
                  <w:shd w:val="clear" w:color="auto" w:fill="auto"/>
                  <w:noWrap w:val="0"/>
                  <w:vAlign w:val="center"/>
                </w:tcPr>
                <w:p w14:paraId="0DD1FA9C">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1</w:t>
                  </w:r>
                </w:p>
              </w:tc>
              <w:tc>
                <w:tcPr>
                  <w:tcW w:w="277" w:type="pct"/>
                  <w:vMerge w:val="continue"/>
                  <w:noWrap w:val="0"/>
                  <w:vAlign w:val="center"/>
                </w:tcPr>
                <w:p w14:paraId="134E856F">
                  <w:pPr>
                    <w:jc w:val="center"/>
                    <w:rPr>
                      <w:rFonts w:hint="eastAsia"/>
                      <w:color w:val="auto"/>
                      <w:szCs w:val="21"/>
                    </w:rPr>
                  </w:pPr>
                </w:p>
              </w:tc>
              <w:tc>
                <w:tcPr>
                  <w:tcW w:w="396" w:type="pct"/>
                  <w:vMerge w:val="continue"/>
                  <w:noWrap w:val="0"/>
                  <w:vAlign w:val="center"/>
                </w:tcPr>
                <w:p w14:paraId="57476B36">
                  <w:pPr>
                    <w:jc w:val="center"/>
                    <w:rPr>
                      <w:rFonts w:hint="eastAsia"/>
                      <w:color w:val="auto"/>
                      <w:szCs w:val="21"/>
                    </w:rPr>
                  </w:pPr>
                </w:p>
              </w:tc>
            </w:tr>
            <w:tr w14:paraId="5181D2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5" w:hRule="atLeast"/>
                <w:jc w:val="center"/>
              </w:trPr>
              <w:tc>
                <w:tcPr>
                  <w:tcW w:w="766" w:type="pct"/>
                  <w:vMerge w:val="continue"/>
                  <w:noWrap w:val="0"/>
                  <w:vAlign w:val="center"/>
                </w:tcPr>
                <w:p w14:paraId="09EEB1E8">
                  <w:pPr>
                    <w:pStyle w:val="16"/>
                    <w:jc w:val="center"/>
                    <w:rPr>
                      <w:rFonts w:hint="eastAsia"/>
                      <w:color w:val="auto"/>
                      <w:kern w:val="2"/>
                      <w:sz w:val="21"/>
                      <w:szCs w:val="21"/>
                      <w:lang w:val="en-US" w:eastAsia="zh-CN"/>
                    </w:rPr>
                  </w:pPr>
                </w:p>
              </w:tc>
              <w:tc>
                <w:tcPr>
                  <w:tcW w:w="371" w:type="pct"/>
                  <w:vMerge w:val="continue"/>
                  <w:noWrap w:val="0"/>
                  <w:vAlign w:val="center"/>
                </w:tcPr>
                <w:p w14:paraId="60D18228">
                  <w:pPr>
                    <w:pStyle w:val="59"/>
                    <w:spacing w:before="48" w:after="48"/>
                    <w:rPr>
                      <w:rFonts w:hint="eastAsia" w:ascii="Times New Roman" w:hAnsi="Times New Roman"/>
                      <w:color w:val="auto"/>
                      <w:szCs w:val="21"/>
                      <w:lang w:val="en-US" w:eastAsia="zh-CN"/>
                    </w:rPr>
                  </w:pPr>
                </w:p>
              </w:tc>
              <w:tc>
                <w:tcPr>
                  <w:tcW w:w="601" w:type="pct"/>
                  <w:noWrap w:val="0"/>
                  <w:vAlign w:val="center"/>
                </w:tcPr>
                <w:p w14:paraId="20DE9161">
                  <w:pPr>
                    <w:pStyle w:val="59"/>
                    <w:spacing w:before="48" w:after="48"/>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70</w:t>
                  </w:r>
                </w:p>
              </w:tc>
              <w:tc>
                <w:tcPr>
                  <w:tcW w:w="499" w:type="pct"/>
                  <w:vMerge w:val="continue"/>
                  <w:noWrap w:val="0"/>
                  <w:vAlign w:val="center"/>
                </w:tcPr>
                <w:p w14:paraId="4BD2E2C8">
                  <w:pPr>
                    <w:jc w:val="center"/>
                    <w:rPr>
                      <w:rFonts w:hint="eastAsia"/>
                      <w:color w:val="auto"/>
                      <w:szCs w:val="21"/>
                    </w:rPr>
                  </w:pPr>
                </w:p>
              </w:tc>
              <w:tc>
                <w:tcPr>
                  <w:tcW w:w="415" w:type="pct"/>
                  <w:shd w:val="clear" w:color="auto" w:fill="auto"/>
                  <w:noWrap w:val="0"/>
                  <w:vAlign w:val="center"/>
                </w:tcPr>
                <w:p w14:paraId="2D4A365F">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1753CF71">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62</w:t>
                  </w:r>
                </w:p>
              </w:tc>
              <w:tc>
                <w:tcPr>
                  <w:tcW w:w="358" w:type="pct"/>
                  <w:shd w:val="clear" w:color="auto" w:fill="auto"/>
                  <w:noWrap w:val="0"/>
                  <w:vAlign w:val="center"/>
                </w:tcPr>
                <w:p w14:paraId="1C9F3B16">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83.13</w:t>
                  </w:r>
                </w:p>
              </w:tc>
              <w:tc>
                <w:tcPr>
                  <w:tcW w:w="403" w:type="pct"/>
                  <w:shd w:val="clear" w:color="auto" w:fill="auto"/>
                  <w:noWrap w:val="0"/>
                  <w:vAlign w:val="center"/>
                </w:tcPr>
                <w:p w14:paraId="26F968C8">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8.4</w:t>
                  </w:r>
                </w:p>
              </w:tc>
              <w:tc>
                <w:tcPr>
                  <w:tcW w:w="432" w:type="pct"/>
                  <w:shd w:val="clear" w:color="auto" w:fill="auto"/>
                  <w:noWrap w:val="0"/>
                  <w:vAlign w:val="center"/>
                </w:tcPr>
                <w:p w14:paraId="2A33E8A5">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1</w:t>
                  </w:r>
                </w:p>
              </w:tc>
              <w:tc>
                <w:tcPr>
                  <w:tcW w:w="277" w:type="pct"/>
                  <w:vMerge w:val="continue"/>
                  <w:noWrap w:val="0"/>
                  <w:vAlign w:val="center"/>
                </w:tcPr>
                <w:p w14:paraId="79CF3EF7">
                  <w:pPr>
                    <w:jc w:val="center"/>
                    <w:rPr>
                      <w:rFonts w:hint="eastAsia"/>
                      <w:color w:val="auto"/>
                      <w:szCs w:val="21"/>
                    </w:rPr>
                  </w:pPr>
                </w:p>
              </w:tc>
              <w:tc>
                <w:tcPr>
                  <w:tcW w:w="396" w:type="pct"/>
                  <w:vMerge w:val="continue"/>
                  <w:noWrap w:val="0"/>
                  <w:vAlign w:val="center"/>
                </w:tcPr>
                <w:p w14:paraId="2338BA9F">
                  <w:pPr>
                    <w:jc w:val="center"/>
                    <w:rPr>
                      <w:rFonts w:hint="eastAsia"/>
                      <w:color w:val="auto"/>
                      <w:szCs w:val="21"/>
                    </w:rPr>
                  </w:pPr>
                </w:p>
              </w:tc>
            </w:tr>
            <w:tr w14:paraId="257AEB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5" w:hRule="atLeast"/>
                <w:jc w:val="center"/>
              </w:trPr>
              <w:tc>
                <w:tcPr>
                  <w:tcW w:w="766" w:type="pct"/>
                  <w:vMerge w:val="continue"/>
                  <w:noWrap w:val="0"/>
                  <w:vAlign w:val="center"/>
                </w:tcPr>
                <w:p w14:paraId="7961AD1F">
                  <w:pPr>
                    <w:pStyle w:val="16"/>
                    <w:jc w:val="center"/>
                    <w:rPr>
                      <w:rFonts w:hint="eastAsia"/>
                      <w:color w:val="auto"/>
                      <w:kern w:val="2"/>
                      <w:sz w:val="21"/>
                      <w:szCs w:val="21"/>
                      <w:lang w:val="en-US" w:eastAsia="zh-CN"/>
                    </w:rPr>
                  </w:pPr>
                </w:p>
              </w:tc>
              <w:tc>
                <w:tcPr>
                  <w:tcW w:w="371" w:type="pct"/>
                  <w:vMerge w:val="continue"/>
                  <w:noWrap w:val="0"/>
                  <w:vAlign w:val="center"/>
                </w:tcPr>
                <w:p w14:paraId="4D814E73">
                  <w:pPr>
                    <w:pStyle w:val="59"/>
                    <w:spacing w:before="48" w:after="48"/>
                    <w:rPr>
                      <w:rFonts w:hint="eastAsia" w:ascii="Times New Roman" w:hAnsi="Times New Roman"/>
                      <w:color w:val="auto"/>
                      <w:szCs w:val="21"/>
                      <w:lang w:val="en-US" w:eastAsia="zh-CN"/>
                    </w:rPr>
                  </w:pPr>
                </w:p>
              </w:tc>
              <w:tc>
                <w:tcPr>
                  <w:tcW w:w="601" w:type="pct"/>
                  <w:noWrap w:val="0"/>
                  <w:vAlign w:val="center"/>
                </w:tcPr>
                <w:p w14:paraId="67FBCE45">
                  <w:pPr>
                    <w:pStyle w:val="59"/>
                    <w:spacing w:before="48" w:after="48"/>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70</w:t>
                  </w:r>
                </w:p>
              </w:tc>
              <w:tc>
                <w:tcPr>
                  <w:tcW w:w="499" w:type="pct"/>
                  <w:vMerge w:val="continue"/>
                  <w:noWrap w:val="0"/>
                  <w:vAlign w:val="center"/>
                </w:tcPr>
                <w:p w14:paraId="3F33971C">
                  <w:pPr>
                    <w:jc w:val="center"/>
                    <w:rPr>
                      <w:rFonts w:hint="eastAsia"/>
                      <w:color w:val="auto"/>
                      <w:szCs w:val="21"/>
                    </w:rPr>
                  </w:pPr>
                </w:p>
              </w:tc>
              <w:tc>
                <w:tcPr>
                  <w:tcW w:w="415" w:type="pct"/>
                  <w:shd w:val="clear" w:color="auto" w:fill="auto"/>
                  <w:noWrap w:val="0"/>
                  <w:vAlign w:val="center"/>
                </w:tcPr>
                <w:p w14:paraId="4E03311F">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39CE0470">
                  <w:pPr>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62</w:t>
                  </w:r>
                </w:p>
              </w:tc>
              <w:tc>
                <w:tcPr>
                  <w:tcW w:w="358" w:type="pct"/>
                  <w:shd w:val="clear" w:color="auto" w:fill="auto"/>
                  <w:noWrap w:val="0"/>
                  <w:vAlign w:val="center"/>
                </w:tcPr>
                <w:p w14:paraId="77426BC9">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81.7</w:t>
                  </w:r>
                </w:p>
              </w:tc>
              <w:tc>
                <w:tcPr>
                  <w:tcW w:w="403" w:type="pct"/>
                  <w:shd w:val="clear" w:color="auto" w:fill="auto"/>
                  <w:noWrap w:val="0"/>
                  <w:vAlign w:val="center"/>
                </w:tcPr>
                <w:p w14:paraId="1FC80B59">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1.24</w:t>
                  </w:r>
                </w:p>
              </w:tc>
              <w:tc>
                <w:tcPr>
                  <w:tcW w:w="432" w:type="pct"/>
                  <w:shd w:val="clear" w:color="auto" w:fill="auto"/>
                  <w:noWrap w:val="0"/>
                  <w:vAlign w:val="center"/>
                </w:tcPr>
                <w:p w14:paraId="6C9DF937">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1</w:t>
                  </w:r>
                </w:p>
              </w:tc>
              <w:tc>
                <w:tcPr>
                  <w:tcW w:w="277" w:type="pct"/>
                  <w:vMerge w:val="continue"/>
                  <w:noWrap w:val="0"/>
                  <w:vAlign w:val="center"/>
                </w:tcPr>
                <w:p w14:paraId="52CD5EF1">
                  <w:pPr>
                    <w:jc w:val="center"/>
                    <w:rPr>
                      <w:rFonts w:hint="eastAsia"/>
                      <w:color w:val="auto"/>
                      <w:szCs w:val="21"/>
                    </w:rPr>
                  </w:pPr>
                </w:p>
              </w:tc>
              <w:tc>
                <w:tcPr>
                  <w:tcW w:w="396" w:type="pct"/>
                  <w:vMerge w:val="continue"/>
                  <w:noWrap w:val="0"/>
                  <w:vAlign w:val="center"/>
                </w:tcPr>
                <w:p w14:paraId="56B13095">
                  <w:pPr>
                    <w:jc w:val="center"/>
                    <w:rPr>
                      <w:rFonts w:hint="eastAsia"/>
                      <w:color w:val="auto"/>
                      <w:szCs w:val="21"/>
                    </w:rPr>
                  </w:pPr>
                </w:p>
              </w:tc>
            </w:tr>
            <w:tr w14:paraId="226478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66" w:type="pct"/>
                  <w:shd w:val="clear" w:color="auto" w:fill="auto"/>
                  <w:noWrap w:val="0"/>
                  <w:vAlign w:val="center"/>
                </w:tcPr>
                <w:p w14:paraId="65BF67C4">
                  <w:pPr>
                    <w:widowControl/>
                    <w:adjustRightInd w:val="0"/>
                    <w:snapToGrid w:val="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bidi="ar-SA"/>
                    </w:rPr>
                    <w:t>搅拌机</w:t>
                  </w:r>
                </w:p>
              </w:tc>
              <w:tc>
                <w:tcPr>
                  <w:tcW w:w="371" w:type="pct"/>
                  <w:shd w:val="clear" w:color="auto" w:fill="auto"/>
                  <w:noWrap w:val="0"/>
                  <w:vAlign w:val="center"/>
                </w:tcPr>
                <w:p w14:paraId="56C53028">
                  <w:pPr>
                    <w:pStyle w:val="59"/>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cs="宋体"/>
                      <w:color w:val="auto"/>
                      <w:kern w:val="2"/>
                      <w:sz w:val="21"/>
                      <w:szCs w:val="21"/>
                      <w:highlight w:val="none"/>
                      <w:lang w:val="en-US" w:eastAsia="zh-CN" w:bidi="ar-SA"/>
                    </w:rPr>
                    <w:t>1</w:t>
                  </w:r>
                </w:p>
              </w:tc>
              <w:tc>
                <w:tcPr>
                  <w:tcW w:w="601" w:type="pct"/>
                  <w:noWrap w:val="0"/>
                  <w:vAlign w:val="center"/>
                </w:tcPr>
                <w:p w14:paraId="3184B7A1">
                  <w:pPr>
                    <w:pStyle w:val="59"/>
                    <w:spacing w:before="48" w:after="48"/>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80</w:t>
                  </w:r>
                </w:p>
              </w:tc>
              <w:tc>
                <w:tcPr>
                  <w:tcW w:w="499" w:type="pct"/>
                  <w:vMerge w:val="continue"/>
                  <w:noWrap w:val="0"/>
                  <w:vAlign w:val="center"/>
                </w:tcPr>
                <w:p w14:paraId="47913792">
                  <w:pPr>
                    <w:jc w:val="center"/>
                    <w:rPr>
                      <w:rFonts w:hint="eastAsia"/>
                      <w:color w:val="auto"/>
                      <w:szCs w:val="21"/>
                    </w:rPr>
                  </w:pPr>
                </w:p>
              </w:tc>
              <w:tc>
                <w:tcPr>
                  <w:tcW w:w="415" w:type="pct"/>
                  <w:shd w:val="clear" w:color="auto" w:fill="auto"/>
                  <w:noWrap w:val="0"/>
                  <w:vAlign w:val="center"/>
                </w:tcPr>
                <w:p w14:paraId="46C18D96">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67987AE1">
                  <w:pPr>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72</w:t>
                  </w:r>
                </w:p>
              </w:tc>
              <w:tc>
                <w:tcPr>
                  <w:tcW w:w="358" w:type="pct"/>
                  <w:shd w:val="clear" w:color="auto" w:fill="auto"/>
                  <w:noWrap w:val="0"/>
                  <w:vAlign w:val="center"/>
                </w:tcPr>
                <w:p w14:paraId="5D17BBB0">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61.93</w:t>
                  </w:r>
                </w:p>
              </w:tc>
              <w:tc>
                <w:tcPr>
                  <w:tcW w:w="403" w:type="pct"/>
                  <w:shd w:val="clear" w:color="auto" w:fill="auto"/>
                  <w:noWrap w:val="0"/>
                  <w:vAlign w:val="center"/>
                </w:tcPr>
                <w:p w14:paraId="313C287E">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12.41</w:t>
                  </w:r>
                </w:p>
              </w:tc>
              <w:tc>
                <w:tcPr>
                  <w:tcW w:w="432" w:type="pct"/>
                  <w:noWrap w:val="0"/>
                  <w:vAlign w:val="center"/>
                </w:tcPr>
                <w:p w14:paraId="11C1A758">
                  <w:pPr>
                    <w:jc w:val="center"/>
                    <w:rPr>
                      <w:color w:val="auto"/>
                      <w:szCs w:val="21"/>
                    </w:rPr>
                  </w:pPr>
                  <w:r>
                    <w:rPr>
                      <w:rFonts w:hint="eastAsia"/>
                      <w:color w:val="auto"/>
                      <w:szCs w:val="21"/>
                    </w:rPr>
                    <w:t>1</w:t>
                  </w:r>
                </w:p>
              </w:tc>
              <w:tc>
                <w:tcPr>
                  <w:tcW w:w="277" w:type="pct"/>
                  <w:vMerge w:val="continue"/>
                  <w:noWrap w:val="0"/>
                  <w:vAlign w:val="center"/>
                </w:tcPr>
                <w:p w14:paraId="4121BB7C">
                  <w:pPr>
                    <w:jc w:val="center"/>
                    <w:rPr>
                      <w:rFonts w:hint="eastAsia"/>
                      <w:color w:val="auto"/>
                      <w:szCs w:val="21"/>
                    </w:rPr>
                  </w:pPr>
                </w:p>
              </w:tc>
              <w:tc>
                <w:tcPr>
                  <w:tcW w:w="396" w:type="pct"/>
                  <w:vMerge w:val="continue"/>
                  <w:noWrap w:val="0"/>
                  <w:vAlign w:val="center"/>
                </w:tcPr>
                <w:p w14:paraId="6ADD5B70">
                  <w:pPr>
                    <w:jc w:val="center"/>
                    <w:rPr>
                      <w:rFonts w:hint="eastAsia"/>
                      <w:color w:val="auto"/>
                      <w:szCs w:val="21"/>
                    </w:rPr>
                  </w:pPr>
                </w:p>
              </w:tc>
            </w:tr>
            <w:tr w14:paraId="7EE2DC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66" w:type="pct"/>
                  <w:shd w:val="clear" w:color="auto" w:fill="auto"/>
                  <w:noWrap w:val="0"/>
                  <w:vAlign w:val="center"/>
                </w:tcPr>
                <w:p w14:paraId="029A7EA3">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bidi="ar-SA"/>
                    </w:rPr>
                    <w:t>破碎机</w:t>
                  </w:r>
                </w:p>
              </w:tc>
              <w:tc>
                <w:tcPr>
                  <w:tcW w:w="371" w:type="pct"/>
                  <w:shd w:val="clear" w:color="auto" w:fill="auto"/>
                  <w:noWrap w:val="0"/>
                  <w:vAlign w:val="center"/>
                </w:tcPr>
                <w:p w14:paraId="6403DF85">
                  <w:pPr>
                    <w:pStyle w:val="59"/>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cs="宋体"/>
                      <w:color w:val="auto"/>
                      <w:kern w:val="2"/>
                      <w:sz w:val="21"/>
                      <w:szCs w:val="21"/>
                      <w:highlight w:val="none"/>
                      <w:lang w:val="en-US" w:eastAsia="zh-CN" w:bidi="ar-SA"/>
                    </w:rPr>
                    <w:t>1</w:t>
                  </w:r>
                </w:p>
              </w:tc>
              <w:tc>
                <w:tcPr>
                  <w:tcW w:w="601" w:type="pct"/>
                  <w:noWrap w:val="0"/>
                  <w:vAlign w:val="center"/>
                </w:tcPr>
                <w:p w14:paraId="7C7AFD72">
                  <w:pPr>
                    <w:jc w:val="center"/>
                    <w:rPr>
                      <w:rFonts w:hint="default" w:eastAsia="宋体"/>
                      <w:color w:val="auto"/>
                      <w:szCs w:val="21"/>
                      <w:lang w:val="en-US" w:eastAsia="zh-CN"/>
                    </w:rPr>
                  </w:pPr>
                  <w:r>
                    <w:rPr>
                      <w:rFonts w:hint="eastAsia" w:eastAsia="宋体"/>
                      <w:color w:val="auto"/>
                      <w:szCs w:val="21"/>
                      <w:lang w:val="en-US" w:eastAsia="zh-CN"/>
                    </w:rPr>
                    <w:t>85</w:t>
                  </w:r>
                </w:p>
              </w:tc>
              <w:tc>
                <w:tcPr>
                  <w:tcW w:w="499" w:type="pct"/>
                  <w:vMerge w:val="continue"/>
                  <w:noWrap w:val="0"/>
                  <w:vAlign w:val="center"/>
                </w:tcPr>
                <w:p w14:paraId="7A6862A6">
                  <w:pPr>
                    <w:jc w:val="center"/>
                    <w:rPr>
                      <w:rFonts w:hint="eastAsia"/>
                      <w:color w:val="auto"/>
                      <w:szCs w:val="21"/>
                    </w:rPr>
                  </w:pPr>
                </w:p>
              </w:tc>
              <w:tc>
                <w:tcPr>
                  <w:tcW w:w="415" w:type="pct"/>
                  <w:shd w:val="clear" w:color="auto" w:fill="auto"/>
                  <w:noWrap w:val="0"/>
                  <w:vAlign w:val="center"/>
                </w:tcPr>
                <w:p w14:paraId="0C4B1875">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437C87C3">
                  <w:pPr>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77</w:t>
                  </w:r>
                </w:p>
              </w:tc>
              <w:tc>
                <w:tcPr>
                  <w:tcW w:w="358" w:type="pct"/>
                  <w:shd w:val="clear" w:color="auto" w:fill="auto"/>
                  <w:noWrap w:val="0"/>
                  <w:vAlign w:val="center"/>
                </w:tcPr>
                <w:p w14:paraId="4E7C85C9">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89.5</w:t>
                  </w:r>
                </w:p>
              </w:tc>
              <w:tc>
                <w:tcPr>
                  <w:tcW w:w="403" w:type="pct"/>
                  <w:shd w:val="clear" w:color="auto" w:fill="auto"/>
                  <w:noWrap w:val="0"/>
                  <w:vAlign w:val="center"/>
                </w:tcPr>
                <w:p w14:paraId="40B3F8CC">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-13.49</w:t>
                  </w:r>
                </w:p>
              </w:tc>
              <w:tc>
                <w:tcPr>
                  <w:tcW w:w="432" w:type="pct"/>
                  <w:noWrap w:val="0"/>
                  <w:vAlign w:val="center"/>
                </w:tcPr>
                <w:p w14:paraId="215FCB74">
                  <w:pPr>
                    <w:jc w:val="center"/>
                    <w:rPr>
                      <w:rFonts w:hint="eastAsia"/>
                      <w:color w:val="auto"/>
                      <w:szCs w:val="21"/>
                    </w:rPr>
                  </w:pPr>
                  <w:r>
                    <w:rPr>
                      <w:rFonts w:hint="eastAsia"/>
                      <w:color w:val="auto"/>
                      <w:szCs w:val="21"/>
                    </w:rPr>
                    <w:t>1</w:t>
                  </w:r>
                </w:p>
              </w:tc>
              <w:tc>
                <w:tcPr>
                  <w:tcW w:w="277" w:type="pct"/>
                  <w:vMerge w:val="continue"/>
                  <w:noWrap w:val="0"/>
                  <w:vAlign w:val="center"/>
                </w:tcPr>
                <w:p w14:paraId="04B067F9">
                  <w:pPr>
                    <w:jc w:val="center"/>
                    <w:rPr>
                      <w:rFonts w:hint="eastAsia"/>
                      <w:color w:val="auto"/>
                      <w:szCs w:val="21"/>
                    </w:rPr>
                  </w:pPr>
                </w:p>
              </w:tc>
              <w:tc>
                <w:tcPr>
                  <w:tcW w:w="396" w:type="pct"/>
                  <w:vMerge w:val="continue"/>
                  <w:noWrap w:val="0"/>
                  <w:vAlign w:val="center"/>
                </w:tcPr>
                <w:p w14:paraId="0056D945">
                  <w:pPr>
                    <w:jc w:val="center"/>
                    <w:rPr>
                      <w:rFonts w:hint="eastAsia"/>
                      <w:color w:val="auto"/>
                      <w:szCs w:val="21"/>
                    </w:rPr>
                  </w:pPr>
                </w:p>
              </w:tc>
            </w:tr>
            <w:tr w14:paraId="2437C4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66" w:type="pct"/>
                  <w:shd w:val="clear" w:color="auto" w:fill="auto"/>
                  <w:noWrap w:val="0"/>
                  <w:vAlign w:val="center"/>
                </w:tcPr>
                <w:p w14:paraId="048EF8DB">
                  <w:pPr>
                    <w:widowControl/>
                    <w:adjustRightInd w:val="0"/>
                    <w:snapToGrid w:val="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除尘器风机</w:t>
                  </w:r>
                </w:p>
              </w:tc>
              <w:tc>
                <w:tcPr>
                  <w:tcW w:w="371" w:type="pct"/>
                  <w:shd w:val="clear" w:color="auto" w:fill="auto"/>
                  <w:noWrap w:val="0"/>
                  <w:vAlign w:val="center"/>
                </w:tcPr>
                <w:p w14:paraId="65A8175A">
                  <w:pPr>
                    <w:pStyle w:val="59"/>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cs="宋体"/>
                      <w:color w:val="auto"/>
                      <w:kern w:val="2"/>
                      <w:sz w:val="21"/>
                      <w:szCs w:val="21"/>
                      <w:highlight w:val="none"/>
                      <w:lang w:val="en-US" w:eastAsia="zh-CN" w:bidi="ar-SA"/>
                    </w:rPr>
                    <w:t>1</w:t>
                  </w:r>
                </w:p>
              </w:tc>
              <w:tc>
                <w:tcPr>
                  <w:tcW w:w="601" w:type="pct"/>
                  <w:noWrap w:val="0"/>
                  <w:vAlign w:val="center"/>
                </w:tcPr>
                <w:p w14:paraId="0FD25A21">
                  <w:pPr>
                    <w:pStyle w:val="59"/>
                    <w:spacing w:before="48" w:after="48"/>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85</w:t>
                  </w:r>
                </w:p>
              </w:tc>
              <w:tc>
                <w:tcPr>
                  <w:tcW w:w="499" w:type="pct"/>
                  <w:vMerge w:val="continue"/>
                  <w:noWrap w:val="0"/>
                  <w:vAlign w:val="center"/>
                </w:tcPr>
                <w:p w14:paraId="02CAB888">
                  <w:pPr>
                    <w:jc w:val="center"/>
                    <w:rPr>
                      <w:rFonts w:hint="eastAsia"/>
                      <w:color w:val="auto"/>
                      <w:szCs w:val="21"/>
                    </w:rPr>
                  </w:pPr>
                </w:p>
              </w:tc>
              <w:tc>
                <w:tcPr>
                  <w:tcW w:w="415" w:type="pct"/>
                  <w:shd w:val="clear" w:color="auto" w:fill="auto"/>
                  <w:noWrap w:val="0"/>
                  <w:vAlign w:val="center"/>
                </w:tcPr>
                <w:p w14:paraId="651555DA">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15A9ABA9">
                  <w:pPr>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77</w:t>
                  </w:r>
                </w:p>
              </w:tc>
              <w:tc>
                <w:tcPr>
                  <w:tcW w:w="358" w:type="pct"/>
                  <w:shd w:val="clear" w:color="auto" w:fill="auto"/>
                  <w:noWrap w:val="0"/>
                  <w:vAlign w:val="center"/>
                </w:tcPr>
                <w:p w14:paraId="3FDDAFB9">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86.57</w:t>
                  </w:r>
                </w:p>
              </w:tc>
              <w:tc>
                <w:tcPr>
                  <w:tcW w:w="403" w:type="pct"/>
                  <w:shd w:val="clear" w:color="auto" w:fill="auto"/>
                  <w:noWrap w:val="0"/>
                  <w:vAlign w:val="center"/>
                </w:tcPr>
                <w:p w14:paraId="2DEBCBE1">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-14.66</w:t>
                  </w:r>
                </w:p>
              </w:tc>
              <w:tc>
                <w:tcPr>
                  <w:tcW w:w="432" w:type="pct"/>
                  <w:noWrap w:val="0"/>
                  <w:vAlign w:val="center"/>
                </w:tcPr>
                <w:p w14:paraId="646DC181">
                  <w:pPr>
                    <w:jc w:val="center"/>
                    <w:rPr>
                      <w:rFonts w:hint="eastAsia"/>
                      <w:color w:val="auto"/>
                      <w:szCs w:val="21"/>
                    </w:rPr>
                  </w:pPr>
                  <w:r>
                    <w:rPr>
                      <w:rFonts w:hint="eastAsia"/>
                      <w:color w:val="auto"/>
                      <w:szCs w:val="21"/>
                    </w:rPr>
                    <w:t>1</w:t>
                  </w:r>
                </w:p>
              </w:tc>
              <w:tc>
                <w:tcPr>
                  <w:tcW w:w="277" w:type="pct"/>
                  <w:vMerge w:val="continue"/>
                  <w:noWrap w:val="0"/>
                  <w:vAlign w:val="center"/>
                </w:tcPr>
                <w:p w14:paraId="6027CF4C">
                  <w:pPr>
                    <w:jc w:val="center"/>
                    <w:rPr>
                      <w:rFonts w:hint="eastAsia"/>
                      <w:color w:val="auto"/>
                      <w:szCs w:val="21"/>
                    </w:rPr>
                  </w:pPr>
                </w:p>
              </w:tc>
              <w:tc>
                <w:tcPr>
                  <w:tcW w:w="396" w:type="pct"/>
                  <w:vMerge w:val="continue"/>
                  <w:noWrap w:val="0"/>
                  <w:vAlign w:val="center"/>
                </w:tcPr>
                <w:p w14:paraId="6F524394">
                  <w:pPr>
                    <w:jc w:val="center"/>
                    <w:rPr>
                      <w:rFonts w:hint="eastAsia"/>
                      <w:color w:val="auto"/>
                      <w:szCs w:val="21"/>
                    </w:rPr>
                  </w:pPr>
                </w:p>
              </w:tc>
            </w:tr>
            <w:tr w14:paraId="622CA7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5" w:hRule="atLeast"/>
                <w:jc w:val="center"/>
              </w:trPr>
              <w:tc>
                <w:tcPr>
                  <w:tcW w:w="766" w:type="pct"/>
                  <w:shd w:val="clear" w:color="auto" w:fill="auto"/>
                  <w:noWrap w:val="0"/>
                  <w:vAlign w:val="center"/>
                </w:tcPr>
                <w:p w14:paraId="3D078F65">
                  <w:pPr>
                    <w:widowControl/>
                    <w:adjustRightInd w:val="0"/>
                    <w:snapToGrid w:val="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空压机</w:t>
                  </w:r>
                </w:p>
              </w:tc>
              <w:tc>
                <w:tcPr>
                  <w:tcW w:w="371" w:type="pct"/>
                  <w:shd w:val="clear" w:color="auto" w:fill="auto"/>
                  <w:noWrap w:val="0"/>
                  <w:vAlign w:val="center"/>
                </w:tcPr>
                <w:p w14:paraId="6453826F">
                  <w:pPr>
                    <w:pStyle w:val="59"/>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cs="宋体"/>
                      <w:color w:val="auto"/>
                      <w:kern w:val="2"/>
                      <w:sz w:val="21"/>
                      <w:szCs w:val="21"/>
                      <w:highlight w:val="none"/>
                      <w:lang w:val="en-US" w:eastAsia="zh-CN" w:bidi="ar-SA"/>
                    </w:rPr>
                    <w:t>1</w:t>
                  </w:r>
                </w:p>
              </w:tc>
              <w:tc>
                <w:tcPr>
                  <w:tcW w:w="601" w:type="pct"/>
                  <w:noWrap w:val="0"/>
                  <w:vAlign w:val="center"/>
                </w:tcPr>
                <w:p w14:paraId="3F52C0A2">
                  <w:pPr>
                    <w:pStyle w:val="59"/>
                    <w:spacing w:before="48" w:after="48"/>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75</w:t>
                  </w:r>
                </w:p>
              </w:tc>
              <w:tc>
                <w:tcPr>
                  <w:tcW w:w="499" w:type="pct"/>
                  <w:vMerge w:val="continue"/>
                  <w:noWrap w:val="0"/>
                  <w:vAlign w:val="center"/>
                </w:tcPr>
                <w:p w14:paraId="747B7BB7">
                  <w:pPr>
                    <w:jc w:val="center"/>
                    <w:rPr>
                      <w:rFonts w:hint="eastAsia"/>
                      <w:color w:val="auto"/>
                      <w:szCs w:val="21"/>
                    </w:rPr>
                  </w:pPr>
                </w:p>
              </w:tc>
              <w:tc>
                <w:tcPr>
                  <w:tcW w:w="415" w:type="pct"/>
                  <w:shd w:val="clear" w:color="auto" w:fill="auto"/>
                  <w:noWrap w:val="0"/>
                  <w:vAlign w:val="center"/>
                </w:tcPr>
                <w:p w14:paraId="423E98C1">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68964E7E">
                  <w:pPr>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67</w:t>
                  </w:r>
                </w:p>
              </w:tc>
              <w:tc>
                <w:tcPr>
                  <w:tcW w:w="358" w:type="pct"/>
                  <w:shd w:val="clear" w:color="auto" w:fill="auto"/>
                  <w:noWrap w:val="0"/>
                  <w:vAlign w:val="center"/>
                </w:tcPr>
                <w:p w14:paraId="62B9F4D5">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92.15</w:t>
                  </w:r>
                </w:p>
              </w:tc>
              <w:tc>
                <w:tcPr>
                  <w:tcW w:w="403" w:type="pct"/>
                  <w:shd w:val="clear" w:color="auto" w:fill="auto"/>
                  <w:noWrap w:val="0"/>
                  <w:vAlign w:val="center"/>
                </w:tcPr>
                <w:p w14:paraId="325A9D84">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8.69</w:t>
                  </w:r>
                </w:p>
              </w:tc>
              <w:tc>
                <w:tcPr>
                  <w:tcW w:w="432" w:type="pct"/>
                  <w:noWrap w:val="0"/>
                  <w:vAlign w:val="center"/>
                </w:tcPr>
                <w:p w14:paraId="2E9AA13D">
                  <w:pPr>
                    <w:jc w:val="center"/>
                    <w:rPr>
                      <w:rFonts w:hint="eastAsia"/>
                      <w:color w:val="auto"/>
                      <w:szCs w:val="21"/>
                    </w:rPr>
                  </w:pPr>
                  <w:r>
                    <w:rPr>
                      <w:rFonts w:hint="eastAsia"/>
                      <w:color w:val="auto"/>
                      <w:szCs w:val="21"/>
                    </w:rPr>
                    <w:t>1</w:t>
                  </w:r>
                </w:p>
              </w:tc>
              <w:tc>
                <w:tcPr>
                  <w:tcW w:w="277" w:type="pct"/>
                  <w:vMerge w:val="continue"/>
                  <w:noWrap w:val="0"/>
                  <w:vAlign w:val="center"/>
                </w:tcPr>
                <w:p w14:paraId="0ED552B4">
                  <w:pPr>
                    <w:jc w:val="center"/>
                    <w:rPr>
                      <w:rFonts w:hint="eastAsia"/>
                      <w:color w:val="auto"/>
                      <w:szCs w:val="21"/>
                    </w:rPr>
                  </w:pPr>
                </w:p>
              </w:tc>
              <w:tc>
                <w:tcPr>
                  <w:tcW w:w="396" w:type="pct"/>
                  <w:vMerge w:val="continue"/>
                  <w:noWrap w:val="0"/>
                  <w:vAlign w:val="center"/>
                </w:tcPr>
                <w:p w14:paraId="54F891B0">
                  <w:pPr>
                    <w:jc w:val="center"/>
                    <w:rPr>
                      <w:rFonts w:hint="eastAsia"/>
                      <w:color w:val="auto"/>
                      <w:szCs w:val="21"/>
                    </w:rPr>
                  </w:pPr>
                </w:p>
              </w:tc>
            </w:tr>
            <w:tr w14:paraId="539EC6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66" w:type="pct"/>
                  <w:shd w:val="clear" w:color="auto" w:fill="auto"/>
                  <w:noWrap w:val="0"/>
                  <w:vAlign w:val="center"/>
                </w:tcPr>
                <w:p w14:paraId="52FA227C">
                  <w:pPr>
                    <w:widowControl/>
                    <w:adjustRightInd w:val="0"/>
                    <w:snapToGrid w:val="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裁剪机</w:t>
                  </w:r>
                </w:p>
              </w:tc>
              <w:tc>
                <w:tcPr>
                  <w:tcW w:w="371" w:type="pct"/>
                  <w:shd w:val="clear" w:color="auto" w:fill="auto"/>
                  <w:noWrap w:val="0"/>
                  <w:vAlign w:val="center"/>
                </w:tcPr>
                <w:p w14:paraId="404D246C">
                  <w:pPr>
                    <w:pStyle w:val="59"/>
                    <w:rPr>
                      <w:rFonts w:hint="default" w:ascii="Times New Roman" w:hAnsi="Times New Roman" w:eastAsia="宋体" w:cs="宋体"/>
                      <w:color w:val="auto"/>
                      <w:kern w:val="2"/>
                      <w:sz w:val="21"/>
                      <w:szCs w:val="21"/>
                      <w:highlight w:val="none"/>
                      <w:lang w:val="en-US" w:eastAsia="zh-CN" w:bidi="ar-SA"/>
                    </w:rPr>
                  </w:pPr>
                  <w:r>
                    <w:rPr>
                      <w:rFonts w:hint="eastAsia" w:ascii="Times New Roman" w:hAnsi="Times New Roman" w:cs="宋体"/>
                      <w:color w:val="auto"/>
                      <w:kern w:val="2"/>
                      <w:sz w:val="21"/>
                      <w:szCs w:val="21"/>
                      <w:highlight w:val="none"/>
                      <w:lang w:val="en-US" w:eastAsia="zh-CN" w:bidi="ar-SA"/>
                    </w:rPr>
                    <w:t>1</w:t>
                  </w:r>
                </w:p>
              </w:tc>
              <w:tc>
                <w:tcPr>
                  <w:tcW w:w="601" w:type="pct"/>
                  <w:shd w:val="clear" w:color="auto" w:fill="auto"/>
                  <w:noWrap w:val="0"/>
                  <w:vAlign w:val="center"/>
                </w:tcPr>
                <w:p w14:paraId="5BCFAD3D">
                  <w:pPr>
                    <w:pStyle w:val="59"/>
                    <w:rPr>
                      <w:rFonts w:hint="default" w:ascii="Times New Roman" w:hAnsi="Times New Roman" w:eastAsia="宋体" w:cs="宋体"/>
                      <w:color w:val="auto"/>
                      <w:kern w:val="2"/>
                      <w:sz w:val="21"/>
                      <w:szCs w:val="21"/>
                      <w:highlight w:val="none"/>
                      <w:lang w:val="en-US" w:eastAsia="zh-CN" w:bidi="ar-SA"/>
                    </w:rPr>
                  </w:pPr>
                  <w:r>
                    <w:rPr>
                      <w:rFonts w:hint="eastAsia" w:ascii="Times New Roman" w:hAnsi="Times New Roman"/>
                      <w:color w:val="auto"/>
                      <w:kern w:val="2"/>
                      <w:sz w:val="21"/>
                      <w:szCs w:val="21"/>
                      <w:highlight w:val="none"/>
                      <w:lang w:val="en-US" w:eastAsia="zh-CN"/>
                    </w:rPr>
                    <w:t>75</w:t>
                  </w:r>
                </w:p>
              </w:tc>
              <w:tc>
                <w:tcPr>
                  <w:tcW w:w="499" w:type="pct"/>
                  <w:vMerge w:val="continue"/>
                  <w:shd w:val="clear" w:color="auto" w:fill="auto"/>
                  <w:noWrap w:val="0"/>
                  <w:vAlign w:val="center"/>
                </w:tcPr>
                <w:p w14:paraId="76292AC5">
                  <w:pPr>
                    <w:jc w:val="center"/>
                    <w:rPr>
                      <w:rFonts w:hint="eastAsia" w:ascii="Times New Roman" w:hAnsi="Times New Roman" w:eastAsia="宋体" w:cs="Times New Roman"/>
                      <w:color w:val="auto"/>
                      <w:kern w:val="2"/>
                      <w:sz w:val="21"/>
                      <w:szCs w:val="21"/>
                      <w:lang w:val="en-US" w:eastAsia="zh-CN" w:bidi="ar-SA"/>
                    </w:rPr>
                  </w:pPr>
                </w:p>
              </w:tc>
              <w:tc>
                <w:tcPr>
                  <w:tcW w:w="415" w:type="pct"/>
                  <w:shd w:val="clear" w:color="auto" w:fill="auto"/>
                  <w:noWrap w:val="0"/>
                  <w:vAlign w:val="center"/>
                </w:tcPr>
                <w:p w14:paraId="032529D5">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192B48BC">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67</w:t>
                  </w:r>
                </w:p>
              </w:tc>
              <w:tc>
                <w:tcPr>
                  <w:tcW w:w="358" w:type="pct"/>
                  <w:shd w:val="clear" w:color="auto" w:fill="auto"/>
                  <w:noWrap w:val="0"/>
                  <w:vAlign w:val="center"/>
                </w:tcPr>
                <w:p w14:paraId="78F6C0EB">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6.78</w:t>
                  </w:r>
                </w:p>
              </w:tc>
              <w:tc>
                <w:tcPr>
                  <w:tcW w:w="403" w:type="pct"/>
                  <w:shd w:val="clear" w:color="auto" w:fill="auto"/>
                  <w:noWrap w:val="0"/>
                  <w:vAlign w:val="center"/>
                </w:tcPr>
                <w:p w14:paraId="751E780E">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9.07</w:t>
                  </w:r>
                </w:p>
              </w:tc>
              <w:tc>
                <w:tcPr>
                  <w:tcW w:w="432" w:type="pct"/>
                  <w:noWrap w:val="0"/>
                  <w:vAlign w:val="center"/>
                </w:tcPr>
                <w:p w14:paraId="2B853A86">
                  <w:pPr>
                    <w:jc w:val="center"/>
                    <w:rPr>
                      <w:rFonts w:hint="eastAsia"/>
                      <w:color w:val="auto"/>
                      <w:szCs w:val="21"/>
                    </w:rPr>
                  </w:pPr>
                  <w:r>
                    <w:rPr>
                      <w:rFonts w:hint="eastAsia"/>
                      <w:color w:val="auto"/>
                      <w:szCs w:val="21"/>
                    </w:rPr>
                    <w:t>1</w:t>
                  </w:r>
                </w:p>
              </w:tc>
              <w:tc>
                <w:tcPr>
                  <w:tcW w:w="277" w:type="pct"/>
                  <w:vMerge w:val="restart"/>
                  <w:noWrap w:val="0"/>
                  <w:vAlign w:val="center"/>
                </w:tcPr>
                <w:p w14:paraId="37C166DC">
                  <w:pPr>
                    <w:jc w:val="center"/>
                    <w:rPr>
                      <w:rFonts w:hint="eastAsia"/>
                      <w:color w:val="auto"/>
                      <w:szCs w:val="21"/>
                    </w:rPr>
                  </w:pPr>
                  <w:r>
                    <w:rPr>
                      <w:rFonts w:hint="eastAsia"/>
                      <w:color w:val="auto"/>
                      <w:szCs w:val="21"/>
                    </w:rPr>
                    <w:t>昼间</w:t>
                  </w:r>
                </w:p>
              </w:tc>
              <w:tc>
                <w:tcPr>
                  <w:tcW w:w="396" w:type="pct"/>
                  <w:vMerge w:val="continue"/>
                  <w:noWrap w:val="0"/>
                  <w:vAlign w:val="center"/>
                </w:tcPr>
                <w:p w14:paraId="26BBD890">
                  <w:pPr>
                    <w:jc w:val="center"/>
                    <w:rPr>
                      <w:rFonts w:hint="eastAsia"/>
                      <w:color w:val="auto"/>
                      <w:szCs w:val="21"/>
                    </w:rPr>
                  </w:pPr>
                </w:p>
              </w:tc>
            </w:tr>
            <w:tr w14:paraId="5CA1E0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66" w:type="pct"/>
                  <w:shd w:val="clear" w:color="auto" w:fill="auto"/>
                  <w:noWrap w:val="0"/>
                  <w:vAlign w:val="center"/>
                </w:tcPr>
                <w:p w14:paraId="72471357">
                  <w:pPr>
                    <w:widowControl/>
                    <w:adjustRightInd w:val="0"/>
                    <w:snapToGrid w:val="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半自动电阻缝焊机</w:t>
                  </w:r>
                </w:p>
              </w:tc>
              <w:tc>
                <w:tcPr>
                  <w:tcW w:w="371" w:type="pct"/>
                  <w:shd w:val="clear" w:color="auto" w:fill="auto"/>
                  <w:noWrap w:val="0"/>
                  <w:vAlign w:val="center"/>
                </w:tcPr>
                <w:p w14:paraId="546D5541">
                  <w:pPr>
                    <w:pStyle w:val="59"/>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cs="宋体"/>
                      <w:color w:val="auto"/>
                      <w:kern w:val="2"/>
                      <w:sz w:val="21"/>
                      <w:szCs w:val="21"/>
                      <w:highlight w:val="none"/>
                      <w:lang w:val="en-US" w:eastAsia="zh-CN" w:bidi="ar-SA"/>
                    </w:rPr>
                    <w:t>1</w:t>
                  </w:r>
                </w:p>
              </w:tc>
              <w:tc>
                <w:tcPr>
                  <w:tcW w:w="601" w:type="pct"/>
                  <w:shd w:val="clear" w:color="auto" w:fill="auto"/>
                  <w:noWrap w:val="0"/>
                  <w:vAlign w:val="center"/>
                </w:tcPr>
                <w:p w14:paraId="7168C2AA">
                  <w:pPr>
                    <w:pStyle w:val="59"/>
                    <w:rPr>
                      <w:rFonts w:hint="default" w:ascii="Times New Roman" w:hAnsi="Times New Roman" w:eastAsia="宋体" w:cs="宋体"/>
                      <w:color w:val="auto"/>
                      <w:kern w:val="2"/>
                      <w:sz w:val="21"/>
                      <w:szCs w:val="21"/>
                      <w:highlight w:val="none"/>
                      <w:lang w:val="en-US" w:eastAsia="zh-CN" w:bidi="ar-SA"/>
                    </w:rPr>
                  </w:pPr>
                  <w:r>
                    <w:rPr>
                      <w:rFonts w:hint="eastAsia" w:ascii="Times New Roman" w:hAnsi="Times New Roman"/>
                      <w:color w:val="auto"/>
                      <w:kern w:val="2"/>
                      <w:sz w:val="21"/>
                      <w:szCs w:val="21"/>
                      <w:highlight w:val="none"/>
                      <w:lang w:val="en-US" w:eastAsia="zh-CN"/>
                    </w:rPr>
                    <w:t>75</w:t>
                  </w:r>
                </w:p>
              </w:tc>
              <w:tc>
                <w:tcPr>
                  <w:tcW w:w="499" w:type="pct"/>
                  <w:vMerge w:val="continue"/>
                  <w:shd w:val="clear" w:color="auto" w:fill="auto"/>
                  <w:noWrap w:val="0"/>
                  <w:vAlign w:val="center"/>
                </w:tcPr>
                <w:p w14:paraId="4019629E">
                  <w:pPr>
                    <w:jc w:val="center"/>
                    <w:rPr>
                      <w:rFonts w:hint="eastAsia" w:ascii="Times New Roman" w:hAnsi="Times New Roman" w:eastAsia="宋体" w:cs="Times New Roman"/>
                      <w:color w:val="auto"/>
                      <w:kern w:val="2"/>
                      <w:sz w:val="21"/>
                      <w:szCs w:val="21"/>
                      <w:lang w:val="en-US" w:eastAsia="zh-CN" w:bidi="ar-SA"/>
                    </w:rPr>
                  </w:pPr>
                </w:p>
              </w:tc>
              <w:tc>
                <w:tcPr>
                  <w:tcW w:w="415" w:type="pct"/>
                  <w:shd w:val="clear" w:color="auto" w:fill="auto"/>
                  <w:noWrap w:val="0"/>
                  <w:vAlign w:val="center"/>
                </w:tcPr>
                <w:p w14:paraId="3B392645">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1CBE6944">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67</w:t>
                  </w:r>
                </w:p>
              </w:tc>
              <w:tc>
                <w:tcPr>
                  <w:tcW w:w="358" w:type="pct"/>
                  <w:shd w:val="clear" w:color="auto" w:fill="auto"/>
                  <w:noWrap w:val="0"/>
                  <w:vAlign w:val="center"/>
                </w:tcPr>
                <w:p w14:paraId="3E063836">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7.25</w:t>
                  </w:r>
                </w:p>
              </w:tc>
              <w:tc>
                <w:tcPr>
                  <w:tcW w:w="403" w:type="pct"/>
                  <w:shd w:val="clear" w:color="auto" w:fill="auto"/>
                  <w:noWrap w:val="0"/>
                  <w:vAlign w:val="center"/>
                </w:tcPr>
                <w:p w14:paraId="0ADFBB79">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14.17</w:t>
                  </w:r>
                </w:p>
              </w:tc>
              <w:tc>
                <w:tcPr>
                  <w:tcW w:w="432" w:type="pct"/>
                  <w:noWrap w:val="0"/>
                  <w:vAlign w:val="center"/>
                </w:tcPr>
                <w:p w14:paraId="76A3516D">
                  <w:pPr>
                    <w:jc w:val="center"/>
                    <w:rPr>
                      <w:rFonts w:hint="eastAsia"/>
                      <w:color w:val="auto"/>
                      <w:szCs w:val="21"/>
                    </w:rPr>
                  </w:pPr>
                  <w:r>
                    <w:rPr>
                      <w:rFonts w:hint="eastAsia"/>
                      <w:color w:val="auto"/>
                      <w:szCs w:val="21"/>
                    </w:rPr>
                    <w:t>1</w:t>
                  </w:r>
                </w:p>
              </w:tc>
              <w:tc>
                <w:tcPr>
                  <w:tcW w:w="277" w:type="pct"/>
                  <w:vMerge w:val="continue"/>
                  <w:noWrap w:val="0"/>
                  <w:vAlign w:val="center"/>
                </w:tcPr>
                <w:p w14:paraId="083D282F">
                  <w:pPr>
                    <w:jc w:val="center"/>
                    <w:rPr>
                      <w:rFonts w:hint="eastAsia"/>
                      <w:color w:val="auto"/>
                      <w:szCs w:val="21"/>
                    </w:rPr>
                  </w:pPr>
                </w:p>
              </w:tc>
              <w:tc>
                <w:tcPr>
                  <w:tcW w:w="396" w:type="pct"/>
                  <w:vMerge w:val="continue"/>
                  <w:noWrap w:val="0"/>
                  <w:vAlign w:val="center"/>
                </w:tcPr>
                <w:p w14:paraId="05838E4E">
                  <w:pPr>
                    <w:jc w:val="center"/>
                    <w:rPr>
                      <w:rFonts w:hint="eastAsia"/>
                      <w:color w:val="auto"/>
                      <w:szCs w:val="21"/>
                    </w:rPr>
                  </w:pPr>
                </w:p>
              </w:tc>
            </w:tr>
            <w:tr w14:paraId="01F557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766" w:type="pct"/>
                  <w:shd w:val="clear" w:color="auto" w:fill="auto"/>
                  <w:noWrap w:val="0"/>
                  <w:vAlign w:val="center"/>
                </w:tcPr>
                <w:p w14:paraId="044C75DD">
                  <w:pPr>
                    <w:widowControl/>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液压涨筋涨锥机</w:t>
                  </w:r>
                </w:p>
              </w:tc>
              <w:tc>
                <w:tcPr>
                  <w:tcW w:w="371" w:type="pct"/>
                  <w:shd w:val="clear" w:color="auto" w:fill="auto"/>
                  <w:noWrap w:val="0"/>
                  <w:vAlign w:val="center"/>
                </w:tcPr>
                <w:p w14:paraId="33A22B91">
                  <w:pPr>
                    <w:pStyle w:val="59"/>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cs="宋体"/>
                      <w:color w:val="auto"/>
                      <w:kern w:val="2"/>
                      <w:sz w:val="21"/>
                      <w:szCs w:val="21"/>
                      <w:highlight w:val="none"/>
                      <w:lang w:val="en-US" w:eastAsia="zh-CN" w:bidi="ar-SA"/>
                    </w:rPr>
                    <w:t>1</w:t>
                  </w:r>
                </w:p>
              </w:tc>
              <w:tc>
                <w:tcPr>
                  <w:tcW w:w="601" w:type="pct"/>
                  <w:shd w:val="clear" w:color="auto" w:fill="auto"/>
                  <w:noWrap w:val="0"/>
                  <w:vAlign w:val="center"/>
                </w:tcPr>
                <w:p w14:paraId="0A3C86B6">
                  <w:pPr>
                    <w:pStyle w:val="59"/>
                    <w:rPr>
                      <w:rFonts w:hint="default" w:ascii="Times New Roman" w:hAnsi="Times New Roman" w:eastAsia="宋体" w:cs="宋体"/>
                      <w:color w:val="auto"/>
                      <w:kern w:val="2"/>
                      <w:sz w:val="21"/>
                      <w:szCs w:val="21"/>
                      <w:highlight w:val="none"/>
                      <w:lang w:val="en-US" w:eastAsia="zh-CN" w:bidi="ar-SA"/>
                    </w:rPr>
                  </w:pPr>
                  <w:r>
                    <w:rPr>
                      <w:rFonts w:hint="eastAsia" w:ascii="Times New Roman" w:hAnsi="Times New Roman"/>
                      <w:color w:val="auto"/>
                      <w:kern w:val="2"/>
                      <w:sz w:val="21"/>
                      <w:szCs w:val="21"/>
                      <w:highlight w:val="none"/>
                      <w:lang w:val="en-US" w:eastAsia="zh-CN"/>
                    </w:rPr>
                    <w:t>75</w:t>
                  </w:r>
                </w:p>
              </w:tc>
              <w:tc>
                <w:tcPr>
                  <w:tcW w:w="499" w:type="pct"/>
                  <w:vMerge w:val="continue"/>
                  <w:noWrap w:val="0"/>
                  <w:vAlign w:val="center"/>
                </w:tcPr>
                <w:p w14:paraId="6815C4E6">
                  <w:pPr>
                    <w:jc w:val="center"/>
                    <w:rPr>
                      <w:rFonts w:hint="eastAsia"/>
                      <w:color w:val="auto"/>
                      <w:szCs w:val="21"/>
                    </w:rPr>
                  </w:pPr>
                </w:p>
              </w:tc>
              <w:tc>
                <w:tcPr>
                  <w:tcW w:w="415" w:type="pct"/>
                  <w:shd w:val="clear" w:color="auto" w:fill="auto"/>
                  <w:noWrap w:val="0"/>
                  <w:vAlign w:val="center"/>
                </w:tcPr>
                <w:p w14:paraId="21E223B2">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0F3D0488">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67</w:t>
                  </w:r>
                </w:p>
              </w:tc>
              <w:tc>
                <w:tcPr>
                  <w:tcW w:w="358" w:type="pct"/>
                  <w:shd w:val="clear" w:color="auto" w:fill="auto"/>
                  <w:noWrap w:val="0"/>
                  <w:vAlign w:val="center"/>
                </w:tcPr>
                <w:p w14:paraId="68B8DDDD">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8.02</w:t>
                  </w:r>
                </w:p>
              </w:tc>
              <w:tc>
                <w:tcPr>
                  <w:tcW w:w="403" w:type="pct"/>
                  <w:shd w:val="clear" w:color="auto" w:fill="auto"/>
                  <w:noWrap w:val="0"/>
                  <w:vAlign w:val="center"/>
                </w:tcPr>
                <w:p w14:paraId="3845DE28">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18.81</w:t>
                  </w:r>
                </w:p>
              </w:tc>
              <w:tc>
                <w:tcPr>
                  <w:tcW w:w="432" w:type="pct"/>
                  <w:noWrap w:val="0"/>
                  <w:vAlign w:val="center"/>
                </w:tcPr>
                <w:p w14:paraId="6B34B704">
                  <w:pPr>
                    <w:jc w:val="center"/>
                    <w:rPr>
                      <w:rFonts w:hint="eastAsia"/>
                      <w:color w:val="auto"/>
                      <w:szCs w:val="21"/>
                    </w:rPr>
                  </w:pPr>
                  <w:r>
                    <w:rPr>
                      <w:rFonts w:hint="eastAsia"/>
                      <w:color w:val="auto"/>
                      <w:szCs w:val="21"/>
                    </w:rPr>
                    <w:t>1</w:t>
                  </w:r>
                </w:p>
              </w:tc>
              <w:tc>
                <w:tcPr>
                  <w:tcW w:w="277" w:type="pct"/>
                  <w:vMerge w:val="continue"/>
                  <w:noWrap w:val="0"/>
                  <w:vAlign w:val="center"/>
                </w:tcPr>
                <w:p w14:paraId="1CBA3A7A">
                  <w:pPr>
                    <w:jc w:val="center"/>
                    <w:rPr>
                      <w:rFonts w:hint="eastAsia"/>
                      <w:color w:val="auto"/>
                      <w:szCs w:val="21"/>
                    </w:rPr>
                  </w:pPr>
                </w:p>
              </w:tc>
              <w:tc>
                <w:tcPr>
                  <w:tcW w:w="396" w:type="pct"/>
                  <w:vMerge w:val="continue"/>
                  <w:noWrap w:val="0"/>
                  <w:vAlign w:val="center"/>
                </w:tcPr>
                <w:p w14:paraId="1FCDAA3E">
                  <w:pPr>
                    <w:jc w:val="center"/>
                    <w:rPr>
                      <w:rFonts w:hint="eastAsia"/>
                      <w:color w:val="auto"/>
                      <w:szCs w:val="21"/>
                    </w:rPr>
                  </w:pPr>
                </w:p>
              </w:tc>
            </w:tr>
            <w:tr w14:paraId="7DE1C4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66" w:type="pct"/>
                  <w:shd w:val="clear" w:color="auto" w:fill="auto"/>
                  <w:noWrap w:val="0"/>
                  <w:vAlign w:val="center"/>
                </w:tcPr>
                <w:p w14:paraId="0321D880">
                  <w:pPr>
                    <w:widowControl/>
                    <w:adjustRightInd w:val="0"/>
                    <w:snapToGrid w:val="0"/>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反边机</w:t>
                  </w:r>
                </w:p>
              </w:tc>
              <w:tc>
                <w:tcPr>
                  <w:tcW w:w="371" w:type="pct"/>
                  <w:shd w:val="clear" w:color="auto" w:fill="auto"/>
                  <w:noWrap w:val="0"/>
                  <w:vAlign w:val="center"/>
                </w:tcPr>
                <w:p w14:paraId="7639D135">
                  <w:pPr>
                    <w:pStyle w:val="59"/>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cs="宋体"/>
                      <w:color w:val="auto"/>
                      <w:kern w:val="2"/>
                      <w:sz w:val="21"/>
                      <w:szCs w:val="21"/>
                      <w:highlight w:val="none"/>
                      <w:lang w:val="en-US" w:eastAsia="zh-CN" w:bidi="ar-SA"/>
                    </w:rPr>
                    <w:t>1</w:t>
                  </w:r>
                </w:p>
              </w:tc>
              <w:tc>
                <w:tcPr>
                  <w:tcW w:w="601" w:type="pct"/>
                  <w:shd w:val="clear" w:color="auto" w:fill="auto"/>
                  <w:noWrap w:val="0"/>
                  <w:vAlign w:val="center"/>
                </w:tcPr>
                <w:p w14:paraId="5D9B1822">
                  <w:pPr>
                    <w:pStyle w:val="59"/>
                    <w:rPr>
                      <w:rFonts w:hint="default" w:ascii="Times New Roman" w:hAnsi="Times New Roman" w:eastAsia="宋体" w:cs="宋体"/>
                      <w:color w:val="auto"/>
                      <w:kern w:val="2"/>
                      <w:sz w:val="21"/>
                      <w:szCs w:val="21"/>
                      <w:highlight w:val="none"/>
                      <w:lang w:val="en-US" w:eastAsia="zh-CN" w:bidi="ar-SA"/>
                    </w:rPr>
                  </w:pPr>
                  <w:r>
                    <w:rPr>
                      <w:rFonts w:hint="eastAsia" w:ascii="Times New Roman" w:hAnsi="Times New Roman"/>
                      <w:color w:val="auto"/>
                      <w:kern w:val="2"/>
                      <w:sz w:val="21"/>
                      <w:szCs w:val="21"/>
                      <w:highlight w:val="none"/>
                      <w:lang w:val="en-US" w:eastAsia="zh-CN"/>
                    </w:rPr>
                    <w:t>70</w:t>
                  </w:r>
                </w:p>
              </w:tc>
              <w:tc>
                <w:tcPr>
                  <w:tcW w:w="499" w:type="pct"/>
                  <w:vMerge w:val="continue"/>
                  <w:shd w:val="clear" w:color="auto" w:fill="auto"/>
                  <w:noWrap w:val="0"/>
                  <w:vAlign w:val="center"/>
                </w:tcPr>
                <w:p w14:paraId="6AD6C918">
                  <w:pPr>
                    <w:jc w:val="center"/>
                    <w:rPr>
                      <w:rFonts w:hint="eastAsia" w:ascii="Times New Roman" w:hAnsi="Times New Roman" w:eastAsia="宋体" w:cs="Times New Roman"/>
                      <w:color w:val="auto"/>
                      <w:kern w:val="2"/>
                      <w:sz w:val="21"/>
                      <w:szCs w:val="21"/>
                      <w:lang w:val="en-US" w:eastAsia="zh-CN" w:bidi="ar-SA"/>
                    </w:rPr>
                  </w:pPr>
                </w:p>
              </w:tc>
              <w:tc>
                <w:tcPr>
                  <w:tcW w:w="415" w:type="pct"/>
                  <w:shd w:val="clear" w:color="auto" w:fill="auto"/>
                  <w:noWrap w:val="0"/>
                  <w:vAlign w:val="center"/>
                </w:tcPr>
                <w:p w14:paraId="32BFC362">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134BA1BD">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62</w:t>
                  </w:r>
                </w:p>
              </w:tc>
              <w:tc>
                <w:tcPr>
                  <w:tcW w:w="358" w:type="pct"/>
                  <w:shd w:val="clear" w:color="auto" w:fill="auto"/>
                  <w:noWrap w:val="0"/>
                  <w:vAlign w:val="center"/>
                </w:tcPr>
                <w:p w14:paraId="0A49EEA6">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8.33</w:t>
                  </w:r>
                </w:p>
              </w:tc>
              <w:tc>
                <w:tcPr>
                  <w:tcW w:w="403" w:type="pct"/>
                  <w:shd w:val="clear" w:color="auto" w:fill="auto"/>
                  <w:noWrap w:val="0"/>
                  <w:vAlign w:val="center"/>
                </w:tcPr>
                <w:p w14:paraId="0FDB1260">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22.83</w:t>
                  </w:r>
                </w:p>
              </w:tc>
              <w:tc>
                <w:tcPr>
                  <w:tcW w:w="432" w:type="pct"/>
                  <w:noWrap w:val="0"/>
                  <w:vAlign w:val="center"/>
                </w:tcPr>
                <w:p w14:paraId="1DAF9114">
                  <w:pPr>
                    <w:jc w:val="center"/>
                    <w:rPr>
                      <w:rFonts w:hint="eastAsia" w:eastAsia="宋体"/>
                      <w:color w:val="auto"/>
                      <w:szCs w:val="21"/>
                      <w:lang w:val="en-US" w:eastAsia="zh-CN"/>
                    </w:rPr>
                  </w:pPr>
                  <w:r>
                    <w:rPr>
                      <w:rFonts w:hint="eastAsia"/>
                      <w:color w:val="auto"/>
                      <w:szCs w:val="21"/>
                      <w:lang w:val="en-US" w:eastAsia="zh-CN"/>
                    </w:rPr>
                    <w:t>1</w:t>
                  </w:r>
                </w:p>
              </w:tc>
              <w:tc>
                <w:tcPr>
                  <w:tcW w:w="277" w:type="pct"/>
                  <w:vMerge w:val="continue"/>
                  <w:noWrap w:val="0"/>
                  <w:vAlign w:val="center"/>
                </w:tcPr>
                <w:p w14:paraId="4672FF14">
                  <w:pPr>
                    <w:jc w:val="center"/>
                    <w:rPr>
                      <w:rFonts w:hint="eastAsia"/>
                      <w:color w:val="auto"/>
                      <w:szCs w:val="21"/>
                    </w:rPr>
                  </w:pPr>
                </w:p>
              </w:tc>
              <w:tc>
                <w:tcPr>
                  <w:tcW w:w="396" w:type="pct"/>
                  <w:vMerge w:val="continue"/>
                  <w:noWrap w:val="0"/>
                  <w:vAlign w:val="center"/>
                </w:tcPr>
                <w:p w14:paraId="1566BC28">
                  <w:pPr>
                    <w:jc w:val="center"/>
                    <w:rPr>
                      <w:rFonts w:hint="eastAsia"/>
                      <w:color w:val="auto"/>
                      <w:szCs w:val="21"/>
                    </w:rPr>
                  </w:pPr>
                </w:p>
              </w:tc>
            </w:tr>
            <w:tr w14:paraId="29860E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66" w:type="pct"/>
                  <w:shd w:val="clear" w:color="auto" w:fill="auto"/>
                  <w:noWrap w:val="0"/>
                  <w:vAlign w:val="center"/>
                </w:tcPr>
                <w:p w14:paraId="52182BA9">
                  <w:pPr>
                    <w:widowControl/>
                    <w:adjustRightInd w:val="0"/>
                    <w:snapToGrid w:val="0"/>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封罐机</w:t>
                  </w:r>
                </w:p>
              </w:tc>
              <w:tc>
                <w:tcPr>
                  <w:tcW w:w="371" w:type="pct"/>
                  <w:shd w:val="clear" w:color="auto" w:fill="auto"/>
                  <w:noWrap w:val="0"/>
                  <w:vAlign w:val="center"/>
                </w:tcPr>
                <w:p w14:paraId="6EE18C33">
                  <w:pPr>
                    <w:pStyle w:val="59"/>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cs="宋体"/>
                      <w:color w:val="auto"/>
                      <w:kern w:val="2"/>
                      <w:sz w:val="21"/>
                      <w:szCs w:val="21"/>
                      <w:highlight w:val="none"/>
                      <w:lang w:val="en-US" w:eastAsia="zh-CN" w:bidi="ar-SA"/>
                    </w:rPr>
                    <w:t>1</w:t>
                  </w:r>
                </w:p>
              </w:tc>
              <w:tc>
                <w:tcPr>
                  <w:tcW w:w="601" w:type="pct"/>
                  <w:shd w:val="clear" w:color="auto" w:fill="auto"/>
                  <w:noWrap w:val="0"/>
                  <w:vAlign w:val="center"/>
                </w:tcPr>
                <w:p w14:paraId="6692301B">
                  <w:pPr>
                    <w:pStyle w:val="59"/>
                    <w:rPr>
                      <w:rFonts w:hint="default" w:ascii="Times New Roman" w:hAnsi="Times New Roman" w:eastAsia="宋体" w:cs="宋体"/>
                      <w:color w:val="auto"/>
                      <w:kern w:val="2"/>
                      <w:sz w:val="21"/>
                      <w:szCs w:val="21"/>
                      <w:highlight w:val="none"/>
                      <w:lang w:val="en-US" w:eastAsia="zh-CN" w:bidi="ar-SA"/>
                    </w:rPr>
                  </w:pPr>
                  <w:r>
                    <w:rPr>
                      <w:rFonts w:hint="eastAsia" w:ascii="Times New Roman" w:hAnsi="Times New Roman"/>
                      <w:color w:val="auto"/>
                      <w:kern w:val="2"/>
                      <w:sz w:val="21"/>
                      <w:szCs w:val="21"/>
                      <w:highlight w:val="none"/>
                      <w:lang w:val="en-US" w:eastAsia="zh-CN"/>
                    </w:rPr>
                    <w:t>75</w:t>
                  </w:r>
                </w:p>
              </w:tc>
              <w:tc>
                <w:tcPr>
                  <w:tcW w:w="499" w:type="pct"/>
                  <w:vMerge w:val="continue"/>
                  <w:shd w:val="clear" w:color="auto" w:fill="auto"/>
                  <w:noWrap w:val="0"/>
                  <w:vAlign w:val="center"/>
                </w:tcPr>
                <w:p w14:paraId="139918B2">
                  <w:pPr>
                    <w:jc w:val="center"/>
                    <w:rPr>
                      <w:rFonts w:hint="eastAsia" w:ascii="Times New Roman" w:hAnsi="Times New Roman" w:eastAsia="宋体" w:cs="Times New Roman"/>
                      <w:color w:val="auto"/>
                      <w:kern w:val="2"/>
                      <w:sz w:val="21"/>
                      <w:szCs w:val="21"/>
                      <w:lang w:val="en-US" w:eastAsia="zh-CN" w:bidi="ar-SA"/>
                    </w:rPr>
                  </w:pPr>
                </w:p>
              </w:tc>
              <w:tc>
                <w:tcPr>
                  <w:tcW w:w="415" w:type="pct"/>
                  <w:shd w:val="clear" w:color="auto" w:fill="auto"/>
                  <w:noWrap w:val="0"/>
                  <w:vAlign w:val="center"/>
                </w:tcPr>
                <w:p w14:paraId="66922624">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1BB8BE2B">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67</w:t>
                  </w:r>
                </w:p>
              </w:tc>
              <w:tc>
                <w:tcPr>
                  <w:tcW w:w="358" w:type="pct"/>
                  <w:shd w:val="clear" w:color="auto" w:fill="auto"/>
                  <w:noWrap w:val="0"/>
                  <w:vAlign w:val="center"/>
                </w:tcPr>
                <w:p w14:paraId="37902F1B">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8.95</w:t>
                  </w:r>
                </w:p>
              </w:tc>
              <w:tc>
                <w:tcPr>
                  <w:tcW w:w="403" w:type="pct"/>
                  <w:shd w:val="clear" w:color="auto" w:fill="auto"/>
                  <w:noWrap w:val="0"/>
                  <w:vAlign w:val="center"/>
                </w:tcPr>
                <w:p w14:paraId="12A1F9BE">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26.69</w:t>
                  </w:r>
                </w:p>
              </w:tc>
              <w:tc>
                <w:tcPr>
                  <w:tcW w:w="432" w:type="pct"/>
                  <w:noWrap w:val="0"/>
                  <w:vAlign w:val="center"/>
                </w:tcPr>
                <w:p w14:paraId="4DA303CA">
                  <w:pPr>
                    <w:jc w:val="center"/>
                    <w:rPr>
                      <w:rFonts w:hint="eastAsia" w:eastAsia="宋体"/>
                      <w:color w:val="auto"/>
                      <w:szCs w:val="21"/>
                      <w:lang w:val="en-US" w:eastAsia="zh-CN"/>
                    </w:rPr>
                  </w:pPr>
                  <w:r>
                    <w:rPr>
                      <w:rFonts w:hint="eastAsia"/>
                      <w:color w:val="auto"/>
                      <w:szCs w:val="21"/>
                      <w:lang w:val="en-US" w:eastAsia="zh-CN"/>
                    </w:rPr>
                    <w:t>1</w:t>
                  </w:r>
                </w:p>
              </w:tc>
              <w:tc>
                <w:tcPr>
                  <w:tcW w:w="277" w:type="pct"/>
                  <w:vMerge w:val="continue"/>
                  <w:noWrap w:val="0"/>
                  <w:vAlign w:val="center"/>
                </w:tcPr>
                <w:p w14:paraId="08FEC0B3">
                  <w:pPr>
                    <w:jc w:val="center"/>
                    <w:rPr>
                      <w:rFonts w:hint="eastAsia"/>
                      <w:color w:val="auto"/>
                      <w:szCs w:val="21"/>
                    </w:rPr>
                  </w:pPr>
                </w:p>
              </w:tc>
              <w:tc>
                <w:tcPr>
                  <w:tcW w:w="396" w:type="pct"/>
                  <w:vMerge w:val="continue"/>
                  <w:noWrap w:val="0"/>
                  <w:vAlign w:val="center"/>
                </w:tcPr>
                <w:p w14:paraId="45751A7C">
                  <w:pPr>
                    <w:jc w:val="center"/>
                    <w:rPr>
                      <w:rFonts w:hint="eastAsia"/>
                      <w:color w:val="auto"/>
                      <w:szCs w:val="21"/>
                    </w:rPr>
                  </w:pPr>
                </w:p>
              </w:tc>
            </w:tr>
            <w:tr w14:paraId="22F49A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5" w:hRule="atLeast"/>
                <w:jc w:val="center"/>
              </w:trPr>
              <w:tc>
                <w:tcPr>
                  <w:tcW w:w="766" w:type="pct"/>
                  <w:shd w:val="clear" w:color="auto" w:fill="auto"/>
                  <w:noWrap w:val="0"/>
                  <w:vAlign w:val="center"/>
                </w:tcPr>
                <w:p w14:paraId="16A2424C">
                  <w:pPr>
                    <w:widowControl/>
                    <w:adjustRightInd w:val="0"/>
                    <w:snapToGrid w:val="0"/>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涨筋机</w:t>
                  </w:r>
                </w:p>
              </w:tc>
              <w:tc>
                <w:tcPr>
                  <w:tcW w:w="371" w:type="pct"/>
                  <w:shd w:val="clear" w:color="auto" w:fill="auto"/>
                  <w:noWrap w:val="0"/>
                  <w:vAlign w:val="center"/>
                </w:tcPr>
                <w:p w14:paraId="06724F58">
                  <w:pPr>
                    <w:pStyle w:val="59"/>
                    <w:rPr>
                      <w:rFonts w:hint="default" w:ascii="Times New Roman" w:hAnsi="Times New Roman" w:eastAsia="宋体" w:cs="宋体"/>
                      <w:color w:val="auto"/>
                      <w:kern w:val="2"/>
                      <w:sz w:val="21"/>
                      <w:szCs w:val="21"/>
                      <w:highlight w:val="none"/>
                      <w:lang w:val="en-US" w:eastAsia="zh-CN" w:bidi="ar-SA"/>
                    </w:rPr>
                  </w:pPr>
                  <w:r>
                    <w:rPr>
                      <w:rFonts w:hint="eastAsia" w:ascii="Times New Roman" w:hAnsi="Times New Roman" w:cs="宋体"/>
                      <w:color w:val="auto"/>
                      <w:kern w:val="2"/>
                      <w:sz w:val="21"/>
                      <w:szCs w:val="21"/>
                      <w:highlight w:val="none"/>
                      <w:lang w:val="en-US" w:eastAsia="zh-CN" w:bidi="ar-SA"/>
                    </w:rPr>
                    <w:t>1</w:t>
                  </w:r>
                </w:p>
              </w:tc>
              <w:tc>
                <w:tcPr>
                  <w:tcW w:w="601" w:type="pct"/>
                  <w:shd w:val="clear" w:color="auto" w:fill="auto"/>
                  <w:noWrap w:val="0"/>
                  <w:vAlign w:val="center"/>
                </w:tcPr>
                <w:p w14:paraId="4822D34F">
                  <w:pPr>
                    <w:pStyle w:val="59"/>
                    <w:rPr>
                      <w:rFonts w:hint="default" w:ascii="Times New Roman" w:hAnsi="Times New Roman" w:eastAsia="宋体" w:cs="宋体"/>
                      <w:color w:val="auto"/>
                      <w:kern w:val="2"/>
                      <w:sz w:val="21"/>
                      <w:szCs w:val="21"/>
                      <w:highlight w:val="none"/>
                      <w:lang w:val="en-US" w:eastAsia="zh-CN" w:bidi="ar-SA"/>
                    </w:rPr>
                  </w:pPr>
                  <w:r>
                    <w:rPr>
                      <w:rFonts w:hint="eastAsia" w:ascii="Times New Roman" w:hAnsi="Times New Roman"/>
                      <w:color w:val="auto"/>
                      <w:kern w:val="2"/>
                      <w:sz w:val="21"/>
                      <w:szCs w:val="21"/>
                      <w:highlight w:val="none"/>
                      <w:lang w:val="en-US" w:eastAsia="zh-CN"/>
                    </w:rPr>
                    <w:t>75</w:t>
                  </w:r>
                </w:p>
              </w:tc>
              <w:tc>
                <w:tcPr>
                  <w:tcW w:w="499" w:type="pct"/>
                  <w:vMerge w:val="continue"/>
                  <w:shd w:val="clear" w:color="auto" w:fill="auto"/>
                  <w:noWrap w:val="0"/>
                  <w:vAlign w:val="center"/>
                </w:tcPr>
                <w:p w14:paraId="59F2DCD0">
                  <w:pPr>
                    <w:jc w:val="center"/>
                    <w:rPr>
                      <w:rFonts w:hint="eastAsia" w:ascii="Times New Roman" w:hAnsi="Times New Roman" w:eastAsia="宋体" w:cs="Times New Roman"/>
                      <w:color w:val="auto"/>
                      <w:kern w:val="2"/>
                      <w:sz w:val="21"/>
                      <w:szCs w:val="21"/>
                      <w:lang w:val="en-US" w:eastAsia="zh-CN" w:bidi="ar-SA"/>
                    </w:rPr>
                  </w:pPr>
                </w:p>
              </w:tc>
              <w:tc>
                <w:tcPr>
                  <w:tcW w:w="415" w:type="pct"/>
                  <w:shd w:val="clear" w:color="auto" w:fill="auto"/>
                  <w:noWrap w:val="0"/>
                  <w:vAlign w:val="center"/>
                </w:tcPr>
                <w:p w14:paraId="398BC827">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w:t>
                  </w:r>
                </w:p>
              </w:tc>
              <w:tc>
                <w:tcPr>
                  <w:tcW w:w="479" w:type="pct"/>
                  <w:shd w:val="clear" w:color="auto" w:fill="auto"/>
                  <w:noWrap w:val="0"/>
                  <w:vAlign w:val="center"/>
                </w:tcPr>
                <w:p w14:paraId="42166125">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67</w:t>
                  </w:r>
                </w:p>
              </w:tc>
              <w:tc>
                <w:tcPr>
                  <w:tcW w:w="358" w:type="pct"/>
                  <w:shd w:val="clear" w:color="auto" w:fill="auto"/>
                  <w:noWrap w:val="0"/>
                  <w:vAlign w:val="center"/>
                </w:tcPr>
                <w:p w14:paraId="7CEF2D49">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9.41</w:t>
                  </w:r>
                </w:p>
              </w:tc>
              <w:tc>
                <w:tcPr>
                  <w:tcW w:w="403" w:type="pct"/>
                  <w:shd w:val="clear" w:color="auto" w:fill="auto"/>
                  <w:noWrap w:val="0"/>
                  <w:vAlign w:val="center"/>
                </w:tcPr>
                <w:p w14:paraId="72A2D876">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31.01</w:t>
                  </w:r>
                </w:p>
              </w:tc>
              <w:tc>
                <w:tcPr>
                  <w:tcW w:w="432" w:type="pct"/>
                  <w:noWrap w:val="0"/>
                  <w:vAlign w:val="center"/>
                </w:tcPr>
                <w:p w14:paraId="0195F264">
                  <w:pPr>
                    <w:jc w:val="center"/>
                    <w:rPr>
                      <w:rFonts w:hint="eastAsia"/>
                      <w:color w:val="auto"/>
                      <w:szCs w:val="21"/>
                    </w:rPr>
                  </w:pPr>
                  <w:r>
                    <w:rPr>
                      <w:rFonts w:hint="eastAsia"/>
                      <w:color w:val="auto"/>
                      <w:szCs w:val="21"/>
                    </w:rPr>
                    <w:t>1</w:t>
                  </w:r>
                </w:p>
              </w:tc>
              <w:tc>
                <w:tcPr>
                  <w:tcW w:w="277" w:type="pct"/>
                  <w:vMerge w:val="continue"/>
                  <w:noWrap w:val="0"/>
                  <w:vAlign w:val="center"/>
                </w:tcPr>
                <w:p w14:paraId="1BB29FB6">
                  <w:pPr>
                    <w:jc w:val="center"/>
                    <w:rPr>
                      <w:rFonts w:hint="eastAsia"/>
                      <w:color w:val="auto"/>
                      <w:szCs w:val="21"/>
                    </w:rPr>
                  </w:pPr>
                </w:p>
              </w:tc>
              <w:tc>
                <w:tcPr>
                  <w:tcW w:w="396" w:type="pct"/>
                  <w:vMerge w:val="continue"/>
                  <w:noWrap w:val="0"/>
                  <w:vAlign w:val="center"/>
                </w:tcPr>
                <w:p w14:paraId="487E133F">
                  <w:pPr>
                    <w:jc w:val="center"/>
                    <w:rPr>
                      <w:rFonts w:hint="eastAsia"/>
                      <w:color w:val="auto"/>
                      <w:szCs w:val="21"/>
                    </w:rPr>
                  </w:pPr>
                </w:p>
              </w:tc>
            </w:tr>
            <w:tr w14:paraId="581A1E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000" w:type="pct"/>
                  <w:gridSpan w:val="11"/>
                  <w:noWrap w:val="0"/>
                  <w:vAlign w:val="center"/>
                </w:tcPr>
                <w:p w14:paraId="03C22ABB">
                  <w:pPr>
                    <w:rPr>
                      <w:color w:val="auto"/>
                      <w:szCs w:val="21"/>
                    </w:rPr>
                  </w:pPr>
                  <w:r>
                    <w:rPr>
                      <w:rFonts w:hint="eastAsia"/>
                      <w:color w:val="auto"/>
                      <w:szCs w:val="21"/>
                    </w:rPr>
                    <w:t>注：坐标原点为厂区西南角</w:t>
                  </w:r>
                </w:p>
              </w:tc>
            </w:tr>
          </w:tbl>
          <w:p w14:paraId="2E6504FC">
            <w:pPr>
              <w:tabs>
                <w:tab w:val="left" w:pos="3870"/>
              </w:tabs>
              <w:spacing w:before="120" w:beforeLines="50"/>
              <w:jc w:val="center"/>
              <w:rPr>
                <w:b/>
                <w:color w:val="auto"/>
                <w:sz w:val="24"/>
              </w:rPr>
            </w:pPr>
            <w:r>
              <w:rPr>
                <w:b/>
                <w:color w:val="auto"/>
                <w:sz w:val="24"/>
              </w:rPr>
              <w:t>表4-</w:t>
            </w:r>
            <w:r>
              <w:rPr>
                <w:rFonts w:hint="eastAsia"/>
                <w:b/>
                <w:color w:val="auto"/>
                <w:sz w:val="24"/>
              </w:rPr>
              <w:t>8</w:t>
            </w:r>
            <w:r>
              <w:rPr>
                <w:b/>
                <w:color w:val="auto"/>
                <w:sz w:val="24"/>
              </w:rPr>
              <w:t xml:space="preserve">  </w:t>
            </w:r>
            <w:r>
              <w:rPr>
                <w:rFonts w:hint="eastAsia"/>
                <w:b/>
                <w:color w:val="auto"/>
                <w:sz w:val="24"/>
              </w:rPr>
              <w:t>项目运营期噪声源调查清单（室外声源）</w:t>
            </w:r>
          </w:p>
          <w:tbl>
            <w:tblPr>
              <w:tblStyle w:val="26"/>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914"/>
              <w:gridCol w:w="561"/>
              <w:gridCol w:w="1349"/>
              <w:gridCol w:w="1619"/>
              <w:gridCol w:w="712"/>
              <w:gridCol w:w="939"/>
              <w:gridCol w:w="691"/>
              <w:gridCol w:w="723"/>
              <w:gridCol w:w="559"/>
              <w:gridCol w:w="804"/>
            </w:tblGrid>
            <w:tr w14:paraId="0D9887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515" w:type="pct"/>
                  <w:vMerge w:val="restart"/>
                  <w:tcBorders>
                    <w:tl2br w:val="nil"/>
                    <w:tr2bl w:val="nil"/>
                  </w:tcBorders>
                  <w:vAlign w:val="center"/>
                </w:tcPr>
                <w:p w14:paraId="4C49F914">
                  <w:pPr>
                    <w:jc w:val="center"/>
                    <w:rPr>
                      <w:b/>
                      <w:bCs/>
                      <w:color w:val="auto"/>
                      <w:szCs w:val="21"/>
                      <w:lang w:val="zh-CN"/>
                    </w:rPr>
                  </w:pPr>
                  <w:r>
                    <w:rPr>
                      <w:b/>
                      <w:bCs/>
                      <w:color w:val="auto"/>
                      <w:szCs w:val="21"/>
                      <w:lang w:val="zh-CN"/>
                    </w:rPr>
                    <w:t>声源</w:t>
                  </w:r>
                  <w:r>
                    <w:rPr>
                      <w:rFonts w:hint="eastAsia"/>
                      <w:b/>
                      <w:bCs/>
                      <w:color w:val="auto"/>
                      <w:szCs w:val="21"/>
                    </w:rPr>
                    <w:t>名称</w:t>
                  </w:r>
                </w:p>
              </w:tc>
              <w:tc>
                <w:tcPr>
                  <w:tcW w:w="316" w:type="pct"/>
                  <w:vMerge w:val="restart"/>
                  <w:tcBorders>
                    <w:tl2br w:val="nil"/>
                    <w:tr2bl w:val="nil"/>
                  </w:tcBorders>
                  <w:vAlign w:val="center"/>
                </w:tcPr>
                <w:p w14:paraId="1EC4DA48">
                  <w:pPr>
                    <w:jc w:val="center"/>
                    <w:rPr>
                      <w:b/>
                      <w:bCs/>
                      <w:color w:val="auto"/>
                      <w:szCs w:val="21"/>
                      <w:lang w:val="zh-CN"/>
                    </w:rPr>
                  </w:pPr>
                  <w:r>
                    <w:rPr>
                      <w:b/>
                      <w:bCs/>
                      <w:color w:val="auto"/>
                      <w:szCs w:val="21"/>
                      <w:lang w:val="zh-CN"/>
                    </w:rPr>
                    <w:t>数量</w:t>
                  </w:r>
                </w:p>
              </w:tc>
              <w:tc>
                <w:tcPr>
                  <w:tcW w:w="760" w:type="pct"/>
                  <w:vMerge w:val="restart"/>
                  <w:tcBorders>
                    <w:tl2br w:val="nil"/>
                    <w:tr2bl w:val="nil"/>
                  </w:tcBorders>
                  <w:vAlign w:val="center"/>
                </w:tcPr>
                <w:p w14:paraId="35D20C79">
                  <w:pPr>
                    <w:jc w:val="center"/>
                    <w:rPr>
                      <w:b/>
                      <w:bCs/>
                      <w:color w:val="auto"/>
                      <w:szCs w:val="21"/>
                      <w:lang w:val="zh-CN"/>
                    </w:rPr>
                  </w:pPr>
                  <w:r>
                    <w:rPr>
                      <w:b/>
                      <w:bCs/>
                      <w:color w:val="auto"/>
                      <w:szCs w:val="21"/>
                      <w:lang w:val="zh-CN"/>
                    </w:rPr>
                    <w:t>声源源强dB（A）</w:t>
                  </w:r>
                </w:p>
              </w:tc>
              <w:tc>
                <w:tcPr>
                  <w:tcW w:w="1313" w:type="pct"/>
                  <w:gridSpan w:val="2"/>
                  <w:tcBorders>
                    <w:tl2br w:val="nil"/>
                    <w:tr2bl w:val="nil"/>
                  </w:tcBorders>
                  <w:vAlign w:val="center"/>
                </w:tcPr>
                <w:p w14:paraId="2628805C">
                  <w:pPr>
                    <w:jc w:val="center"/>
                    <w:rPr>
                      <w:b/>
                      <w:bCs/>
                      <w:color w:val="auto"/>
                      <w:szCs w:val="21"/>
                      <w:lang w:val="zh-CN"/>
                    </w:rPr>
                  </w:pPr>
                  <w:r>
                    <w:rPr>
                      <w:rFonts w:hint="eastAsia"/>
                      <w:b/>
                      <w:bCs/>
                      <w:color w:val="auto"/>
                      <w:szCs w:val="21"/>
                    </w:rPr>
                    <w:t>降噪措施</w:t>
                  </w:r>
                </w:p>
              </w:tc>
              <w:tc>
                <w:tcPr>
                  <w:tcW w:w="529" w:type="pct"/>
                  <w:vMerge w:val="restart"/>
                  <w:tcBorders>
                    <w:tl2br w:val="nil"/>
                    <w:tr2bl w:val="nil"/>
                  </w:tcBorders>
                  <w:vAlign w:val="center"/>
                </w:tcPr>
                <w:p w14:paraId="570C8D7B">
                  <w:pPr>
                    <w:jc w:val="center"/>
                    <w:rPr>
                      <w:b/>
                      <w:bCs/>
                      <w:color w:val="auto"/>
                      <w:szCs w:val="21"/>
                    </w:rPr>
                  </w:pPr>
                  <w:r>
                    <w:rPr>
                      <w:rFonts w:hint="eastAsia"/>
                      <w:b/>
                      <w:bCs/>
                      <w:color w:val="auto"/>
                      <w:szCs w:val="21"/>
                    </w:rPr>
                    <w:t>噪声排放值</w:t>
                  </w:r>
                  <w:r>
                    <w:rPr>
                      <w:b/>
                      <w:bCs/>
                      <w:color w:val="auto"/>
                      <w:szCs w:val="21"/>
                      <w:lang w:val="zh-CN"/>
                    </w:rPr>
                    <w:t>dB（A）</w:t>
                  </w:r>
                </w:p>
              </w:tc>
              <w:tc>
                <w:tcPr>
                  <w:tcW w:w="1111" w:type="pct"/>
                  <w:gridSpan w:val="3"/>
                  <w:tcBorders>
                    <w:tl2br w:val="nil"/>
                    <w:tr2bl w:val="nil"/>
                  </w:tcBorders>
                  <w:vAlign w:val="center"/>
                </w:tcPr>
                <w:p w14:paraId="010FE4B0">
                  <w:pPr>
                    <w:jc w:val="center"/>
                    <w:rPr>
                      <w:b/>
                      <w:bCs/>
                      <w:color w:val="auto"/>
                      <w:szCs w:val="21"/>
                      <w:lang w:val="zh-CN"/>
                    </w:rPr>
                  </w:pPr>
                  <w:r>
                    <w:rPr>
                      <w:b/>
                      <w:bCs/>
                      <w:color w:val="auto"/>
                      <w:szCs w:val="21"/>
                      <w:lang w:val="zh-CN"/>
                    </w:rPr>
                    <w:t>空间相对位置/m</w:t>
                  </w:r>
                </w:p>
              </w:tc>
              <w:tc>
                <w:tcPr>
                  <w:tcW w:w="452" w:type="pct"/>
                  <w:vMerge w:val="restart"/>
                  <w:tcBorders>
                    <w:tl2br w:val="nil"/>
                    <w:tr2bl w:val="nil"/>
                  </w:tcBorders>
                  <w:vAlign w:val="center"/>
                </w:tcPr>
                <w:p w14:paraId="4310C644">
                  <w:pPr>
                    <w:jc w:val="center"/>
                    <w:rPr>
                      <w:b/>
                      <w:bCs/>
                      <w:color w:val="auto"/>
                      <w:szCs w:val="21"/>
                      <w:lang w:val="zh-CN"/>
                    </w:rPr>
                  </w:pPr>
                  <w:r>
                    <w:rPr>
                      <w:b/>
                      <w:bCs/>
                      <w:color w:val="auto"/>
                      <w:szCs w:val="21"/>
                      <w:lang w:val="zh-CN"/>
                    </w:rPr>
                    <w:t>运行时间</w:t>
                  </w:r>
                </w:p>
              </w:tc>
            </w:tr>
            <w:tr w14:paraId="24CA7E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515" w:type="pct"/>
                  <w:vMerge w:val="continue"/>
                  <w:tcBorders>
                    <w:tl2br w:val="nil"/>
                    <w:tr2bl w:val="nil"/>
                  </w:tcBorders>
                  <w:vAlign w:val="center"/>
                </w:tcPr>
                <w:p w14:paraId="30C22D91">
                  <w:pPr>
                    <w:jc w:val="center"/>
                    <w:rPr>
                      <w:b/>
                      <w:bCs/>
                      <w:color w:val="auto"/>
                      <w:szCs w:val="21"/>
                      <w:lang w:val="zh-CN"/>
                    </w:rPr>
                  </w:pPr>
                </w:p>
              </w:tc>
              <w:tc>
                <w:tcPr>
                  <w:tcW w:w="316" w:type="pct"/>
                  <w:vMerge w:val="continue"/>
                  <w:tcBorders>
                    <w:tl2br w:val="nil"/>
                    <w:tr2bl w:val="nil"/>
                  </w:tcBorders>
                  <w:vAlign w:val="center"/>
                </w:tcPr>
                <w:p w14:paraId="7CB40F7B">
                  <w:pPr>
                    <w:jc w:val="center"/>
                    <w:rPr>
                      <w:b/>
                      <w:bCs/>
                      <w:color w:val="auto"/>
                      <w:szCs w:val="21"/>
                      <w:lang w:val="zh-CN"/>
                    </w:rPr>
                  </w:pPr>
                </w:p>
              </w:tc>
              <w:tc>
                <w:tcPr>
                  <w:tcW w:w="760" w:type="pct"/>
                  <w:vMerge w:val="continue"/>
                  <w:tcBorders>
                    <w:tl2br w:val="nil"/>
                    <w:tr2bl w:val="nil"/>
                  </w:tcBorders>
                  <w:vAlign w:val="center"/>
                </w:tcPr>
                <w:p w14:paraId="7B158882">
                  <w:pPr>
                    <w:jc w:val="center"/>
                    <w:rPr>
                      <w:b/>
                      <w:bCs/>
                      <w:color w:val="auto"/>
                      <w:szCs w:val="21"/>
                    </w:rPr>
                  </w:pPr>
                </w:p>
              </w:tc>
              <w:tc>
                <w:tcPr>
                  <w:tcW w:w="912" w:type="pct"/>
                  <w:tcBorders>
                    <w:tl2br w:val="nil"/>
                    <w:tr2bl w:val="nil"/>
                  </w:tcBorders>
                  <w:vAlign w:val="center"/>
                </w:tcPr>
                <w:p w14:paraId="7E3FEDD3">
                  <w:pPr>
                    <w:jc w:val="center"/>
                    <w:rPr>
                      <w:b/>
                      <w:bCs/>
                      <w:color w:val="auto"/>
                      <w:szCs w:val="21"/>
                      <w:lang w:val="zh-CN"/>
                    </w:rPr>
                  </w:pPr>
                  <w:r>
                    <w:rPr>
                      <w:b/>
                      <w:bCs/>
                      <w:color w:val="auto"/>
                      <w:szCs w:val="21"/>
                      <w:lang w:val="zh-CN"/>
                    </w:rPr>
                    <w:t>声源控制措施</w:t>
                  </w:r>
                </w:p>
              </w:tc>
              <w:tc>
                <w:tcPr>
                  <w:tcW w:w="401" w:type="pct"/>
                  <w:tcBorders>
                    <w:tl2br w:val="nil"/>
                    <w:tr2bl w:val="nil"/>
                  </w:tcBorders>
                  <w:vAlign w:val="center"/>
                </w:tcPr>
                <w:p w14:paraId="11F89233">
                  <w:pPr>
                    <w:jc w:val="center"/>
                    <w:rPr>
                      <w:b/>
                      <w:bCs/>
                      <w:color w:val="auto"/>
                      <w:szCs w:val="21"/>
                      <w:lang w:val="zh-CN"/>
                    </w:rPr>
                  </w:pPr>
                  <w:r>
                    <w:rPr>
                      <w:rFonts w:hint="eastAsia"/>
                      <w:b/>
                      <w:bCs/>
                      <w:color w:val="auto"/>
                      <w:szCs w:val="21"/>
                      <w:lang w:val="zh-CN"/>
                    </w:rPr>
                    <w:t>降噪效果</w:t>
                  </w:r>
                </w:p>
              </w:tc>
              <w:tc>
                <w:tcPr>
                  <w:tcW w:w="529" w:type="pct"/>
                  <w:vMerge w:val="continue"/>
                  <w:tcBorders>
                    <w:tl2br w:val="nil"/>
                    <w:tr2bl w:val="nil"/>
                  </w:tcBorders>
                  <w:vAlign w:val="center"/>
                </w:tcPr>
                <w:p w14:paraId="52A73029">
                  <w:pPr>
                    <w:jc w:val="center"/>
                    <w:rPr>
                      <w:b/>
                      <w:bCs/>
                      <w:color w:val="auto"/>
                      <w:szCs w:val="21"/>
                      <w:lang w:val="zh-CN"/>
                    </w:rPr>
                  </w:pPr>
                </w:p>
              </w:tc>
              <w:tc>
                <w:tcPr>
                  <w:tcW w:w="389" w:type="pct"/>
                  <w:tcBorders>
                    <w:tl2br w:val="nil"/>
                    <w:tr2bl w:val="nil"/>
                  </w:tcBorders>
                  <w:vAlign w:val="center"/>
                </w:tcPr>
                <w:p w14:paraId="194BBEE0">
                  <w:pPr>
                    <w:jc w:val="center"/>
                    <w:rPr>
                      <w:b/>
                      <w:bCs/>
                      <w:color w:val="auto"/>
                      <w:szCs w:val="21"/>
                      <w:lang w:val="zh-CN"/>
                    </w:rPr>
                  </w:pPr>
                  <w:r>
                    <w:rPr>
                      <w:b/>
                      <w:bCs/>
                      <w:color w:val="auto"/>
                      <w:szCs w:val="21"/>
                      <w:lang w:val="zh-CN"/>
                    </w:rPr>
                    <w:t>X</w:t>
                  </w:r>
                </w:p>
              </w:tc>
              <w:tc>
                <w:tcPr>
                  <w:tcW w:w="407" w:type="pct"/>
                  <w:tcBorders>
                    <w:tl2br w:val="nil"/>
                    <w:tr2bl w:val="nil"/>
                  </w:tcBorders>
                  <w:vAlign w:val="center"/>
                </w:tcPr>
                <w:p w14:paraId="6813ED01">
                  <w:pPr>
                    <w:jc w:val="center"/>
                    <w:rPr>
                      <w:b/>
                      <w:bCs/>
                      <w:color w:val="auto"/>
                      <w:szCs w:val="21"/>
                      <w:lang w:val="zh-CN"/>
                    </w:rPr>
                  </w:pPr>
                  <w:r>
                    <w:rPr>
                      <w:b/>
                      <w:bCs/>
                      <w:color w:val="auto"/>
                      <w:szCs w:val="21"/>
                      <w:lang w:val="zh-CN"/>
                    </w:rPr>
                    <w:t>Y</w:t>
                  </w:r>
                </w:p>
              </w:tc>
              <w:tc>
                <w:tcPr>
                  <w:tcW w:w="314" w:type="pct"/>
                  <w:tcBorders>
                    <w:tl2br w:val="nil"/>
                    <w:tr2bl w:val="nil"/>
                  </w:tcBorders>
                  <w:vAlign w:val="center"/>
                </w:tcPr>
                <w:p w14:paraId="1593E811">
                  <w:pPr>
                    <w:jc w:val="center"/>
                    <w:rPr>
                      <w:b/>
                      <w:bCs/>
                      <w:color w:val="auto"/>
                      <w:szCs w:val="21"/>
                      <w:lang w:val="zh-CN"/>
                    </w:rPr>
                  </w:pPr>
                  <w:r>
                    <w:rPr>
                      <w:b/>
                      <w:bCs/>
                      <w:color w:val="auto"/>
                      <w:szCs w:val="21"/>
                      <w:lang w:val="zh-CN"/>
                    </w:rPr>
                    <w:t>Z</w:t>
                  </w:r>
                </w:p>
              </w:tc>
              <w:tc>
                <w:tcPr>
                  <w:tcW w:w="452" w:type="pct"/>
                  <w:vMerge w:val="continue"/>
                  <w:tcBorders>
                    <w:tl2br w:val="nil"/>
                    <w:tr2bl w:val="nil"/>
                  </w:tcBorders>
                  <w:vAlign w:val="center"/>
                </w:tcPr>
                <w:p w14:paraId="610E5470">
                  <w:pPr>
                    <w:jc w:val="center"/>
                    <w:rPr>
                      <w:color w:val="auto"/>
                      <w:szCs w:val="21"/>
                      <w:lang w:bidi="zh-CN"/>
                    </w:rPr>
                  </w:pPr>
                </w:p>
              </w:tc>
            </w:tr>
            <w:tr w14:paraId="439F67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515" w:type="pct"/>
                  <w:tcBorders>
                    <w:tl2br w:val="nil"/>
                    <w:tr2bl w:val="nil"/>
                  </w:tcBorders>
                  <w:vAlign w:val="center"/>
                </w:tcPr>
                <w:p w14:paraId="5A22EB31">
                  <w:pPr>
                    <w:jc w:val="center"/>
                    <w:rPr>
                      <w:color w:val="auto"/>
                      <w:szCs w:val="21"/>
                    </w:rPr>
                  </w:pPr>
                  <w:r>
                    <w:rPr>
                      <w:rFonts w:hint="eastAsia"/>
                      <w:color w:val="auto"/>
                      <w:szCs w:val="21"/>
                    </w:rPr>
                    <w:t>活性炭吸附风机</w:t>
                  </w:r>
                </w:p>
              </w:tc>
              <w:tc>
                <w:tcPr>
                  <w:tcW w:w="316" w:type="pct"/>
                  <w:tcBorders>
                    <w:tl2br w:val="nil"/>
                    <w:tr2bl w:val="nil"/>
                  </w:tcBorders>
                  <w:vAlign w:val="center"/>
                </w:tcPr>
                <w:p w14:paraId="6CC4B946">
                  <w:pPr>
                    <w:widowControl/>
                    <w:jc w:val="center"/>
                    <w:textAlignment w:val="center"/>
                    <w:rPr>
                      <w:color w:val="auto"/>
                      <w:szCs w:val="21"/>
                    </w:rPr>
                  </w:pPr>
                  <w:r>
                    <w:rPr>
                      <w:rFonts w:hint="eastAsia"/>
                      <w:color w:val="auto"/>
                      <w:szCs w:val="21"/>
                      <w:lang w:bidi="ar"/>
                    </w:rPr>
                    <w:t>1</w:t>
                  </w:r>
                  <w:r>
                    <w:rPr>
                      <w:color w:val="auto"/>
                      <w:szCs w:val="21"/>
                      <w:lang w:bidi="ar"/>
                    </w:rPr>
                    <w:t>台</w:t>
                  </w:r>
                </w:p>
              </w:tc>
              <w:tc>
                <w:tcPr>
                  <w:tcW w:w="760" w:type="pct"/>
                  <w:tcBorders>
                    <w:tl2br w:val="nil"/>
                    <w:tr2bl w:val="nil"/>
                  </w:tcBorders>
                  <w:vAlign w:val="center"/>
                </w:tcPr>
                <w:p w14:paraId="2537CE62">
                  <w:pPr>
                    <w:jc w:val="center"/>
                    <w:rPr>
                      <w:color w:val="auto"/>
                      <w:szCs w:val="21"/>
                    </w:rPr>
                  </w:pPr>
                  <w:r>
                    <w:rPr>
                      <w:rFonts w:hint="eastAsia"/>
                      <w:color w:val="auto"/>
                      <w:szCs w:val="21"/>
                    </w:rPr>
                    <w:t>85</w:t>
                  </w:r>
                </w:p>
              </w:tc>
              <w:tc>
                <w:tcPr>
                  <w:tcW w:w="912" w:type="pct"/>
                  <w:vMerge w:val="restart"/>
                  <w:tcBorders>
                    <w:tl2br w:val="nil"/>
                    <w:tr2bl w:val="nil"/>
                  </w:tcBorders>
                  <w:vAlign w:val="center"/>
                </w:tcPr>
                <w:p w14:paraId="052EAC13">
                  <w:pPr>
                    <w:jc w:val="center"/>
                    <w:rPr>
                      <w:color w:val="auto"/>
                      <w:szCs w:val="21"/>
                    </w:rPr>
                  </w:pPr>
                  <w:r>
                    <w:rPr>
                      <w:rFonts w:hint="eastAsia"/>
                      <w:color w:val="auto"/>
                      <w:szCs w:val="21"/>
                    </w:rPr>
                    <w:t>选用低噪声设备、隔声罩、</w:t>
                  </w:r>
                  <w:r>
                    <w:rPr>
                      <w:color w:val="auto"/>
                      <w:szCs w:val="21"/>
                    </w:rPr>
                    <w:t>基础</w:t>
                  </w:r>
                  <w:r>
                    <w:rPr>
                      <w:rFonts w:hint="eastAsia"/>
                      <w:color w:val="auto"/>
                      <w:szCs w:val="21"/>
                    </w:rPr>
                    <w:t>减振、距离衰减</w:t>
                  </w:r>
                </w:p>
              </w:tc>
              <w:tc>
                <w:tcPr>
                  <w:tcW w:w="401" w:type="pct"/>
                  <w:tcBorders>
                    <w:tl2br w:val="nil"/>
                    <w:tr2bl w:val="nil"/>
                  </w:tcBorders>
                  <w:vAlign w:val="center"/>
                </w:tcPr>
                <w:p w14:paraId="4C02D54D">
                  <w:pPr>
                    <w:jc w:val="center"/>
                    <w:rPr>
                      <w:color w:val="auto"/>
                      <w:szCs w:val="21"/>
                    </w:rPr>
                  </w:pPr>
                  <w:r>
                    <w:rPr>
                      <w:rFonts w:hint="eastAsia"/>
                      <w:color w:val="auto"/>
                      <w:szCs w:val="21"/>
                    </w:rPr>
                    <w:t>15</w:t>
                  </w:r>
                </w:p>
              </w:tc>
              <w:tc>
                <w:tcPr>
                  <w:tcW w:w="529" w:type="pct"/>
                  <w:tcBorders>
                    <w:tl2br w:val="nil"/>
                    <w:tr2bl w:val="nil"/>
                  </w:tcBorders>
                  <w:vAlign w:val="center"/>
                </w:tcPr>
                <w:p w14:paraId="118CB915">
                  <w:pPr>
                    <w:jc w:val="center"/>
                    <w:rPr>
                      <w:color w:val="auto"/>
                      <w:szCs w:val="21"/>
                    </w:rPr>
                  </w:pPr>
                  <w:r>
                    <w:rPr>
                      <w:rFonts w:hint="eastAsia"/>
                      <w:color w:val="auto"/>
                      <w:szCs w:val="21"/>
                    </w:rPr>
                    <w:t>70</w:t>
                  </w:r>
                </w:p>
              </w:tc>
              <w:tc>
                <w:tcPr>
                  <w:tcW w:w="389" w:type="pct"/>
                  <w:tcBorders>
                    <w:tl2br w:val="nil"/>
                    <w:tr2bl w:val="nil"/>
                  </w:tcBorders>
                  <w:vAlign w:val="center"/>
                </w:tcPr>
                <w:p w14:paraId="726B75F4">
                  <w:pPr>
                    <w:jc w:val="center"/>
                    <w:rPr>
                      <w:color w:val="auto"/>
                      <w:szCs w:val="21"/>
                    </w:rPr>
                  </w:pPr>
                  <w:r>
                    <w:rPr>
                      <w:rFonts w:hint="eastAsia"/>
                      <w:color w:val="auto"/>
                      <w:szCs w:val="21"/>
                    </w:rPr>
                    <w:t>94.83</w:t>
                  </w:r>
                </w:p>
              </w:tc>
              <w:tc>
                <w:tcPr>
                  <w:tcW w:w="407" w:type="pct"/>
                  <w:tcBorders>
                    <w:tl2br w:val="nil"/>
                    <w:tr2bl w:val="nil"/>
                  </w:tcBorders>
                  <w:vAlign w:val="center"/>
                </w:tcPr>
                <w:p w14:paraId="75A59AF9">
                  <w:pPr>
                    <w:jc w:val="center"/>
                    <w:rPr>
                      <w:color w:val="auto"/>
                      <w:szCs w:val="21"/>
                    </w:rPr>
                  </w:pPr>
                  <w:r>
                    <w:rPr>
                      <w:rFonts w:hint="eastAsia"/>
                      <w:color w:val="auto"/>
                      <w:szCs w:val="21"/>
                    </w:rPr>
                    <w:t>32.52</w:t>
                  </w:r>
                </w:p>
              </w:tc>
              <w:tc>
                <w:tcPr>
                  <w:tcW w:w="314" w:type="pct"/>
                  <w:tcBorders>
                    <w:tl2br w:val="nil"/>
                    <w:tr2bl w:val="nil"/>
                  </w:tcBorders>
                  <w:vAlign w:val="center"/>
                </w:tcPr>
                <w:p w14:paraId="723F3C28">
                  <w:pPr>
                    <w:jc w:val="center"/>
                    <w:rPr>
                      <w:color w:val="auto"/>
                      <w:szCs w:val="21"/>
                    </w:rPr>
                  </w:pPr>
                  <w:r>
                    <w:rPr>
                      <w:color w:val="auto"/>
                      <w:szCs w:val="21"/>
                    </w:rPr>
                    <w:t>1</w:t>
                  </w:r>
                </w:p>
              </w:tc>
              <w:tc>
                <w:tcPr>
                  <w:tcW w:w="452" w:type="pct"/>
                  <w:tcBorders>
                    <w:tl2br w:val="nil"/>
                    <w:tr2bl w:val="nil"/>
                  </w:tcBorders>
                  <w:vAlign w:val="center"/>
                </w:tcPr>
                <w:p w14:paraId="08DA7E29">
                  <w:pPr>
                    <w:jc w:val="center"/>
                    <w:rPr>
                      <w:color w:val="auto"/>
                      <w:szCs w:val="21"/>
                    </w:rPr>
                  </w:pPr>
                  <w:r>
                    <w:rPr>
                      <w:color w:val="auto"/>
                      <w:szCs w:val="21"/>
                    </w:rPr>
                    <w:t>昼夜</w:t>
                  </w:r>
                </w:p>
              </w:tc>
            </w:tr>
            <w:tr w14:paraId="5C9AC6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515" w:type="pct"/>
                  <w:tcBorders>
                    <w:tl2br w:val="nil"/>
                    <w:tr2bl w:val="nil"/>
                  </w:tcBorders>
                  <w:vAlign w:val="center"/>
                </w:tcPr>
                <w:p w14:paraId="745B618A">
                  <w:pPr>
                    <w:jc w:val="center"/>
                    <w:rPr>
                      <w:color w:val="auto"/>
                      <w:szCs w:val="21"/>
                    </w:rPr>
                  </w:pPr>
                  <w:r>
                    <w:rPr>
                      <w:color w:val="auto"/>
                      <w:szCs w:val="21"/>
                    </w:rPr>
                    <w:t>冷却塔</w:t>
                  </w:r>
                </w:p>
              </w:tc>
              <w:tc>
                <w:tcPr>
                  <w:tcW w:w="316" w:type="pct"/>
                  <w:tcBorders>
                    <w:tl2br w:val="nil"/>
                    <w:tr2bl w:val="nil"/>
                  </w:tcBorders>
                  <w:vAlign w:val="center"/>
                </w:tcPr>
                <w:p w14:paraId="143BDBD8">
                  <w:pPr>
                    <w:widowControl/>
                    <w:jc w:val="center"/>
                    <w:textAlignment w:val="center"/>
                    <w:rPr>
                      <w:color w:val="auto"/>
                      <w:szCs w:val="21"/>
                      <w:lang w:bidi="ar"/>
                    </w:rPr>
                  </w:pPr>
                  <w:r>
                    <w:rPr>
                      <w:color w:val="auto"/>
                      <w:szCs w:val="21"/>
                      <w:lang w:bidi="ar"/>
                    </w:rPr>
                    <w:t>1台</w:t>
                  </w:r>
                </w:p>
              </w:tc>
              <w:tc>
                <w:tcPr>
                  <w:tcW w:w="760" w:type="pct"/>
                  <w:tcBorders>
                    <w:tl2br w:val="nil"/>
                    <w:tr2bl w:val="nil"/>
                  </w:tcBorders>
                  <w:vAlign w:val="center"/>
                </w:tcPr>
                <w:p w14:paraId="0ED41C1D">
                  <w:pPr>
                    <w:jc w:val="center"/>
                    <w:rPr>
                      <w:color w:val="auto"/>
                      <w:szCs w:val="21"/>
                    </w:rPr>
                  </w:pPr>
                  <w:r>
                    <w:rPr>
                      <w:rFonts w:hint="eastAsia"/>
                      <w:color w:val="auto"/>
                      <w:szCs w:val="21"/>
                    </w:rPr>
                    <w:t>85</w:t>
                  </w:r>
                </w:p>
              </w:tc>
              <w:tc>
                <w:tcPr>
                  <w:tcW w:w="912" w:type="pct"/>
                  <w:vMerge w:val="continue"/>
                  <w:tcBorders>
                    <w:tl2br w:val="nil"/>
                    <w:tr2bl w:val="nil"/>
                  </w:tcBorders>
                  <w:vAlign w:val="center"/>
                </w:tcPr>
                <w:p w14:paraId="21AB777D">
                  <w:pPr>
                    <w:jc w:val="center"/>
                    <w:rPr>
                      <w:color w:val="auto"/>
                      <w:szCs w:val="21"/>
                    </w:rPr>
                  </w:pPr>
                </w:p>
              </w:tc>
              <w:tc>
                <w:tcPr>
                  <w:tcW w:w="401" w:type="pct"/>
                  <w:tcBorders>
                    <w:tl2br w:val="nil"/>
                    <w:tr2bl w:val="nil"/>
                  </w:tcBorders>
                  <w:vAlign w:val="center"/>
                </w:tcPr>
                <w:p w14:paraId="143606A2">
                  <w:pPr>
                    <w:jc w:val="center"/>
                    <w:rPr>
                      <w:color w:val="auto"/>
                      <w:szCs w:val="21"/>
                    </w:rPr>
                  </w:pPr>
                  <w:r>
                    <w:rPr>
                      <w:rFonts w:hint="eastAsia"/>
                      <w:color w:val="auto"/>
                      <w:szCs w:val="21"/>
                    </w:rPr>
                    <w:t>15</w:t>
                  </w:r>
                </w:p>
              </w:tc>
              <w:tc>
                <w:tcPr>
                  <w:tcW w:w="529" w:type="pct"/>
                  <w:tcBorders>
                    <w:tl2br w:val="nil"/>
                    <w:tr2bl w:val="nil"/>
                  </w:tcBorders>
                  <w:vAlign w:val="center"/>
                </w:tcPr>
                <w:p w14:paraId="00BFB762">
                  <w:pPr>
                    <w:jc w:val="center"/>
                    <w:rPr>
                      <w:color w:val="auto"/>
                      <w:szCs w:val="21"/>
                    </w:rPr>
                  </w:pPr>
                  <w:r>
                    <w:rPr>
                      <w:rFonts w:hint="eastAsia"/>
                      <w:color w:val="auto"/>
                      <w:szCs w:val="21"/>
                    </w:rPr>
                    <w:t>70</w:t>
                  </w:r>
                </w:p>
              </w:tc>
              <w:tc>
                <w:tcPr>
                  <w:tcW w:w="389" w:type="pct"/>
                  <w:tcBorders>
                    <w:tl2br w:val="nil"/>
                    <w:tr2bl w:val="nil"/>
                  </w:tcBorders>
                  <w:vAlign w:val="center"/>
                </w:tcPr>
                <w:p w14:paraId="49267FDC">
                  <w:pPr>
                    <w:jc w:val="center"/>
                    <w:rPr>
                      <w:color w:val="auto"/>
                      <w:szCs w:val="21"/>
                    </w:rPr>
                  </w:pPr>
                  <w:r>
                    <w:rPr>
                      <w:rFonts w:hint="eastAsia"/>
                      <w:color w:val="auto"/>
                      <w:szCs w:val="21"/>
                    </w:rPr>
                    <w:t>95.4</w:t>
                  </w:r>
                </w:p>
              </w:tc>
              <w:tc>
                <w:tcPr>
                  <w:tcW w:w="407" w:type="pct"/>
                  <w:tcBorders>
                    <w:tl2br w:val="nil"/>
                    <w:tr2bl w:val="nil"/>
                  </w:tcBorders>
                  <w:vAlign w:val="center"/>
                </w:tcPr>
                <w:p w14:paraId="0F8625ED">
                  <w:pPr>
                    <w:jc w:val="center"/>
                    <w:rPr>
                      <w:color w:val="auto"/>
                      <w:szCs w:val="21"/>
                    </w:rPr>
                  </w:pPr>
                  <w:r>
                    <w:rPr>
                      <w:rFonts w:hint="eastAsia"/>
                      <w:color w:val="auto"/>
                      <w:szCs w:val="21"/>
                    </w:rPr>
                    <w:t>41.49</w:t>
                  </w:r>
                </w:p>
              </w:tc>
              <w:tc>
                <w:tcPr>
                  <w:tcW w:w="314" w:type="pct"/>
                  <w:tcBorders>
                    <w:tl2br w:val="nil"/>
                    <w:tr2bl w:val="nil"/>
                  </w:tcBorders>
                  <w:vAlign w:val="center"/>
                </w:tcPr>
                <w:p w14:paraId="09DCF4B4">
                  <w:pPr>
                    <w:jc w:val="center"/>
                    <w:rPr>
                      <w:color w:val="auto"/>
                      <w:szCs w:val="21"/>
                    </w:rPr>
                  </w:pPr>
                  <w:r>
                    <w:rPr>
                      <w:color w:val="auto"/>
                      <w:szCs w:val="21"/>
                    </w:rPr>
                    <w:t>1</w:t>
                  </w:r>
                </w:p>
              </w:tc>
              <w:tc>
                <w:tcPr>
                  <w:tcW w:w="452" w:type="pct"/>
                  <w:tcBorders>
                    <w:tl2br w:val="nil"/>
                    <w:tr2bl w:val="nil"/>
                  </w:tcBorders>
                  <w:vAlign w:val="center"/>
                </w:tcPr>
                <w:p w14:paraId="2D7C1DEF">
                  <w:pPr>
                    <w:jc w:val="center"/>
                    <w:rPr>
                      <w:color w:val="auto"/>
                      <w:szCs w:val="21"/>
                    </w:rPr>
                  </w:pPr>
                  <w:r>
                    <w:rPr>
                      <w:color w:val="auto"/>
                      <w:szCs w:val="21"/>
                    </w:rPr>
                    <w:t>昼夜</w:t>
                  </w:r>
                </w:p>
              </w:tc>
            </w:tr>
          </w:tbl>
          <w:p w14:paraId="08730BC5">
            <w:pPr>
              <w:pStyle w:val="6"/>
              <w:spacing w:before="120" w:beforeLines="50" w:line="360" w:lineRule="auto"/>
              <w:ind w:firstLine="480" w:firstLineChars="200"/>
              <w:rPr>
                <w:color w:val="auto"/>
                <w:szCs w:val="24"/>
              </w:rPr>
            </w:pPr>
            <w:r>
              <w:rPr>
                <w:rFonts w:hint="eastAsia"/>
                <w:color w:val="auto"/>
                <w:szCs w:val="24"/>
                <w:lang w:val="en-US" w:eastAsia="zh-CN"/>
              </w:rPr>
              <w:t>②</w:t>
            </w:r>
            <w:r>
              <w:rPr>
                <w:rFonts w:hint="eastAsia"/>
                <w:color w:val="auto"/>
                <w:szCs w:val="24"/>
              </w:rPr>
              <w:t>预测结果及达标情况分析</w:t>
            </w:r>
          </w:p>
          <w:p w14:paraId="5A4FECE1">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b/>
                <w:bCs/>
                <w:color w:val="auto"/>
                <w:szCs w:val="24"/>
              </w:rPr>
            </w:pPr>
            <w:r>
              <w:rPr>
                <w:rFonts w:hint="eastAsia"/>
                <w:color w:val="auto"/>
              </w:rPr>
              <w:t>按照《环境影响评价技术导则 声环境》（HJ2.4-2021）中推荐模式进行预测，根据项目噪声源源强、所在位置，利用噪声预测模式和方法，对厂界四周的噪声贡献值进行预测</w:t>
            </w:r>
            <w:r>
              <w:rPr>
                <w:rFonts w:hint="eastAsia"/>
                <w:color w:val="auto"/>
                <w:kern w:val="0"/>
                <w:lang w:val="zh-CN"/>
              </w:rPr>
              <w:t>。</w:t>
            </w:r>
            <w:r>
              <w:rPr>
                <w:color w:val="auto"/>
                <w:kern w:val="0"/>
                <w:lang w:val="zh-CN"/>
              </w:rPr>
              <w:t>噪声影响预测结果见</w:t>
            </w:r>
            <w:r>
              <w:rPr>
                <w:color w:val="auto"/>
                <w:kern w:val="0"/>
              </w:rPr>
              <w:t>下</w:t>
            </w:r>
            <w:r>
              <w:rPr>
                <w:color w:val="auto"/>
                <w:kern w:val="0"/>
                <w:lang w:val="zh-CN"/>
              </w:rPr>
              <w:t>表。</w:t>
            </w:r>
          </w:p>
          <w:p w14:paraId="55C0BD72">
            <w:pPr>
              <w:pStyle w:val="65"/>
              <w:spacing w:line="240" w:lineRule="auto"/>
              <w:ind w:firstLine="0" w:firstLineChars="0"/>
              <w:jc w:val="center"/>
              <w:rPr>
                <w:rFonts w:hAnsi="Times New Roman" w:cs="Times New Roman"/>
                <w:b/>
                <w:bCs/>
                <w:color w:val="auto"/>
                <w:kern w:val="21"/>
                <w:szCs w:val="24"/>
              </w:rPr>
            </w:pPr>
            <w:r>
              <w:rPr>
                <w:rFonts w:hint="eastAsia" w:hAnsi="Times New Roman" w:cs="Times New Roman"/>
                <w:b/>
                <w:bCs/>
                <w:color w:val="auto"/>
                <w:kern w:val="21"/>
                <w:szCs w:val="24"/>
              </w:rPr>
              <w:t xml:space="preserve">表4-9  </w:t>
            </w:r>
            <w:r>
              <w:rPr>
                <w:rFonts w:hint="eastAsia" w:hAnsi="Times New Roman" w:cs="Times New Roman"/>
                <w:b/>
                <w:bCs/>
                <w:color w:val="auto"/>
                <w:kern w:val="21"/>
                <w:szCs w:val="24"/>
                <w:lang w:val="en-US" w:eastAsia="zh-CN"/>
              </w:rPr>
              <w:t>项目厂界</w:t>
            </w:r>
            <w:r>
              <w:rPr>
                <w:rFonts w:hint="eastAsia" w:hAnsi="Times New Roman" w:cs="Times New Roman"/>
                <w:b/>
                <w:bCs/>
                <w:color w:val="auto"/>
                <w:kern w:val="21"/>
                <w:szCs w:val="24"/>
              </w:rPr>
              <w:t>噪声预测结果</w:t>
            </w:r>
          </w:p>
          <w:tbl>
            <w:tblPr>
              <w:tblStyle w:val="26"/>
              <w:tblW w:w="869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32"/>
              <w:gridCol w:w="2056"/>
              <w:gridCol w:w="1061"/>
              <w:gridCol w:w="1272"/>
              <w:gridCol w:w="1032"/>
              <w:gridCol w:w="1254"/>
              <w:gridCol w:w="1089"/>
            </w:tblGrid>
            <w:tr w14:paraId="0F68DC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18" w:type="pct"/>
                  <w:gridSpan w:val="2"/>
                  <w:vMerge w:val="restart"/>
                  <w:vAlign w:val="center"/>
                </w:tcPr>
                <w:p w14:paraId="65A242A2">
                  <w:pPr>
                    <w:jc w:val="center"/>
                    <w:rPr>
                      <w:b/>
                      <w:bCs/>
                      <w:color w:val="auto"/>
                      <w:szCs w:val="21"/>
                    </w:rPr>
                  </w:pPr>
                  <w:r>
                    <w:rPr>
                      <w:b/>
                      <w:bCs/>
                      <w:color w:val="auto"/>
                      <w:szCs w:val="21"/>
                    </w:rPr>
                    <w:t>预测点位置</w:t>
                  </w:r>
                </w:p>
              </w:tc>
              <w:tc>
                <w:tcPr>
                  <w:tcW w:w="1341" w:type="pct"/>
                  <w:gridSpan w:val="2"/>
                  <w:vAlign w:val="center"/>
                </w:tcPr>
                <w:p w14:paraId="00347AFE">
                  <w:pPr>
                    <w:jc w:val="center"/>
                    <w:rPr>
                      <w:b/>
                      <w:bCs/>
                      <w:color w:val="auto"/>
                      <w:szCs w:val="21"/>
                    </w:rPr>
                  </w:pPr>
                  <w:r>
                    <w:rPr>
                      <w:b/>
                      <w:bCs/>
                      <w:color w:val="auto"/>
                      <w:szCs w:val="21"/>
                    </w:rPr>
                    <w:t>昼间</w:t>
                  </w:r>
                  <w:r>
                    <w:rPr>
                      <w:rFonts w:hint="eastAsia"/>
                      <w:b/>
                      <w:bCs/>
                      <w:color w:val="auto"/>
                      <w:kern w:val="21"/>
                      <w:szCs w:val="21"/>
                    </w:rPr>
                    <w:t>dB（A）</w:t>
                  </w:r>
                </w:p>
              </w:tc>
              <w:tc>
                <w:tcPr>
                  <w:tcW w:w="1314" w:type="pct"/>
                  <w:gridSpan w:val="2"/>
                  <w:vAlign w:val="center"/>
                </w:tcPr>
                <w:p w14:paraId="02E72B89">
                  <w:pPr>
                    <w:jc w:val="center"/>
                    <w:rPr>
                      <w:rFonts w:hint="eastAsia"/>
                      <w:b/>
                      <w:bCs/>
                      <w:color w:val="auto"/>
                      <w:szCs w:val="21"/>
                    </w:rPr>
                  </w:pPr>
                  <w:r>
                    <w:rPr>
                      <w:rFonts w:hint="eastAsia"/>
                      <w:b/>
                      <w:bCs/>
                      <w:color w:val="auto"/>
                      <w:szCs w:val="21"/>
                    </w:rPr>
                    <w:t>夜间</w:t>
                  </w:r>
                  <w:r>
                    <w:rPr>
                      <w:rFonts w:hint="eastAsia"/>
                      <w:b/>
                      <w:bCs/>
                      <w:color w:val="auto"/>
                      <w:kern w:val="21"/>
                      <w:szCs w:val="21"/>
                    </w:rPr>
                    <w:t>dB（A）</w:t>
                  </w:r>
                </w:p>
              </w:tc>
              <w:tc>
                <w:tcPr>
                  <w:tcW w:w="626" w:type="pct"/>
                  <w:vMerge w:val="restart"/>
                  <w:vAlign w:val="center"/>
                </w:tcPr>
                <w:p w14:paraId="23449023">
                  <w:pPr>
                    <w:jc w:val="center"/>
                    <w:rPr>
                      <w:b/>
                      <w:bCs/>
                      <w:color w:val="auto"/>
                      <w:szCs w:val="21"/>
                    </w:rPr>
                  </w:pPr>
                  <w:r>
                    <w:rPr>
                      <w:b/>
                      <w:bCs/>
                      <w:color w:val="auto"/>
                      <w:szCs w:val="21"/>
                    </w:rPr>
                    <w:t>达标情况</w:t>
                  </w:r>
                </w:p>
              </w:tc>
            </w:tr>
            <w:tr w14:paraId="501A60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18" w:type="pct"/>
                  <w:gridSpan w:val="2"/>
                  <w:vMerge w:val="continue"/>
                  <w:vAlign w:val="center"/>
                </w:tcPr>
                <w:p w14:paraId="23E76C0E">
                  <w:pPr>
                    <w:jc w:val="center"/>
                    <w:rPr>
                      <w:b/>
                      <w:bCs/>
                      <w:color w:val="auto"/>
                      <w:szCs w:val="21"/>
                    </w:rPr>
                  </w:pPr>
                </w:p>
              </w:tc>
              <w:tc>
                <w:tcPr>
                  <w:tcW w:w="610" w:type="pct"/>
                  <w:vAlign w:val="center"/>
                </w:tcPr>
                <w:p w14:paraId="6E9286F2">
                  <w:pPr>
                    <w:ind w:left="-105" w:leftChars="-50" w:right="-105" w:rightChars="-50"/>
                    <w:jc w:val="center"/>
                    <w:rPr>
                      <w:b/>
                      <w:bCs/>
                      <w:color w:val="auto"/>
                      <w:szCs w:val="21"/>
                    </w:rPr>
                  </w:pPr>
                  <w:r>
                    <w:rPr>
                      <w:rFonts w:hint="eastAsia"/>
                      <w:b/>
                      <w:bCs/>
                      <w:color w:val="auto"/>
                      <w:szCs w:val="21"/>
                    </w:rPr>
                    <w:t>贡献</w:t>
                  </w:r>
                  <w:r>
                    <w:rPr>
                      <w:b/>
                      <w:bCs/>
                      <w:color w:val="auto"/>
                      <w:szCs w:val="21"/>
                    </w:rPr>
                    <w:t>值</w:t>
                  </w:r>
                </w:p>
              </w:tc>
              <w:tc>
                <w:tcPr>
                  <w:tcW w:w="731" w:type="pct"/>
                  <w:vAlign w:val="center"/>
                </w:tcPr>
                <w:p w14:paraId="02D12CDF">
                  <w:pPr>
                    <w:ind w:left="-105" w:leftChars="-50" w:right="-105" w:rightChars="-50"/>
                    <w:jc w:val="center"/>
                    <w:rPr>
                      <w:b/>
                      <w:bCs/>
                      <w:color w:val="auto"/>
                      <w:szCs w:val="21"/>
                    </w:rPr>
                  </w:pPr>
                  <w:r>
                    <w:rPr>
                      <w:rFonts w:hint="eastAsia"/>
                      <w:b/>
                      <w:bCs/>
                      <w:color w:val="auto"/>
                      <w:szCs w:val="21"/>
                      <w:lang w:val="en-US" w:eastAsia="zh-CN"/>
                    </w:rPr>
                    <w:t>标准</w:t>
                  </w:r>
                  <w:r>
                    <w:rPr>
                      <w:b/>
                      <w:bCs/>
                      <w:color w:val="auto"/>
                      <w:szCs w:val="21"/>
                    </w:rPr>
                    <w:t>值</w:t>
                  </w:r>
                </w:p>
              </w:tc>
              <w:tc>
                <w:tcPr>
                  <w:tcW w:w="593" w:type="pct"/>
                  <w:vAlign w:val="center"/>
                </w:tcPr>
                <w:p w14:paraId="5EAF5D5F">
                  <w:pPr>
                    <w:ind w:left="-105" w:leftChars="-50" w:right="-105" w:rightChars="-50"/>
                    <w:jc w:val="center"/>
                    <w:rPr>
                      <w:b/>
                      <w:bCs/>
                      <w:color w:val="auto"/>
                      <w:szCs w:val="21"/>
                    </w:rPr>
                  </w:pPr>
                  <w:r>
                    <w:rPr>
                      <w:rFonts w:hint="eastAsia"/>
                      <w:b/>
                      <w:bCs/>
                      <w:color w:val="auto"/>
                      <w:szCs w:val="21"/>
                    </w:rPr>
                    <w:t>贡献</w:t>
                  </w:r>
                  <w:r>
                    <w:rPr>
                      <w:b/>
                      <w:bCs/>
                      <w:color w:val="auto"/>
                      <w:szCs w:val="21"/>
                    </w:rPr>
                    <w:t>值</w:t>
                  </w:r>
                </w:p>
              </w:tc>
              <w:tc>
                <w:tcPr>
                  <w:tcW w:w="720" w:type="pct"/>
                  <w:vAlign w:val="center"/>
                </w:tcPr>
                <w:p w14:paraId="52539AA1">
                  <w:pPr>
                    <w:jc w:val="center"/>
                    <w:rPr>
                      <w:b/>
                      <w:bCs/>
                      <w:color w:val="auto"/>
                      <w:szCs w:val="21"/>
                    </w:rPr>
                  </w:pPr>
                  <w:r>
                    <w:rPr>
                      <w:rFonts w:hint="eastAsia"/>
                      <w:b/>
                      <w:bCs/>
                      <w:color w:val="auto"/>
                      <w:szCs w:val="21"/>
                      <w:lang w:val="en-US" w:eastAsia="zh-CN"/>
                    </w:rPr>
                    <w:t>标准</w:t>
                  </w:r>
                  <w:r>
                    <w:rPr>
                      <w:rFonts w:hint="eastAsia"/>
                      <w:b/>
                      <w:bCs/>
                      <w:color w:val="auto"/>
                      <w:szCs w:val="21"/>
                    </w:rPr>
                    <w:t>值</w:t>
                  </w:r>
                </w:p>
              </w:tc>
              <w:tc>
                <w:tcPr>
                  <w:tcW w:w="626" w:type="pct"/>
                  <w:vMerge w:val="continue"/>
                  <w:vAlign w:val="center"/>
                </w:tcPr>
                <w:p w14:paraId="47227808">
                  <w:pPr>
                    <w:jc w:val="center"/>
                    <w:rPr>
                      <w:b/>
                      <w:bCs/>
                      <w:color w:val="auto"/>
                      <w:szCs w:val="21"/>
                    </w:rPr>
                  </w:pPr>
                </w:p>
              </w:tc>
            </w:tr>
            <w:tr w14:paraId="7F810F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36" w:type="pct"/>
                  <w:vMerge w:val="restart"/>
                  <w:vAlign w:val="center"/>
                </w:tcPr>
                <w:p w14:paraId="04245F7D">
                  <w:pPr>
                    <w:jc w:val="center"/>
                    <w:rPr>
                      <w:bCs/>
                      <w:color w:val="auto"/>
                      <w:szCs w:val="21"/>
                    </w:rPr>
                  </w:pPr>
                  <w:r>
                    <w:rPr>
                      <w:bCs/>
                      <w:color w:val="auto"/>
                      <w:szCs w:val="21"/>
                    </w:rPr>
                    <w:t>厂界</w:t>
                  </w:r>
                </w:p>
              </w:tc>
              <w:tc>
                <w:tcPr>
                  <w:tcW w:w="1181" w:type="pct"/>
                  <w:vAlign w:val="center"/>
                </w:tcPr>
                <w:p w14:paraId="686199FE">
                  <w:pPr>
                    <w:adjustRightInd w:val="0"/>
                    <w:snapToGrid w:val="0"/>
                    <w:jc w:val="center"/>
                    <w:rPr>
                      <w:bCs/>
                      <w:color w:val="auto"/>
                      <w:szCs w:val="21"/>
                    </w:rPr>
                  </w:pPr>
                  <w:r>
                    <w:rPr>
                      <w:bCs/>
                      <w:color w:val="auto"/>
                      <w:szCs w:val="21"/>
                    </w:rPr>
                    <w:t>东厂界1#</w:t>
                  </w:r>
                </w:p>
              </w:tc>
              <w:tc>
                <w:tcPr>
                  <w:tcW w:w="610" w:type="pct"/>
                  <w:shd w:val="clear" w:color="auto" w:fill="auto"/>
                  <w:vAlign w:val="center"/>
                </w:tcPr>
                <w:p w14:paraId="732A4C51">
                  <w:pPr>
                    <w:autoSpaceDE w:val="0"/>
                    <w:autoSpaceDN w:val="0"/>
                    <w:adjustRightInd w:val="0"/>
                    <w:jc w:val="center"/>
                    <w:rPr>
                      <w:rFonts w:ascii="Times New Roman" w:hAnsi="Times New Roman" w:eastAsia="宋体" w:cs="Times New Roman"/>
                      <w:bCs/>
                      <w:color w:val="auto"/>
                      <w:kern w:val="2"/>
                      <w:sz w:val="21"/>
                      <w:szCs w:val="21"/>
                      <w:lang w:val="en-US" w:eastAsia="zh-CN" w:bidi="ar-SA"/>
                    </w:rPr>
                  </w:pPr>
                  <w:r>
                    <w:rPr>
                      <w:rFonts w:hint="eastAsia"/>
                      <w:bCs/>
                      <w:color w:val="auto"/>
                      <w:szCs w:val="21"/>
                    </w:rPr>
                    <w:t>47</w:t>
                  </w:r>
                </w:p>
              </w:tc>
              <w:tc>
                <w:tcPr>
                  <w:tcW w:w="731" w:type="pct"/>
                  <w:vMerge w:val="restart"/>
                  <w:shd w:val="clear" w:color="auto" w:fill="auto"/>
                  <w:vAlign w:val="center"/>
                </w:tcPr>
                <w:p w14:paraId="5922AE48">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60</w:t>
                  </w:r>
                </w:p>
              </w:tc>
              <w:tc>
                <w:tcPr>
                  <w:tcW w:w="593" w:type="pct"/>
                  <w:shd w:val="clear" w:color="auto" w:fill="auto"/>
                  <w:vAlign w:val="center"/>
                </w:tcPr>
                <w:p w14:paraId="37871761">
                  <w:pPr>
                    <w:autoSpaceDE w:val="0"/>
                    <w:autoSpaceDN w:val="0"/>
                    <w:adjustRightInd w:val="0"/>
                    <w:jc w:val="center"/>
                    <w:rPr>
                      <w:bCs/>
                      <w:color w:val="auto"/>
                      <w:szCs w:val="21"/>
                    </w:rPr>
                  </w:pPr>
                  <w:r>
                    <w:rPr>
                      <w:rFonts w:hint="eastAsia"/>
                      <w:bCs/>
                      <w:color w:val="auto"/>
                      <w:szCs w:val="21"/>
                    </w:rPr>
                    <w:t>46</w:t>
                  </w:r>
                </w:p>
              </w:tc>
              <w:tc>
                <w:tcPr>
                  <w:tcW w:w="720" w:type="pct"/>
                  <w:vMerge w:val="restart"/>
                  <w:vAlign w:val="center"/>
                </w:tcPr>
                <w:p w14:paraId="78DE1FD2">
                  <w:pPr>
                    <w:jc w:val="center"/>
                    <w:rPr>
                      <w:rFonts w:hint="default" w:eastAsia="宋体"/>
                      <w:bCs/>
                      <w:color w:val="auto"/>
                      <w:szCs w:val="21"/>
                      <w:lang w:val="en-US" w:eastAsia="zh-CN"/>
                    </w:rPr>
                  </w:pPr>
                  <w:r>
                    <w:rPr>
                      <w:rFonts w:hint="eastAsia"/>
                      <w:bCs/>
                      <w:color w:val="auto"/>
                      <w:szCs w:val="21"/>
                      <w:lang w:val="en-US" w:eastAsia="zh-CN"/>
                    </w:rPr>
                    <w:t>50</w:t>
                  </w:r>
                </w:p>
              </w:tc>
              <w:tc>
                <w:tcPr>
                  <w:tcW w:w="626" w:type="pct"/>
                  <w:vAlign w:val="center"/>
                </w:tcPr>
                <w:p w14:paraId="321B718E">
                  <w:pPr>
                    <w:jc w:val="center"/>
                    <w:rPr>
                      <w:bCs/>
                      <w:color w:val="auto"/>
                      <w:szCs w:val="21"/>
                    </w:rPr>
                  </w:pPr>
                  <w:r>
                    <w:rPr>
                      <w:bCs/>
                      <w:color w:val="auto"/>
                      <w:szCs w:val="21"/>
                    </w:rPr>
                    <w:t>达标</w:t>
                  </w:r>
                </w:p>
              </w:tc>
            </w:tr>
            <w:tr w14:paraId="5641E5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36" w:type="pct"/>
                  <w:vMerge w:val="continue"/>
                  <w:vAlign w:val="center"/>
                </w:tcPr>
                <w:p w14:paraId="07109927">
                  <w:pPr>
                    <w:jc w:val="center"/>
                    <w:rPr>
                      <w:bCs/>
                      <w:color w:val="auto"/>
                      <w:szCs w:val="21"/>
                    </w:rPr>
                  </w:pPr>
                </w:p>
              </w:tc>
              <w:tc>
                <w:tcPr>
                  <w:tcW w:w="1181" w:type="pct"/>
                  <w:vAlign w:val="center"/>
                </w:tcPr>
                <w:p w14:paraId="50D8E7AB">
                  <w:pPr>
                    <w:adjustRightInd w:val="0"/>
                    <w:snapToGrid w:val="0"/>
                    <w:jc w:val="center"/>
                    <w:rPr>
                      <w:bCs/>
                      <w:color w:val="auto"/>
                      <w:szCs w:val="21"/>
                    </w:rPr>
                  </w:pPr>
                  <w:r>
                    <w:rPr>
                      <w:bCs/>
                      <w:color w:val="auto"/>
                      <w:szCs w:val="21"/>
                    </w:rPr>
                    <w:t>西厂界2#</w:t>
                  </w:r>
                </w:p>
              </w:tc>
              <w:tc>
                <w:tcPr>
                  <w:tcW w:w="610" w:type="pct"/>
                  <w:shd w:val="clear" w:color="auto" w:fill="auto"/>
                  <w:vAlign w:val="center"/>
                </w:tcPr>
                <w:p w14:paraId="42D1A160">
                  <w:pPr>
                    <w:autoSpaceDE w:val="0"/>
                    <w:autoSpaceDN w:val="0"/>
                    <w:adjustRightInd w:val="0"/>
                    <w:jc w:val="center"/>
                    <w:rPr>
                      <w:rFonts w:ascii="Times New Roman" w:hAnsi="Times New Roman" w:eastAsia="宋体" w:cs="Times New Roman"/>
                      <w:bCs/>
                      <w:color w:val="auto"/>
                      <w:kern w:val="2"/>
                      <w:sz w:val="21"/>
                      <w:szCs w:val="21"/>
                      <w:lang w:val="en-US" w:eastAsia="zh-CN" w:bidi="ar-SA"/>
                    </w:rPr>
                  </w:pPr>
                  <w:r>
                    <w:rPr>
                      <w:rFonts w:hint="eastAsia"/>
                      <w:bCs/>
                      <w:color w:val="auto"/>
                      <w:szCs w:val="21"/>
                    </w:rPr>
                    <w:t>41</w:t>
                  </w:r>
                </w:p>
              </w:tc>
              <w:tc>
                <w:tcPr>
                  <w:tcW w:w="731" w:type="pct"/>
                  <w:vMerge w:val="continue"/>
                  <w:shd w:val="clear" w:color="auto" w:fill="auto"/>
                  <w:vAlign w:val="center"/>
                </w:tcPr>
                <w:p w14:paraId="1FEEB48E">
                  <w:pPr>
                    <w:autoSpaceDE w:val="0"/>
                    <w:autoSpaceDN w:val="0"/>
                    <w:adjustRightInd w:val="0"/>
                    <w:jc w:val="center"/>
                    <w:rPr>
                      <w:bCs/>
                      <w:color w:val="auto"/>
                      <w:szCs w:val="21"/>
                    </w:rPr>
                  </w:pPr>
                </w:p>
              </w:tc>
              <w:tc>
                <w:tcPr>
                  <w:tcW w:w="593" w:type="pct"/>
                  <w:shd w:val="clear" w:color="auto" w:fill="auto"/>
                  <w:vAlign w:val="center"/>
                </w:tcPr>
                <w:p w14:paraId="64EAA4B8">
                  <w:pPr>
                    <w:autoSpaceDE w:val="0"/>
                    <w:autoSpaceDN w:val="0"/>
                    <w:adjustRightInd w:val="0"/>
                    <w:jc w:val="center"/>
                    <w:rPr>
                      <w:bCs/>
                      <w:color w:val="auto"/>
                      <w:szCs w:val="21"/>
                    </w:rPr>
                  </w:pPr>
                  <w:r>
                    <w:rPr>
                      <w:rFonts w:hint="eastAsia"/>
                      <w:bCs/>
                      <w:color w:val="auto"/>
                      <w:szCs w:val="21"/>
                    </w:rPr>
                    <w:t>39</w:t>
                  </w:r>
                </w:p>
              </w:tc>
              <w:tc>
                <w:tcPr>
                  <w:tcW w:w="720" w:type="pct"/>
                  <w:vMerge w:val="continue"/>
                  <w:vAlign w:val="center"/>
                </w:tcPr>
                <w:p w14:paraId="06F69314">
                  <w:pPr>
                    <w:jc w:val="center"/>
                    <w:rPr>
                      <w:bCs/>
                      <w:color w:val="auto"/>
                      <w:szCs w:val="21"/>
                    </w:rPr>
                  </w:pPr>
                </w:p>
              </w:tc>
              <w:tc>
                <w:tcPr>
                  <w:tcW w:w="626" w:type="pct"/>
                  <w:vAlign w:val="center"/>
                </w:tcPr>
                <w:p w14:paraId="245750E6">
                  <w:pPr>
                    <w:jc w:val="center"/>
                    <w:rPr>
                      <w:bCs/>
                      <w:color w:val="auto"/>
                      <w:szCs w:val="21"/>
                    </w:rPr>
                  </w:pPr>
                  <w:r>
                    <w:rPr>
                      <w:bCs/>
                      <w:color w:val="auto"/>
                      <w:szCs w:val="21"/>
                    </w:rPr>
                    <w:t>达标</w:t>
                  </w:r>
                </w:p>
              </w:tc>
            </w:tr>
            <w:tr w14:paraId="3341F7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36" w:type="pct"/>
                  <w:vMerge w:val="continue"/>
                  <w:vAlign w:val="center"/>
                </w:tcPr>
                <w:p w14:paraId="596FF60F">
                  <w:pPr>
                    <w:jc w:val="center"/>
                    <w:rPr>
                      <w:bCs/>
                      <w:color w:val="auto"/>
                      <w:szCs w:val="21"/>
                    </w:rPr>
                  </w:pPr>
                </w:p>
              </w:tc>
              <w:tc>
                <w:tcPr>
                  <w:tcW w:w="1181" w:type="pct"/>
                  <w:vAlign w:val="center"/>
                </w:tcPr>
                <w:p w14:paraId="6B034168">
                  <w:pPr>
                    <w:adjustRightInd w:val="0"/>
                    <w:snapToGrid w:val="0"/>
                    <w:jc w:val="center"/>
                    <w:rPr>
                      <w:bCs/>
                      <w:color w:val="auto"/>
                      <w:szCs w:val="21"/>
                      <w:highlight w:val="none"/>
                    </w:rPr>
                  </w:pPr>
                  <w:r>
                    <w:rPr>
                      <w:bCs/>
                      <w:color w:val="auto"/>
                      <w:szCs w:val="21"/>
                      <w:highlight w:val="none"/>
                    </w:rPr>
                    <w:t>南厂界3#</w:t>
                  </w:r>
                </w:p>
              </w:tc>
              <w:tc>
                <w:tcPr>
                  <w:tcW w:w="610" w:type="pct"/>
                  <w:shd w:val="clear" w:color="auto" w:fill="auto"/>
                  <w:vAlign w:val="center"/>
                </w:tcPr>
                <w:p w14:paraId="297A510D">
                  <w:pPr>
                    <w:autoSpaceDE w:val="0"/>
                    <w:autoSpaceDN w:val="0"/>
                    <w:adjustRightInd w:val="0"/>
                    <w:jc w:val="center"/>
                    <w:rPr>
                      <w:rFonts w:ascii="Times New Roman" w:hAnsi="Times New Roman" w:eastAsia="宋体" w:cs="Times New Roman"/>
                      <w:bCs/>
                      <w:color w:val="auto"/>
                      <w:kern w:val="2"/>
                      <w:sz w:val="21"/>
                      <w:szCs w:val="21"/>
                      <w:highlight w:val="none"/>
                      <w:lang w:val="en-US" w:eastAsia="zh-CN" w:bidi="ar-SA"/>
                    </w:rPr>
                  </w:pPr>
                  <w:r>
                    <w:rPr>
                      <w:rFonts w:hint="eastAsia"/>
                      <w:bCs/>
                      <w:color w:val="auto"/>
                      <w:szCs w:val="21"/>
                      <w:highlight w:val="none"/>
                    </w:rPr>
                    <w:t>51</w:t>
                  </w:r>
                </w:p>
              </w:tc>
              <w:tc>
                <w:tcPr>
                  <w:tcW w:w="731" w:type="pct"/>
                  <w:vMerge w:val="continue"/>
                  <w:shd w:val="clear" w:color="auto" w:fill="auto"/>
                  <w:vAlign w:val="center"/>
                </w:tcPr>
                <w:p w14:paraId="1D4D1168">
                  <w:pPr>
                    <w:autoSpaceDE w:val="0"/>
                    <w:autoSpaceDN w:val="0"/>
                    <w:adjustRightInd w:val="0"/>
                    <w:jc w:val="center"/>
                    <w:rPr>
                      <w:bCs/>
                      <w:color w:val="auto"/>
                      <w:szCs w:val="21"/>
                      <w:highlight w:val="yellow"/>
                    </w:rPr>
                  </w:pPr>
                </w:p>
              </w:tc>
              <w:tc>
                <w:tcPr>
                  <w:tcW w:w="593" w:type="pct"/>
                  <w:shd w:val="clear" w:color="auto" w:fill="auto"/>
                  <w:vAlign w:val="center"/>
                </w:tcPr>
                <w:p w14:paraId="70555D6C">
                  <w:pPr>
                    <w:autoSpaceDE w:val="0"/>
                    <w:autoSpaceDN w:val="0"/>
                    <w:adjustRightInd w:val="0"/>
                    <w:jc w:val="center"/>
                    <w:rPr>
                      <w:bCs/>
                      <w:color w:val="auto"/>
                      <w:szCs w:val="21"/>
                      <w:highlight w:val="yellow"/>
                    </w:rPr>
                  </w:pPr>
                  <w:r>
                    <w:rPr>
                      <w:rFonts w:hint="eastAsia"/>
                      <w:bCs/>
                      <w:color w:val="auto"/>
                      <w:szCs w:val="21"/>
                      <w:highlight w:val="yellow"/>
                    </w:rPr>
                    <w:t>49</w:t>
                  </w:r>
                </w:p>
              </w:tc>
              <w:tc>
                <w:tcPr>
                  <w:tcW w:w="720" w:type="pct"/>
                  <w:vMerge w:val="continue"/>
                  <w:vAlign w:val="center"/>
                </w:tcPr>
                <w:p w14:paraId="5AB5B390">
                  <w:pPr>
                    <w:jc w:val="center"/>
                    <w:rPr>
                      <w:bCs/>
                      <w:color w:val="auto"/>
                      <w:szCs w:val="21"/>
                    </w:rPr>
                  </w:pPr>
                </w:p>
              </w:tc>
              <w:tc>
                <w:tcPr>
                  <w:tcW w:w="626" w:type="pct"/>
                  <w:vAlign w:val="center"/>
                </w:tcPr>
                <w:p w14:paraId="63C1F31F">
                  <w:pPr>
                    <w:jc w:val="center"/>
                    <w:rPr>
                      <w:bCs/>
                      <w:color w:val="auto"/>
                      <w:szCs w:val="21"/>
                    </w:rPr>
                  </w:pPr>
                  <w:r>
                    <w:rPr>
                      <w:bCs/>
                      <w:color w:val="auto"/>
                      <w:szCs w:val="21"/>
                    </w:rPr>
                    <w:t>达标</w:t>
                  </w:r>
                </w:p>
              </w:tc>
            </w:tr>
            <w:tr w14:paraId="5F0C07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36" w:type="pct"/>
                  <w:vMerge w:val="continue"/>
                  <w:vAlign w:val="center"/>
                </w:tcPr>
                <w:p w14:paraId="24D7C890">
                  <w:pPr>
                    <w:jc w:val="center"/>
                    <w:rPr>
                      <w:bCs/>
                      <w:color w:val="auto"/>
                      <w:szCs w:val="21"/>
                    </w:rPr>
                  </w:pPr>
                </w:p>
              </w:tc>
              <w:tc>
                <w:tcPr>
                  <w:tcW w:w="1181" w:type="pct"/>
                  <w:vAlign w:val="center"/>
                </w:tcPr>
                <w:p w14:paraId="4DEA0115">
                  <w:pPr>
                    <w:adjustRightInd w:val="0"/>
                    <w:snapToGrid w:val="0"/>
                    <w:jc w:val="center"/>
                    <w:rPr>
                      <w:bCs/>
                      <w:color w:val="auto"/>
                      <w:szCs w:val="21"/>
                    </w:rPr>
                  </w:pPr>
                  <w:r>
                    <w:rPr>
                      <w:bCs/>
                      <w:color w:val="auto"/>
                      <w:szCs w:val="21"/>
                    </w:rPr>
                    <w:t>北厂界4#</w:t>
                  </w:r>
                </w:p>
              </w:tc>
              <w:tc>
                <w:tcPr>
                  <w:tcW w:w="610" w:type="pct"/>
                  <w:shd w:val="clear" w:color="auto" w:fill="auto"/>
                  <w:vAlign w:val="center"/>
                </w:tcPr>
                <w:p w14:paraId="56ABFA57">
                  <w:pPr>
                    <w:autoSpaceDE w:val="0"/>
                    <w:autoSpaceDN w:val="0"/>
                    <w:adjustRightInd w:val="0"/>
                    <w:jc w:val="center"/>
                    <w:rPr>
                      <w:rFonts w:hint="eastAsia" w:ascii="Times New Roman" w:hAnsi="Times New Roman" w:eastAsia="宋体" w:cs="Times New Roman"/>
                      <w:bCs/>
                      <w:color w:val="auto"/>
                      <w:kern w:val="2"/>
                      <w:sz w:val="21"/>
                      <w:szCs w:val="21"/>
                      <w:lang w:val="en-US" w:eastAsia="zh-CN" w:bidi="ar-SA"/>
                    </w:rPr>
                  </w:pPr>
                  <w:r>
                    <w:rPr>
                      <w:rFonts w:hint="eastAsia"/>
                      <w:bCs/>
                      <w:color w:val="auto"/>
                      <w:szCs w:val="21"/>
                    </w:rPr>
                    <w:t>3</w:t>
                  </w:r>
                  <w:r>
                    <w:rPr>
                      <w:rFonts w:hint="eastAsia"/>
                      <w:bCs/>
                      <w:color w:val="auto"/>
                      <w:szCs w:val="21"/>
                      <w:lang w:val="en-US" w:eastAsia="zh-CN"/>
                    </w:rPr>
                    <w:t>5</w:t>
                  </w:r>
                </w:p>
              </w:tc>
              <w:tc>
                <w:tcPr>
                  <w:tcW w:w="731" w:type="pct"/>
                  <w:vMerge w:val="continue"/>
                  <w:shd w:val="clear" w:color="auto" w:fill="auto"/>
                  <w:vAlign w:val="center"/>
                </w:tcPr>
                <w:p w14:paraId="5680540D">
                  <w:pPr>
                    <w:autoSpaceDE w:val="0"/>
                    <w:autoSpaceDN w:val="0"/>
                    <w:adjustRightInd w:val="0"/>
                    <w:jc w:val="center"/>
                    <w:rPr>
                      <w:bCs/>
                      <w:color w:val="auto"/>
                      <w:szCs w:val="21"/>
                    </w:rPr>
                  </w:pPr>
                </w:p>
              </w:tc>
              <w:tc>
                <w:tcPr>
                  <w:tcW w:w="593" w:type="pct"/>
                  <w:shd w:val="clear" w:color="auto" w:fill="auto"/>
                  <w:vAlign w:val="center"/>
                </w:tcPr>
                <w:p w14:paraId="1055081A">
                  <w:pPr>
                    <w:autoSpaceDE w:val="0"/>
                    <w:autoSpaceDN w:val="0"/>
                    <w:adjustRightInd w:val="0"/>
                    <w:jc w:val="center"/>
                    <w:rPr>
                      <w:bCs/>
                      <w:color w:val="auto"/>
                      <w:szCs w:val="21"/>
                    </w:rPr>
                  </w:pPr>
                  <w:r>
                    <w:rPr>
                      <w:rFonts w:hint="eastAsia"/>
                      <w:bCs/>
                      <w:color w:val="auto"/>
                      <w:szCs w:val="21"/>
                    </w:rPr>
                    <w:t>33</w:t>
                  </w:r>
                </w:p>
              </w:tc>
              <w:tc>
                <w:tcPr>
                  <w:tcW w:w="720" w:type="pct"/>
                  <w:vMerge w:val="continue"/>
                  <w:vAlign w:val="center"/>
                </w:tcPr>
                <w:p w14:paraId="595E840C">
                  <w:pPr>
                    <w:jc w:val="center"/>
                    <w:rPr>
                      <w:bCs/>
                      <w:color w:val="auto"/>
                      <w:szCs w:val="21"/>
                    </w:rPr>
                  </w:pPr>
                </w:p>
              </w:tc>
              <w:tc>
                <w:tcPr>
                  <w:tcW w:w="626" w:type="pct"/>
                  <w:vAlign w:val="center"/>
                </w:tcPr>
                <w:p w14:paraId="1110E536">
                  <w:pPr>
                    <w:jc w:val="center"/>
                    <w:rPr>
                      <w:bCs/>
                      <w:color w:val="auto"/>
                      <w:szCs w:val="21"/>
                    </w:rPr>
                  </w:pPr>
                  <w:r>
                    <w:rPr>
                      <w:bCs/>
                      <w:color w:val="auto"/>
                      <w:szCs w:val="21"/>
                    </w:rPr>
                    <w:t>达标</w:t>
                  </w:r>
                </w:p>
              </w:tc>
            </w:tr>
          </w:tbl>
          <w:p w14:paraId="67677539">
            <w:pPr>
              <w:pStyle w:val="6"/>
              <w:keepNext w:val="0"/>
              <w:keepLines w:val="0"/>
              <w:pageBreakBefore w:val="0"/>
              <w:widowControl w:val="0"/>
              <w:kinsoku/>
              <w:wordWrap/>
              <w:overflowPunct/>
              <w:topLinePunct w:val="0"/>
              <w:autoSpaceDE/>
              <w:autoSpaceDN/>
              <w:bidi w:val="0"/>
              <w:adjustRightInd/>
              <w:snapToGrid/>
              <w:spacing w:before="120" w:beforeLines="50" w:line="312" w:lineRule="auto"/>
              <w:ind w:firstLine="480" w:firstLineChars="200"/>
              <w:textAlignment w:val="auto"/>
              <w:rPr>
                <w:color w:val="auto"/>
                <w:szCs w:val="24"/>
              </w:rPr>
            </w:pPr>
            <w:r>
              <w:rPr>
                <w:bCs/>
                <w:color w:val="auto"/>
              </w:rPr>
              <w:t>根据预测结</w:t>
            </w:r>
            <w:r>
              <w:rPr>
                <w:color w:val="auto"/>
              </w:rPr>
              <w:t>果可知，设备</w:t>
            </w:r>
            <w:r>
              <w:rPr>
                <w:rFonts w:hint="eastAsia"/>
                <w:color w:val="auto"/>
              </w:rPr>
              <w:t>设</w:t>
            </w:r>
            <w:r>
              <w:rPr>
                <w:color w:val="auto"/>
              </w:rPr>
              <w:t>减振垫、</w:t>
            </w:r>
            <w:r>
              <w:rPr>
                <w:rFonts w:hint="eastAsia"/>
                <w:color w:val="auto"/>
              </w:rPr>
              <w:t>厂房隔声等措施</w:t>
            </w:r>
            <w:r>
              <w:rPr>
                <w:color w:val="auto"/>
              </w:rPr>
              <w:t>后，项目运营期间，厂界四周噪声昼间贡献值</w:t>
            </w:r>
            <w:r>
              <w:rPr>
                <w:rFonts w:hint="eastAsia"/>
                <w:color w:val="auto"/>
              </w:rPr>
              <w:t>满足</w:t>
            </w:r>
            <w:r>
              <w:rPr>
                <w:color w:val="auto"/>
              </w:rPr>
              <w:t>《工业企业厂界环境噪声排放标准》（GB12348-2008）</w:t>
            </w:r>
            <w:r>
              <w:rPr>
                <w:rFonts w:hint="eastAsia"/>
                <w:color w:val="auto"/>
              </w:rPr>
              <w:t>2</w:t>
            </w:r>
            <w:r>
              <w:rPr>
                <w:color w:val="auto"/>
              </w:rPr>
              <w:t>类标准</w:t>
            </w:r>
            <w:r>
              <w:rPr>
                <w:rFonts w:hint="eastAsia"/>
                <w:color w:val="auto"/>
              </w:rPr>
              <w:t>要求。</w:t>
            </w:r>
          </w:p>
          <w:p w14:paraId="7D351564">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eastAsia="宋体"/>
                <w:color w:val="auto"/>
                <w:szCs w:val="24"/>
                <w:lang w:val="en-US" w:eastAsia="zh-CN"/>
              </w:rPr>
            </w:pPr>
            <w:r>
              <w:rPr>
                <w:rFonts w:hint="eastAsia"/>
                <w:color w:val="auto"/>
                <w:szCs w:val="24"/>
                <w:lang w:eastAsia="zh-CN"/>
              </w:rPr>
              <w:t>（</w:t>
            </w:r>
            <w:r>
              <w:rPr>
                <w:rFonts w:hint="eastAsia"/>
                <w:color w:val="auto"/>
                <w:szCs w:val="24"/>
                <w:lang w:val="en-US" w:eastAsia="zh-CN"/>
              </w:rPr>
              <w:t>2</w:t>
            </w:r>
            <w:r>
              <w:rPr>
                <w:rFonts w:hint="eastAsia"/>
                <w:color w:val="auto"/>
                <w:szCs w:val="24"/>
                <w:lang w:eastAsia="zh-CN"/>
              </w:rPr>
              <w:t>）</w:t>
            </w:r>
            <w:r>
              <w:rPr>
                <w:rFonts w:hint="eastAsia"/>
                <w:color w:val="auto"/>
                <w:szCs w:val="24"/>
                <w:lang w:val="en-US" w:eastAsia="zh-CN"/>
              </w:rPr>
              <w:t>敏感点噪声预测</w:t>
            </w:r>
          </w:p>
          <w:p w14:paraId="68EF0427">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color w:val="auto"/>
                <w:szCs w:val="24"/>
              </w:rPr>
            </w:pPr>
            <w:r>
              <w:rPr>
                <w:rFonts w:hint="eastAsia"/>
                <w:color w:val="auto"/>
                <w:szCs w:val="24"/>
                <w:lang w:val="en-US" w:eastAsia="zh-CN"/>
              </w:rPr>
              <w:t>①</w:t>
            </w:r>
            <w:r>
              <w:rPr>
                <w:rFonts w:hint="eastAsia"/>
                <w:color w:val="auto"/>
                <w:szCs w:val="24"/>
              </w:rPr>
              <w:t>噪声源</w:t>
            </w:r>
          </w:p>
          <w:p w14:paraId="6163BB74">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eastAsia="宋体"/>
                <w:color w:val="auto"/>
                <w:szCs w:val="24"/>
                <w:lang w:val="en-US" w:eastAsia="zh-CN"/>
              </w:rPr>
            </w:pPr>
            <w:r>
              <w:rPr>
                <w:rFonts w:hint="eastAsia"/>
                <w:color w:val="auto"/>
                <w:szCs w:val="24"/>
              </w:rPr>
              <w:t>现状监测时现有工程运行，</w:t>
            </w:r>
            <w:r>
              <w:rPr>
                <w:rFonts w:hint="eastAsia"/>
                <w:color w:val="auto"/>
                <w:szCs w:val="24"/>
                <w:lang w:val="en-US" w:eastAsia="zh-CN"/>
              </w:rPr>
              <w:t>敏感点预测噪声源为塑料桶生产设备，室内产噪设备为注塑机、搅拌机、破碎机、除尘器风机、空压机，室外产噪设备为活性炭吸附风机、冷却塔。</w:t>
            </w:r>
          </w:p>
          <w:p w14:paraId="7C0E9551">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color w:val="auto"/>
                <w:szCs w:val="24"/>
              </w:rPr>
            </w:pPr>
            <w:r>
              <w:rPr>
                <w:rFonts w:hint="eastAsia"/>
                <w:color w:val="auto"/>
                <w:szCs w:val="24"/>
                <w:lang w:val="en-US" w:eastAsia="zh-CN"/>
              </w:rPr>
              <w:t>②</w:t>
            </w:r>
            <w:r>
              <w:rPr>
                <w:rFonts w:hint="eastAsia"/>
                <w:color w:val="auto"/>
                <w:szCs w:val="24"/>
              </w:rPr>
              <w:t>预测结果及达标情况分析</w:t>
            </w:r>
          </w:p>
          <w:p w14:paraId="5908EB53">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b/>
                <w:bCs/>
                <w:color w:val="auto"/>
                <w:szCs w:val="24"/>
              </w:rPr>
            </w:pPr>
            <w:r>
              <w:rPr>
                <w:rFonts w:hint="eastAsia"/>
                <w:color w:val="auto"/>
              </w:rPr>
              <w:t>按照《环境影响评价技术导则 声环境》（HJ2.4-2021）中推荐模式进行预测，根据项目噪声源源强、所在位置，利用噪声预测模式和方法，对厂界四周的噪声贡献值进行预测</w:t>
            </w:r>
            <w:r>
              <w:rPr>
                <w:rFonts w:hint="eastAsia"/>
                <w:color w:val="auto"/>
                <w:kern w:val="0"/>
                <w:lang w:val="zh-CN"/>
              </w:rPr>
              <w:t>。</w:t>
            </w:r>
            <w:r>
              <w:rPr>
                <w:color w:val="auto"/>
                <w:kern w:val="0"/>
                <w:lang w:val="zh-CN"/>
              </w:rPr>
              <w:t>噪声影响预测结果见</w:t>
            </w:r>
            <w:r>
              <w:rPr>
                <w:color w:val="auto"/>
                <w:kern w:val="0"/>
              </w:rPr>
              <w:t>下</w:t>
            </w:r>
            <w:r>
              <w:rPr>
                <w:color w:val="auto"/>
                <w:kern w:val="0"/>
                <w:lang w:val="zh-CN"/>
              </w:rPr>
              <w:t>表。</w:t>
            </w:r>
          </w:p>
          <w:p w14:paraId="02826E49">
            <w:pPr>
              <w:pStyle w:val="65"/>
              <w:spacing w:line="240" w:lineRule="auto"/>
              <w:ind w:firstLine="0" w:firstLineChars="0"/>
              <w:jc w:val="center"/>
              <w:rPr>
                <w:rFonts w:hAnsi="Times New Roman" w:cs="Times New Roman"/>
                <w:b/>
                <w:bCs/>
                <w:color w:val="auto"/>
                <w:kern w:val="21"/>
                <w:szCs w:val="24"/>
              </w:rPr>
            </w:pPr>
            <w:r>
              <w:rPr>
                <w:rFonts w:hint="eastAsia" w:hAnsi="Times New Roman" w:cs="Times New Roman"/>
                <w:b/>
                <w:bCs/>
                <w:color w:val="auto"/>
                <w:kern w:val="21"/>
                <w:szCs w:val="24"/>
              </w:rPr>
              <w:t>表4-</w:t>
            </w:r>
            <w:r>
              <w:rPr>
                <w:rFonts w:hint="eastAsia" w:hAnsi="Times New Roman" w:cs="Times New Roman"/>
                <w:b/>
                <w:bCs/>
                <w:color w:val="auto"/>
                <w:kern w:val="21"/>
                <w:szCs w:val="24"/>
                <w:lang w:val="en-US" w:eastAsia="zh-CN"/>
              </w:rPr>
              <w:t>10</w:t>
            </w:r>
            <w:r>
              <w:rPr>
                <w:rFonts w:hint="eastAsia" w:hAnsi="Times New Roman" w:cs="Times New Roman"/>
                <w:b/>
                <w:bCs/>
                <w:color w:val="auto"/>
                <w:kern w:val="21"/>
                <w:szCs w:val="24"/>
              </w:rPr>
              <w:t xml:space="preserve"> </w:t>
            </w:r>
            <w:r>
              <w:rPr>
                <w:rFonts w:hint="eastAsia" w:hAnsi="Times New Roman" w:cs="Times New Roman"/>
                <w:b/>
                <w:bCs/>
                <w:color w:val="auto"/>
                <w:kern w:val="21"/>
                <w:szCs w:val="24"/>
                <w:lang w:val="en-US" w:eastAsia="zh-CN"/>
              </w:rPr>
              <w:t xml:space="preserve"> 项目敏感点</w:t>
            </w:r>
            <w:r>
              <w:rPr>
                <w:rFonts w:hint="eastAsia" w:hAnsi="Times New Roman" w:cs="Times New Roman"/>
                <w:b/>
                <w:bCs/>
                <w:color w:val="auto"/>
                <w:kern w:val="21"/>
                <w:szCs w:val="24"/>
              </w:rPr>
              <w:t>噪声预测结果</w:t>
            </w:r>
          </w:p>
          <w:tbl>
            <w:tblPr>
              <w:tblStyle w:val="26"/>
              <w:tblW w:w="48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1600"/>
              <w:gridCol w:w="834"/>
              <w:gridCol w:w="989"/>
              <w:gridCol w:w="955"/>
              <w:gridCol w:w="918"/>
              <w:gridCol w:w="757"/>
              <w:gridCol w:w="980"/>
              <w:gridCol w:w="824"/>
            </w:tblGrid>
            <w:tr w14:paraId="465D40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62" w:type="pct"/>
                  <w:gridSpan w:val="2"/>
                  <w:vMerge w:val="restart"/>
                  <w:vAlign w:val="center"/>
                </w:tcPr>
                <w:p w14:paraId="436B38A8">
                  <w:pPr>
                    <w:jc w:val="center"/>
                    <w:rPr>
                      <w:b/>
                      <w:bCs/>
                      <w:color w:val="auto"/>
                      <w:szCs w:val="21"/>
                    </w:rPr>
                  </w:pPr>
                  <w:r>
                    <w:rPr>
                      <w:b/>
                      <w:bCs/>
                      <w:color w:val="auto"/>
                      <w:szCs w:val="21"/>
                    </w:rPr>
                    <w:t>预测点位置</w:t>
                  </w:r>
                </w:p>
              </w:tc>
              <w:tc>
                <w:tcPr>
                  <w:tcW w:w="1615" w:type="pct"/>
                  <w:gridSpan w:val="3"/>
                  <w:vAlign w:val="center"/>
                </w:tcPr>
                <w:p w14:paraId="006A4313">
                  <w:pPr>
                    <w:jc w:val="center"/>
                    <w:rPr>
                      <w:b/>
                      <w:bCs/>
                      <w:color w:val="auto"/>
                      <w:szCs w:val="21"/>
                    </w:rPr>
                  </w:pPr>
                  <w:r>
                    <w:rPr>
                      <w:b/>
                      <w:bCs/>
                      <w:color w:val="auto"/>
                      <w:szCs w:val="21"/>
                    </w:rPr>
                    <w:t>昼间</w:t>
                  </w:r>
                  <w:r>
                    <w:rPr>
                      <w:rFonts w:hint="eastAsia"/>
                      <w:b/>
                      <w:bCs/>
                      <w:color w:val="auto"/>
                      <w:kern w:val="21"/>
                      <w:szCs w:val="21"/>
                    </w:rPr>
                    <w:t>dB（A）</w:t>
                  </w:r>
                </w:p>
              </w:tc>
              <w:tc>
                <w:tcPr>
                  <w:tcW w:w="1544" w:type="pct"/>
                  <w:gridSpan w:val="3"/>
                  <w:vAlign w:val="center"/>
                </w:tcPr>
                <w:p w14:paraId="4F283F55">
                  <w:pPr>
                    <w:jc w:val="center"/>
                    <w:rPr>
                      <w:b/>
                      <w:bCs/>
                      <w:color w:val="auto"/>
                      <w:szCs w:val="21"/>
                    </w:rPr>
                  </w:pPr>
                  <w:r>
                    <w:rPr>
                      <w:rFonts w:hint="eastAsia"/>
                      <w:b/>
                      <w:bCs/>
                      <w:color w:val="auto"/>
                      <w:szCs w:val="21"/>
                    </w:rPr>
                    <w:t>夜间</w:t>
                  </w:r>
                  <w:r>
                    <w:rPr>
                      <w:rFonts w:hint="eastAsia"/>
                      <w:b/>
                      <w:bCs/>
                      <w:color w:val="auto"/>
                      <w:kern w:val="21"/>
                      <w:szCs w:val="21"/>
                    </w:rPr>
                    <w:t>dB（A）</w:t>
                  </w:r>
                </w:p>
              </w:tc>
              <w:tc>
                <w:tcPr>
                  <w:tcW w:w="476" w:type="pct"/>
                  <w:vMerge w:val="restart"/>
                  <w:vAlign w:val="center"/>
                </w:tcPr>
                <w:p w14:paraId="0C79232E">
                  <w:pPr>
                    <w:jc w:val="center"/>
                    <w:rPr>
                      <w:b/>
                      <w:bCs/>
                      <w:color w:val="auto"/>
                      <w:szCs w:val="21"/>
                    </w:rPr>
                  </w:pPr>
                  <w:r>
                    <w:rPr>
                      <w:b/>
                      <w:bCs/>
                      <w:color w:val="auto"/>
                      <w:szCs w:val="21"/>
                    </w:rPr>
                    <w:t>达标情况</w:t>
                  </w:r>
                </w:p>
              </w:tc>
            </w:tr>
            <w:tr w14:paraId="75769F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62" w:type="pct"/>
                  <w:gridSpan w:val="2"/>
                  <w:vMerge w:val="continue"/>
                  <w:vAlign w:val="center"/>
                </w:tcPr>
                <w:p w14:paraId="3A4BF158">
                  <w:pPr>
                    <w:jc w:val="center"/>
                    <w:rPr>
                      <w:b/>
                      <w:bCs/>
                      <w:color w:val="auto"/>
                      <w:szCs w:val="21"/>
                    </w:rPr>
                  </w:pPr>
                </w:p>
              </w:tc>
              <w:tc>
                <w:tcPr>
                  <w:tcW w:w="485" w:type="pct"/>
                  <w:vAlign w:val="center"/>
                </w:tcPr>
                <w:p w14:paraId="44E0DEBF">
                  <w:pPr>
                    <w:ind w:left="-105" w:leftChars="-50" w:right="-105" w:rightChars="-50"/>
                    <w:jc w:val="center"/>
                    <w:rPr>
                      <w:b/>
                      <w:bCs/>
                      <w:color w:val="auto"/>
                      <w:szCs w:val="21"/>
                    </w:rPr>
                  </w:pPr>
                  <w:r>
                    <w:rPr>
                      <w:rFonts w:hint="eastAsia"/>
                      <w:b/>
                      <w:bCs/>
                      <w:color w:val="auto"/>
                      <w:szCs w:val="21"/>
                    </w:rPr>
                    <w:t>现状值</w:t>
                  </w:r>
                </w:p>
              </w:tc>
              <w:tc>
                <w:tcPr>
                  <w:tcW w:w="575" w:type="pct"/>
                  <w:vAlign w:val="center"/>
                </w:tcPr>
                <w:p w14:paraId="46D4F911">
                  <w:pPr>
                    <w:ind w:left="-105" w:leftChars="-50" w:right="-105" w:rightChars="-50"/>
                    <w:jc w:val="center"/>
                    <w:rPr>
                      <w:b/>
                      <w:bCs/>
                      <w:color w:val="auto"/>
                      <w:szCs w:val="21"/>
                    </w:rPr>
                  </w:pPr>
                  <w:r>
                    <w:rPr>
                      <w:rFonts w:hint="eastAsia"/>
                      <w:b/>
                      <w:bCs/>
                      <w:color w:val="auto"/>
                      <w:szCs w:val="21"/>
                    </w:rPr>
                    <w:t>贡献</w:t>
                  </w:r>
                  <w:r>
                    <w:rPr>
                      <w:b/>
                      <w:bCs/>
                      <w:color w:val="auto"/>
                      <w:szCs w:val="21"/>
                    </w:rPr>
                    <w:t>值</w:t>
                  </w:r>
                </w:p>
              </w:tc>
              <w:tc>
                <w:tcPr>
                  <w:tcW w:w="553" w:type="pct"/>
                  <w:vAlign w:val="center"/>
                </w:tcPr>
                <w:p w14:paraId="539EE054">
                  <w:pPr>
                    <w:jc w:val="center"/>
                    <w:rPr>
                      <w:b/>
                      <w:bCs/>
                      <w:color w:val="auto"/>
                      <w:szCs w:val="21"/>
                    </w:rPr>
                  </w:pPr>
                  <w:r>
                    <w:rPr>
                      <w:rFonts w:hint="eastAsia"/>
                      <w:b/>
                      <w:bCs/>
                      <w:color w:val="auto"/>
                      <w:szCs w:val="21"/>
                    </w:rPr>
                    <w:t>预测值</w:t>
                  </w:r>
                </w:p>
              </w:tc>
              <w:tc>
                <w:tcPr>
                  <w:tcW w:w="534" w:type="pct"/>
                  <w:vAlign w:val="center"/>
                </w:tcPr>
                <w:p w14:paraId="0F24AB81">
                  <w:pPr>
                    <w:ind w:left="-105" w:leftChars="-50" w:right="-105" w:rightChars="-50"/>
                    <w:jc w:val="center"/>
                    <w:rPr>
                      <w:b/>
                      <w:bCs/>
                      <w:color w:val="auto"/>
                      <w:szCs w:val="21"/>
                    </w:rPr>
                  </w:pPr>
                  <w:r>
                    <w:rPr>
                      <w:rFonts w:hint="eastAsia"/>
                      <w:b/>
                      <w:bCs/>
                      <w:color w:val="auto"/>
                      <w:szCs w:val="21"/>
                    </w:rPr>
                    <w:t>现状值</w:t>
                  </w:r>
                </w:p>
              </w:tc>
              <w:tc>
                <w:tcPr>
                  <w:tcW w:w="440" w:type="pct"/>
                  <w:vAlign w:val="center"/>
                </w:tcPr>
                <w:p w14:paraId="1E0E91F9">
                  <w:pPr>
                    <w:ind w:left="-105" w:leftChars="-50" w:right="-105" w:rightChars="-50"/>
                    <w:jc w:val="center"/>
                    <w:rPr>
                      <w:b/>
                      <w:bCs/>
                      <w:color w:val="auto"/>
                      <w:szCs w:val="21"/>
                    </w:rPr>
                  </w:pPr>
                  <w:r>
                    <w:rPr>
                      <w:rFonts w:hint="eastAsia"/>
                      <w:b/>
                      <w:bCs/>
                      <w:color w:val="auto"/>
                      <w:szCs w:val="21"/>
                    </w:rPr>
                    <w:t>贡献</w:t>
                  </w:r>
                  <w:r>
                    <w:rPr>
                      <w:b/>
                      <w:bCs/>
                      <w:color w:val="auto"/>
                      <w:szCs w:val="21"/>
                    </w:rPr>
                    <w:t>值</w:t>
                  </w:r>
                </w:p>
              </w:tc>
              <w:tc>
                <w:tcPr>
                  <w:tcW w:w="569" w:type="pct"/>
                  <w:vAlign w:val="center"/>
                </w:tcPr>
                <w:p w14:paraId="4CD4E3FC">
                  <w:pPr>
                    <w:jc w:val="center"/>
                    <w:rPr>
                      <w:b/>
                      <w:bCs/>
                      <w:color w:val="auto"/>
                      <w:szCs w:val="21"/>
                    </w:rPr>
                  </w:pPr>
                  <w:r>
                    <w:rPr>
                      <w:rFonts w:hint="eastAsia"/>
                      <w:b/>
                      <w:bCs/>
                      <w:color w:val="auto"/>
                      <w:szCs w:val="21"/>
                    </w:rPr>
                    <w:t>预测值</w:t>
                  </w:r>
                </w:p>
              </w:tc>
              <w:tc>
                <w:tcPr>
                  <w:tcW w:w="476" w:type="pct"/>
                  <w:vMerge w:val="continue"/>
                  <w:vAlign w:val="center"/>
                </w:tcPr>
                <w:p w14:paraId="3624FC3F">
                  <w:pPr>
                    <w:jc w:val="center"/>
                    <w:rPr>
                      <w:b/>
                      <w:bCs/>
                      <w:color w:val="auto"/>
                      <w:szCs w:val="21"/>
                    </w:rPr>
                  </w:pPr>
                </w:p>
              </w:tc>
            </w:tr>
            <w:tr w14:paraId="54A5D0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32" w:type="pct"/>
                  <w:vMerge w:val="restart"/>
                  <w:vAlign w:val="center"/>
                </w:tcPr>
                <w:p w14:paraId="4A6916C0">
                  <w:pPr>
                    <w:jc w:val="center"/>
                    <w:rPr>
                      <w:bCs/>
                      <w:color w:val="auto"/>
                      <w:szCs w:val="21"/>
                    </w:rPr>
                  </w:pPr>
                  <w:r>
                    <w:rPr>
                      <w:rFonts w:hint="eastAsia"/>
                      <w:bCs/>
                      <w:color w:val="auto"/>
                      <w:szCs w:val="21"/>
                    </w:rPr>
                    <w:t>敏感点</w:t>
                  </w:r>
                </w:p>
              </w:tc>
              <w:tc>
                <w:tcPr>
                  <w:tcW w:w="929" w:type="pct"/>
                  <w:vAlign w:val="center"/>
                </w:tcPr>
                <w:p w14:paraId="40A8479E">
                  <w:pPr>
                    <w:adjustRightInd w:val="0"/>
                    <w:snapToGrid w:val="0"/>
                    <w:jc w:val="center"/>
                    <w:rPr>
                      <w:bCs/>
                      <w:color w:val="auto"/>
                      <w:szCs w:val="21"/>
                    </w:rPr>
                  </w:pPr>
                  <w:r>
                    <w:rPr>
                      <w:rFonts w:hint="eastAsia"/>
                      <w:bCs/>
                      <w:color w:val="auto"/>
                      <w:szCs w:val="21"/>
                    </w:rPr>
                    <w:t>东侧白家庄村</w:t>
                  </w:r>
                </w:p>
              </w:tc>
              <w:tc>
                <w:tcPr>
                  <w:tcW w:w="485" w:type="pct"/>
                  <w:vAlign w:val="center"/>
                </w:tcPr>
                <w:p w14:paraId="21F1D45E">
                  <w:pPr>
                    <w:autoSpaceDE w:val="0"/>
                    <w:autoSpaceDN w:val="0"/>
                    <w:adjustRightInd w:val="0"/>
                    <w:jc w:val="center"/>
                    <w:rPr>
                      <w:bCs/>
                      <w:color w:val="auto"/>
                      <w:szCs w:val="21"/>
                    </w:rPr>
                  </w:pPr>
                  <w:r>
                    <w:rPr>
                      <w:rFonts w:hint="eastAsia"/>
                      <w:bCs/>
                      <w:color w:val="auto"/>
                      <w:szCs w:val="21"/>
                    </w:rPr>
                    <w:t>54</w:t>
                  </w:r>
                </w:p>
              </w:tc>
              <w:tc>
                <w:tcPr>
                  <w:tcW w:w="575" w:type="pct"/>
                  <w:vAlign w:val="center"/>
                </w:tcPr>
                <w:p w14:paraId="196584E4">
                  <w:pPr>
                    <w:autoSpaceDE w:val="0"/>
                    <w:autoSpaceDN w:val="0"/>
                    <w:adjustRightInd w:val="0"/>
                    <w:jc w:val="center"/>
                    <w:rPr>
                      <w:bCs/>
                      <w:color w:val="auto"/>
                      <w:szCs w:val="21"/>
                    </w:rPr>
                  </w:pPr>
                  <w:r>
                    <w:rPr>
                      <w:rFonts w:hint="eastAsia"/>
                      <w:bCs/>
                      <w:color w:val="auto"/>
                      <w:szCs w:val="21"/>
                    </w:rPr>
                    <w:t>35</w:t>
                  </w:r>
                </w:p>
              </w:tc>
              <w:tc>
                <w:tcPr>
                  <w:tcW w:w="553" w:type="pct"/>
                  <w:vAlign w:val="center"/>
                </w:tcPr>
                <w:p w14:paraId="7528D42F">
                  <w:pPr>
                    <w:autoSpaceDE w:val="0"/>
                    <w:autoSpaceDN w:val="0"/>
                    <w:adjustRightInd w:val="0"/>
                    <w:jc w:val="center"/>
                    <w:rPr>
                      <w:bCs/>
                      <w:color w:val="auto"/>
                      <w:szCs w:val="21"/>
                    </w:rPr>
                  </w:pPr>
                  <w:r>
                    <w:rPr>
                      <w:rFonts w:hint="eastAsia"/>
                      <w:bCs/>
                      <w:color w:val="auto"/>
                      <w:szCs w:val="21"/>
                    </w:rPr>
                    <w:t>54</w:t>
                  </w:r>
                </w:p>
              </w:tc>
              <w:tc>
                <w:tcPr>
                  <w:tcW w:w="534" w:type="pct"/>
                  <w:vAlign w:val="center"/>
                </w:tcPr>
                <w:p w14:paraId="73970DA2">
                  <w:pPr>
                    <w:jc w:val="center"/>
                    <w:rPr>
                      <w:bCs/>
                      <w:color w:val="auto"/>
                      <w:szCs w:val="21"/>
                    </w:rPr>
                  </w:pPr>
                  <w:r>
                    <w:rPr>
                      <w:rFonts w:hint="eastAsia"/>
                      <w:bCs/>
                      <w:color w:val="auto"/>
                      <w:szCs w:val="21"/>
                    </w:rPr>
                    <w:t>44</w:t>
                  </w:r>
                </w:p>
              </w:tc>
              <w:tc>
                <w:tcPr>
                  <w:tcW w:w="440" w:type="pct"/>
                  <w:vAlign w:val="center"/>
                </w:tcPr>
                <w:p w14:paraId="1031275C">
                  <w:pPr>
                    <w:jc w:val="center"/>
                    <w:rPr>
                      <w:bCs/>
                      <w:color w:val="auto"/>
                      <w:szCs w:val="21"/>
                    </w:rPr>
                  </w:pPr>
                  <w:r>
                    <w:rPr>
                      <w:rFonts w:hint="eastAsia"/>
                      <w:bCs/>
                      <w:color w:val="auto"/>
                      <w:szCs w:val="21"/>
                    </w:rPr>
                    <w:t>34</w:t>
                  </w:r>
                </w:p>
              </w:tc>
              <w:tc>
                <w:tcPr>
                  <w:tcW w:w="569" w:type="pct"/>
                  <w:vAlign w:val="center"/>
                </w:tcPr>
                <w:p w14:paraId="6F2C97D6">
                  <w:pPr>
                    <w:jc w:val="center"/>
                    <w:rPr>
                      <w:bCs/>
                      <w:color w:val="auto"/>
                      <w:szCs w:val="21"/>
                    </w:rPr>
                  </w:pPr>
                  <w:r>
                    <w:rPr>
                      <w:rFonts w:hint="eastAsia"/>
                      <w:bCs/>
                      <w:color w:val="auto"/>
                      <w:szCs w:val="21"/>
                    </w:rPr>
                    <w:t>44</w:t>
                  </w:r>
                </w:p>
              </w:tc>
              <w:tc>
                <w:tcPr>
                  <w:tcW w:w="476" w:type="pct"/>
                  <w:vAlign w:val="center"/>
                </w:tcPr>
                <w:p w14:paraId="15A079E7">
                  <w:pPr>
                    <w:jc w:val="center"/>
                    <w:rPr>
                      <w:bCs/>
                      <w:color w:val="auto"/>
                      <w:szCs w:val="21"/>
                    </w:rPr>
                  </w:pPr>
                  <w:r>
                    <w:rPr>
                      <w:bCs/>
                      <w:color w:val="auto"/>
                      <w:szCs w:val="21"/>
                    </w:rPr>
                    <w:t>达标</w:t>
                  </w:r>
                </w:p>
              </w:tc>
            </w:tr>
            <w:tr w14:paraId="65BB01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32" w:type="pct"/>
                  <w:vMerge w:val="continue"/>
                  <w:vAlign w:val="center"/>
                </w:tcPr>
                <w:p w14:paraId="384C375A">
                  <w:pPr>
                    <w:jc w:val="center"/>
                    <w:rPr>
                      <w:bCs/>
                      <w:color w:val="auto"/>
                      <w:szCs w:val="21"/>
                    </w:rPr>
                  </w:pPr>
                </w:p>
              </w:tc>
              <w:tc>
                <w:tcPr>
                  <w:tcW w:w="929" w:type="pct"/>
                  <w:vAlign w:val="center"/>
                </w:tcPr>
                <w:p w14:paraId="49F2B0D4">
                  <w:pPr>
                    <w:adjustRightInd w:val="0"/>
                    <w:snapToGrid w:val="0"/>
                    <w:jc w:val="center"/>
                    <w:rPr>
                      <w:bCs/>
                      <w:color w:val="auto"/>
                      <w:szCs w:val="21"/>
                    </w:rPr>
                  </w:pPr>
                  <w:r>
                    <w:rPr>
                      <w:rFonts w:hint="eastAsia"/>
                      <w:bCs/>
                      <w:color w:val="auto"/>
                      <w:szCs w:val="21"/>
                    </w:rPr>
                    <w:t>南侧白家庄村</w:t>
                  </w:r>
                </w:p>
              </w:tc>
              <w:tc>
                <w:tcPr>
                  <w:tcW w:w="485" w:type="pct"/>
                  <w:vAlign w:val="center"/>
                </w:tcPr>
                <w:p w14:paraId="4C0AED09">
                  <w:pPr>
                    <w:autoSpaceDE w:val="0"/>
                    <w:autoSpaceDN w:val="0"/>
                    <w:adjustRightInd w:val="0"/>
                    <w:jc w:val="center"/>
                    <w:rPr>
                      <w:bCs/>
                      <w:color w:val="auto"/>
                      <w:szCs w:val="21"/>
                    </w:rPr>
                  </w:pPr>
                  <w:r>
                    <w:rPr>
                      <w:rFonts w:hint="eastAsia"/>
                      <w:bCs/>
                      <w:color w:val="auto"/>
                      <w:szCs w:val="21"/>
                    </w:rPr>
                    <w:t>52</w:t>
                  </w:r>
                </w:p>
              </w:tc>
              <w:tc>
                <w:tcPr>
                  <w:tcW w:w="575" w:type="pct"/>
                  <w:vAlign w:val="center"/>
                </w:tcPr>
                <w:p w14:paraId="55042EEF">
                  <w:pPr>
                    <w:autoSpaceDE w:val="0"/>
                    <w:autoSpaceDN w:val="0"/>
                    <w:adjustRightInd w:val="0"/>
                    <w:jc w:val="center"/>
                    <w:rPr>
                      <w:bCs/>
                      <w:color w:val="auto"/>
                      <w:szCs w:val="21"/>
                    </w:rPr>
                  </w:pPr>
                  <w:r>
                    <w:rPr>
                      <w:rFonts w:hint="eastAsia"/>
                      <w:bCs/>
                      <w:color w:val="auto"/>
                      <w:szCs w:val="21"/>
                    </w:rPr>
                    <w:t>42</w:t>
                  </w:r>
                </w:p>
              </w:tc>
              <w:tc>
                <w:tcPr>
                  <w:tcW w:w="553" w:type="pct"/>
                  <w:vAlign w:val="center"/>
                </w:tcPr>
                <w:p w14:paraId="3FA48583">
                  <w:pPr>
                    <w:jc w:val="center"/>
                    <w:rPr>
                      <w:bCs/>
                      <w:color w:val="auto"/>
                      <w:szCs w:val="21"/>
                    </w:rPr>
                  </w:pPr>
                  <w:r>
                    <w:rPr>
                      <w:rFonts w:hint="eastAsia"/>
                      <w:bCs/>
                      <w:color w:val="auto"/>
                      <w:szCs w:val="21"/>
                    </w:rPr>
                    <w:t>52</w:t>
                  </w:r>
                </w:p>
              </w:tc>
              <w:tc>
                <w:tcPr>
                  <w:tcW w:w="534" w:type="pct"/>
                  <w:vAlign w:val="center"/>
                </w:tcPr>
                <w:p w14:paraId="08AA4399">
                  <w:pPr>
                    <w:jc w:val="center"/>
                    <w:rPr>
                      <w:bCs/>
                      <w:color w:val="auto"/>
                      <w:szCs w:val="21"/>
                    </w:rPr>
                  </w:pPr>
                  <w:r>
                    <w:rPr>
                      <w:rFonts w:hint="eastAsia"/>
                      <w:bCs/>
                      <w:color w:val="auto"/>
                      <w:szCs w:val="21"/>
                    </w:rPr>
                    <w:t>43</w:t>
                  </w:r>
                </w:p>
              </w:tc>
              <w:tc>
                <w:tcPr>
                  <w:tcW w:w="440" w:type="pct"/>
                  <w:vAlign w:val="center"/>
                </w:tcPr>
                <w:p w14:paraId="5D060975">
                  <w:pPr>
                    <w:jc w:val="center"/>
                    <w:rPr>
                      <w:bCs/>
                      <w:color w:val="auto"/>
                      <w:szCs w:val="21"/>
                    </w:rPr>
                  </w:pPr>
                  <w:r>
                    <w:rPr>
                      <w:rFonts w:hint="eastAsia"/>
                      <w:bCs/>
                      <w:color w:val="auto"/>
                      <w:szCs w:val="21"/>
                    </w:rPr>
                    <w:t>41</w:t>
                  </w:r>
                </w:p>
              </w:tc>
              <w:tc>
                <w:tcPr>
                  <w:tcW w:w="569" w:type="pct"/>
                  <w:vAlign w:val="center"/>
                </w:tcPr>
                <w:p w14:paraId="21E8E6E9">
                  <w:pPr>
                    <w:jc w:val="center"/>
                    <w:rPr>
                      <w:bCs/>
                      <w:color w:val="auto"/>
                      <w:szCs w:val="21"/>
                    </w:rPr>
                  </w:pPr>
                  <w:r>
                    <w:rPr>
                      <w:rFonts w:hint="eastAsia"/>
                      <w:bCs/>
                      <w:color w:val="auto"/>
                      <w:szCs w:val="21"/>
                    </w:rPr>
                    <w:t>45</w:t>
                  </w:r>
                </w:p>
              </w:tc>
              <w:tc>
                <w:tcPr>
                  <w:tcW w:w="476" w:type="pct"/>
                  <w:vAlign w:val="center"/>
                </w:tcPr>
                <w:p w14:paraId="3DE6CE1D">
                  <w:pPr>
                    <w:jc w:val="center"/>
                    <w:rPr>
                      <w:bCs/>
                      <w:color w:val="auto"/>
                      <w:szCs w:val="21"/>
                    </w:rPr>
                  </w:pPr>
                  <w:r>
                    <w:rPr>
                      <w:bCs/>
                      <w:color w:val="auto"/>
                      <w:szCs w:val="21"/>
                    </w:rPr>
                    <w:t>达标</w:t>
                  </w:r>
                </w:p>
              </w:tc>
            </w:tr>
            <w:tr w14:paraId="35B9C5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000" w:type="pct"/>
                  <w:gridSpan w:val="9"/>
                  <w:vAlign w:val="center"/>
                </w:tcPr>
                <w:p w14:paraId="38289169">
                  <w:pPr>
                    <w:rPr>
                      <w:bCs/>
                      <w:color w:val="auto"/>
                      <w:szCs w:val="21"/>
                    </w:rPr>
                  </w:pPr>
                  <w:r>
                    <w:rPr>
                      <w:rFonts w:hint="eastAsia"/>
                      <w:bCs/>
                      <w:color w:val="auto"/>
                      <w:szCs w:val="21"/>
                    </w:rPr>
                    <w:t>标准限值：昼间60；夜间50</w:t>
                  </w:r>
                </w:p>
              </w:tc>
            </w:tr>
          </w:tbl>
          <w:p w14:paraId="55BB2FB5">
            <w:pPr>
              <w:pStyle w:val="6"/>
              <w:keepNext w:val="0"/>
              <w:keepLines w:val="0"/>
              <w:pageBreakBefore w:val="0"/>
              <w:widowControl w:val="0"/>
              <w:kinsoku/>
              <w:wordWrap/>
              <w:overflowPunct/>
              <w:topLinePunct w:val="0"/>
              <w:autoSpaceDE/>
              <w:autoSpaceDN/>
              <w:bidi w:val="0"/>
              <w:adjustRightInd/>
              <w:snapToGrid/>
              <w:spacing w:before="120" w:beforeLines="50" w:line="312" w:lineRule="auto"/>
              <w:ind w:firstLine="480" w:firstLineChars="200"/>
              <w:textAlignment w:val="auto"/>
              <w:rPr>
                <w:color w:val="auto"/>
                <w:szCs w:val="24"/>
              </w:rPr>
            </w:pPr>
            <w:r>
              <w:rPr>
                <w:bCs/>
                <w:color w:val="auto"/>
              </w:rPr>
              <w:t>根据预测结</w:t>
            </w:r>
            <w:r>
              <w:rPr>
                <w:color w:val="auto"/>
              </w:rPr>
              <w:t>果可知，</w:t>
            </w:r>
            <w:r>
              <w:rPr>
                <w:rFonts w:hint="eastAsia"/>
                <w:color w:val="auto"/>
                <w:szCs w:val="24"/>
              </w:rPr>
              <w:t>敏感点噪声预测值满足《声环境质量标准》（GB3096-2008）中的2类标准。</w:t>
            </w:r>
          </w:p>
          <w:p w14:paraId="4C512281">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color w:val="auto"/>
                <w:szCs w:val="24"/>
              </w:rPr>
            </w:pPr>
            <w:r>
              <w:rPr>
                <w:rFonts w:hint="eastAsia"/>
                <w:color w:val="auto"/>
                <w:szCs w:val="24"/>
              </w:rPr>
              <w:t>（3）监测计划</w:t>
            </w:r>
          </w:p>
          <w:p w14:paraId="69FF6E97">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color w:val="auto"/>
                <w:szCs w:val="24"/>
              </w:rPr>
            </w:pPr>
            <w:r>
              <w:rPr>
                <w:rFonts w:hint="eastAsia"/>
                <w:color w:val="auto"/>
              </w:rPr>
              <w:t>根据《排污单位自行监测技术指南 总则》（HJ 819-2017），</w:t>
            </w:r>
            <w:r>
              <w:rPr>
                <w:color w:val="auto"/>
              </w:rPr>
              <w:t>本项目运营期噪声监测计划见下表。</w:t>
            </w:r>
          </w:p>
          <w:p w14:paraId="6C24656F">
            <w:pPr>
              <w:pStyle w:val="65"/>
              <w:spacing w:line="240" w:lineRule="auto"/>
              <w:ind w:firstLine="0" w:firstLineChars="0"/>
              <w:jc w:val="center"/>
              <w:rPr>
                <w:rFonts w:hAnsi="Times New Roman" w:cs="Times New Roman"/>
                <w:b/>
                <w:bCs/>
                <w:color w:val="auto"/>
                <w:kern w:val="21"/>
                <w:szCs w:val="24"/>
              </w:rPr>
            </w:pPr>
            <w:r>
              <w:rPr>
                <w:rFonts w:hint="eastAsia" w:hAnsi="Times New Roman" w:cs="Times New Roman"/>
                <w:b/>
                <w:bCs/>
                <w:color w:val="auto"/>
                <w:kern w:val="21"/>
                <w:szCs w:val="24"/>
              </w:rPr>
              <w:t>表4-1</w:t>
            </w:r>
            <w:r>
              <w:rPr>
                <w:rFonts w:hint="eastAsia" w:hAnsi="Times New Roman" w:cs="Times New Roman"/>
                <w:b/>
                <w:bCs/>
                <w:color w:val="auto"/>
                <w:kern w:val="21"/>
                <w:szCs w:val="24"/>
                <w:lang w:val="en-US" w:eastAsia="zh-CN"/>
              </w:rPr>
              <w:t>1</w:t>
            </w:r>
            <w:r>
              <w:rPr>
                <w:rFonts w:hint="eastAsia" w:hAnsi="Times New Roman" w:cs="Times New Roman"/>
                <w:b/>
                <w:bCs/>
                <w:color w:val="auto"/>
                <w:kern w:val="21"/>
                <w:szCs w:val="24"/>
              </w:rPr>
              <w:t xml:space="preserve">  项目噪声监测计划</w:t>
            </w:r>
          </w:p>
          <w:tbl>
            <w:tblPr>
              <w:tblStyle w:val="2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2032"/>
              <w:gridCol w:w="1289"/>
              <w:gridCol w:w="1347"/>
              <w:gridCol w:w="3047"/>
            </w:tblGrid>
            <w:tr w14:paraId="253A5B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05" w:type="pct"/>
                  <w:vAlign w:val="center"/>
                </w:tcPr>
                <w:p w14:paraId="0B9B1EFE">
                  <w:pPr>
                    <w:jc w:val="center"/>
                    <w:rPr>
                      <w:b/>
                      <w:bCs/>
                      <w:color w:val="auto"/>
                      <w:szCs w:val="21"/>
                    </w:rPr>
                  </w:pPr>
                  <w:r>
                    <w:rPr>
                      <w:b/>
                      <w:bCs/>
                      <w:color w:val="auto"/>
                      <w:szCs w:val="21"/>
                    </w:rPr>
                    <w:t>类别</w:t>
                  </w:r>
                </w:p>
              </w:tc>
              <w:tc>
                <w:tcPr>
                  <w:tcW w:w="1157" w:type="pct"/>
                  <w:vAlign w:val="center"/>
                </w:tcPr>
                <w:p w14:paraId="50C67DEC">
                  <w:pPr>
                    <w:jc w:val="center"/>
                    <w:rPr>
                      <w:b/>
                      <w:bCs/>
                      <w:color w:val="auto"/>
                      <w:szCs w:val="21"/>
                    </w:rPr>
                  </w:pPr>
                  <w:r>
                    <w:rPr>
                      <w:b/>
                      <w:bCs/>
                      <w:color w:val="auto"/>
                      <w:szCs w:val="21"/>
                    </w:rPr>
                    <w:t>监测点位</w:t>
                  </w:r>
                </w:p>
              </w:tc>
              <w:tc>
                <w:tcPr>
                  <w:tcW w:w="734" w:type="pct"/>
                  <w:vAlign w:val="center"/>
                </w:tcPr>
                <w:p w14:paraId="5F19EE65">
                  <w:pPr>
                    <w:jc w:val="center"/>
                    <w:rPr>
                      <w:b/>
                      <w:bCs/>
                      <w:color w:val="auto"/>
                      <w:szCs w:val="21"/>
                    </w:rPr>
                  </w:pPr>
                  <w:r>
                    <w:rPr>
                      <w:b/>
                      <w:bCs/>
                      <w:color w:val="auto"/>
                      <w:szCs w:val="21"/>
                    </w:rPr>
                    <w:t>监测项目</w:t>
                  </w:r>
                </w:p>
              </w:tc>
              <w:tc>
                <w:tcPr>
                  <w:tcW w:w="767" w:type="pct"/>
                  <w:vAlign w:val="center"/>
                </w:tcPr>
                <w:p w14:paraId="71D073D2">
                  <w:pPr>
                    <w:jc w:val="center"/>
                    <w:rPr>
                      <w:b/>
                      <w:bCs/>
                      <w:color w:val="auto"/>
                      <w:szCs w:val="21"/>
                    </w:rPr>
                  </w:pPr>
                  <w:r>
                    <w:rPr>
                      <w:b/>
                      <w:bCs/>
                      <w:color w:val="auto"/>
                      <w:szCs w:val="21"/>
                    </w:rPr>
                    <w:t>监测频次</w:t>
                  </w:r>
                </w:p>
              </w:tc>
              <w:tc>
                <w:tcPr>
                  <w:tcW w:w="1734" w:type="pct"/>
                  <w:vAlign w:val="center"/>
                </w:tcPr>
                <w:p w14:paraId="373A6914">
                  <w:pPr>
                    <w:jc w:val="center"/>
                    <w:rPr>
                      <w:b/>
                      <w:bCs/>
                      <w:color w:val="auto"/>
                      <w:szCs w:val="21"/>
                    </w:rPr>
                  </w:pPr>
                  <w:r>
                    <w:rPr>
                      <w:rFonts w:hint="eastAsia"/>
                      <w:b/>
                      <w:bCs/>
                      <w:color w:val="auto"/>
                      <w:szCs w:val="21"/>
                    </w:rPr>
                    <w:t>执行标准</w:t>
                  </w:r>
                </w:p>
              </w:tc>
            </w:tr>
            <w:tr w14:paraId="31959B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5" w:type="pct"/>
                  <w:vAlign w:val="center"/>
                </w:tcPr>
                <w:p w14:paraId="068DD1F3">
                  <w:pPr>
                    <w:jc w:val="center"/>
                    <w:rPr>
                      <w:color w:val="auto"/>
                      <w:szCs w:val="21"/>
                    </w:rPr>
                  </w:pPr>
                  <w:r>
                    <w:rPr>
                      <w:color w:val="auto"/>
                      <w:szCs w:val="21"/>
                    </w:rPr>
                    <w:t>噪声</w:t>
                  </w:r>
                </w:p>
              </w:tc>
              <w:tc>
                <w:tcPr>
                  <w:tcW w:w="1157" w:type="pct"/>
                  <w:vAlign w:val="center"/>
                </w:tcPr>
                <w:p w14:paraId="3C076A01">
                  <w:pPr>
                    <w:jc w:val="center"/>
                    <w:rPr>
                      <w:color w:val="auto"/>
                      <w:szCs w:val="21"/>
                    </w:rPr>
                  </w:pPr>
                  <w:r>
                    <w:rPr>
                      <w:rFonts w:hint="eastAsia"/>
                      <w:color w:val="auto"/>
                      <w:szCs w:val="21"/>
                    </w:rPr>
                    <w:t>东、南、西、北</w:t>
                  </w:r>
                  <w:r>
                    <w:rPr>
                      <w:color w:val="auto"/>
                      <w:szCs w:val="21"/>
                    </w:rPr>
                    <w:t>厂界</w:t>
                  </w:r>
                  <w:r>
                    <w:rPr>
                      <w:rFonts w:hint="eastAsia"/>
                      <w:color w:val="auto"/>
                      <w:szCs w:val="21"/>
                    </w:rPr>
                    <w:t>外1m处</w:t>
                  </w:r>
                </w:p>
              </w:tc>
              <w:tc>
                <w:tcPr>
                  <w:tcW w:w="734" w:type="pct"/>
                  <w:vAlign w:val="center"/>
                </w:tcPr>
                <w:p w14:paraId="26311D14">
                  <w:pPr>
                    <w:jc w:val="center"/>
                    <w:rPr>
                      <w:color w:val="auto"/>
                      <w:szCs w:val="21"/>
                    </w:rPr>
                  </w:pPr>
                  <w:r>
                    <w:rPr>
                      <w:color w:val="auto"/>
                      <w:szCs w:val="21"/>
                    </w:rPr>
                    <w:t>L</w:t>
                  </w:r>
                  <w:r>
                    <w:rPr>
                      <w:color w:val="auto"/>
                      <w:szCs w:val="21"/>
                      <w:vertAlign w:val="subscript"/>
                    </w:rPr>
                    <w:t>Aeq</w:t>
                  </w:r>
                </w:p>
              </w:tc>
              <w:tc>
                <w:tcPr>
                  <w:tcW w:w="767" w:type="pct"/>
                  <w:vAlign w:val="center"/>
                </w:tcPr>
                <w:p w14:paraId="295D3B7F">
                  <w:pPr>
                    <w:jc w:val="center"/>
                    <w:rPr>
                      <w:color w:val="auto"/>
                      <w:szCs w:val="21"/>
                    </w:rPr>
                  </w:pPr>
                  <w:r>
                    <w:rPr>
                      <w:rFonts w:hint="eastAsia"/>
                      <w:color w:val="auto"/>
                      <w:szCs w:val="21"/>
                    </w:rPr>
                    <w:t>1</w:t>
                  </w:r>
                  <w:r>
                    <w:rPr>
                      <w:color w:val="auto"/>
                      <w:szCs w:val="21"/>
                    </w:rPr>
                    <w:t>次</w:t>
                  </w:r>
                  <w:r>
                    <w:rPr>
                      <w:rFonts w:hint="eastAsia"/>
                      <w:color w:val="auto"/>
                      <w:szCs w:val="21"/>
                    </w:rPr>
                    <w:t>/季度</w:t>
                  </w:r>
                </w:p>
              </w:tc>
              <w:tc>
                <w:tcPr>
                  <w:tcW w:w="1734" w:type="pct"/>
                  <w:vAlign w:val="center"/>
                </w:tcPr>
                <w:p w14:paraId="4A1D4C0C">
                  <w:pPr>
                    <w:jc w:val="center"/>
                    <w:rPr>
                      <w:color w:val="auto"/>
                      <w:szCs w:val="21"/>
                    </w:rPr>
                  </w:pPr>
                  <w:r>
                    <w:rPr>
                      <w:color w:val="auto"/>
                      <w:szCs w:val="21"/>
                    </w:rPr>
                    <w:t>《工业企业厂界环境噪声排放标准》（GB12348-2008）</w:t>
                  </w:r>
                  <w:r>
                    <w:rPr>
                      <w:rFonts w:hint="eastAsia"/>
                      <w:color w:val="auto"/>
                      <w:szCs w:val="21"/>
                    </w:rPr>
                    <w:t>2类标准</w:t>
                  </w:r>
                </w:p>
              </w:tc>
            </w:tr>
          </w:tbl>
          <w:p w14:paraId="73C35CD2">
            <w:pPr>
              <w:pStyle w:val="6"/>
              <w:spacing w:before="120" w:beforeLines="50" w:line="360" w:lineRule="auto"/>
              <w:ind w:firstLine="482" w:firstLineChars="200"/>
              <w:rPr>
                <w:b/>
                <w:bCs/>
                <w:color w:val="auto"/>
                <w:szCs w:val="24"/>
              </w:rPr>
            </w:pPr>
            <w:r>
              <w:rPr>
                <w:rFonts w:hint="eastAsia"/>
                <w:b/>
                <w:bCs/>
                <w:color w:val="auto"/>
                <w:szCs w:val="24"/>
              </w:rPr>
              <w:t>4、固体废物</w:t>
            </w:r>
          </w:p>
          <w:p w14:paraId="680EF89E">
            <w:pPr>
              <w:pStyle w:val="6"/>
              <w:keepNext w:val="0"/>
              <w:keepLines w:val="0"/>
              <w:pageBreakBefore w:val="0"/>
              <w:widowControl w:val="0"/>
              <w:kinsoku/>
              <w:wordWrap/>
              <w:overflowPunct/>
              <w:topLinePunct w:val="0"/>
              <w:autoSpaceDE/>
              <w:autoSpaceDN/>
              <w:bidi w:val="0"/>
              <w:spacing w:line="312" w:lineRule="auto"/>
              <w:ind w:firstLine="480" w:firstLineChars="200"/>
              <w:textAlignment w:val="auto"/>
              <w:rPr>
                <w:color w:val="auto"/>
                <w:szCs w:val="24"/>
              </w:rPr>
            </w:pPr>
            <w:r>
              <w:rPr>
                <w:rFonts w:hint="eastAsia"/>
                <w:color w:val="auto"/>
                <w:szCs w:val="24"/>
              </w:rPr>
              <w:t>（1）固废产生情况</w:t>
            </w:r>
          </w:p>
          <w:p w14:paraId="0EE65EF8">
            <w:pPr>
              <w:pStyle w:val="6"/>
              <w:keepNext w:val="0"/>
              <w:keepLines w:val="0"/>
              <w:pageBreakBefore w:val="0"/>
              <w:widowControl w:val="0"/>
              <w:kinsoku/>
              <w:wordWrap/>
              <w:overflowPunct/>
              <w:topLinePunct w:val="0"/>
              <w:autoSpaceDE/>
              <w:autoSpaceDN/>
              <w:bidi w:val="0"/>
              <w:spacing w:line="324" w:lineRule="auto"/>
              <w:ind w:firstLine="480" w:firstLineChars="200"/>
              <w:textAlignment w:val="auto"/>
              <w:rPr>
                <w:color w:val="auto"/>
                <w:szCs w:val="24"/>
              </w:rPr>
            </w:pPr>
            <w:r>
              <w:rPr>
                <w:rFonts w:hint="eastAsia"/>
                <w:color w:val="auto"/>
                <w:szCs w:val="24"/>
              </w:rPr>
              <w:t>项目运营期产生的固体废物主要为员工生活垃圾、废包装材料、不合格品、除尘器收尘、焊渣、烟尘净化器收尘、废铁皮、废机油、废油桶、废抹布</w:t>
            </w:r>
            <w:r>
              <w:rPr>
                <w:rFonts w:hint="eastAsia"/>
                <w:color w:val="auto"/>
                <w:szCs w:val="24"/>
                <w:lang w:val="en-US" w:eastAsia="zh-CN"/>
              </w:rPr>
              <w:t>和</w:t>
            </w:r>
            <w:r>
              <w:rPr>
                <w:rFonts w:hint="eastAsia"/>
                <w:color w:val="auto"/>
                <w:szCs w:val="24"/>
              </w:rPr>
              <w:t>废活性炭等。</w:t>
            </w:r>
          </w:p>
          <w:p w14:paraId="386BBED8">
            <w:pPr>
              <w:pStyle w:val="6"/>
              <w:keepNext w:val="0"/>
              <w:keepLines w:val="0"/>
              <w:pageBreakBefore w:val="0"/>
              <w:widowControl w:val="0"/>
              <w:kinsoku/>
              <w:wordWrap/>
              <w:overflowPunct/>
              <w:topLinePunct w:val="0"/>
              <w:autoSpaceDE/>
              <w:autoSpaceDN/>
              <w:bidi w:val="0"/>
              <w:spacing w:line="324" w:lineRule="auto"/>
              <w:ind w:firstLine="480" w:firstLineChars="200"/>
              <w:textAlignment w:val="auto"/>
              <w:rPr>
                <w:color w:val="auto"/>
                <w:szCs w:val="24"/>
              </w:rPr>
            </w:pPr>
            <w:r>
              <w:rPr>
                <w:color w:val="auto"/>
                <w:szCs w:val="24"/>
              </w:rPr>
              <w:t>1</w:t>
            </w:r>
            <w:r>
              <w:rPr>
                <w:rFonts w:hint="eastAsia"/>
                <w:color w:val="auto"/>
                <w:szCs w:val="24"/>
              </w:rPr>
              <w:t>）生活垃圾</w:t>
            </w:r>
          </w:p>
          <w:p w14:paraId="51F00314">
            <w:pPr>
              <w:pStyle w:val="6"/>
              <w:keepNext w:val="0"/>
              <w:keepLines w:val="0"/>
              <w:pageBreakBefore w:val="0"/>
              <w:widowControl w:val="0"/>
              <w:kinsoku/>
              <w:wordWrap/>
              <w:overflowPunct/>
              <w:topLinePunct w:val="0"/>
              <w:autoSpaceDE/>
              <w:autoSpaceDN/>
              <w:bidi w:val="0"/>
              <w:spacing w:line="324" w:lineRule="auto"/>
              <w:ind w:firstLine="480" w:firstLineChars="200"/>
              <w:textAlignment w:val="auto"/>
              <w:rPr>
                <w:color w:val="auto"/>
                <w:szCs w:val="24"/>
              </w:rPr>
            </w:pPr>
            <w:r>
              <w:rPr>
                <w:color w:val="auto"/>
              </w:rPr>
              <w:t>项目</w:t>
            </w:r>
            <w:r>
              <w:rPr>
                <w:rFonts w:hint="eastAsia"/>
                <w:color w:val="auto"/>
              </w:rPr>
              <w:t>新增劳动定员5</w:t>
            </w:r>
            <w:r>
              <w:rPr>
                <w:color w:val="auto"/>
              </w:rPr>
              <w:t>人，日产生垃圾量按</w:t>
            </w:r>
            <w:r>
              <w:rPr>
                <w:rFonts w:hint="eastAsia"/>
                <w:color w:val="auto"/>
              </w:rPr>
              <w:t>0.5</w:t>
            </w:r>
            <w:r>
              <w:rPr>
                <w:color w:val="auto"/>
              </w:rPr>
              <w:t xml:space="preserve"> kg/人·d计，则员工</w:t>
            </w:r>
            <w:r>
              <w:rPr>
                <w:rFonts w:hint="eastAsia"/>
                <w:color w:val="auto"/>
              </w:rPr>
              <w:t>生活</w:t>
            </w:r>
            <w:r>
              <w:rPr>
                <w:color w:val="auto"/>
              </w:rPr>
              <w:t>垃圾产生量</w:t>
            </w:r>
            <w:r>
              <w:rPr>
                <w:rFonts w:hint="eastAsia"/>
                <w:color w:val="auto"/>
              </w:rPr>
              <w:t>为2.5</w:t>
            </w:r>
            <w:r>
              <w:rPr>
                <w:color w:val="auto"/>
              </w:rPr>
              <w:t>kg/d、</w:t>
            </w:r>
            <w:r>
              <w:rPr>
                <w:rFonts w:hint="eastAsia"/>
                <w:color w:val="auto"/>
              </w:rPr>
              <w:t>0.825t</w:t>
            </w:r>
            <w:r>
              <w:rPr>
                <w:color w:val="auto"/>
              </w:rPr>
              <w:t>/a</w:t>
            </w:r>
            <w:r>
              <w:rPr>
                <w:rFonts w:hint="eastAsia"/>
                <w:color w:val="auto"/>
              </w:rPr>
              <w:t>，生活</w:t>
            </w:r>
            <w:r>
              <w:rPr>
                <w:color w:val="auto"/>
              </w:rPr>
              <w:t>垃圾</w:t>
            </w:r>
            <w:r>
              <w:rPr>
                <w:rFonts w:hint="eastAsia"/>
                <w:color w:val="auto"/>
              </w:rPr>
              <w:t>收集后，交由环卫部门统一收集清运。</w:t>
            </w:r>
          </w:p>
          <w:p w14:paraId="3AC78D75">
            <w:pPr>
              <w:pStyle w:val="6"/>
              <w:keepNext w:val="0"/>
              <w:keepLines w:val="0"/>
              <w:pageBreakBefore w:val="0"/>
              <w:widowControl w:val="0"/>
              <w:kinsoku/>
              <w:wordWrap/>
              <w:overflowPunct/>
              <w:topLinePunct w:val="0"/>
              <w:autoSpaceDE/>
              <w:autoSpaceDN/>
              <w:bidi w:val="0"/>
              <w:spacing w:line="324" w:lineRule="auto"/>
              <w:ind w:firstLine="480" w:firstLineChars="200"/>
              <w:textAlignment w:val="auto"/>
              <w:rPr>
                <w:color w:val="auto"/>
                <w:szCs w:val="24"/>
              </w:rPr>
            </w:pPr>
            <w:r>
              <w:rPr>
                <w:rFonts w:hint="eastAsia"/>
                <w:color w:val="auto"/>
                <w:szCs w:val="24"/>
              </w:rPr>
              <w:t>2）一般固体废物</w:t>
            </w:r>
          </w:p>
          <w:p w14:paraId="3EF69E42">
            <w:pPr>
              <w:pStyle w:val="6"/>
              <w:keepNext w:val="0"/>
              <w:keepLines w:val="0"/>
              <w:pageBreakBefore w:val="0"/>
              <w:widowControl w:val="0"/>
              <w:kinsoku/>
              <w:wordWrap/>
              <w:overflowPunct/>
              <w:topLinePunct w:val="0"/>
              <w:autoSpaceDE/>
              <w:autoSpaceDN/>
              <w:bidi w:val="0"/>
              <w:spacing w:line="324" w:lineRule="auto"/>
              <w:ind w:firstLine="480" w:firstLineChars="200"/>
              <w:textAlignment w:val="auto"/>
              <w:rPr>
                <w:color w:val="auto"/>
                <w:szCs w:val="24"/>
              </w:rPr>
            </w:pPr>
            <w:r>
              <w:rPr>
                <w:rFonts w:hint="eastAsia"/>
                <w:color w:val="auto"/>
                <w:szCs w:val="24"/>
              </w:rPr>
              <w:t>①废包装材料</w:t>
            </w:r>
          </w:p>
          <w:p w14:paraId="10FF2D5D">
            <w:pPr>
              <w:pStyle w:val="6"/>
              <w:keepNext w:val="0"/>
              <w:keepLines w:val="0"/>
              <w:pageBreakBefore w:val="0"/>
              <w:widowControl w:val="0"/>
              <w:kinsoku/>
              <w:wordWrap/>
              <w:overflowPunct/>
              <w:topLinePunct w:val="0"/>
              <w:autoSpaceDE/>
              <w:autoSpaceDN/>
              <w:bidi w:val="0"/>
              <w:spacing w:line="324" w:lineRule="auto"/>
              <w:ind w:firstLine="480" w:firstLineChars="200"/>
              <w:textAlignment w:val="auto"/>
              <w:rPr>
                <w:color w:val="auto"/>
                <w:szCs w:val="24"/>
              </w:rPr>
            </w:pPr>
            <w:r>
              <w:rPr>
                <w:rFonts w:hint="eastAsia"/>
                <w:color w:val="auto"/>
                <w:szCs w:val="24"/>
              </w:rPr>
              <w:t>项目原料聚乙烯、聚丙烯和把手采用袋装，在拆包过程中产生废包装袋（不含有毒有害物质），年产生约8.4万个包装袋，包装袋重量约为1kg/10个，废包装材料年产生量约为8.4t/a；热转印工序过程中会产生</w:t>
            </w:r>
            <w:r>
              <w:rPr>
                <w:color w:val="auto"/>
              </w:rPr>
              <w:t>一定量的</w:t>
            </w:r>
            <w:r>
              <w:rPr>
                <w:rFonts w:hint="eastAsia"/>
                <w:color w:val="auto"/>
              </w:rPr>
              <w:t>废包装材料（废转印膜）</w:t>
            </w:r>
            <w:r>
              <w:rPr>
                <w:rFonts w:hint="eastAsia"/>
                <w:color w:val="auto"/>
                <w:szCs w:val="24"/>
              </w:rPr>
              <w:t>，年产生量约为</w:t>
            </w:r>
            <w:r>
              <w:rPr>
                <w:rFonts w:hint="eastAsia"/>
                <w:color w:val="auto"/>
                <w:szCs w:val="24"/>
                <w:lang w:eastAsia="zh-CN"/>
              </w:rPr>
              <w:t>0.535549</w:t>
            </w:r>
            <w:r>
              <w:rPr>
                <w:rFonts w:hint="eastAsia"/>
                <w:color w:val="auto"/>
                <w:szCs w:val="24"/>
              </w:rPr>
              <w:t>t/a；共产生废包装材料</w:t>
            </w:r>
            <w:r>
              <w:rPr>
                <w:rFonts w:hint="eastAsia"/>
                <w:color w:val="auto"/>
                <w:szCs w:val="24"/>
                <w:lang w:eastAsia="zh-CN"/>
              </w:rPr>
              <w:t>8.935549</w:t>
            </w:r>
            <w:r>
              <w:rPr>
                <w:rFonts w:hint="eastAsia"/>
                <w:color w:val="auto"/>
                <w:szCs w:val="24"/>
              </w:rPr>
              <w:t>t/a，统一收集后外售处置。</w:t>
            </w:r>
          </w:p>
          <w:p w14:paraId="628AF262">
            <w:pPr>
              <w:pStyle w:val="6"/>
              <w:keepNext w:val="0"/>
              <w:keepLines w:val="0"/>
              <w:pageBreakBefore w:val="0"/>
              <w:widowControl w:val="0"/>
              <w:kinsoku/>
              <w:wordWrap/>
              <w:overflowPunct/>
              <w:topLinePunct w:val="0"/>
              <w:autoSpaceDE/>
              <w:autoSpaceDN/>
              <w:bidi w:val="0"/>
              <w:spacing w:line="324" w:lineRule="auto"/>
              <w:ind w:firstLine="480" w:firstLineChars="200"/>
              <w:textAlignment w:val="auto"/>
              <w:rPr>
                <w:color w:val="auto"/>
                <w:szCs w:val="24"/>
              </w:rPr>
            </w:pPr>
            <w:r>
              <w:rPr>
                <w:rFonts w:hint="eastAsia"/>
                <w:color w:val="auto"/>
                <w:szCs w:val="24"/>
              </w:rPr>
              <w:t>②不合格品</w:t>
            </w:r>
            <w:r>
              <w:rPr>
                <w:rFonts w:hint="eastAsia"/>
                <w:color w:val="auto"/>
              </w:rPr>
              <w:t>和废边角料</w:t>
            </w:r>
          </w:p>
          <w:p w14:paraId="70081C9D">
            <w:pPr>
              <w:pStyle w:val="6"/>
              <w:keepNext w:val="0"/>
              <w:keepLines w:val="0"/>
              <w:pageBreakBefore w:val="0"/>
              <w:widowControl w:val="0"/>
              <w:kinsoku/>
              <w:wordWrap/>
              <w:overflowPunct/>
              <w:topLinePunct w:val="0"/>
              <w:autoSpaceDE/>
              <w:autoSpaceDN/>
              <w:bidi w:val="0"/>
              <w:spacing w:line="324" w:lineRule="auto"/>
              <w:ind w:firstLine="480" w:firstLineChars="200"/>
              <w:textAlignment w:val="auto"/>
              <w:rPr>
                <w:color w:val="auto"/>
                <w:szCs w:val="24"/>
              </w:rPr>
            </w:pPr>
            <w:r>
              <w:rPr>
                <w:rFonts w:hint="eastAsia"/>
                <w:color w:val="auto"/>
                <w:szCs w:val="24"/>
              </w:rPr>
              <w:t>塑料桶生产过程中会产生</w:t>
            </w:r>
            <w:r>
              <w:rPr>
                <w:color w:val="auto"/>
              </w:rPr>
              <w:t>一定量的</w:t>
            </w:r>
            <w:r>
              <w:rPr>
                <w:rFonts w:hint="eastAsia"/>
                <w:color w:val="auto"/>
                <w:szCs w:val="24"/>
              </w:rPr>
              <w:t>不合格品，根据《排放源统计调查产排污核算方法和系数手册》（公告2021年第24号）中“292塑料制品业系数手册-2926塑料包装箱及容器制造行业系数表”，一般工业固废产污系数为2.5kg/t-产品，本项目年产塑料桶2500t/a，年产生量为6.25t/a，属于一般工业固体废物，统一收集后在破碎区暂存破碎后回用于生产。</w:t>
            </w:r>
          </w:p>
          <w:p w14:paraId="749952F4">
            <w:pPr>
              <w:pStyle w:val="6"/>
              <w:keepNext w:val="0"/>
              <w:keepLines w:val="0"/>
              <w:pageBreakBefore w:val="0"/>
              <w:widowControl w:val="0"/>
              <w:kinsoku/>
              <w:wordWrap/>
              <w:overflowPunct/>
              <w:topLinePunct w:val="0"/>
              <w:autoSpaceDE/>
              <w:autoSpaceDN/>
              <w:bidi w:val="0"/>
              <w:spacing w:line="324" w:lineRule="auto"/>
              <w:ind w:firstLine="480" w:firstLineChars="200"/>
              <w:textAlignment w:val="auto"/>
              <w:rPr>
                <w:color w:val="auto"/>
                <w:szCs w:val="24"/>
              </w:rPr>
            </w:pPr>
            <w:r>
              <w:rPr>
                <w:rFonts w:hint="eastAsia"/>
                <w:color w:val="auto"/>
                <w:szCs w:val="24"/>
              </w:rPr>
              <w:t>③除尘器收尘</w:t>
            </w:r>
          </w:p>
          <w:p w14:paraId="68C3F654">
            <w:pPr>
              <w:pStyle w:val="6"/>
              <w:keepNext w:val="0"/>
              <w:keepLines w:val="0"/>
              <w:pageBreakBefore w:val="0"/>
              <w:widowControl w:val="0"/>
              <w:kinsoku/>
              <w:wordWrap/>
              <w:overflowPunct/>
              <w:topLinePunct w:val="0"/>
              <w:autoSpaceDE/>
              <w:autoSpaceDN/>
              <w:bidi w:val="0"/>
              <w:spacing w:line="324" w:lineRule="auto"/>
              <w:ind w:firstLine="480" w:firstLineChars="200"/>
              <w:textAlignment w:val="auto"/>
              <w:rPr>
                <w:color w:val="auto"/>
                <w:szCs w:val="24"/>
              </w:rPr>
            </w:pPr>
            <w:r>
              <w:rPr>
                <w:rFonts w:hint="eastAsia"/>
                <w:color w:val="auto"/>
                <w:szCs w:val="24"/>
              </w:rPr>
              <w:t>项目破碎工序会产生除尘器收尘，根据前文源强分析计算，除尘器收集到的粉尘量为0.00189t/a，收集后回用于生产。</w:t>
            </w:r>
          </w:p>
          <w:p w14:paraId="53B5D1A9">
            <w:pPr>
              <w:pStyle w:val="6"/>
              <w:keepNext w:val="0"/>
              <w:keepLines w:val="0"/>
              <w:pageBreakBefore w:val="0"/>
              <w:widowControl w:val="0"/>
              <w:kinsoku/>
              <w:wordWrap/>
              <w:overflowPunct/>
              <w:topLinePunct w:val="0"/>
              <w:autoSpaceDE/>
              <w:autoSpaceDN/>
              <w:bidi w:val="0"/>
              <w:spacing w:line="324" w:lineRule="auto"/>
              <w:ind w:firstLine="480" w:firstLineChars="200"/>
              <w:textAlignment w:val="auto"/>
              <w:rPr>
                <w:color w:val="auto"/>
                <w:szCs w:val="24"/>
              </w:rPr>
            </w:pPr>
            <w:r>
              <w:rPr>
                <w:rFonts w:hint="eastAsia"/>
                <w:color w:val="auto"/>
                <w:szCs w:val="24"/>
              </w:rPr>
              <w:t>（3）危险废物</w:t>
            </w:r>
          </w:p>
          <w:p w14:paraId="6E4075DF">
            <w:pPr>
              <w:keepNext w:val="0"/>
              <w:keepLines w:val="0"/>
              <w:pageBreakBefore w:val="0"/>
              <w:widowControl w:val="0"/>
              <w:kinsoku/>
              <w:wordWrap/>
              <w:overflowPunct/>
              <w:topLinePunct w:val="0"/>
              <w:autoSpaceDE/>
              <w:autoSpaceDN/>
              <w:bidi w:val="0"/>
              <w:adjustRightInd w:val="0"/>
              <w:snapToGrid w:val="0"/>
              <w:spacing w:line="324" w:lineRule="auto"/>
              <w:ind w:firstLine="480" w:firstLineChars="200"/>
              <w:textAlignment w:val="auto"/>
              <w:rPr>
                <w:color w:val="auto"/>
                <w:sz w:val="24"/>
              </w:rPr>
            </w:pPr>
            <w:r>
              <w:rPr>
                <w:rFonts w:hint="eastAsia"/>
                <w:color w:val="auto"/>
                <w:sz w:val="24"/>
              </w:rPr>
              <w:t>①废机油</w:t>
            </w:r>
          </w:p>
          <w:p w14:paraId="3F1F097A">
            <w:pPr>
              <w:pStyle w:val="6"/>
              <w:keepNext w:val="0"/>
              <w:keepLines w:val="0"/>
              <w:pageBreakBefore w:val="0"/>
              <w:widowControl w:val="0"/>
              <w:kinsoku/>
              <w:wordWrap/>
              <w:overflowPunct/>
              <w:topLinePunct w:val="0"/>
              <w:autoSpaceDE/>
              <w:autoSpaceDN/>
              <w:bidi w:val="0"/>
              <w:spacing w:line="324" w:lineRule="auto"/>
              <w:ind w:firstLine="480" w:firstLineChars="200"/>
              <w:textAlignment w:val="auto"/>
              <w:rPr>
                <w:color w:val="auto"/>
                <w:szCs w:val="24"/>
              </w:rPr>
            </w:pPr>
            <w:r>
              <w:rPr>
                <w:color w:val="auto"/>
              </w:rPr>
              <w:t>项目设备维护</w:t>
            </w:r>
            <w:r>
              <w:rPr>
                <w:rFonts w:hint="eastAsia"/>
                <w:color w:val="auto"/>
              </w:rPr>
              <w:t>过程中</w:t>
            </w:r>
            <w:r>
              <w:rPr>
                <w:color w:val="auto"/>
              </w:rPr>
              <w:t>产生的</w:t>
            </w:r>
            <w:r>
              <w:rPr>
                <w:rFonts w:hint="eastAsia"/>
                <w:color w:val="auto"/>
              </w:rPr>
              <w:t>废机油</w:t>
            </w:r>
            <w:r>
              <w:rPr>
                <w:color w:val="auto"/>
              </w:rPr>
              <w:t>约</w:t>
            </w:r>
            <w:r>
              <w:rPr>
                <w:rFonts w:hint="eastAsia"/>
                <w:color w:val="auto"/>
              </w:rPr>
              <w:t>0.3</w:t>
            </w:r>
            <w:r>
              <w:rPr>
                <w:color w:val="auto"/>
              </w:rPr>
              <w:t>t/a，</w:t>
            </w:r>
            <w:r>
              <w:rPr>
                <w:rFonts w:hint="eastAsia"/>
                <w:color w:val="auto"/>
              </w:rPr>
              <w:t>经专用收集桶收集后暂存于危废贮存库，委托有资质单位处置</w:t>
            </w:r>
            <w:r>
              <w:rPr>
                <w:color w:val="auto"/>
              </w:rPr>
              <w:t>。根据《国家危险废物名录》（202</w:t>
            </w:r>
            <w:r>
              <w:rPr>
                <w:rFonts w:hint="eastAsia"/>
                <w:color w:val="auto"/>
              </w:rPr>
              <w:t>5</w:t>
            </w:r>
            <w:r>
              <w:rPr>
                <w:color w:val="auto"/>
              </w:rPr>
              <w:t>年</w:t>
            </w:r>
            <w:r>
              <w:rPr>
                <w:rFonts w:hint="eastAsia"/>
                <w:color w:val="auto"/>
              </w:rPr>
              <w:t>版</w:t>
            </w:r>
            <w:r>
              <w:rPr>
                <w:color w:val="auto"/>
              </w:rPr>
              <w:t>），废</w:t>
            </w:r>
            <w:r>
              <w:rPr>
                <w:rFonts w:hint="eastAsia"/>
                <w:color w:val="auto"/>
              </w:rPr>
              <w:t>机油</w:t>
            </w:r>
            <w:r>
              <w:rPr>
                <w:color w:val="auto"/>
              </w:rPr>
              <w:t>属于危险废物，类别为HW08废矿物油与含矿物油废物，废物代码900-2</w:t>
            </w:r>
            <w:r>
              <w:rPr>
                <w:rFonts w:hint="eastAsia"/>
                <w:color w:val="auto"/>
              </w:rPr>
              <w:t>49</w:t>
            </w:r>
            <w:r>
              <w:rPr>
                <w:color w:val="auto"/>
              </w:rPr>
              <w:t>-08。</w:t>
            </w:r>
          </w:p>
          <w:p w14:paraId="64EF1768">
            <w:pPr>
              <w:keepNext w:val="0"/>
              <w:keepLines w:val="0"/>
              <w:pageBreakBefore w:val="0"/>
              <w:widowControl w:val="0"/>
              <w:kinsoku/>
              <w:wordWrap/>
              <w:overflowPunct/>
              <w:topLinePunct w:val="0"/>
              <w:autoSpaceDE/>
              <w:autoSpaceDN/>
              <w:bidi w:val="0"/>
              <w:adjustRightInd w:val="0"/>
              <w:snapToGrid w:val="0"/>
              <w:spacing w:line="324" w:lineRule="auto"/>
              <w:ind w:firstLine="480" w:firstLineChars="200"/>
              <w:textAlignment w:val="auto"/>
              <w:rPr>
                <w:color w:val="auto"/>
                <w:sz w:val="24"/>
              </w:rPr>
            </w:pPr>
            <w:r>
              <w:rPr>
                <w:rFonts w:hint="eastAsia"/>
                <w:color w:val="auto"/>
                <w:sz w:val="24"/>
              </w:rPr>
              <w:t>②废油桶</w:t>
            </w:r>
          </w:p>
          <w:p w14:paraId="522F23F5">
            <w:pPr>
              <w:pStyle w:val="6"/>
              <w:keepNext w:val="0"/>
              <w:keepLines w:val="0"/>
              <w:pageBreakBefore w:val="0"/>
              <w:widowControl w:val="0"/>
              <w:kinsoku/>
              <w:wordWrap/>
              <w:overflowPunct/>
              <w:topLinePunct w:val="0"/>
              <w:autoSpaceDE/>
              <w:autoSpaceDN/>
              <w:bidi w:val="0"/>
              <w:spacing w:line="324" w:lineRule="auto"/>
              <w:ind w:firstLine="480" w:firstLineChars="200"/>
              <w:textAlignment w:val="auto"/>
              <w:rPr>
                <w:color w:val="auto"/>
              </w:rPr>
            </w:pPr>
            <w:r>
              <w:rPr>
                <w:rFonts w:hint="eastAsia"/>
                <w:color w:val="auto"/>
              </w:rPr>
              <w:t>本项目废油桶产生量约0.05t/a，</w:t>
            </w:r>
            <w:r>
              <w:rPr>
                <w:color w:val="auto"/>
              </w:rPr>
              <w:t>暂存</w:t>
            </w:r>
            <w:r>
              <w:rPr>
                <w:rFonts w:hint="eastAsia"/>
                <w:color w:val="auto"/>
              </w:rPr>
              <w:t>于危废贮存库，委托有</w:t>
            </w:r>
            <w:r>
              <w:rPr>
                <w:color w:val="auto"/>
              </w:rPr>
              <w:t>资质单位处置。根据</w:t>
            </w:r>
            <w:r>
              <w:rPr>
                <w:rFonts w:hint="eastAsia"/>
                <w:color w:val="auto"/>
              </w:rPr>
              <w:t>《国家危险废物名录》（2025年版）</w:t>
            </w:r>
            <w:r>
              <w:rPr>
                <w:color w:val="auto"/>
              </w:rPr>
              <w:t>，废</w:t>
            </w:r>
            <w:r>
              <w:rPr>
                <w:rFonts w:hint="eastAsia"/>
                <w:color w:val="auto"/>
              </w:rPr>
              <w:t>油桶</w:t>
            </w:r>
            <w:r>
              <w:rPr>
                <w:color w:val="auto"/>
              </w:rPr>
              <w:t>属于危险废物，类别为HW08废矿物油与含矿物油废物，废物代码900-2</w:t>
            </w:r>
            <w:r>
              <w:rPr>
                <w:rFonts w:hint="eastAsia"/>
                <w:color w:val="auto"/>
              </w:rPr>
              <w:t>49</w:t>
            </w:r>
            <w:r>
              <w:rPr>
                <w:color w:val="auto"/>
              </w:rPr>
              <w:t>-08。</w:t>
            </w:r>
          </w:p>
          <w:p w14:paraId="0CF27033">
            <w:pPr>
              <w:pStyle w:val="6"/>
              <w:keepNext w:val="0"/>
              <w:keepLines w:val="0"/>
              <w:pageBreakBefore w:val="0"/>
              <w:widowControl w:val="0"/>
              <w:kinsoku/>
              <w:wordWrap/>
              <w:overflowPunct/>
              <w:topLinePunct w:val="0"/>
              <w:autoSpaceDE/>
              <w:autoSpaceDN/>
              <w:bidi w:val="0"/>
              <w:spacing w:line="324" w:lineRule="auto"/>
              <w:ind w:firstLine="480" w:firstLineChars="200"/>
              <w:textAlignment w:val="auto"/>
              <w:rPr>
                <w:color w:val="auto"/>
                <w:szCs w:val="24"/>
              </w:rPr>
            </w:pPr>
            <w:r>
              <w:rPr>
                <w:rFonts w:hint="eastAsia"/>
                <w:color w:val="auto"/>
                <w:szCs w:val="24"/>
              </w:rPr>
              <w:t>③废抹布</w:t>
            </w:r>
          </w:p>
          <w:p w14:paraId="4F192DC7">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Cs w:val="24"/>
              </w:rPr>
            </w:pPr>
            <w:r>
              <w:rPr>
                <w:rFonts w:hint="eastAsia"/>
                <w:color w:val="auto"/>
                <w:szCs w:val="24"/>
              </w:rPr>
              <w:t>项目设备维护过程中会产生废抹布，产生量约为0.005t/a，</w:t>
            </w:r>
            <w:r>
              <w:rPr>
                <w:color w:val="auto"/>
              </w:rPr>
              <w:t>暂存</w:t>
            </w:r>
            <w:r>
              <w:rPr>
                <w:rFonts w:hint="eastAsia"/>
                <w:color w:val="auto"/>
              </w:rPr>
              <w:t>于危废贮存库，委托有</w:t>
            </w:r>
            <w:r>
              <w:rPr>
                <w:color w:val="auto"/>
              </w:rPr>
              <w:t>资质单位处置。</w:t>
            </w:r>
            <w:r>
              <w:rPr>
                <w:rFonts w:hint="eastAsia"/>
                <w:color w:val="auto"/>
                <w:szCs w:val="24"/>
              </w:rPr>
              <w:t>根据《国家危险废物名录》（2025年版），废抹布属于危险废物，废物类别/代码为900-041-49。</w:t>
            </w:r>
          </w:p>
          <w:p w14:paraId="2BAC647E">
            <w:pPr>
              <w:pStyle w:val="6"/>
              <w:keepNext w:val="0"/>
              <w:keepLines w:val="0"/>
              <w:pageBreakBefore w:val="0"/>
              <w:widowControl w:val="0"/>
              <w:kinsoku/>
              <w:wordWrap/>
              <w:overflowPunct/>
              <w:topLinePunct w:val="0"/>
              <w:autoSpaceDE/>
              <w:autoSpaceDN/>
              <w:bidi w:val="0"/>
              <w:spacing w:line="360" w:lineRule="auto"/>
              <w:ind w:firstLine="480" w:firstLineChars="200"/>
              <w:textAlignment w:val="auto"/>
              <w:rPr>
                <w:color w:val="auto"/>
                <w:szCs w:val="24"/>
              </w:rPr>
            </w:pPr>
            <w:r>
              <w:rPr>
                <w:rFonts w:hint="eastAsia"/>
                <w:color w:val="auto"/>
                <w:szCs w:val="24"/>
              </w:rPr>
              <w:t>④废活性炭</w:t>
            </w:r>
          </w:p>
          <w:p w14:paraId="278F899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auto"/>
                <w:sz w:val="24"/>
              </w:rPr>
            </w:pPr>
            <w:r>
              <w:rPr>
                <w:bCs/>
                <w:color w:val="auto"/>
                <w:sz w:val="24"/>
              </w:rPr>
              <w:t>本项目</w:t>
            </w:r>
            <w:r>
              <w:rPr>
                <w:rFonts w:hint="eastAsia"/>
                <w:bCs/>
                <w:color w:val="auto"/>
                <w:sz w:val="24"/>
              </w:rPr>
              <w:t>采用活性炭吸附装置吸附有机废气，</w:t>
            </w:r>
            <w:r>
              <w:rPr>
                <w:bCs/>
                <w:color w:val="auto"/>
                <w:sz w:val="24"/>
              </w:rPr>
              <w:t>活性炭吸附</w:t>
            </w:r>
            <w:r>
              <w:rPr>
                <w:rFonts w:hint="eastAsia"/>
                <w:bCs/>
                <w:color w:val="auto"/>
                <w:sz w:val="24"/>
              </w:rPr>
              <w:t>装置吸附</w:t>
            </w:r>
            <w:r>
              <w:rPr>
                <w:bCs/>
                <w:color w:val="auto"/>
                <w:sz w:val="24"/>
              </w:rPr>
              <w:t>的</w:t>
            </w:r>
            <w:r>
              <w:rPr>
                <w:rFonts w:hint="eastAsia"/>
                <w:bCs/>
                <w:color w:val="auto"/>
                <w:sz w:val="24"/>
              </w:rPr>
              <w:t>有机废气量</w:t>
            </w:r>
            <w:r>
              <w:rPr>
                <w:bCs/>
                <w:color w:val="auto"/>
                <w:sz w:val="24"/>
              </w:rPr>
              <w:t>为</w:t>
            </w:r>
            <w:r>
              <w:rPr>
                <w:rFonts w:hint="eastAsia"/>
                <w:bCs/>
                <w:color w:val="auto"/>
                <w:sz w:val="24"/>
                <w:lang w:val="en-US" w:eastAsia="zh-CN"/>
              </w:rPr>
              <w:t>2.74</w:t>
            </w:r>
            <w:r>
              <w:rPr>
                <w:bCs/>
                <w:color w:val="auto"/>
                <w:sz w:val="24"/>
              </w:rPr>
              <w:t>t/a，</w:t>
            </w:r>
            <w:r>
              <w:rPr>
                <w:color w:val="auto"/>
                <w:sz w:val="24"/>
              </w:rPr>
              <w:t>活性炭吸附装置中的活性炭需</w:t>
            </w:r>
            <w:r>
              <w:rPr>
                <w:rFonts w:hint="eastAsia"/>
                <w:color w:val="auto"/>
                <w:sz w:val="24"/>
              </w:rPr>
              <w:t>定期更换，</w:t>
            </w:r>
            <w:r>
              <w:rPr>
                <w:color w:val="auto"/>
                <w:sz w:val="24"/>
              </w:rPr>
              <w:t>更换下来的废活性炭为危险废物</w:t>
            </w:r>
            <w:r>
              <w:rPr>
                <w:rFonts w:hint="eastAsia"/>
                <w:color w:val="auto"/>
                <w:sz w:val="24"/>
              </w:rPr>
              <w:t>。</w:t>
            </w:r>
            <w:r>
              <w:rPr>
                <w:rFonts w:hint="eastAsia"/>
                <w:color w:val="auto"/>
                <w:sz w:val="24"/>
                <w:lang w:val="en-US" w:eastAsia="zh-CN"/>
              </w:rPr>
              <w:t>环评要求</w:t>
            </w:r>
            <w:r>
              <w:rPr>
                <w:rFonts w:hint="eastAsia"/>
                <w:color w:val="auto"/>
                <w:sz w:val="24"/>
              </w:rPr>
              <w:t>：本项目有机废气处理拟采用蜂窝活性炭，活性炭碘值不低于600毫克/克，填充厚度＞500mm，本次活性炭装填量不低于0.5吨/次</w:t>
            </w:r>
            <w:r>
              <w:rPr>
                <w:rFonts w:hint="eastAsia"/>
                <w:color w:val="auto"/>
                <w:sz w:val="24"/>
                <w:lang w:eastAsia="zh-CN"/>
              </w:rPr>
              <w:t>。</w:t>
            </w:r>
            <w:r>
              <w:rPr>
                <w:rFonts w:hint="eastAsia"/>
                <w:color w:val="auto"/>
                <w:sz w:val="24"/>
              </w:rPr>
              <w:t>根据</w:t>
            </w:r>
            <w:r>
              <w:rPr>
                <w:rFonts w:hint="eastAsia"/>
                <w:color w:val="auto"/>
                <w:sz w:val="24"/>
                <w:lang w:val="en-US" w:eastAsia="zh-CN"/>
              </w:rPr>
              <w:t>前文活性炭吸附效率为50%，需要活性炭量为5.48t/a，则活性炭</w:t>
            </w:r>
            <w:r>
              <w:rPr>
                <w:rFonts w:hint="eastAsia"/>
                <w:color w:val="auto"/>
                <w:sz w:val="24"/>
              </w:rPr>
              <w:t>每年更换</w:t>
            </w:r>
            <w:r>
              <w:rPr>
                <w:rFonts w:hint="eastAsia"/>
                <w:color w:val="auto"/>
                <w:sz w:val="24"/>
                <w:lang w:val="en-US" w:eastAsia="zh-CN"/>
              </w:rPr>
              <w:t>11</w:t>
            </w:r>
            <w:r>
              <w:rPr>
                <w:rFonts w:hint="eastAsia"/>
                <w:color w:val="auto"/>
                <w:sz w:val="24"/>
              </w:rPr>
              <w:t>次，则废活性炭产生量为</w:t>
            </w:r>
            <w:r>
              <w:rPr>
                <w:rFonts w:hint="eastAsia"/>
                <w:color w:val="auto"/>
                <w:sz w:val="24"/>
                <w:lang w:val="en-US" w:eastAsia="zh-CN"/>
              </w:rPr>
              <w:t>8.22</w:t>
            </w:r>
            <w:r>
              <w:rPr>
                <w:rFonts w:hint="eastAsia"/>
                <w:color w:val="auto"/>
                <w:sz w:val="24"/>
              </w:rPr>
              <w:t>t/a（含有机废气量）。</w:t>
            </w:r>
          </w:p>
          <w:p w14:paraId="0087E4A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auto"/>
                <w:szCs w:val="24"/>
              </w:rPr>
            </w:pPr>
            <w:r>
              <w:rPr>
                <w:rFonts w:hint="eastAsia"/>
                <w:bCs/>
                <w:color w:val="auto"/>
                <w:sz w:val="24"/>
              </w:rPr>
              <w:t>根据《国家危险废物名录》（2025年版），废活性炭属危险废物，废物类别为“HW49其他废物”，废物代码为900-039-49〔烟气、VOCs治理过程（不包括餐饮行业油烟治理过程）产生的废活性炭〕。废活性炭收集后暂存于危废贮存库，与其他危废分开存储，委托有资质单位处置。</w:t>
            </w:r>
          </w:p>
          <w:p w14:paraId="2B32C9A5">
            <w:pPr>
              <w:pStyle w:val="65"/>
              <w:spacing w:line="240" w:lineRule="auto"/>
              <w:ind w:firstLine="0" w:firstLineChars="0"/>
              <w:jc w:val="center"/>
              <w:rPr>
                <w:rFonts w:hAnsi="Times New Roman" w:cs="Times New Roman"/>
                <w:b/>
                <w:bCs/>
                <w:color w:val="auto"/>
                <w:kern w:val="21"/>
                <w:szCs w:val="24"/>
              </w:rPr>
            </w:pPr>
            <w:r>
              <w:rPr>
                <w:rFonts w:hint="eastAsia" w:hAnsi="Times New Roman" w:cs="Times New Roman"/>
                <w:b/>
                <w:bCs/>
                <w:color w:val="auto"/>
                <w:kern w:val="21"/>
                <w:szCs w:val="24"/>
              </w:rPr>
              <w:t>表4-1</w:t>
            </w:r>
            <w:r>
              <w:rPr>
                <w:rFonts w:hint="eastAsia" w:hAnsi="Times New Roman" w:cs="Times New Roman"/>
                <w:b/>
                <w:bCs/>
                <w:color w:val="auto"/>
                <w:kern w:val="21"/>
                <w:szCs w:val="24"/>
                <w:lang w:val="en-US" w:eastAsia="zh-CN"/>
              </w:rPr>
              <w:t>2</w:t>
            </w:r>
            <w:r>
              <w:rPr>
                <w:rFonts w:hint="eastAsia" w:hAnsi="Times New Roman" w:cs="Times New Roman"/>
                <w:b/>
                <w:bCs/>
                <w:color w:val="auto"/>
                <w:kern w:val="21"/>
                <w:szCs w:val="24"/>
              </w:rPr>
              <w:t xml:space="preserve">  项目固废产排情况</w:t>
            </w:r>
          </w:p>
          <w:tbl>
            <w:tblPr>
              <w:tblStyle w:val="2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1110"/>
              <w:gridCol w:w="727"/>
              <w:gridCol w:w="1052"/>
              <w:gridCol w:w="1258"/>
              <w:gridCol w:w="899"/>
              <w:gridCol w:w="1004"/>
              <w:gridCol w:w="439"/>
              <w:gridCol w:w="831"/>
              <w:gridCol w:w="1005"/>
            </w:tblGrid>
            <w:tr w14:paraId="62EE09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58" w:type="pct"/>
                  <w:vAlign w:val="center"/>
                </w:tcPr>
                <w:p w14:paraId="6F85B385">
                  <w:pPr>
                    <w:jc w:val="center"/>
                    <w:rPr>
                      <w:b/>
                      <w:bCs/>
                      <w:color w:val="auto"/>
                      <w:szCs w:val="21"/>
                    </w:rPr>
                  </w:pPr>
                  <w:r>
                    <w:rPr>
                      <w:rFonts w:hint="eastAsia"/>
                      <w:b/>
                      <w:bCs/>
                      <w:color w:val="auto"/>
                      <w:szCs w:val="21"/>
                    </w:rPr>
                    <w:t>产生环节</w:t>
                  </w:r>
                </w:p>
              </w:tc>
              <w:tc>
                <w:tcPr>
                  <w:tcW w:w="632" w:type="pct"/>
                  <w:vAlign w:val="center"/>
                </w:tcPr>
                <w:p w14:paraId="77F535FB">
                  <w:pPr>
                    <w:jc w:val="center"/>
                    <w:rPr>
                      <w:b/>
                      <w:bCs/>
                      <w:color w:val="auto"/>
                      <w:szCs w:val="21"/>
                    </w:rPr>
                  </w:pPr>
                  <w:r>
                    <w:rPr>
                      <w:rFonts w:hint="eastAsia"/>
                      <w:b/>
                      <w:bCs/>
                      <w:color w:val="auto"/>
                      <w:szCs w:val="21"/>
                    </w:rPr>
                    <w:t>名称</w:t>
                  </w:r>
                </w:p>
              </w:tc>
              <w:tc>
                <w:tcPr>
                  <w:tcW w:w="414" w:type="pct"/>
                  <w:vAlign w:val="center"/>
                </w:tcPr>
                <w:p w14:paraId="4F72F4E4">
                  <w:pPr>
                    <w:jc w:val="center"/>
                    <w:rPr>
                      <w:b/>
                      <w:bCs/>
                      <w:color w:val="auto"/>
                      <w:szCs w:val="21"/>
                    </w:rPr>
                  </w:pPr>
                  <w:r>
                    <w:rPr>
                      <w:rFonts w:hint="eastAsia"/>
                      <w:b/>
                      <w:bCs/>
                      <w:color w:val="auto"/>
                      <w:szCs w:val="21"/>
                    </w:rPr>
                    <w:t>属性</w:t>
                  </w:r>
                </w:p>
              </w:tc>
              <w:tc>
                <w:tcPr>
                  <w:tcW w:w="599" w:type="pct"/>
                  <w:vAlign w:val="center"/>
                </w:tcPr>
                <w:p w14:paraId="0A650E08">
                  <w:pPr>
                    <w:jc w:val="center"/>
                    <w:rPr>
                      <w:b/>
                      <w:bCs/>
                      <w:color w:val="auto"/>
                      <w:szCs w:val="21"/>
                    </w:rPr>
                  </w:pPr>
                  <w:r>
                    <w:rPr>
                      <w:rFonts w:hint="eastAsia"/>
                      <w:b/>
                      <w:bCs/>
                      <w:color w:val="auto"/>
                      <w:szCs w:val="21"/>
                    </w:rPr>
                    <w:t>废物类别</w:t>
                  </w:r>
                </w:p>
              </w:tc>
              <w:tc>
                <w:tcPr>
                  <w:tcW w:w="715" w:type="pct"/>
                  <w:vAlign w:val="center"/>
                </w:tcPr>
                <w:p w14:paraId="694DF854">
                  <w:pPr>
                    <w:jc w:val="center"/>
                    <w:rPr>
                      <w:b/>
                      <w:bCs/>
                      <w:color w:val="auto"/>
                      <w:szCs w:val="21"/>
                    </w:rPr>
                  </w:pPr>
                  <w:r>
                    <w:rPr>
                      <w:rFonts w:hint="eastAsia"/>
                      <w:b/>
                      <w:bCs/>
                      <w:color w:val="auto"/>
                      <w:szCs w:val="21"/>
                    </w:rPr>
                    <w:t>代码</w:t>
                  </w:r>
                </w:p>
              </w:tc>
              <w:tc>
                <w:tcPr>
                  <w:tcW w:w="512" w:type="pct"/>
                  <w:vAlign w:val="center"/>
                </w:tcPr>
                <w:p w14:paraId="017CAC39">
                  <w:pPr>
                    <w:jc w:val="center"/>
                    <w:rPr>
                      <w:b/>
                      <w:bCs/>
                      <w:color w:val="auto"/>
                      <w:szCs w:val="21"/>
                    </w:rPr>
                  </w:pPr>
                  <w:r>
                    <w:rPr>
                      <w:rFonts w:hint="eastAsia"/>
                      <w:b/>
                      <w:bCs/>
                      <w:color w:val="auto"/>
                      <w:szCs w:val="21"/>
                    </w:rPr>
                    <w:t>主要有毒有害物质名称</w:t>
                  </w:r>
                </w:p>
              </w:tc>
              <w:tc>
                <w:tcPr>
                  <w:tcW w:w="571" w:type="pct"/>
                  <w:vAlign w:val="center"/>
                </w:tcPr>
                <w:p w14:paraId="75B1F958">
                  <w:pPr>
                    <w:jc w:val="center"/>
                    <w:rPr>
                      <w:b/>
                      <w:bCs/>
                      <w:color w:val="auto"/>
                      <w:szCs w:val="21"/>
                    </w:rPr>
                  </w:pPr>
                  <w:r>
                    <w:rPr>
                      <w:rFonts w:hint="eastAsia"/>
                      <w:b/>
                      <w:bCs/>
                      <w:color w:val="auto"/>
                      <w:szCs w:val="21"/>
                    </w:rPr>
                    <w:t>产生量（t/a）</w:t>
                  </w:r>
                </w:p>
              </w:tc>
              <w:tc>
                <w:tcPr>
                  <w:tcW w:w="250" w:type="pct"/>
                  <w:vAlign w:val="center"/>
                </w:tcPr>
                <w:p w14:paraId="6A90ACFC">
                  <w:pPr>
                    <w:jc w:val="center"/>
                    <w:rPr>
                      <w:b/>
                      <w:bCs/>
                      <w:color w:val="auto"/>
                      <w:szCs w:val="21"/>
                    </w:rPr>
                  </w:pPr>
                  <w:r>
                    <w:rPr>
                      <w:rFonts w:hint="eastAsia"/>
                      <w:b/>
                      <w:bCs/>
                      <w:color w:val="auto"/>
                      <w:szCs w:val="21"/>
                    </w:rPr>
                    <w:t>贮存方式</w:t>
                  </w:r>
                </w:p>
              </w:tc>
              <w:tc>
                <w:tcPr>
                  <w:tcW w:w="472" w:type="pct"/>
                  <w:vAlign w:val="center"/>
                </w:tcPr>
                <w:p w14:paraId="38808023">
                  <w:pPr>
                    <w:jc w:val="center"/>
                    <w:rPr>
                      <w:b/>
                      <w:bCs/>
                      <w:color w:val="auto"/>
                      <w:szCs w:val="21"/>
                    </w:rPr>
                  </w:pPr>
                  <w:r>
                    <w:rPr>
                      <w:rFonts w:hint="eastAsia"/>
                      <w:b/>
                      <w:bCs/>
                      <w:color w:val="auto"/>
                      <w:szCs w:val="21"/>
                    </w:rPr>
                    <w:t>利用处置方式和去向</w:t>
                  </w:r>
                </w:p>
              </w:tc>
              <w:tc>
                <w:tcPr>
                  <w:tcW w:w="572" w:type="pct"/>
                  <w:vAlign w:val="center"/>
                </w:tcPr>
                <w:p w14:paraId="44E73855">
                  <w:pPr>
                    <w:jc w:val="center"/>
                    <w:rPr>
                      <w:b/>
                      <w:bCs/>
                      <w:color w:val="auto"/>
                      <w:szCs w:val="21"/>
                    </w:rPr>
                  </w:pPr>
                  <w:r>
                    <w:rPr>
                      <w:rFonts w:hint="eastAsia"/>
                      <w:b/>
                      <w:bCs/>
                      <w:color w:val="auto"/>
                      <w:szCs w:val="21"/>
                    </w:rPr>
                    <w:t>利用或处置量(t/a)</w:t>
                  </w:r>
                </w:p>
              </w:tc>
            </w:tr>
            <w:tr w14:paraId="0BC3AA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58" w:type="pct"/>
                  <w:vAlign w:val="center"/>
                </w:tcPr>
                <w:p w14:paraId="57C6E8D1">
                  <w:pPr>
                    <w:jc w:val="center"/>
                    <w:rPr>
                      <w:color w:val="auto"/>
                      <w:szCs w:val="21"/>
                    </w:rPr>
                  </w:pPr>
                  <w:r>
                    <w:rPr>
                      <w:rFonts w:hint="eastAsia"/>
                      <w:color w:val="auto"/>
                      <w:szCs w:val="21"/>
                    </w:rPr>
                    <w:t>生活办公</w:t>
                  </w:r>
                </w:p>
              </w:tc>
              <w:tc>
                <w:tcPr>
                  <w:tcW w:w="632" w:type="pct"/>
                  <w:vAlign w:val="center"/>
                </w:tcPr>
                <w:p w14:paraId="7D827A24">
                  <w:pPr>
                    <w:jc w:val="center"/>
                    <w:rPr>
                      <w:color w:val="auto"/>
                      <w:szCs w:val="21"/>
                    </w:rPr>
                  </w:pPr>
                  <w:r>
                    <w:rPr>
                      <w:rFonts w:hint="eastAsia"/>
                      <w:color w:val="auto"/>
                      <w:szCs w:val="21"/>
                    </w:rPr>
                    <w:t>生活垃圾</w:t>
                  </w:r>
                </w:p>
              </w:tc>
              <w:tc>
                <w:tcPr>
                  <w:tcW w:w="414" w:type="pct"/>
                  <w:vAlign w:val="center"/>
                </w:tcPr>
                <w:p w14:paraId="6B9BDB7A">
                  <w:pPr>
                    <w:jc w:val="center"/>
                    <w:rPr>
                      <w:color w:val="auto"/>
                      <w:szCs w:val="21"/>
                    </w:rPr>
                  </w:pPr>
                  <w:r>
                    <w:rPr>
                      <w:rFonts w:hint="eastAsia"/>
                      <w:color w:val="auto"/>
                      <w:szCs w:val="21"/>
                    </w:rPr>
                    <w:t>/</w:t>
                  </w:r>
                </w:p>
              </w:tc>
              <w:tc>
                <w:tcPr>
                  <w:tcW w:w="599" w:type="pct"/>
                  <w:vAlign w:val="center"/>
                </w:tcPr>
                <w:p w14:paraId="26AFEC68">
                  <w:pPr>
                    <w:jc w:val="center"/>
                    <w:rPr>
                      <w:color w:val="auto"/>
                      <w:szCs w:val="21"/>
                    </w:rPr>
                  </w:pPr>
                  <w:r>
                    <w:rPr>
                      <w:rFonts w:hint="eastAsia"/>
                      <w:color w:val="auto"/>
                      <w:szCs w:val="21"/>
                    </w:rPr>
                    <w:t>/</w:t>
                  </w:r>
                </w:p>
              </w:tc>
              <w:tc>
                <w:tcPr>
                  <w:tcW w:w="715" w:type="pct"/>
                  <w:vAlign w:val="center"/>
                </w:tcPr>
                <w:p w14:paraId="23DB20AB">
                  <w:pPr>
                    <w:jc w:val="center"/>
                    <w:rPr>
                      <w:color w:val="auto"/>
                      <w:szCs w:val="21"/>
                    </w:rPr>
                  </w:pPr>
                  <w:r>
                    <w:rPr>
                      <w:rFonts w:hint="eastAsia"/>
                      <w:color w:val="auto"/>
                      <w:szCs w:val="21"/>
                    </w:rPr>
                    <w:t>/</w:t>
                  </w:r>
                </w:p>
              </w:tc>
              <w:tc>
                <w:tcPr>
                  <w:tcW w:w="512" w:type="pct"/>
                  <w:vAlign w:val="center"/>
                </w:tcPr>
                <w:p w14:paraId="78D09228">
                  <w:pPr>
                    <w:jc w:val="center"/>
                    <w:rPr>
                      <w:color w:val="auto"/>
                      <w:szCs w:val="21"/>
                    </w:rPr>
                  </w:pPr>
                  <w:r>
                    <w:rPr>
                      <w:rFonts w:hint="eastAsia"/>
                      <w:color w:val="auto"/>
                      <w:szCs w:val="21"/>
                    </w:rPr>
                    <w:t>/</w:t>
                  </w:r>
                </w:p>
              </w:tc>
              <w:tc>
                <w:tcPr>
                  <w:tcW w:w="571" w:type="pct"/>
                  <w:vAlign w:val="center"/>
                </w:tcPr>
                <w:p w14:paraId="7AD0DECD">
                  <w:pPr>
                    <w:jc w:val="center"/>
                    <w:rPr>
                      <w:color w:val="auto"/>
                      <w:szCs w:val="21"/>
                    </w:rPr>
                  </w:pPr>
                  <w:r>
                    <w:rPr>
                      <w:rFonts w:hint="eastAsia"/>
                      <w:color w:val="auto"/>
                      <w:szCs w:val="21"/>
                    </w:rPr>
                    <w:t>0.825</w:t>
                  </w:r>
                </w:p>
              </w:tc>
              <w:tc>
                <w:tcPr>
                  <w:tcW w:w="250" w:type="pct"/>
                  <w:vAlign w:val="center"/>
                </w:tcPr>
                <w:p w14:paraId="668C8732">
                  <w:pPr>
                    <w:jc w:val="center"/>
                    <w:rPr>
                      <w:color w:val="auto"/>
                      <w:szCs w:val="21"/>
                    </w:rPr>
                  </w:pPr>
                  <w:r>
                    <w:rPr>
                      <w:rFonts w:hint="eastAsia"/>
                      <w:color w:val="auto"/>
                      <w:szCs w:val="21"/>
                    </w:rPr>
                    <w:t>垃圾桶</w:t>
                  </w:r>
                </w:p>
              </w:tc>
              <w:tc>
                <w:tcPr>
                  <w:tcW w:w="472" w:type="pct"/>
                  <w:vAlign w:val="center"/>
                </w:tcPr>
                <w:p w14:paraId="23E36801">
                  <w:pPr>
                    <w:jc w:val="center"/>
                    <w:rPr>
                      <w:color w:val="auto"/>
                      <w:szCs w:val="21"/>
                    </w:rPr>
                  </w:pPr>
                  <w:r>
                    <w:rPr>
                      <w:rFonts w:hint="eastAsia"/>
                      <w:color w:val="auto"/>
                      <w:szCs w:val="21"/>
                    </w:rPr>
                    <w:t>定期交由环卫部门清运</w:t>
                  </w:r>
                </w:p>
              </w:tc>
              <w:tc>
                <w:tcPr>
                  <w:tcW w:w="572" w:type="pct"/>
                  <w:vAlign w:val="center"/>
                </w:tcPr>
                <w:p w14:paraId="478E8DC1">
                  <w:pPr>
                    <w:jc w:val="center"/>
                    <w:rPr>
                      <w:color w:val="auto"/>
                      <w:szCs w:val="21"/>
                    </w:rPr>
                  </w:pPr>
                  <w:r>
                    <w:rPr>
                      <w:rFonts w:hint="eastAsia"/>
                      <w:color w:val="auto"/>
                      <w:szCs w:val="21"/>
                    </w:rPr>
                    <w:t>0.825</w:t>
                  </w:r>
                </w:p>
              </w:tc>
            </w:tr>
            <w:tr w14:paraId="55C3A6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58" w:type="pct"/>
                  <w:vMerge w:val="restart"/>
                  <w:vAlign w:val="center"/>
                </w:tcPr>
                <w:p w14:paraId="3E9BF48E">
                  <w:pPr>
                    <w:jc w:val="center"/>
                    <w:rPr>
                      <w:color w:val="auto"/>
                      <w:szCs w:val="21"/>
                    </w:rPr>
                  </w:pPr>
                  <w:r>
                    <w:rPr>
                      <w:rFonts w:hint="eastAsia"/>
                      <w:color w:val="auto"/>
                      <w:szCs w:val="21"/>
                    </w:rPr>
                    <w:t>生产</w:t>
                  </w:r>
                  <w:r>
                    <w:rPr>
                      <w:color w:val="auto"/>
                      <w:szCs w:val="21"/>
                    </w:rPr>
                    <w:t>活动</w:t>
                  </w:r>
                </w:p>
              </w:tc>
              <w:tc>
                <w:tcPr>
                  <w:tcW w:w="632" w:type="pct"/>
                  <w:vAlign w:val="center"/>
                </w:tcPr>
                <w:p w14:paraId="1526D50B">
                  <w:pPr>
                    <w:jc w:val="center"/>
                    <w:rPr>
                      <w:color w:val="auto"/>
                      <w:szCs w:val="21"/>
                    </w:rPr>
                  </w:pPr>
                  <w:r>
                    <w:rPr>
                      <w:rFonts w:hint="eastAsia"/>
                      <w:color w:val="auto"/>
                      <w:szCs w:val="21"/>
                    </w:rPr>
                    <w:t>不合格品</w:t>
                  </w:r>
                </w:p>
              </w:tc>
              <w:tc>
                <w:tcPr>
                  <w:tcW w:w="414" w:type="pct"/>
                  <w:vMerge w:val="restart"/>
                  <w:vAlign w:val="center"/>
                </w:tcPr>
                <w:p w14:paraId="60E1D2B9">
                  <w:pPr>
                    <w:pStyle w:val="45"/>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一般固废</w:t>
                  </w:r>
                </w:p>
              </w:tc>
              <w:tc>
                <w:tcPr>
                  <w:tcW w:w="599" w:type="pct"/>
                  <w:vAlign w:val="center"/>
                </w:tcPr>
                <w:p w14:paraId="16EF5B24">
                  <w:pPr>
                    <w:pStyle w:val="45"/>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w:t>
                  </w:r>
                </w:p>
              </w:tc>
              <w:tc>
                <w:tcPr>
                  <w:tcW w:w="715" w:type="pct"/>
                  <w:vAlign w:val="center"/>
                </w:tcPr>
                <w:p w14:paraId="3CAD48D8">
                  <w:pPr>
                    <w:pStyle w:val="45"/>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292-001-06</w:t>
                  </w:r>
                </w:p>
              </w:tc>
              <w:tc>
                <w:tcPr>
                  <w:tcW w:w="512" w:type="pct"/>
                  <w:vAlign w:val="center"/>
                </w:tcPr>
                <w:p w14:paraId="29A65B5F">
                  <w:pPr>
                    <w:jc w:val="center"/>
                    <w:rPr>
                      <w:color w:val="auto"/>
                      <w:szCs w:val="21"/>
                    </w:rPr>
                  </w:pPr>
                  <w:r>
                    <w:rPr>
                      <w:rFonts w:hint="eastAsia"/>
                      <w:color w:val="auto"/>
                      <w:szCs w:val="21"/>
                    </w:rPr>
                    <w:t>/</w:t>
                  </w:r>
                </w:p>
              </w:tc>
              <w:tc>
                <w:tcPr>
                  <w:tcW w:w="571" w:type="pct"/>
                  <w:vAlign w:val="center"/>
                </w:tcPr>
                <w:p w14:paraId="47DE49D7">
                  <w:pPr>
                    <w:jc w:val="center"/>
                    <w:rPr>
                      <w:color w:val="auto"/>
                      <w:szCs w:val="21"/>
                    </w:rPr>
                  </w:pPr>
                  <w:r>
                    <w:rPr>
                      <w:rFonts w:hint="eastAsia"/>
                      <w:color w:val="auto"/>
                      <w:szCs w:val="21"/>
                    </w:rPr>
                    <w:t>6.25</w:t>
                  </w:r>
                </w:p>
              </w:tc>
              <w:tc>
                <w:tcPr>
                  <w:tcW w:w="250" w:type="pct"/>
                  <w:vMerge w:val="restart"/>
                  <w:vAlign w:val="center"/>
                </w:tcPr>
                <w:p w14:paraId="2CCB0B53">
                  <w:pPr>
                    <w:jc w:val="center"/>
                    <w:rPr>
                      <w:color w:val="auto"/>
                      <w:szCs w:val="21"/>
                    </w:rPr>
                  </w:pPr>
                  <w:r>
                    <w:rPr>
                      <w:rFonts w:hint="eastAsia"/>
                      <w:color w:val="auto"/>
                      <w:szCs w:val="21"/>
                    </w:rPr>
                    <w:t>破碎间</w:t>
                  </w:r>
                </w:p>
              </w:tc>
              <w:tc>
                <w:tcPr>
                  <w:tcW w:w="472" w:type="pct"/>
                  <w:vMerge w:val="restart"/>
                  <w:vAlign w:val="center"/>
                </w:tcPr>
                <w:p w14:paraId="4BB8A866">
                  <w:pPr>
                    <w:jc w:val="center"/>
                    <w:rPr>
                      <w:color w:val="auto"/>
                      <w:szCs w:val="21"/>
                    </w:rPr>
                  </w:pPr>
                  <w:r>
                    <w:rPr>
                      <w:rFonts w:hint="eastAsia"/>
                      <w:color w:val="auto"/>
                      <w:szCs w:val="21"/>
                    </w:rPr>
                    <w:t>破碎后回用于生产</w:t>
                  </w:r>
                </w:p>
              </w:tc>
              <w:tc>
                <w:tcPr>
                  <w:tcW w:w="572" w:type="pct"/>
                  <w:vAlign w:val="center"/>
                </w:tcPr>
                <w:p w14:paraId="20A9E010">
                  <w:pPr>
                    <w:jc w:val="center"/>
                    <w:rPr>
                      <w:color w:val="auto"/>
                      <w:szCs w:val="21"/>
                    </w:rPr>
                  </w:pPr>
                  <w:r>
                    <w:rPr>
                      <w:rFonts w:hint="eastAsia"/>
                      <w:color w:val="auto"/>
                      <w:szCs w:val="21"/>
                    </w:rPr>
                    <w:t>6.25</w:t>
                  </w:r>
                </w:p>
              </w:tc>
            </w:tr>
            <w:tr w14:paraId="233AD6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58" w:type="pct"/>
                  <w:vMerge w:val="continue"/>
                  <w:vAlign w:val="center"/>
                </w:tcPr>
                <w:p w14:paraId="612F907C">
                  <w:pPr>
                    <w:jc w:val="center"/>
                    <w:rPr>
                      <w:color w:val="auto"/>
                      <w:szCs w:val="21"/>
                    </w:rPr>
                  </w:pPr>
                </w:p>
              </w:tc>
              <w:tc>
                <w:tcPr>
                  <w:tcW w:w="632" w:type="pct"/>
                  <w:vAlign w:val="center"/>
                </w:tcPr>
                <w:p w14:paraId="174CF7BC">
                  <w:pPr>
                    <w:jc w:val="center"/>
                    <w:rPr>
                      <w:color w:val="auto"/>
                      <w:szCs w:val="21"/>
                    </w:rPr>
                  </w:pPr>
                  <w:r>
                    <w:rPr>
                      <w:rFonts w:hint="eastAsia"/>
                      <w:color w:val="auto"/>
                      <w:szCs w:val="21"/>
                    </w:rPr>
                    <w:t>除尘器收尘</w:t>
                  </w:r>
                </w:p>
              </w:tc>
              <w:tc>
                <w:tcPr>
                  <w:tcW w:w="414" w:type="pct"/>
                  <w:vMerge w:val="continue"/>
                  <w:vAlign w:val="center"/>
                </w:tcPr>
                <w:p w14:paraId="0FDA1902">
                  <w:pPr>
                    <w:pStyle w:val="45"/>
                    <w:jc w:val="center"/>
                    <w:rPr>
                      <w:rFonts w:ascii="Times New Roman" w:hAnsi="Times New Roman" w:cs="Times New Roman"/>
                      <w:color w:val="auto"/>
                      <w:sz w:val="21"/>
                      <w:szCs w:val="21"/>
                    </w:rPr>
                  </w:pPr>
                </w:p>
              </w:tc>
              <w:tc>
                <w:tcPr>
                  <w:tcW w:w="599" w:type="pct"/>
                  <w:vAlign w:val="center"/>
                </w:tcPr>
                <w:p w14:paraId="21F3F3B8">
                  <w:pPr>
                    <w:pStyle w:val="45"/>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w:t>
                  </w:r>
                </w:p>
              </w:tc>
              <w:tc>
                <w:tcPr>
                  <w:tcW w:w="715" w:type="pct"/>
                  <w:vAlign w:val="center"/>
                </w:tcPr>
                <w:p w14:paraId="0CEFF261">
                  <w:pPr>
                    <w:pStyle w:val="45"/>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060-001-66</w:t>
                  </w:r>
                </w:p>
              </w:tc>
              <w:tc>
                <w:tcPr>
                  <w:tcW w:w="512" w:type="pct"/>
                  <w:vAlign w:val="center"/>
                </w:tcPr>
                <w:p w14:paraId="2259BD43">
                  <w:pPr>
                    <w:jc w:val="center"/>
                    <w:rPr>
                      <w:color w:val="auto"/>
                      <w:szCs w:val="21"/>
                    </w:rPr>
                  </w:pPr>
                  <w:r>
                    <w:rPr>
                      <w:rFonts w:hint="eastAsia"/>
                      <w:color w:val="auto"/>
                      <w:szCs w:val="21"/>
                    </w:rPr>
                    <w:t>/</w:t>
                  </w:r>
                </w:p>
              </w:tc>
              <w:tc>
                <w:tcPr>
                  <w:tcW w:w="571" w:type="pct"/>
                  <w:vAlign w:val="center"/>
                </w:tcPr>
                <w:p w14:paraId="6F6EA756">
                  <w:pPr>
                    <w:jc w:val="center"/>
                    <w:rPr>
                      <w:color w:val="auto"/>
                      <w:szCs w:val="21"/>
                    </w:rPr>
                  </w:pPr>
                  <w:r>
                    <w:rPr>
                      <w:rFonts w:hint="eastAsia"/>
                      <w:color w:val="auto"/>
                      <w:szCs w:val="21"/>
                    </w:rPr>
                    <w:t>0.00189</w:t>
                  </w:r>
                </w:p>
              </w:tc>
              <w:tc>
                <w:tcPr>
                  <w:tcW w:w="250" w:type="pct"/>
                  <w:vMerge w:val="continue"/>
                  <w:vAlign w:val="center"/>
                </w:tcPr>
                <w:p w14:paraId="612FADAB">
                  <w:pPr>
                    <w:jc w:val="center"/>
                    <w:rPr>
                      <w:color w:val="auto"/>
                      <w:szCs w:val="21"/>
                    </w:rPr>
                  </w:pPr>
                </w:p>
              </w:tc>
              <w:tc>
                <w:tcPr>
                  <w:tcW w:w="472" w:type="pct"/>
                  <w:vMerge w:val="continue"/>
                  <w:vAlign w:val="center"/>
                </w:tcPr>
                <w:p w14:paraId="113696B6">
                  <w:pPr>
                    <w:jc w:val="center"/>
                    <w:rPr>
                      <w:color w:val="auto"/>
                      <w:szCs w:val="21"/>
                    </w:rPr>
                  </w:pPr>
                </w:p>
              </w:tc>
              <w:tc>
                <w:tcPr>
                  <w:tcW w:w="572" w:type="pct"/>
                  <w:vAlign w:val="center"/>
                </w:tcPr>
                <w:p w14:paraId="280D58D2">
                  <w:pPr>
                    <w:jc w:val="center"/>
                    <w:rPr>
                      <w:color w:val="auto"/>
                      <w:szCs w:val="21"/>
                    </w:rPr>
                  </w:pPr>
                  <w:r>
                    <w:rPr>
                      <w:rFonts w:hint="eastAsia"/>
                      <w:color w:val="auto"/>
                      <w:szCs w:val="21"/>
                    </w:rPr>
                    <w:t>0.00189</w:t>
                  </w:r>
                </w:p>
              </w:tc>
            </w:tr>
            <w:tr w14:paraId="1C0524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58" w:type="pct"/>
                  <w:vMerge w:val="continue"/>
                  <w:vAlign w:val="center"/>
                </w:tcPr>
                <w:p w14:paraId="0FEF0DB8">
                  <w:pPr>
                    <w:jc w:val="center"/>
                    <w:rPr>
                      <w:color w:val="auto"/>
                      <w:szCs w:val="21"/>
                    </w:rPr>
                  </w:pPr>
                </w:p>
              </w:tc>
              <w:tc>
                <w:tcPr>
                  <w:tcW w:w="632" w:type="pct"/>
                  <w:vAlign w:val="center"/>
                </w:tcPr>
                <w:p w14:paraId="65DB6787">
                  <w:pPr>
                    <w:jc w:val="center"/>
                    <w:rPr>
                      <w:color w:val="auto"/>
                      <w:szCs w:val="21"/>
                    </w:rPr>
                  </w:pPr>
                  <w:r>
                    <w:rPr>
                      <w:rFonts w:hint="eastAsia"/>
                      <w:color w:val="auto"/>
                      <w:szCs w:val="21"/>
                    </w:rPr>
                    <w:t>废包装材料</w:t>
                  </w:r>
                </w:p>
              </w:tc>
              <w:tc>
                <w:tcPr>
                  <w:tcW w:w="414" w:type="pct"/>
                  <w:vMerge w:val="continue"/>
                  <w:vAlign w:val="center"/>
                </w:tcPr>
                <w:p w14:paraId="7E7021E7">
                  <w:pPr>
                    <w:pStyle w:val="45"/>
                    <w:jc w:val="center"/>
                    <w:rPr>
                      <w:rFonts w:ascii="Times New Roman" w:hAnsi="Times New Roman" w:cs="Times New Roman"/>
                      <w:color w:val="auto"/>
                      <w:sz w:val="21"/>
                      <w:szCs w:val="21"/>
                    </w:rPr>
                  </w:pPr>
                </w:p>
              </w:tc>
              <w:tc>
                <w:tcPr>
                  <w:tcW w:w="599" w:type="pct"/>
                  <w:vAlign w:val="center"/>
                </w:tcPr>
                <w:p w14:paraId="01577EA9">
                  <w:pPr>
                    <w:pStyle w:val="45"/>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w:t>
                  </w:r>
                </w:p>
              </w:tc>
              <w:tc>
                <w:tcPr>
                  <w:tcW w:w="715" w:type="pct"/>
                  <w:vAlign w:val="center"/>
                </w:tcPr>
                <w:p w14:paraId="2EE0C1B2">
                  <w:pPr>
                    <w:pStyle w:val="45"/>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223-001-07</w:t>
                  </w:r>
                </w:p>
              </w:tc>
              <w:tc>
                <w:tcPr>
                  <w:tcW w:w="512" w:type="pct"/>
                  <w:vAlign w:val="center"/>
                </w:tcPr>
                <w:p w14:paraId="30F49DBE">
                  <w:pPr>
                    <w:jc w:val="center"/>
                    <w:rPr>
                      <w:color w:val="auto"/>
                      <w:szCs w:val="21"/>
                    </w:rPr>
                  </w:pPr>
                  <w:r>
                    <w:rPr>
                      <w:rFonts w:hint="eastAsia"/>
                      <w:color w:val="auto"/>
                      <w:szCs w:val="21"/>
                    </w:rPr>
                    <w:t>/</w:t>
                  </w:r>
                </w:p>
              </w:tc>
              <w:tc>
                <w:tcPr>
                  <w:tcW w:w="571" w:type="pct"/>
                  <w:vAlign w:val="center"/>
                </w:tcPr>
                <w:p w14:paraId="3EE3F3AC">
                  <w:pPr>
                    <w:jc w:val="center"/>
                    <w:rPr>
                      <w:rFonts w:hint="eastAsia" w:eastAsia="宋体"/>
                      <w:color w:val="auto"/>
                      <w:szCs w:val="21"/>
                      <w:lang w:eastAsia="zh-CN"/>
                    </w:rPr>
                  </w:pPr>
                  <w:r>
                    <w:rPr>
                      <w:rFonts w:hint="eastAsia"/>
                      <w:color w:val="auto"/>
                      <w:szCs w:val="21"/>
                      <w:lang w:eastAsia="zh-CN"/>
                    </w:rPr>
                    <w:t>8.935549</w:t>
                  </w:r>
                </w:p>
              </w:tc>
              <w:tc>
                <w:tcPr>
                  <w:tcW w:w="250" w:type="pct"/>
                  <w:vAlign w:val="center"/>
                </w:tcPr>
                <w:p w14:paraId="5C393A67">
                  <w:pPr>
                    <w:jc w:val="center"/>
                    <w:rPr>
                      <w:color w:val="auto"/>
                      <w:szCs w:val="21"/>
                    </w:rPr>
                  </w:pPr>
                  <w:r>
                    <w:rPr>
                      <w:rFonts w:hint="eastAsia"/>
                      <w:color w:val="auto"/>
                      <w:szCs w:val="21"/>
                    </w:rPr>
                    <w:t>废料区</w:t>
                  </w:r>
                </w:p>
              </w:tc>
              <w:tc>
                <w:tcPr>
                  <w:tcW w:w="472" w:type="pct"/>
                  <w:vAlign w:val="center"/>
                </w:tcPr>
                <w:p w14:paraId="1AD8915F">
                  <w:pPr>
                    <w:jc w:val="center"/>
                    <w:rPr>
                      <w:color w:val="auto"/>
                      <w:szCs w:val="21"/>
                    </w:rPr>
                  </w:pPr>
                  <w:r>
                    <w:rPr>
                      <w:rFonts w:hint="eastAsia"/>
                      <w:color w:val="auto"/>
                      <w:szCs w:val="21"/>
                    </w:rPr>
                    <w:t>统一收集后外售处置</w:t>
                  </w:r>
                </w:p>
              </w:tc>
              <w:tc>
                <w:tcPr>
                  <w:tcW w:w="572" w:type="pct"/>
                  <w:vAlign w:val="center"/>
                </w:tcPr>
                <w:p w14:paraId="1DC000A1">
                  <w:pPr>
                    <w:jc w:val="center"/>
                    <w:rPr>
                      <w:rFonts w:hint="eastAsia" w:eastAsia="宋体"/>
                      <w:color w:val="auto"/>
                      <w:szCs w:val="21"/>
                      <w:lang w:eastAsia="zh-CN"/>
                    </w:rPr>
                  </w:pPr>
                  <w:r>
                    <w:rPr>
                      <w:rFonts w:hint="eastAsia"/>
                      <w:color w:val="auto"/>
                      <w:szCs w:val="21"/>
                      <w:lang w:eastAsia="zh-CN"/>
                    </w:rPr>
                    <w:t>8.935549</w:t>
                  </w:r>
                </w:p>
              </w:tc>
            </w:tr>
            <w:tr w14:paraId="66FB8F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58" w:type="pct"/>
                  <w:vMerge w:val="continue"/>
                  <w:vAlign w:val="center"/>
                </w:tcPr>
                <w:p w14:paraId="47CE5E70">
                  <w:pPr>
                    <w:jc w:val="center"/>
                    <w:rPr>
                      <w:color w:val="auto"/>
                      <w:szCs w:val="21"/>
                    </w:rPr>
                  </w:pPr>
                </w:p>
              </w:tc>
              <w:tc>
                <w:tcPr>
                  <w:tcW w:w="632" w:type="pct"/>
                  <w:vAlign w:val="center"/>
                </w:tcPr>
                <w:p w14:paraId="5054C677">
                  <w:pPr>
                    <w:jc w:val="center"/>
                    <w:rPr>
                      <w:color w:val="auto"/>
                      <w:szCs w:val="21"/>
                    </w:rPr>
                  </w:pPr>
                  <w:r>
                    <w:rPr>
                      <w:rFonts w:hint="eastAsia"/>
                      <w:color w:val="auto"/>
                      <w:szCs w:val="21"/>
                    </w:rPr>
                    <w:t>废活性炭</w:t>
                  </w:r>
                </w:p>
              </w:tc>
              <w:tc>
                <w:tcPr>
                  <w:tcW w:w="414" w:type="pct"/>
                  <w:vMerge w:val="restart"/>
                  <w:vAlign w:val="center"/>
                </w:tcPr>
                <w:p w14:paraId="7F5D3067">
                  <w:pPr>
                    <w:jc w:val="center"/>
                    <w:rPr>
                      <w:color w:val="auto"/>
                      <w:szCs w:val="21"/>
                    </w:rPr>
                  </w:pPr>
                  <w:r>
                    <w:rPr>
                      <w:rFonts w:hint="eastAsia"/>
                      <w:color w:val="auto"/>
                      <w:szCs w:val="21"/>
                    </w:rPr>
                    <w:t>危险废物</w:t>
                  </w:r>
                </w:p>
              </w:tc>
              <w:tc>
                <w:tcPr>
                  <w:tcW w:w="599" w:type="pct"/>
                  <w:vAlign w:val="center"/>
                </w:tcPr>
                <w:p w14:paraId="6F83E68C">
                  <w:pPr>
                    <w:pStyle w:val="45"/>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HW49其他废物</w:t>
                  </w:r>
                </w:p>
              </w:tc>
              <w:tc>
                <w:tcPr>
                  <w:tcW w:w="715" w:type="pct"/>
                  <w:vAlign w:val="center"/>
                </w:tcPr>
                <w:p w14:paraId="61B3BC4B">
                  <w:pPr>
                    <w:pStyle w:val="45"/>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900-039-49</w:t>
                  </w:r>
                </w:p>
              </w:tc>
              <w:tc>
                <w:tcPr>
                  <w:tcW w:w="512" w:type="pct"/>
                  <w:vAlign w:val="center"/>
                </w:tcPr>
                <w:p w14:paraId="71CBE571">
                  <w:pPr>
                    <w:jc w:val="center"/>
                    <w:rPr>
                      <w:color w:val="auto"/>
                      <w:szCs w:val="21"/>
                    </w:rPr>
                  </w:pPr>
                  <w:r>
                    <w:rPr>
                      <w:rFonts w:hint="eastAsia"/>
                      <w:color w:val="auto"/>
                      <w:szCs w:val="21"/>
                    </w:rPr>
                    <w:t>有机废气</w:t>
                  </w:r>
                </w:p>
              </w:tc>
              <w:tc>
                <w:tcPr>
                  <w:tcW w:w="571" w:type="pct"/>
                  <w:vAlign w:val="center"/>
                </w:tcPr>
                <w:p w14:paraId="249AE48B">
                  <w:pPr>
                    <w:jc w:val="center"/>
                    <w:rPr>
                      <w:rFonts w:hint="eastAsia" w:eastAsia="宋体"/>
                      <w:color w:val="auto"/>
                      <w:szCs w:val="21"/>
                      <w:lang w:eastAsia="zh-CN"/>
                    </w:rPr>
                  </w:pPr>
                  <w:r>
                    <w:rPr>
                      <w:rFonts w:hint="eastAsia"/>
                      <w:color w:val="auto"/>
                      <w:szCs w:val="21"/>
                      <w:lang w:eastAsia="zh-CN"/>
                    </w:rPr>
                    <w:t>8.22</w:t>
                  </w:r>
                </w:p>
              </w:tc>
              <w:tc>
                <w:tcPr>
                  <w:tcW w:w="723" w:type="pct"/>
                  <w:gridSpan w:val="2"/>
                  <w:vMerge w:val="restart"/>
                  <w:vAlign w:val="center"/>
                </w:tcPr>
                <w:p w14:paraId="0F2D5BDF">
                  <w:pPr>
                    <w:jc w:val="center"/>
                    <w:rPr>
                      <w:color w:val="auto"/>
                      <w:szCs w:val="21"/>
                    </w:rPr>
                  </w:pPr>
                  <w:r>
                    <w:rPr>
                      <w:rFonts w:hint="eastAsia"/>
                      <w:color w:val="auto"/>
                      <w:szCs w:val="21"/>
                    </w:rPr>
                    <w:t>分类收集暂存，定期委托有资质单位处置</w:t>
                  </w:r>
                </w:p>
              </w:tc>
              <w:tc>
                <w:tcPr>
                  <w:tcW w:w="572" w:type="pct"/>
                  <w:vAlign w:val="center"/>
                </w:tcPr>
                <w:p w14:paraId="5CDF5FE2">
                  <w:pPr>
                    <w:jc w:val="center"/>
                    <w:rPr>
                      <w:rFonts w:hint="eastAsia" w:eastAsia="宋体"/>
                      <w:color w:val="auto"/>
                      <w:szCs w:val="21"/>
                      <w:lang w:eastAsia="zh-CN"/>
                    </w:rPr>
                  </w:pPr>
                  <w:r>
                    <w:rPr>
                      <w:rFonts w:hint="eastAsia"/>
                      <w:color w:val="auto"/>
                      <w:szCs w:val="21"/>
                      <w:lang w:eastAsia="zh-CN"/>
                    </w:rPr>
                    <w:t>8.22</w:t>
                  </w:r>
                </w:p>
              </w:tc>
            </w:tr>
            <w:tr w14:paraId="397978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58" w:type="pct"/>
                  <w:vMerge w:val="restart"/>
                  <w:vAlign w:val="center"/>
                </w:tcPr>
                <w:p w14:paraId="2ABDCC17">
                  <w:pPr>
                    <w:jc w:val="center"/>
                    <w:rPr>
                      <w:color w:val="auto"/>
                      <w:szCs w:val="21"/>
                    </w:rPr>
                  </w:pPr>
                  <w:r>
                    <w:rPr>
                      <w:rFonts w:hint="eastAsia"/>
                      <w:color w:val="auto"/>
                      <w:szCs w:val="21"/>
                    </w:rPr>
                    <w:t>设备维护</w:t>
                  </w:r>
                </w:p>
              </w:tc>
              <w:tc>
                <w:tcPr>
                  <w:tcW w:w="632" w:type="pct"/>
                  <w:vAlign w:val="center"/>
                </w:tcPr>
                <w:p w14:paraId="07D8364A">
                  <w:pPr>
                    <w:jc w:val="center"/>
                    <w:rPr>
                      <w:color w:val="auto"/>
                      <w:szCs w:val="21"/>
                    </w:rPr>
                  </w:pPr>
                  <w:r>
                    <w:rPr>
                      <w:rFonts w:hint="eastAsia"/>
                      <w:color w:val="auto"/>
                      <w:szCs w:val="21"/>
                    </w:rPr>
                    <w:t>废机油</w:t>
                  </w:r>
                </w:p>
              </w:tc>
              <w:tc>
                <w:tcPr>
                  <w:tcW w:w="414" w:type="pct"/>
                  <w:vMerge w:val="continue"/>
                  <w:vAlign w:val="center"/>
                </w:tcPr>
                <w:p w14:paraId="4106AEF6">
                  <w:pPr>
                    <w:jc w:val="center"/>
                    <w:rPr>
                      <w:color w:val="auto"/>
                      <w:szCs w:val="21"/>
                    </w:rPr>
                  </w:pPr>
                </w:p>
              </w:tc>
              <w:tc>
                <w:tcPr>
                  <w:tcW w:w="599" w:type="pct"/>
                  <w:vMerge w:val="restart"/>
                  <w:vAlign w:val="center"/>
                </w:tcPr>
                <w:p w14:paraId="519F5E65">
                  <w:pPr>
                    <w:widowControl/>
                    <w:jc w:val="center"/>
                    <w:rPr>
                      <w:color w:val="auto"/>
                      <w:szCs w:val="21"/>
                    </w:rPr>
                  </w:pPr>
                  <w:r>
                    <w:rPr>
                      <w:bCs/>
                      <w:color w:val="auto"/>
                      <w:szCs w:val="21"/>
                    </w:rPr>
                    <w:t>HW08废矿物油和含矿物油废物</w:t>
                  </w:r>
                </w:p>
              </w:tc>
              <w:tc>
                <w:tcPr>
                  <w:tcW w:w="715" w:type="pct"/>
                  <w:vMerge w:val="restart"/>
                  <w:vAlign w:val="center"/>
                </w:tcPr>
                <w:p w14:paraId="26FF1124">
                  <w:pPr>
                    <w:widowControl/>
                    <w:jc w:val="center"/>
                    <w:rPr>
                      <w:bCs/>
                      <w:color w:val="auto"/>
                      <w:szCs w:val="21"/>
                    </w:rPr>
                  </w:pPr>
                  <w:r>
                    <w:rPr>
                      <w:color w:val="auto"/>
                      <w:szCs w:val="21"/>
                    </w:rPr>
                    <w:t>900-2</w:t>
                  </w:r>
                  <w:r>
                    <w:rPr>
                      <w:rFonts w:hint="eastAsia"/>
                      <w:color w:val="auto"/>
                      <w:szCs w:val="21"/>
                    </w:rPr>
                    <w:t>49</w:t>
                  </w:r>
                  <w:r>
                    <w:rPr>
                      <w:color w:val="auto"/>
                      <w:szCs w:val="21"/>
                    </w:rPr>
                    <w:t>-08</w:t>
                  </w:r>
                </w:p>
              </w:tc>
              <w:tc>
                <w:tcPr>
                  <w:tcW w:w="512" w:type="pct"/>
                  <w:vMerge w:val="restart"/>
                  <w:vAlign w:val="center"/>
                </w:tcPr>
                <w:p w14:paraId="1C1C74F2">
                  <w:pPr>
                    <w:jc w:val="center"/>
                    <w:rPr>
                      <w:color w:val="auto"/>
                      <w:szCs w:val="21"/>
                    </w:rPr>
                  </w:pPr>
                  <w:r>
                    <w:rPr>
                      <w:rFonts w:hint="eastAsia"/>
                      <w:color w:val="auto"/>
                      <w:szCs w:val="21"/>
                    </w:rPr>
                    <w:t>废矿物油</w:t>
                  </w:r>
                </w:p>
              </w:tc>
              <w:tc>
                <w:tcPr>
                  <w:tcW w:w="571" w:type="pct"/>
                  <w:vAlign w:val="center"/>
                </w:tcPr>
                <w:p w14:paraId="45C461C9">
                  <w:pPr>
                    <w:jc w:val="center"/>
                    <w:rPr>
                      <w:color w:val="auto"/>
                      <w:szCs w:val="21"/>
                    </w:rPr>
                  </w:pPr>
                  <w:r>
                    <w:rPr>
                      <w:rFonts w:hint="eastAsia"/>
                      <w:color w:val="auto"/>
                      <w:szCs w:val="21"/>
                    </w:rPr>
                    <w:t>0.3</w:t>
                  </w:r>
                </w:p>
              </w:tc>
              <w:tc>
                <w:tcPr>
                  <w:tcW w:w="723" w:type="pct"/>
                  <w:gridSpan w:val="2"/>
                  <w:vMerge w:val="continue"/>
                  <w:vAlign w:val="center"/>
                </w:tcPr>
                <w:p w14:paraId="4E67E1B9">
                  <w:pPr>
                    <w:jc w:val="center"/>
                    <w:rPr>
                      <w:color w:val="auto"/>
                      <w:szCs w:val="21"/>
                    </w:rPr>
                  </w:pPr>
                </w:p>
              </w:tc>
              <w:tc>
                <w:tcPr>
                  <w:tcW w:w="572" w:type="pct"/>
                  <w:vAlign w:val="center"/>
                </w:tcPr>
                <w:p w14:paraId="4DE56BEF">
                  <w:pPr>
                    <w:jc w:val="center"/>
                    <w:rPr>
                      <w:color w:val="auto"/>
                      <w:szCs w:val="21"/>
                    </w:rPr>
                  </w:pPr>
                  <w:r>
                    <w:rPr>
                      <w:rFonts w:hint="eastAsia"/>
                      <w:color w:val="auto"/>
                      <w:szCs w:val="21"/>
                    </w:rPr>
                    <w:t>0.3</w:t>
                  </w:r>
                </w:p>
              </w:tc>
            </w:tr>
            <w:tr w14:paraId="2D0F50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58" w:type="pct"/>
                  <w:vMerge w:val="continue"/>
                  <w:vAlign w:val="center"/>
                </w:tcPr>
                <w:p w14:paraId="4F8F7E30">
                  <w:pPr>
                    <w:jc w:val="center"/>
                    <w:rPr>
                      <w:color w:val="auto"/>
                      <w:szCs w:val="21"/>
                    </w:rPr>
                  </w:pPr>
                </w:p>
              </w:tc>
              <w:tc>
                <w:tcPr>
                  <w:tcW w:w="632" w:type="pct"/>
                  <w:vAlign w:val="center"/>
                </w:tcPr>
                <w:p w14:paraId="38BC5029">
                  <w:pPr>
                    <w:jc w:val="center"/>
                    <w:rPr>
                      <w:color w:val="auto"/>
                      <w:szCs w:val="21"/>
                    </w:rPr>
                  </w:pPr>
                  <w:r>
                    <w:rPr>
                      <w:rFonts w:hint="eastAsia"/>
                      <w:color w:val="auto"/>
                      <w:szCs w:val="21"/>
                    </w:rPr>
                    <w:t>废油桶</w:t>
                  </w:r>
                </w:p>
              </w:tc>
              <w:tc>
                <w:tcPr>
                  <w:tcW w:w="414" w:type="pct"/>
                  <w:vMerge w:val="continue"/>
                  <w:vAlign w:val="center"/>
                </w:tcPr>
                <w:p w14:paraId="155F9C26">
                  <w:pPr>
                    <w:widowControl/>
                    <w:jc w:val="center"/>
                    <w:rPr>
                      <w:color w:val="auto"/>
                      <w:szCs w:val="21"/>
                    </w:rPr>
                  </w:pPr>
                </w:p>
              </w:tc>
              <w:tc>
                <w:tcPr>
                  <w:tcW w:w="599" w:type="pct"/>
                  <w:vMerge w:val="continue"/>
                  <w:vAlign w:val="center"/>
                </w:tcPr>
                <w:p w14:paraId="33E5D122">
                  <w:pPr>
                    <w:widowControl/>
                    <w:jc w:val="center"/>
                    <w:rPr>
                      <w:bCs/>
                      <w:color w:val="auto"/>
                      <w:szCs w:val="21"/>
                    </w:rPr>
                  </w:pPr>
                </w:p>
              </w:tc>
              <w:tc>
                <w:tcPr>
                  <w:tcW w:w="715" w:type="pct"/>
                  <w:vMerge w:val="continue"/>
                  <w:vAlign w:val="center"/>
                </w:tcPr>
                <w:p w14:paraId="555C68A6">
                  <w:pPr>
                    <w:widowControl/>
                    <w:jc w:val="center"/>
                    <w:rPr>
                      <w:bCs/>
                      <w:color w:val="auto"/>
                      <w:szCs w:val="21"/>
                    </w:rPr>
                  </w:pPr>
                </w:p>
              </w:tc>
              <w:tc>
                <w:tcPr>
                  <w:tcW w:w="512" w:type="pct"/>
                  <w:vMerge w:val="continue"/>
                  <w:vAlign w:val="center"/>
                </w:tcPr>
                <w:p w14:paraId="29D4EB5A">
                  <w:pPr>
                    <w:jc w:val="center"/>
                    <w:rPr>
                      <w:color w:val="auto"/>
                      <w:szCs w:val="21"/>
                    </w:rPr>
                  </w:pPr>
                </w:p>
              </w:tc>
              <w:tc>
                <w:tcPr>
                  <w:tcW w:w="571" w:type="pct"/>
                  <w:vAlign w:val="center"/>
                </w:tcPr>
                <w:p w14:paraId="178A8939">
                  <w:pPr>
                    <w:jc w:val="center"/>
                    <w:rPr>
                      <w:color w:val="auto"/>
                      <w:szCs w:val="21"/>
                    </w:rPr>
                  </w:pPr>
                  <w:r>
                    <w:rPr>
                      <w:rFonts w:hint="eastAsia"/>
                      <w:color w:val="auto"/>
                      <w:szCs w:val="21"/>
                    </w:rPr>
                    <w:t>0.05</w:t>
                  </w:r>
                </w:p>
              </w:tc>
              <w:tc>
                <w:tcPr>
                  <w:tcW w:w="723" w:type="pct"/>
                  <w:gridSpan w:val="2"/>
                  <w:vMerge w:val="continue"/>
                  <w:vAlign w:val="center"/>
                </w:tcPr>
                <w:p w14:paraId="54AAE7E4">
                  <w:pPr>
                    <w:jc w:val="center"/>
                    <w:rPr>
                      <w:color w:val="auto"/>
                      <w:szCs w:val="21"/>
                    </w:rPr>
                  </w:pPr>
                </w:p>
              </w:tc>
              <w:tc>
                <w:tcPr>
                  <w:tcW w:w="572" w:type="pct"/>
                  <w:vAlign w:val="center"/>
                </w:tcPr>
                <w:p w14:paraId="25FCB4D5">
                  <w:pPr>
                    <w:jc w:val="center"/>
                    <w:rPr>
                      <w:color w:val="auto"/>
                      <w:szCs w:val="21"/>
                    </w:rPr>
                  </w:pPr>
                  <w:r>
                    <w:rPr>
                      <w:rFonts w:hint="eastAsia"/>
                      <w:color w:val="auto"/>
                      <w:szCs w:val="21"/>
                    </w:rPr>
                    <w:t>0.05</w:t>
                  </w:r>
                </w:p>
              </w:tc>
            </w:tr>
            <w:tr w14:paraId="49E0D1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58" w:type="pct"/>
                  <w:vMerge w:val="continue"/>
                  <w:vAlign w:val="center"/>
                </w:tcPr>
                <w:p w14:paraId="131D5118">
                  <w:pPr>
                    <w:jc w:val="center"/>
                    <w:rPr>
                      <w:color w:val="auto"/>
                      <w:szCs w:val="21"/>
                    </w:rPr>
                  </w:pPr>
                </w:p>
              </w:tc>
              <w:tc>
                <w:tcPr>
                  <w:tcW w:w="632" w:type="pct"/>
                  <w:vAlign w:val="center"/>
                </w:tcPr>
                <w:p w14:paraId="1AFA0931">
                  <w:pPr>
                    <w:jc w:val="center"/>
                    <w:rPr>
                      <w:color w:val="auto"/>
                      <w:szCs w:val="21"/>
                    </w:rPr>
                  </w:pPr>
                  <w:r>
                    <w:rPr>
                      <w:rFonts w:hint="eastAsia"/>
                      <w:color w:val="auto"/>
                      <w:szCs w:val="21"/>
                    </w:rPr>
                    <w:t>废抹布</w:t>
                  </w:r>
                </w:p>
              </w:tc>
              <w:tc>
                <w:tcPr>
                  <w:tcW w:w="414" w:type="pct"/>
                  <w:vMerge w:val="continue"/>
                  <w:vAlign w:val="center"/>
                </w:tcPr>
                <w:p w14:paraId="0D68CB0D">
                  <w:pPr>
                    <w:jc w:val="center"/>
                    <w:rPr>
                      <w:color w:val="auto"/>
                      <w:szCs w:val="21"/>
                    </w:rPr>
                  </w:pPr>
                </w:p>
              </w:tc>
              <w:tc>
                <w:tcPr>
                  <w:tcW w:w="1315" w:type="pct"/>
                  <w:gridSpan w:val="2"/>
                  <w:vAlign w:val="center"/>
                </w:tcPr>
                <w:p w14:paraId="1E5E0F53">
                  <w:pPr>
                    <w:jc w:val="center"/>
                    <w:rPr>
                      <w:color w:val="auto"/>
                      <w:szCs w:val="21"/>
                    </w:rPr>
                  </w:pPr>
                  <w:r>
                    <w:rPr>
                      <w:rFonts w:hint="eastAsia"/>
                      <w:color w:val="auto"/>
                      <w:szCs w:val="21"/>
                    </w:rPr>
                    <w:t>900-041-49</w:t>
                  </w:r>
                </w:p>
              </w:tc>
              <w:tc>
                <w:tcPr>
                  <w:tcW w:w="512" w:type="pct"/>
                  <w:vAlign w:val="center"/>
                </w:tcPr>
                <w:p w14:paraId="6019DD88">
                  <w:pPr>
                    <w:jc w:val="center"/>
                    <w:rPr>
                      <w:color w:val="auto"/>
                      <w:szCs w:val="21"/>
                    </w:rPr>
                  </w:pPr>
                  <w:r>
                    <w:rPr>
                      <w:rFonts w:hint="eastAsia"/>
                      <w:color w:val="auto"/>
                      <w:szCs w:val="21"/>
                    </w:rPr>
                    <w:t>废矿物油</w:t>
                  </w:r>
                </w:p>
              </w:tc>
              <w:tc>
                <w:tcPr>
                  <w:tcW w:w="571" w:type="pct"/>
                  <w:vAlign w:val="center"/>
                </w:tcPr>
                <w:p w14:paraId="49FBE88A">
                  <w:pPr>
                    <w:jc w:val="center"/>
                    <w:rPr>
                      <w:color w:val="auto"/>
                      <w:szCs w:val="21"/>
                    </w:rPr>
                  </w:pPr>
                  <w:r>
                    <w:rPr>
                      <w:rFonts w:hint="eastAsia"/>
                      <w:color w:val="auto"/>
                      <w:szCs w:val="21"/>
                    </w:rPr>
                    <w:t>0.005</w:t>
                  </w:r>
                </w:p>
              </w:tc>
              <w:tc>
                <w:tcPr>
                  <w:tcW w:w="723" w:type="pct"/>
                  <w:gridSpan w:val="2"/>
                  <w:vMerge w:val="continue"/>
                  <w:vAlign w:val="center"/>
                </w:tcPr>
                <w:p w14:paraId="77EBA943">
                  <w:pPr>
                    <w:jc w:val="center"/>
                    <w:rPr>
                      <w:color w:val="auto"/>
                      <w:szCs w:val="21"/>
                    </w:rPr>
                  </w:pPr>
                </w:p>
              </w:tc>
              <w:tc>
                <w:tcPr>
                  <w:tcW w:w="572" w:type="pct"/>
                  <w:vAlign w:val="center"/>
                </w:tcPr>
                <w:p w14:paraId="5D0C52FC">
                  <w:pPr>
                    <w:jc w:val="center"/>
                    <w:rPr>
                      <w:color w:val="auto"/>
                      <w:szCs w:val="21"/>
                    </w:rPr>
                  </w:pPr>
                  <w:r>
                    <w:rPr>
                      <w:rFonts w:hint="eastAsia"/>
                      <w:color w:val="auto"/>
                      <w:szCs w:val="21"/>
                    </w:rPr>
                    <w:t>0.005</w:t>
                  </w:r>
                </w:p>
              </w:tc>
            </w:tr>
          </w:tbl>
          <w:p w14:paraId="029E838E">
            <w:pPr>
              <w:pStyle w:val="6"/>
              <w:spacing w:before="120" w:beforeLines="50" w:line="360" w:lineRule="auto"/>
              <w:ind w:firstLine="480" w:firstLineChars="200"/>
              <w:rPr>
                <w:color w:val="auto"/>
                <w:szCs w:val="24"/>
              </w:rPr>
            </w:pPr>
            <w:r>
              <w:rPr>
                <w:rFonts w:hint="eastAsia"/>
                <w:color w:val="auto"/>
                <w:szCs w:val="24"/>
              </w:rPr>
              <w:t>（4）环境管理要求</w:t>
            </w:r>
          </w:p>
          <w:p w14:paraId="4CF75E03">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color w:val="auto"/>
                <w:sz w:val="24"/>
              </w:rPr>
            </w:pPr>
            <w:r>
              <w:rPr>
                <w:rFonts w:hint="eastAsia"/>
                <w:color w:val="auto"/>
                <w:sz w:val="24"/>
              </w:rPr>
              <w:t>1）一般固体废物</w:t>
            </w:r>
          </w:p>
          <w:p w14:paraId="4CFE51C9">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color w:val="auto"/>
                <w:sz w:val="24"/>
              </w:rPr>
            </w:pPr>
            <w:r>
              <w:rPr>
                <w:rFonts w:hint="eastAsia" w:cs="宋体"/>
                <w:color w:val="auto"/>
                <w:kern w:val="0"/>
                <w:sz w:val="24"/>
              </w:rPr>
              <w:t>按照《一般工业固体废物贮存和填埋污染控制标准》（GB18599-2020）、《中华人民共和国固体废物污染环境防治法》的有关规定，</w:t>
            </w:r>
            <w:r>
              <w:rPr>
                <w:color w:val="auto"/>
                <w:sz w:val="24"/>
              </w:rPr>
              <w:t>本项目设置</w:t>
            </w:r>
            <w:r>
              <w:rPr>
                <w:rFonts w:hint="eastAsia"/>
                <w:color w:val="auto"/>
                <w:sz w:val="24"/>
              </w:rPr>
              <w:t>废料区</w:t>
            </w:r>
            <w:r>
              <w:rPr>
                <w:color w:val="auto"/>
                <w:sz w:val="24"/>
              </w:rPr>
              <w:t>（</w:t>
            </w:r>
            <w:r>
              <w:rPr>
                <w:rFonts w:hint="eastAsia"/>
                <w:color w:val="auto"/>
                <w:sz w:val="24"/>
              </w:rPr>
              <w:t>生产区外北侧</w:t>
            </w:r>
            <w:r>
              <w:rPr>
                <w:color w:val="auto"/>
                <w:sz w:val="24"/>
              </w:rPr>
              <w:t>，</w:t>
            </w:r>
            <w:r>
              <w:rPr>
                <w:rFonts w:hint="eastAsia"/>
                <w:color w:val="auto"/>
                <w:sz w:val="24"/>
              </w:rPr>
              <w:t>40</w:t>
            </w:r>
            <w:r>
              <w:rPr>
                <w:color w:val="auto"/>
                <w:sz w:val="24"/>
              </w:rPr>
              <w:t>m</w:t>
            </w:r>
            <w:r>
              <w:rPr>
                <w:color w:val="auto"/>
                <w:sz w:val="24"/>
                <w:vertAlign w:val="superscript"/>
              </w:rPr>
              <w:t>2</w:t>
            </w:r>
            <w:r>
              <w:rPr>
                <w:color w:val="auto"/>
                <w:sz w:val="24"/>
              </w:rPr>
              <w:t>），</w:t>
            </w:r>
            <w:r>
              <w:rPr>
                <w:rFonts w:hint="eastAsia"/>
                <w:color w:val="auto"/>
                <w:sz w:val="24"/>
                <w:lang w:val="en-US" w:eastAsia="zh-CN"/>
              </w:rPr>
              <w:t>设置顶棚，</w:t>
            </w:r>
            <w:r>
              <w:rPr>
                <w:color w:val="auto"/>
                <w:sz w:val="24"/>
              </w:rPr>
              <w:t>满足防风、防雨、防晒、防渗漏的要求。</w:t>
            </w:r>
          </w:p>
          <w:p w14:paraId="72F00DE0">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color w:val="auto"/>
                <w:sz w:val="24"/>
              </w:rPr>
            </w:pPr>
            <w:r>
              <w:rPr>
                <w:rFonts w:hint="eastAsia"/>
                <w:color w:val="auto"/>
                <w:sz w:val="24"/>
              </w:rPr>
              <w:t>2）危险废物</w:t>
            </w:r>
          </w:p>
          <w:p w14:paraId="7C1C41BF">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color w:val="auto"/>
                <w:kern w:val="0"/>
                <w:sz w:val="24"/>
              </w:rPr>
            </w:pPr>
            <w:r>
              <w:rPr>
                <w:rFonts w:hint="eastAsia"/>
                <w:color w:val="auto"/>
                <w:kern w:val="0"/>
                <w:sz w:val="24"/>
              </w:rPr>
              <w:t>1）</w:t>
            </w:r>
            <w:r>
              <w:rPr>
                <w:color w:val="auto"/>
                <w:kern w:val="0"/>
                <w:sz w:val="24"/>
              </w:rPr>
              <w:t>本项目危险废物</w:t>
            </w:r>
            <w:r>
              <w:rPr>
                <w:rFonts w:hint="eastAsia"/>
                <w:color w:val="auto"/>
                <w:kern w:val="0"/>
                <w:sz w:val="24"/>
              </w:rPr>
              <w:t>贮存库</w:t>
            </w:r>
            <w:r>
              <w:rPr>
                <w:color w:val="auto"/>
                <w:kern w:val="0"/>
                <w:sz w:val="24"/>
              </w:rPr>
              <w:t>已</w:t>
            </w:r>
            <w:r>
              <w:rPr>
                <w:rFonts w:hint="eastAsia"/>
                <w:color w:val="auto"/>
                <w:kern w:val="0"/>
                <w:sz w:val="24"/>
              </w:rPr>
              <w:t>建设情况</w:t>
            </w:r>
            <w:r>
              <w:rPr>
                <w:color w:val="auto"/>
                <w:kern w:val="0"/>
                <w:sz w:val="24"/>
              </w:rPr>
              <w:t>：</w:t>
            </w:r>
          </w:p>
          <w:p w14:paraId="6E319329">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color w:val="auto"/>
                <w:kern w:val="0"/>
                <w:sz w:val="24"/>
              </w:rPr>
            </w:pPr>
            <w:r>
              <w:rPr>
                <w:color w:val="auto"/>
                <w:kern w:val="0"/>
                <w:sz w:val="24"/>
              </w:rPr>
              <w:t>①</w:t>
            </w:r>
            <w:r>
              <w:rPr>
                <w:rFonts w:cs="宋体"/>
                <w:color w:val="auto"/>
                <w:kern w:val="0"/>
                <w:sz w:val="24"/>
              </w:rPr>
              <w:t>建设单位</w:t>
            </w:r>
            <w:r>
              <w:rPr>
                <w:rFonts w:hint="eastAsia" w:cs="宋体"/>
                <w:color w:val="auto"/>
                <w:kern w:val="0"/>
                <w:sz w:val="24"/>
              </w:rPr>
              <w:t>已</w:t>
            </w:r>
            <w:r>
              <w:rPr>
                <w:rFonts w:cs="宋体"/>
                <w:color w:val="auto"/>
                <w:kern w:val="0"/>
                <w:sz w:val="24"/>
              </w:rPr>
              <w:t>建设1座危废贮存库</w:t>
            </w:r>
            <w:r>
              <w:rPr>
                <w:rFonts w:hint="eastAsia" w:cs="宋体"/>
                <w:color w:val="auto"/>
                <w:kern w:val="0"/>
                <w:sz w:val="24"/>
              </w:rPr>
              <w:t>（2间，1间存放废机油和废油桶，1间存放废活性炭和废抹布），</w:t>
            </w:r>
            <w:r>
              <w:rPr>
                <w:rFonts w:cs="宋体"/>
                <w:color w:val="auto"/>
                <w:kern w:val="0"/>
                <w:sz w:val="24"/>
              </w:rPr>
              <w:t>位置为</w:t>
            </w:r>
            <w:r>
              <w:rPr>
                <w:rFonts w:hint="eastAsia" w:cs="宋体"/>
                <w:color w:val="auto"/>
                <w:kern w:val="0"/>
                <w:sz w:val="24"/>
              </w:rPr>
              <w:t>厂</w:t>
            </w:r>
            <w:r>
              <w:rPr>
                <w:rFonts w:hint="eastAsia" w:cs="宋体"/>
                <w:color w:val="auto"/>
                <w:kern w:val="0"/>
                <w:sz w:val="24"/>
              </w:rPr>
              <w:t>区东侧</w:t>
            </w:r>
            <w:r>
              <w:rPr>
                <w:rFonts w:cs="宋体"/>
                <w:color w:val="auto"/>
                <w:kern w:val="0"/>
                <w:sz w:val="24"/>
              </w:rPr>
              <w:t>，占地面积</w:t>
            </w:r>
            <w:r>
              <w:rPr>
                <w:rFonts w:hint="eastAsia" w:cs="宋体"/>
                <w:color w:val="auto"/>
                <w:kern w:val="0"/>
                <w:sz w:val="24"/>
              </w:rPr>
              <w:t>15</w:t>
            </w:r>
            <w:r>
              <w:rPr>
                <w:rFonts w:cs="宋体"/>
                <w:color w:val="auto"/>
                <w:kern w:val="0"/>
                <w:sz w:val="24"/>
              </w:rPr>
              <w:t>m</w:t>
            </w:r>
            <w:r>
              <w:rPr>
                <w:rFonts w:cs="宋体"/>
                <w:color w:val="auto"/>
                <w:kern w:val="0"/>
                <w:sz w:val="24"/>
                <w:vertAlign w:val="superscript"/>
              </w:rPr>
              <w:t>2</w:t>
            </w:r>
            <w:r>
              <w:rPr>
                <w:rFonts w:cs="宋体"/>
                <w:color w:val="auto"/>
                <w:kern w:val="0"/>
                <w:sz w:val="24"/>
              </w:rPr>
              <w:t>，满足防风、防雨、防晒的要求，</w:t>
            </w:r>
            <w:r>
              <w:rPr>
                <w:rFonts w:hint="eastAsia"/>
                <w:color w:val="auto"/>
                <w:kern w:val="0"/>
                <w:sz w:val="24"/>
              </w:rPr>
              <w:t>危废贮存库已</w:t>
            </w:r>
            <w:r>
              <w:rPr>
                <w:color w:val="auto"/>
                <w:kern w:val="0"/>
                <w:sz w:val="24"/>
              </w:rPr>
              <w:t>进行地面硬化；</w:t>
            </w:r>
          </w:p>
          <w:p w14:paraId="0AB8EA99">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color w:val="auto"/>
                <w:kern w:val="0"/>
                <w:sz w:val="24"/>
              </w:rPr>
            </w:pPr>
            <w:r>
              <w:rPr>
                <w:color w:val="auto"/>
                <w:kern w:val="0"/>
                <w:sz w:val="24"/>
              </w:rPr>
              <w:t>②</w:t>
            </w:r>
            <w:r>
              <w:rPr>
                <w:rFonts w:hint="eastAsia"/>
                <w:color w:val="auto"/>
                <w:kern w:val="0"/>
                <w:sz w:val="24"/>
              </w:rPr>
              <w:t>废机油贮存设置防渗托盘，以便收集事故状态下泄漏的废矿物油等。</w:t>
            </w:r>
          </w:p>
          <w:p w14:paraId="1A7D0257">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color w:val="auto"/>
                <w:kern w:val="0"/>
                <w:sz w:val="24"/>
              </w:rPr>
            </w:pPr>
            <w:r>
              <w:rPr>
                <w:rFonts w:hint="eastAsia"/>
                <w:color w:val="auto"/>
                <w:kern w:val="0"/>
                <w:sz w:val="24"/>
              </w:rPr>
              <w:t>③已按照《危险废物识别标志设置技术规范》（HJ1276-2022）要求设置了分区标识。</w:t>
            </w:r>
          </w:p>
          <w:p w14:paraId="4C843A60">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cs="宋体"/>
                <w:color w:val="auto"/>
                <w:kern w:val="0"/>
                <w:sz w:val="24"/>
              </w:rPr>
            </w:pPr>
            <w:r>
              <w:rPr>
                <w:rFonts w:hint="eastAsia"/>
                <w:color w:val="auto"/>
                <w:kern w:val="0"/>
                <w:sz w:val="24"/>
              </w:rPr>
              <w:t>④</w:t>
            </w:r>
            <w:r>
              <w:rPr>
                <w:rFonts w:hint="eastAsia" w:cs="宋体"/>
                <w:color w:val="auto"/>
                <w:kern w:val="0"/>
                <w:sz w:val="24"/>
              </w:rPr>
              <w:t>已</w:t>
            </w:r>
            <w:r>
              <w:rPr>
                <w:rFonts w:cs="宋体"/>
                <w:color w:val="auto"/>
                <w:kern w:val="0"/>
                <w:sz w:val="24"/>
              </w:rPr>
              <w:t>使用符合标准的容器盛装</w:t>
            </w:r>
            <w:r>
              <w:rPr>
                <w:rFonts w:hint="eastAsia" w:cs="宋体"/>
                <w:color w:val="auto"/>
                <w:kern w:val="0"/>
                <w:sz w:val="24"/>
              </w:rPr>
              <w:t>废机油</w:t>
            </w:r>
            <w:r>
              <w:rPr>
                <w:rFonts w:cs="宋体"/>
                <w:color w:val="auto"/>
                <w:kern w:val="0"/>
                <w:sz w:val="24"/>
              </w:rPr>
              <w:t>；装载危险废物的容器及材质要满足</w:t>
            </w:r>
            <w:r>
              <w:rPr>
                <w:rFonts w:hint="eastAsia" w:cs="宋体"/>
                <w:color w:val="auto"/>
                <w:kern w:val="0"/>
                <w:sz w:val="24"/>
              </w:rPr>
              <w:t>要求，</w:t>
            </w:r>
            <w:r>
              <w:rPr>
                <w:rFonts w:cs="宋体"/>
                <w:color w:val="auto"/>
                <w:kern w:val="0"/>
                <w:sz w:val="24"/>
              </w:rPr>
              <w:t>完好无损</w:t>
            </w:r>
            <w:r>
              <w:rPr>
                <w:rFonts w:hint="eastAsia" w:cs="宋体"/>
                <w:color w:val="auto"/>
                <w:kern w:val="0"/>
                <w:sz w:val="24"/>
              </w:rPr>
              <w:t>，且</w:t>
            </w:r>
            <w:r>
              <w:rPr>
                <w:rFonts w:cs="宋体"/>
                <w:color w:val="auto"/>
                <w:kern w:val="0"/>
                <w:sz w:val="24"/>
              </w:rPr>
              <w:t>不相容（不相互反应）。</w:t>
            </w:r>
          </w:p>
          <w:p w14:paraId="40CE692A">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color w:val="auto"/>
                <w:kern w:val="0"/>
                <w:sz w:val="24"/>
              </w:rPr>
            </w:pPr>
            <w:r>
              <w:rPr>
                <w:rFonts w:hint="eastAsia" w:cs="宋体"/>
                <w:color w:val="auto"/>
                <w:kern w:val="0"/>
                <w:sz w:val="24"/>
              </w:rPr>
              <w:t>⑤</w:t>
            </w:r>
            <w:r>
              <w:rPr>
                <w:rFonts w:cs="宋体"/>
                <w:color w:val="auto"/>
                <w:kern w:val="0"/>
                <w:sz w:val="24"/>
              </w:rPr>
              <w:t>管理：危险危废存储时按危废种类分类堆放</w:t>
            </w:r>
            <w:r>
              <w:rPr>
                <w:rFonts w:hint="eastAsia" w:cs="宋体"/>
                <w:color w:val="auto"/>
                <w:kern w:val="0"/>
                <w:sz w:val="24"/>
              </w:rPr>
              <w:t>，无</w:t>
            </w:r>
            <w:r>
              <w:rPr>
                <w:rFonts w:cs="宋体"/>
                <w:color w:val="auto"/>
                <w:kern w:val="0"/>
                <w:sz w:val="24"/>
              </w:rPr>
              <w:t>混合存放。</w:t>
            </w:r>
            <w:r>
              <w:rPr>
                <w:rFonts w:hint="eastAsia" w:cs="宋体"/>
                <w:color w:val="auto"/>
                <w:kern w:val="0"/>
                <w:sz w:val="24"/>
              </w:rPr>
              <w:t>且</w:t>
            </w:r>
            <w:r>
              <w:rPr>
                <w:rFonts w:cs="宋体"/>
                <w:color w:val="auto"/>
                <w:kern w:val="0"/>
                <w:sz w:val="24"/>
              </w:rPr>
              <w:t>对危险废物进行密闭包装。并应严格按照《危险废物贮存污染控制标准》（GB18597-2023）和《危险废物转移管理办法》（部令第23号）中的规定，设管理制度，责任落实到具体负责人，并设台账进行管理和登记，记录上注明危险废物的名称、来源、数量、特性和包装容器的类别、入库日期、存放库位、危废出库日期及接收单位名称，做好转移联单。</w:t>
            </w:r>
          </w:p>
          <w:tbl>
            <w:tblPr>
              <w:tblStyle w:val="2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82"/>
              <w:gridCol w:w="4481"/>
            </w:tblGrid>
            <w:tr w14:paraId="2ED8A2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2443" w:type="pct"/>
                  <w:tcBorders>
                    <w:tl2br w:val="nil"/>
                    <w:tr2bl w:val="nil"/>
                  </w:tcBorders>
                  <w:vAlign w:val="center"/>
                </w:tcPr>
                <w:p w14:paraId="5E9907E6">
                  <w:pPr>
                    <w:jc w:val="center"/>
                    <w:rPr>
                      <w:rFonts w:hint="eastAsia" w:eastAsia="宋体"/>
                      <w:color w:val="auto"/>
                      <w:sz w:val="24"/>
                      <w:lang w:eastAsia="zh-CN"/>
                    </w:rPr>
                  </w:pPr>
                  <w:r>
                    <w:rPr>
                      <w:rFonts w:hint="eastAsia" w:eastAsia="宋体"/>
                      <w:color w:val="auto"/>
                      <w:sz w:val="24"/>
                      <w:lang w:eastAsia="zh-CN"/>
                    </w:rPr>
                    <w:drawing>
                      <wp:inline distT="0" distB="0" distL="114300" distR="114300">
                        <wp:extent cx="1953895" cy="2447925"/>
                        <wp:effectExtent l="0" t="0" r="8255" b="9525"/>
                        <wp:docPr id="8" name="图片 8" descr="危废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危废间"/>
                                <pic:cNvPicPr>
                                  <a:picLocks noChangeAspect="1"/>
                                </pic:cNvPicPr>
                              </pic:nvPicPr>
                              <pic:blipFill>
                                <a:blip r:embed="rId15"/>
                                <a:srcRect t="29670"/>
                                <a:stretch>
                                  <a:fillRect/>
                                </a:stretch>
                              </pic:blipFill>
                              <pic:spPr>
                                <a:xfrm>
                                  <a:off x="0" y="0"/>
                                  <a:ext cx="1953895" cy="2447925"/>
                                </a:xfrm>
                                <a:prstGeom prst="rect">
                                  <a:avLst/>
                                </a:prstGeom>
                              </pic:spPr>
                            </pic:pic>
                          </a:graphicData>
                        </a:graphic>
                      </wp:inline>
                    </w:drawing>
                  </w:r>
                </w:p>
              </w:tc>
              <w:tc>
                <w:tcPr>
                  <w:tcW w:w="2556" w:type="pct"/>
                  <w:tcBorders>
                    <w:tl2br w:val="nil"/>
                    <w:tr2bl w:val="nil"/>
                  </w:tcBorders>
                  <w:vAlign w:val="center"/>
                </w:tcPr>
                <w:p w14:paraId="3F0DB0A3">
                  <w:pPr>
                    <w:jc w:val="center"/>
                    <w:rPr>
                      <w:color w:val="auto"/>
                      <w:sz w:val="24"/>
                    </w:rPr>
                  </w:pPr>
                  <w:r>
                    <w:rPr>
                      <w:rFonts w:hint="eastAsia"/>
                      <w:color w:val="auto"/>
                      <w:sz w:val="24"/>
                    </w:rPr>
                    <w:drawing>
                      <wp:inline distT="0" distB="0" distL="114300" distR="114300">
                        <wp:extent cx="2492375" cy="2251710"/>
                        <wp:effectExtent l="0" t="0" r="3175" b="15240"/>
                        <wp:docPr id="6" name="图片 6" descr="ec94b21b-3412-4b47-ba8f-6335373a1b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c94b21b-3412-4b47-ba8f-6335373a1b4a"/>
                                <pic:cNvPicPr>
                                  <a:picLocks noChangeAspect="1"/>
                                </pic:cNvPicPr>
                              </pic:nvPicPr>
                              <pic:blipFill>
                                <a:blip r:embed="rId16"/>
                                <a:stretch>
                                  <a:fillRect/>
                                </a:stretch>
                              </pic:blipFill>
                              <pic:spPr>
                                <a:xfrm>
                                  <a:off x="0" y="0"/>
                                  <a:ext cx="2492375" cy="2251710"/>
                                </a:xfrm>
                                <a:prstGeom prst="rect">
                                  <a:avLst/>
                                </a:prstGeom>
                              </pic:spPr>
                            </pic:pic>
                          </a:graphicData>
                        </a:graphic>
                      </wp:inline>
                    </w:drawing>
                  </w:r>
                </w:p>
              </w:tc>
            </w:tr>
            <w:tr w14:paraId="6B88FA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0" w:hRule="atLeast"/>
                <w:jc w:val="center"/>
              </w:trPr>
              <w:tc>
                <w:tcPr>
                  <w:tcW w:w="2443" w:type="pct"/>
                  <w:tcBorders>
                    <w:tl2br w:val="nil"/>
                    <w:tr2bl w:val="nil"/>
                  </w:tcBorders>
                  <w:vAlign w:val="center"/>
                </w:tcPr>
                <w:p w14:paraId="6E7EA8B7">
                  <w:pPr>
                    <w:jc w:val="center"/>
                    <w:rPr>
                      <w:color w:val="auto"/>
                    </w:rPr>
                  </w:pPr>
                  <w:r>
                    <w:rPr>
                      <w:rFonts w:hint="eastAsia"/>
                      <w:color w:val="auto"/>
                    </w:rPr>
                    <w:t>废机油、废油桶贮存</w:t>
                  </w:r>
                </w:p>
              </w:tc>
              <w:tc>
                <w:tcPr>
                  <w:tcW w:w="2556" w:type="pct"/>
                  <w:tcBorders>
                    <w:tl2br w:val="nil"/>
                    <w:tr2bl w:val="nil"/>
                  </w:tcBorders>
                  <w:vAlign w:val="center"/>
                </w:tcPr>
                <w:p w14:paraId="7BCE16EE">
                  <w:pPr>
                    <w:jc w:val="center"/>
                    <w:rPr>
                      <w:color w:val="auto"/>
                    </w:rPr>
                  </w:pPr>
                  <w:r>
                    <w:rPr>
                      <w:rFonts w:hint="eastAsia"/>
                      <w:color w:val="auto"/>
                    </w:rPr>
                    <w:t>分区标识</w:t>
                  </w:r>
                </w:p>
              </w:tc>
            </w:tr>
          </w:tbl>
          <w:p w14:paraId="34C400B5">
            <w:pPr>
              <w:spacing w:line="360" w:lineRule="auto"/>
              <w:jc w:val="center"/>
              <w:rPr>
                <w:b/>
                <w:color w:val="auto"/>
                <w:spacing w:val="-10"/>
                <w:sz w:val="24"/>
              </w:rPr>
            </w:pPr>
            <w:r>
              <w:rPr>
                <w:rFonts w:hint="eastAsia"/>
                <w:b/>
                <w:bCs/>
                <w:color w:val="auto"/>
                <w:sz w:val="24"/>
              </w:rPr>
              <w:t>图4-1  危险废物现状</w:t>
            </w:r>
          </w:p>
          <w:p w14:paraId="32333B52">
            <w:pPr>
              <w:widowControl/>
              <w:adjustRightInd w:val="0"/>
              <w:snapToGrid w:val="0"/>
              <w:spacing w:line="360" w:lineRule="auto"/>
              <w:ind w:firstLine="480" w:firstLineChars="200"/>
              <w:rPr>
                <w:rFonts w:cs="宋体"/>
                <w:color w:val="auto"/>
                <w:kern w:val="0"/>
                <w:sz w:val="24"/>
              </w:rPr>
            </w:pPr>
            <w:r>
              <w:rPr>
                <w:rFonts w:hint="eastAsia" w:cs="宋体"/>
                <w:color w:val="auto"/>
                <w:kern w:val="0"/>
                <w:sz w:val="24"/>
              </w:rPr>
              <w:t>2）危险废物贮存还应满足要求如下：</w:t>
            </w:r>
          </w:p>
          <w:p w14:paraId="78A7750E">
            <w:pPr>
              <w:keepNext w:val="0"/>
              <w:keepLines w:val="0"/>
              <w:pageBreakBefore w:val="0"/>
              <w:widowControl/>
              <w:kinsoku/>
              <w:wordWrap/>
              <w:overflowPunct/>
              <w:topLinePunct w:val="0"/>
              <w:autoSpaceDE/>
              <w:autoSpaceDN/>
              <w:bidi w:val="0"/>
              <w:adjustRightInd w:val="0"/>
              <w:snapToGrid w:val="0"/>
              <w:spacing w:line="312" w:lineRule="auto"/>
              <w:ind w:firstLine="480" w:firstLineChars="200"/>
              <w:textAlignment w:val="auto"/>
              <w:rPr>
                <w:rFonts w:cs="宋体"/>
                <w:color w:val="auto"/>
                <w:kern w:val="0"/>
                <w:sz w:val="24"/>
              </w:rPr>
            </w:pPr>
            <w:r>
              <w:rPr>
                <w:rFonts w:hint="eastAsia" w:cs="宋体"/>
                <w:color w:val="auto"/>
                <w:kern w:val="0"/>
                <w:sz w:val="24"/>
              </w:rPr>
              <w:t>存储：新增的危险废物应</w:t>
            </w:r>
            <w:r>
              <w:rPr>
                <w:rFonts w:cs="宋体"/>
                <w:color w:val="auto"/>
                <w:kern w:val="0"/>
                <w:sz w:val="24"/>
              </w:rPr>
              <w:t>当使用符合标准的容器盛装危险废物；装载危险废物的容器及材质要满足相应的强度要求；装载危险废物的容器必须完好无损；盛装危险废物的容器材质和衬</w:t>
            </w:r>
            <w:r>
              <w:rPr>
                <w:rFonts w:cs="宋体"/>
                <w:color w:val="auto"/>
                <w:kern w:val="0"/>
                <w:sz w:val="24"/>
              </w:rPr>
              <w:t>里要与危险废物不相容（不相互反应）。</w:t>
            </w:r>
            <w:r>
              <w:rPr>
                <w:rFonts w:hint="eastAsia" w:cs="宋体"/>
                <w:color w:val="auto"/>
                <w:kern w:val="0"/>
                <w:sz w:val="24"/>
              </w:rPr>
              <w:t>危废贮存库地面需按照</w:t>
            </w:r>
            <w:r>
              <w:rPr>
                <w:rFonts w:cs="宋体"/>
                <w:color w:val="auto"/>
                <w:kern w:val="0"/>
                <w:sz w:val="24"/>
              </w:rPr>
              <w:t>《危险废物贮存污染控制标准》（GB18597-2023）</w:t>
            </w:r>
            <w:r>
              <w:rPr>
                <w:rFonts w:hint="eastAsia" w:cs="宋体"/>
                <w:color w:val="auto"/>
                <w:kern w:val="0"/>
                <w:sz w:val="24"/>
              </w:rPr>
              <w:t>进行防渗处理。</w:t>
            </w:r>
          </w:p>
          <w:p w14:paraId="3CB75EF9">
            <w:pPr>
              <w:keepNext w:val="0"/>
              <w:keepLines w:val="0"/>
              <w:pageBreakBefore w:val="0"/>
              <w:widowControl/>
              <w:kinsoku/>
              <w:wordWrap/>
              <w:overflowPunct/>
              <w:topLinePunct w:val="0"/>
              <w:autoSpaceDE/>
              <w:autoSpaceDN/>
              <w:bidi w:val="0"/>
              <w:adjustRightInd w:val="0"/>
              <w:snapToGrid w:val="0"/>
              <w:spacing w:line="312" w:lineRule="auto"/>
              <w:ind w:firstLine="480" w:firstLineChars="200"/>
              <w:textAlignment w:val="auto"/>
              <w:rPr>
                <w:rFonts w:hint="eastAsia"/>
                <w:color w:val="auto"/>
                <w:kern w:val="0"/>
                <w:sz w:val="24"/>
              </w:rPr>
            </w:pPr>
            <w:r>
              <w:rPr>
                <w:rFonts w:hint="eastAsia"/>
                <w:color w:val="auto"/>
                <w:kern w:val="0"/>
                <w:sz w:val="24"/>
              </w:rPr>
              <w:t>标识：危废贮存间门口应按《危险废物识别标志设置技术规范》（HJ1276-2022）要求设置了危废贮存标识、分区图；危废贮存</w:t>
            </w:r>
            <w:r>
              <w:rPr>
                <w:rFonts w:hint="eastAsia"/>
                <w:color w:val="auto"/>
                <w:kern w:val="0"/>
                <w:sz w:val="24"/>
                <w:lang w:val="en-US" w:eastAsia="zh-CN"/>
              </w:rPr>
              <w:t>库</w:t>
            </w:r>
            <w:r>
              <w:rPr>
                <w:rFonts w:hint="eastAsia"/>
                <w:color w:val="auto"/>
                <w:kern w:val="0"/>
                <w:sz w:val="24"/>
              </w:rPr>
              <w:t>内应张贴危废管理制度。</w:t>
            </w:r>
          </w:p>
          <w:p w14:paraId="2FB87C2C">
            <w:pPr>
              <w:keepNext w:val="0"/>
              <w:keepLines w:val="0"/>
              <w:pageBreakBefore w:val="0"/>
              <w:widowControl/>
              <w:kinsoku/>
              <w:wordWrap/>
              <w:overflowPunct/>
              <w:topLinePunct w:val="0"/>
              <w:autoSpaceDE/>
              <w:autoSpaceDN/>
              <w:bidi w:val="0"/>
              <w:adjustRightInd w:val="0"/>
              <w:snapToGrid w:val="0"/>
              <w:spacing w:line="312" w:lineRule="auto"/>
              <w:ind w:firstLine="480" w:firstLineChars="200"/>
              <w:textAlignment w:val="auto"/>
              <w:rPr>
                <w:rFonts w:hint="eastAsia"/>
                <w:color w:val="auto"/>
                <w:kern w:val="0"/>
                <w:sz w:val="24"/>
                <w:lang w:val="en-US" w:eastAsia="zh-CN"/>
              </w:rPr>
            </w:pPr>
            <w:r>
              <w:rPr>
                <w:rFonts w:hint="eastAsia"/>
                <w:color w:val="auto"/>
                <w:kern w:val="0"/>
                <w:sz w:val="24"/>
                <w:lang w:val="en-US" w:eastAsia="zh-CN"/>
              </w:rPr>
              <w:t>3）危废贮存库依托可行性</w:t>
            </w:r>
          </w:p>
          <w:p w14:paraId="6DF75F0B">
            <w:pPr>
              <w:keepNext w:val="0"/>
              <w:keepLines w:val="0"/>
              <w:pageBreakBefore w:val="0"/>
              <w:widowControl/>
              <w:kinsoku/>
              <w:wordWrap/>
              <w:overflowPunct/>
              <w:topLinePunct w:val="0"/>
              <w:autoSpaceDE/>
              <w:autoSpaceDN/>
              <w:bidi w:val="0"/>
              <w:adjustRightInd w:val="0"/>
              <w:snapToGrid w:val="0"/>
              <w:spacing w:line="312" w:lineRule="auto"/>
              <w:ind w:firstLine="480" w:firstLineChars="200"/>
              <w:textAlignment w:val="auto"/>
              <w:rPr>
                <w:rFonts w:hint="default" w:cs="宋体"/>
                <w:color w:val="auto"/>
                <w:kern w:val="0"/>
                <w:sz w:val="24"/>
                <w:lang w:val="en-US" w:eastAsia="zh-CN"/>
              </w:rPr>
            </w:pPr>
            <w:r>
              <w:rPr>
                <w:rFonts w:hint="eastAsia"/>
                <w:color w:val="auto"/>
                <w:kern w:val="0"/>
                <w:sz w:val="24"/>
                <w:lang w:val="en-US" w:eastAsia="zh-CN"/>
              </w:rPr>
              <w:t>已建设</w:t>
            </w:r>
            <w:r>
              <w:rPr>
                <w:rFonts w:cs="宋体"/>
                <w:color w:val="auto"/>
                <w:kern w:val="0"/>
                <w:sz w:val="24"/>
              </w:rPr>
              <w:t>1座危废贮存库</w:t>
            </w:r>
            <w:r>
              <w:rPr>
                <w:rFonts w:hint="eastAsia" w:cs="宋体"/>
                <w:color w:val="auto"/>
                <w:kern w:val="0"/>
                <w:sz w:val="24"/>
              </w:rPr>
              <w:t>（2间，1间存放废机油和废油桶，1间存放废活性炭和废抹布）</w:t>
            </w:r>
            <w:r>
              <w:rPr>
                <w:rFonts w:hint="eastAsia" w:cs="宋体"/>
                <w:color w:val="auto"/>
                <w:kern w:val="0"/>
                <w:sz w:val="24"/>
                <w:lang w:eastAsia="zh-CN"/>
              </w:rPr>
              <w:t>，</w:t>
            </w:r>
            <w:r>
              <w:rPr>
                <w:rFonts w:hint="eastAsia" w:cs="宋体"/>
                <w:color w:val="auto"/>
                <w:kern w:val="0"/>
                <w:sz w:val="24"/>
              </w:rPr>
              <w:t>存放废机油和废油桶</w:t>
            </w:r>
            <w:r>
              <w:rPr>
                <w:rFonts w:hint="eastAsia" w:cs="宋体"/>
                <w:color w:val="auto"/>
                <w:kern w:val="0"/>
                <w:sz w:val="24"/>
                <w:lang w:val="en-US" w:eastAsia="zh-CN"/>
              </w:rPr>
              <w:t>面积为6m</w:t>
            </w:r>
            <w:r>
              <w:rPr>
                <w:rFonts w:hint="eastAsia" w:cs="宋体"/>
                <w:color w:val="auto"/>
                <w:kern w:val="0"/>
                <w:sz w:val="24"/>
                <w:vertAlign w:val="superscript"/>
                <w:lang w:val="en-US" w:eastAsia="zh-CN"/>
              </w:rPr>
              <w:t>2</w:t>
            </w:r>
            <w:r>
              <w:rPr>
                <w:rFonts w:hint="eastAsia" w:cs="宋体"/>
                <w:color w:val="auto"/>
                <w:kern w:val="0"/>
                <w:sz w:val="24"/>
                <w:lang w:val="en-US" w:eastAsia="zh-CN"/>
              </w:rPr>
              <w:t>，废机油最大暂存量为1.5t，现有工程废机油产生量为0.2ta，本项目废机油产生量为0.3t/a，产生量为0.5t/a，小于最大暂存量，现有工程危废贮存库按照本次提出的整改措施整改后，满足</w:t>
            </w:r>
            <w:r>
              <w:rPr>
                <w:rFonts w:cs="宋体"/>
                <w:color w:val="auto"/>
                <w:kern w:val="0"/>
                <w:sz w:val="24"/>
              </w:rPr>
              <w:t>危险废物贮存污染控制标准》（GB18597-2023）</w:t>
            </w:r>
            <w:r>
              <w:rPr>
                <w:rFonts w:hint="eastAsia" w:cs="宋体"/>
                <w:color w:val="auto"/>
                <w:kern w:val="0"/>
                <w:sz w:val="24"/>
                <w:lang w:val="en-US" w:eastAsia="zh-CN"/>
              </w:rPr>
              <w:t>，本项目依托已建危废贮存库可行。</w:t>
            </w:r>
          </w:p>
          <w:p w14:paraId="57D8F3B7">
            <w:pPr>
              <w:spacing w:line="360" w:lineRule="auto"/>
              <w:ind w:firstLine="482" w:firstLineChars="200"/>
              <w:rPr>
                <w:b/>
                <w:bCs/>
                <w:color w:val="auto"/>
                <w:sz w:val="24"/>
              </w:rPr>
            </w:pPr>
            <w:r>
              <w:rPr>
                <w:rFonts w:hint="eastAsia"/>
                <w:b/>
                <w:bCs/>
                <w:color w:val="auto"/>
                <w:sz w:val="24"/>
              </w:rPr>
              <w:t>5、地下水、土壤</w:t>
            </w:r>
          </w:p>
          <w:p w14:paraId="661F09FF">
            <w:pPr>
              <w:pStyle w:val="74"/>
              <w:adjustRightInd w:val="0"/>
              <w:snapToGrid w:val="0"/>
              <w:rPr>
                <w:rFonts w:hAnsi="Times New Roman"/>
                <w:snapToGrid w:val="0"/>
                <w:color w:val="auto"/>
                <w:kern w:val="0"/>
                <w:szCs w:val="24"/>
              </w:rPr>
            </w:pPr>
            <w:r>
              <w:rPr>
                <w:rFonts w:hint="eastAsia" w:hAnsi="Times New Roman"/>
                <w:snapToGrid w:val="0"/>
                <w:color w:val="auto"/>
                <w:kern w:val="0"/>
                <w:szCs w:val="24"/>
              </w:rPr>
              <w:t>（1）污染来源、类型及主要污染途径</w:t>
            </w:r>
          </w:p>
          <w:p w14:paraId="54BDAA2C">
            <w:pPr>
              <w:pStyle w:val="74"/>
              <w:adjustRightInd w:val="0"/>
              <w:snapToGrid w:val="0"/>
              <w:rPr>
                <w:rFonts w:hAnsi="Times New Roman"/>
                <w:snapToGrid w:val="0"/>
                <w:color w:val="auto"/>
                <w:kern w:val="0"/>
                <w:szCs w:val="24"/>
              </w:rPr>
            </w:pPr>
            <w:r>
              <w:rPr>
                <w:rFonts w:hint="eastAsia" w:hAnsi="Times New Roman"/>
                <w:snapToGrid w:val="0"/>
                <w:color w:val="auto"/>
                <w:kern w:val="0"/>
                <w:szCs w:val="24"/>
              </w:rPr>
              <w:t>本项目危废贮存库和车间地面破损，机油、废机油泄漏，通过下渗污染土壤和地下水。</w:t>
            </w:r>
          </w:p>
          <w:p w14:paraId="295CA06D">
            <w:pPr>
              <w:pStyle w:val="74"/>
              <w:adjustRightInd w:val="0"/>
              <w:snapToGrid w:val="0"/>
              <w:rPr>
                <w:rFonts w:hAnsi="Times New Roman"/>
                <w:snapToGrid w:val="0"/>
                <w:color w:val="auto"/>
                <w:kern w:val="0"/>
                <w:szCs w:val="24"/>
              </w:rPr>
            </w:pPr>
            <w:r>
              <w:rPr>
                <w:rFonts w:hint="eastAsia" w:hAnsi="Times New Roman"/>
                <w:snapToGrid w:val="0"/>
                <w:color w:val="auto"/>
                <w:kern w:val="0"/>
                <w:szCs w:val="24"/>
              </w:rPr>
              <w:t>（2）防控措施</w:t>
            </w:r>
          </w:p>
          <w:p w14:paraId="6267E8A3">
            <w:pPr>
              <w:pStyle w:val="74"/>
              <w:adjustRightInd w:val="0"/>
              <w:snapToGrid w:val="0"/>
              <w:rPr>
                <w:rFonts w:hAnsi="Times New Roman"/>
                <w:snapToGrid w:val="0"/>
                <w:color w:val="auto"/>
                <w:kern w:val="0"/>
                <w:szCs w:val="24"/>
              </w:rPr>
            </w:pPr>
            <w:r>
              <w:rPr>
                <w:rFonts w:hint="eastAsia" w:hAnsi="Times New Roman"/>
                <w:snapToGrid w:val="0"/>
                <w:color w:val="auto"/>
                <w:kern w:val="0"/>
                <w:szCs w:val="24"/>
              </w:rPr>
              <w:t>本项目主要污染单元为危废贮存库、车间。要求企业通过“源头控制，分区防治，应急响应”及加强管理可避免地下水污染事故的发生。</w:t>
            </w:r>
          </w:p>
          <w:p w14:paraId="79B22B6E">
            <w:pPr>
              <w:pStyle w:val="74"/>
              <w:adjustRightInd w:val="0"/>
              <w:snapToGrid w:val="0"/>
              <w:rPr>
                <w:rFonts w:hAnsi="Times New Roman"/>
                <w:snapToGrid w:val="0"/>
                <w:color w:val="auto"/>
                <w:kern w:val="0"/>
                <w:szCs w:val="24"/>
              </w:rPr>
            </w:pPr>
            <w:r>
              <w:rPr>
                <w:rFonts w:hint="eastAsia" w:hAnsi="Times New Roman"/>
                <w:snapToGrid w:val="0"/>
                <w:color w:val="auto"/>
                <w:kern w:val="0"/>
                <w:szCs w:val="24"/>
              </w:rPr>
              <w:t>源头控制：完善危险废物、的管理，避免污染物跑、冒、滴、漏现象发生。</w:t>
            </w:r>
          </w:p>
          <w:p w14:paraId="5C8D9E11">
            <w:pPr>
              <w:pStyle w:val="74"/>
              <w:adjustRightInd w:val="0"/>
              <w:snapToGrid w:val="0"/>
              <w:rPr>
                <w:rFonts w:hAnsi="Times New Roman"/>
                <w:snapToGrid w:val="0"/>
                <w:color w:val="auto"/>
                <w:kern w:val="0"/>
                <w:szCs w:val="24"/>
              </w:rPr>
            </w:pPr>
            <w:r>
              <w:rPr>
                <w:rFonts w:hint="eastAsia" w:hAnsi="Times New Roman"/>
                <w:snapToGrid w:val="0"/>
                <w:color w:val="auto"/>
                <w:kern w:val="0"/>
                <w:szCs w:val="24"/>
              </w:rPr>
              <w:t>分区防治：企业危废贮存库位于厂区东侧，且按照《危险废物贮存污染控制标准》（GB18597-2023）等要求进行重点防渗处理，等效黏土防渗层Mb≥6.0m，K≤1×10</w:t>
            </w:r>
            <w:r>
              <w:rPr>
                <w:rFonts w:hint="eastAsia" w:hAnsi="Times New Roman"/>
                <w:snapToGrid w:val="0"/>
                <w:color w:val="auto"/>
                <w:kern w:val="0"/>
                <w:szCs w:val="24"/>
                <w:vertAlign w:val="superscript"/>
              </w:rPr>
              <w:t>-7</w:t>
            </w:r>
            <w:r>
              <w:rPr>
                <w:rFonts w:hint="eastAsia" w:hAnsi="Times New Roman"/>
                <w:snapToGrid w:val="0"/>
                <w:color w:val="auto"/>
                <w:kern w:val="0"/>
                <w:szCs w:val="24"/>
              </w:rPr>
              <w:t>cm/s。</w:t>
            </w:r>
          </w:p>
          <w:p w14:paraId="5FA8FC99">
            <w:pPr>
              <w:pStyle w:val="74"/>
              <w:adjustRightInd w:val="0"/>
              <w:snapToGrid w:val="0"/>
              <w:rPr>
                <w:rFonts w:hAnsi="Times New Roman"/>
                <w:snapToGrid w:val="0"/>
                <w:color w:val="auto"/>
                <w:kern w:val="0"/>
                <w:szCs w:val="24"/>
              </w:rPr>
            </w:pPr>
            <w:r>
              <w:rPr>
                <w:rFonts w:hint="eastAsia" w:hAnsi="Times New Roman"/>
                <w:snapToGrid w:val="0"/>
                <w:color w:val="auto"/>
                <w:kern w:val="0"/>
                <w:szCs w:val="24"/>
              </w:rPr>
              <w:t>应急响应：发现发生泄漏后，应立即将泄漏设施内的物料转移至其他包装完好的容器中并进行紧急处置；及时向生态环境主管部门报告，随时就应急处置工作接受监督检查。</w:t>
            </w:r>
          </w:p>
          <w:p w14:paraId="1926F5B2">
            <w:pPr>
              <w:pStyle w:val="74"/>
              <w:adjustRightInd w:val="0"/>
              <w:snapToGrid w:val="0"/>
              <w:rPr>
                <w:rFonts w:hAnsi="Times New Roman"/>
                <w:snapToGrid w:val="0"/>
                <w:color w:val="auto"/>
                <w:kern w:val="0"/>
                <w:szCs w:val="24"/>
              </w:rPr>
            </w:pPr>
            <w:r>
              <w:rPr>
                <w:rFonts w:hint="eastAsia" w:hAnsi="Times New Roman"/>
                <w:snapToGrid w:val="0"/>
                <w:color w:val="auto"/>
                <w:kern w:val="0"/>
                <w:szCs w:val="24"/>
              </w:rPr>
              <w:t>经采取这些措施后，项目运营后不会对土壤及地下水环境产生影响</w:t>
            </w:r>
            <w:r>
              <w:rPr>
                <w:rFonts w:hint="eastAsia"/>
                <w:color w:val="auto"/>
              </w:rPr>
              <w:t>，对丰镐遗址保护区环境影响基本较小</w:t>
            </w:r>
            <w:r>
              <w:rPr>
                <w:rFonts w:hint="eastAsia" w:hAnsi="Times New Roman"/>
                <w:snapToGrid w:val="0"/>
                <w:color w:val="auto"/>
                <w:kern w:val="0"/>
                <w:szCs w:val="24"/>
              </w:rPr>
              <w:t>。</w:t>
            </w:r>
          </w:p>
          <w:p w14:paraId="177EF9ED">
            <w:pPr>
              <w:spacing w:line="360" w:lineRule="auto"/>
              <w:ind w:firstLine="482" w:firstLineChars="200"/>
              <w:rPr>
                <w:b/>
                <w:bCs/>
                <w:color w:val="auto"/>
                <w:sz w:val="24"/>
              </w:rPr>
            </w:pPr>
            <w:r>
              <w:rPr>
                <w:b/>
                <w:bCs/>
                <w:color w:val="auto"/>
                <w:sz w:val="24"/>
              </w:rPr>
              <w:t>6</w:t>
            </w:r>
            <w:r>
              <w:rPr>
                <w:rFonts w:hint="eastAsia"/>
                <w:b/>
                <w:bCs/>
                <w:color w:val="auto"/>
                <w:sz w:val="24"/>
              </w:rPr>
              <w:t>、环境风险</w:t>
            </w:r>
          </w:p>
          <w:p w14:paraId="5A941CEA">
            <w:pPr>
              <w:adjustRightInd w:val="0"/>
              <w:snapToGrid w:val="0"/>
              <w:spacing w:line="360" w:lineRule="auto"/>
              <w:ind w:firstLine="480" w:firstLineChars="200"/>
              <w:rPr>
                <w:bCs/>
                <w:color w:val="auto"/>
                <w:sz w:val="24"/>
              </w:rPr>
            </w:pPr>
            <w:r>
              <w:rPr>
                <w:bCs/>
                <w:color w:val="auto"/>
                <w:sz w:val="24"/>
              </w:rPr>
              <w:t>（1）</w:t>
            </w:r>
            <w:r>
              <w:rPr>
                <w:rFonts w:hint="eastAsia"/>
                <w:bCs/>
                <w:color w:val="auto"/>
                <w:sz w:val="24"/>
              </w:rPr>
              <w:t>危险物质</w:t>
            </w:r>
            <w:r>
              <w:rPr>
                <w:bCs/>
                <w:color w:val="auto"/>
                <w:sz w:val="24"/>
              </w:rPr>
              <w:t>识别</w:t>
            </w:r>
          </w:p>
          <w:p w14:paraId="31DDAC4A">
            <w:pPr>
              <w:adjustRightInd w:val="0"/>
              <w:snapToGrid w:val="0"/>
              <w:spacing w:line="360" w:lineRule="auto"/>
              <w:ind w:firstLine="480" w:firstLineChars="200"/>
              <w:rPr>
                <w:bCs/>
                <w:snapToGrid w:val="0"/>
                <w:color w:val="auto"/>
                <w:sz w:val="24"/>
              </w:rPr>
            </w:pPr>
            <w:r>
              <w:rPr>
                <w:bCs/>
                <w:color w:val="auto"/>
                <w:sz w:val="24"/>
              </w:rPr>
              <w:t>根据《建设项目环境风险评价技术导则》（HJ169-2018）</w:t>
            </w:r>
            <w:r>
              <w:rPr>
                <w:bCs/>
                <w:snapToGrid w:val="0"/>
                <w:color w:val="auto"/>
                <w:sz w:val="24"/>
              </w:rPr>
              <w:t>要求，</w:t>
            </w:r>
            <w:r>
              <w:rPr>
                <w:bCs/>
                <w:color w:val="auto"/>
                <w:sz w:val="24"/>
              </w:rPr>
              <w:t>对本项目使用的原辅料进行识别，属于</w:t>
            </w:r>
            <w:r>
              <w:rPr>
                <w:rFonts w:hint="eastAsia"/>
                <w:bCs/>
                <w:color w:val="auto"/>
                <w:sz w:val="24"/>
              </w:rPr>
              <w:t>危险物质</w:t>
            </w:r>
            <w:r>
              <w:rPr>
                <w:bCs/>
                <w:color w:val="auto"/>
                <w:sz w:val="24"/>
              </w:rPr>
              <w:t>的</w:t>
            </w:r>
            <w:r>
              <w:rPr>
                <w:rFonts w:hint="eastAsia"/>
                <w:bCs/>
                <w:color w:val="auto"/>
                <w:sz w:val="24"/>
              </w:rPr>
              <w:t>为机油、废机油，</w:t>
            </w:r>
            <w:r>
              <w:rPr>
                <w:bCs/>
                <w:color w:val="auto"/>
                <w:sz w:val="24"/>
              </w:rPr>
              <w:t>存储位置为</w:t>
            </w:r>
            <w:r>
              <w:rPr>
                <w:rFonts w:hint="eastAsia"/>
                <w:bCs/>
                <w:color w:val="auto"/>
                <w:sz w:val="24"/>
              </w:rPr>
              <w:t>生产区、危废贮存库。</w:t>
            </w:r>
          </w:p>
          <w:p w14:paraId="4D0D7CCB">
            <w:pPr>
              <w:adjustRightInd w:val="0"/>
              <w:snapToGrid w:val="0"/>
              <w:spacing w:line="360" w:lineRule="auto"/>
              <w:ind w:firstLine="480" w:firstLineChars="200"/>
              <w:rPr>
                <w:color w:val="auto"/>
                <w:sz w:val="24"/>
              </w:rPr>
            </w:pPr>
            <w:r>
              <w:rPr>
                <w:rFonts w:hint="eastAsia"/>
                <w:bCs/>
                <w:color w:val="auto"/>
                <w:sz w:val="24"/>
              </w:rPr>
              <w:t>危险物质存在量及临界量见表4-1</w:t>
            </w:r>
            <w:r>
              <w:rPr>
                <w:rFonts w:hint="eastAsia"/>
                <w:bCs/>
                <w:color w:val="auto"/>
                <w:sz w:val="24"/>
                <w:lang w:val="en-US" w:eastAsia="zh-CN"/>
              </w:rPr>
              <w:t>3</w:t>
            </w:r>
            <w:r>
              <w:rPr>
                <w:rFonts w:hint="eastAsia"/>
                <w:bCs/>
                <w:color w:val="auto"/>
                <w:sz w:val="24"/>
              </w:rPr>
              <w:t>。</w:t>
            </w:r>
          </w:p>
          <w:p w14:paraId="51D08C8A">
            <w:pPr>
              <w:adjustRightInd w:val="0"/>
              <w:snapToGrid w:val="0"/>
              <w:jc w:val="center"/>
              <w:rPr>
                <w:rFonts w:eastAsia="黑体"/>
                <w:color w:val="auto"/>
                <w:sz w:val="24"/>
                <w:szCs w:val="20"/>
              </w:rPr>
            </w:pPr>
            <w:r>
              <w:rPr>
                <w:b/>
                <w:color w:val="auto"/>
                <w:sz w:val="24"/>
              </w:rPr>
              <w:t>表4-</w:t>
            </w:r>
            <w:r>
              <w:rPr>
                <w:rFonts w:hint="eastAsia"/>
                <w:b/>
                <w:color w:val="auto"/>
                <w:sz w:val="24"/>
              </w:rPr>
              <w:t>1</w:t>
            </w:r>
            <w:r>
              <w:rPr>
                <w:rFonts w:hint="eastAsia"/>
                <w:b/>
                <w:color w:val="auto"/>
                <w:sz w:val="24"/>
                <w:lang w:val="en-US" w:eastAsia="zh-CN"/>
              </w:rPr>
              <w:t>3</w:t>
            </w:r>
            <w:r>
              <w:rPr>
                <w:b/>
                <w:color w:val="auto"/>
                <w:sz w:val="24"/>
              </w:rPr>
              <w:t xml:space="preserve"> </w:t>
            </w:r>
            <w:r>
              <w:rPr>
                <w:rFonts w:hint="eastAsia"/>
                <w:b/>
                <w:color w:val="auto"/>
                <w:sz w:val="24"/>
              </w:rPr>
              <w:t xml:space="preserve"> 危险物质</w:t>
            </w:r>
            <w:r>
              <w:rPr>
                <w:b/>
                <w:color w:val="auto"/>
                <w:sz w:val="24"/>
              </w:rPr>
              <w:t>存在量一览表</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46"/>
              <w:gridCol w:w="2144"/>
              <w:gridCol w:w="2149"/>
              <w:gridCol w:w="2144"/>
            </w:tblGrid>
            <w:tr w14:paraId="1F5508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6" w:type="pct"/>
                  <w:vAlign w:val="center"/>
                </w:tcPr>
                <w:p w14:paraId="32694E38">
                  <w:pPr>
                    <w:adjustRightInd w:val="0"/>
                    <w:snapToGrid w:val="0"/>
                    <w:jc w:val="center"/>
                    <w:rPr>
                      <w:b/>
                      <w:color w:val="auto"/>
                      <w:kern w:val="21"/>
                      <w:szCs w:val="21"/>
                    </w:rPr>
                  </w:pPr>
                  <w:r>
                    <w:rPr>
                      <w:b/>
                      <w:color w:val="auto"/>
                      <w:kern w:val="21"/>
                      <w:szCs w:val="21"/>
                    </w:rPr>
                    <w:t>类别</w:t>
                  </w:r>
                </w:p>
              </w:tc>
              <w:tc>
                <w:tcPr>
                  <w:tcW w:w="1220" w:type="pct"/>
                  <w:vAlign w:val="center"/>
                </w:tcPr>
                <w:p w14:paraId="2B2E29A9">
                  <w:pPr>
                    <w:adjustRightInd w:val="0"/>
                    <w:snapToGrid w:val="0"/>
                    <w:jc w:val="center"/>
                    <w:rPr>
                      <w:b/>
                      <w:color w:val="auto"/>
                      <w:szCs w:val="21"/>
                    </w:rPr>
                  </w:pPr>
                  <w:r>
                    <w:rPr>
                      <w:b/>
                      <w:color w:val="auto"/>
                      <w:kern w:val="21"/>
                      <w:szCs w:val="21"/>
                    </w:rPr>
                    <w:t>最大贮存量</w:t>
                  </w:r>
                  <w:r>
                    <w:rPr>
                      <w:rFonts w:hint="eastAsia"/>
                      <w:b/>
                      <w:color w:val="auto"/>
                      <w:szCs w:val="21"/>
                    </w:rPr>
                    <w:t>t</w:t>
                  </w:r>
                </w:p>
              </w:tc>
              <w:tc>
                <w:tcPr>
                  <w:tcW w:w="1223" w:type="pct"/>
                  <w:vAlign w:val="center"/>
                </w:tcPr>
                <w:p w14:paraId="62C7F7AE">
                  <w:pPr>
                    <w:adjustRightInd w:val="0"/>
                    <w:snapToGrid w:val="0"/>
                    <w:jc w:val="center"/>
                    <w:rPr>
                      <w:b/>
                      <w:color w:val="auto"/>
                      <w:kern w:val="21"/>
                      <w:szCs w:val="21"/>
                    </w:rPr>
                  </w:pPr>
                  <w:r>
                    <w:rPr>
                      <w:b/>
                      <w:color w:val="auto"/>
                      <w:kern w:val="21"/>
                      <w:szCs w:val="21"/>
                    </w:rPr>
                    <w:t>临界量</w:t>
                  </w:r>
                  <w:r>
                    <w:rPr>
                      <w:b/>
                      <w:color w:val="auto"/>
                      <w:szCs w:val="21"/>
                    </w:rPr>
                    <w:t>t</w:t>
                  </w:r>
                </w:p>
              </w:tc>
              <w:tc>
                <w:tcPr>
                  <w:tcW w:w="1220" w:type="pct"/>
                  <w:vAlign w:val="center"/>
                </w:tcPr>
                <w:p w14:paraId="516C25B5">
                  <w:pPr>
                    <w:adjustRightInd w:val="0"/>
                    <w:snapToGrid w:val="0"/>
                    <w:jc w:val="center"/>
                    <w:rPr>
                      <w:b/>
                      <w:color w:val="auto"/>
                      <w:kern w:val="21"/>
                      <w:szCs w:val="21"/>
                    </w:rPr>
                  </w:pPr>
                  <w:r>
                    <w:rPr>
                      <w:rFonts w:hint="eastAsia"/>
                      <w:b/>
                      <w:color w:val="auto"/>
                      <w:kern w:val="21"/>
                      <w:szCs w:val="21"/>
                    </w:rPr>
                    <w:t>Q值</w:t>
                  </w:r>
                </w:p>
              </w:tc>
            </w:tr>
            <w:tr w14:paraId="00A886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6" w:type="pct"/>
                  <w:vAlign w:val="center"/>
                </w:tcPr>
                <w:p w14:paraId="2F91547D">
                  <w:pPr>
                    <w:adjustRightInd w:val="0"/>
                    <w:snapToGrid w:val="0"/>
                    <w:jc w:val="center"/>
                    <w:rPr>
                      <w:bCs/>
                      <w:color w:val="auto"/>
                      <w:kern w:val="21"/>
                      <w:szCs w:val="21"/>
                    </w:rPr>
                  </w:pPr>
                  <w:r>
                    <w:rPr>
                      <w:rFonts w:hint="eastAsia"/>
                      <w:bCs/>
                      <w:color w:val="auto"/>
                      <w:kern w:val="21"/>
                      <w:szCs w:val="21"/>
                    </w:rPr>
                    <w:t>机油</w:t>
                  </w:r>
                </w:p>
              </w:tc>
              <w:tc>
                <w:tcPr>
                  <w:tcW w:w="1220" w:type="pct"/>
                  <w:vAlign w:val="center"/>
                </w:tcPr>
                <w:p w14:paraId="5C654D0F">
                  <w:pPr>
                    <w:adjustRightInd w:val="0"/>
                    <w:snapToGrid w:val="0"/>
                    <w:jc w:val="center"/>
                    <w:rPr>
                      <w:bCs/>
                      <w:color w:val="auto"/>
                      <w:kern w:val="21"/>
                      <w:szCs w:val="21"/>
                    </w:rPr>
                  </w:pPr>
                  <w:r>
                    <w:rPr>
                      <w:rFonts w:hint="eastAsia"/>
                      <w:bCs/>
                      <w:color w:val="auto"/>
                      <w:kern w:val="21"/>
                      <w:szCs w:val="21"/>
                    </w:rPr>
                    <w:t>0.2</w:t>
                  </w:r>
                </w:p>
              </w:tc>
              <w:tc>
                <w:tcPr>
                  <w:tcW w:w="1223" w:type="pct"/>
                  <w:vAlign w:val="center"/>
                </w:tcPr>
                <w:p w14:paraId="0D7DC189">
                  <w:pPr>
                    <w:adjustRightInd w:val="0"/>
                    <w:snapToGrid w:val="0"/>
                    <w:jc w:val="center"/>
                    <w:rPr>
                      <w:bCs/>
                      <w:color w:val="auto"/>
                      <w:kern w:val="21"/>
                      <w:szCs w:val="21"/>
                    </w:rPr>
                  </w:pPr>
                  <w:r>
                    <w:rPr>
                      <w:rFonts w:hint="eastAsia"/>
                      <w:bCs/>
                      <w:color w:val="auto"/>
                      <w:kern w:val="21"/>
                      <w:szCs w:val="21"/>
                    </w:rPr>
                    <w:t>2500</w:t>
                  </w:r>
                </w:p>
              </w:tc>
              <w:tc>
                <w:tcPr>
                  <w:tcW w:w="1220" w:type="pct"/>
                  <w:vAlign w:val="center"/>
                </w:tcPr>
                <w:p w14:paraId="0F805856">
                  <w:pPr>
                    <w:adjustRightInd w:val="0"/>
                    <w:snapToGrid w:val="0"/>
                    <w:jc w:val="center"/>
                    <w:rPr>
                      <w:bCs/>
                      <w:color w:val="auto"/>
                      <w:kern w:val="21"/>
                      <w:szCs w:val="21"/>
                    </w:rPr>
                  </w:pPr>
                  <w:r>
                    <w:rPr>
                      <w:rFonts w:hint="eastAsia"/>
                      <w:bCs/>
                      <w:color w:val="auto"/>
                      <w:kern w:val="21"/>
                      <w:szCs w:val="21"/>
                    </w:rPr>
                    <w:t>8×10</w:t>
                  </w:r>
                  <w:r>
                    <w:rPr>
                      <w:rFonts w:hint="eastAsia"/>
                      <w:bCs/>
                      <w:color w:val="auto"/>
                      <w:kern w:val="21"/>
                      <w:szCs w:val="21"/>
                      <w:vertAlign w:val="superscript"/>
                    </w:rPr>
                    <w:t>-5</w:t>
                  </w:r>
                </w:p>
              </w:tc>
            </w:tr>
            <w:tr w14:paraId="712A29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6" w:type="pct"/>
                  <w:vAlign w:val="center"/>
                </w:tcPr>
                <w:p w14:paraId="28F07E75">
                  <w:pPr>
                    <w:adjustRightInd w:val="0"/>
                    <w:snapToGrid w:val="0"/>
                    <w:jc w:val="center"/>
                    <w:rPr>
                      <w:bCs/>
                      <w:color w:val="auto"/>
                      <w:kern w:val="21"/>
                      <w:szCs w:val="21"/>
                    </w:rPr>
                  </w:pPr>
                  <w:r>
                    <w:rPr>
                      <w:rFonts w:hint="eastAsia"/>
                      <w:bCs/>
                      <w:color w:val="auto"/>
                      <w:kern w:val="21"/>
                      <w:szCs w:val="21"/>
                    </w:rPr>
                    <w:t>废机油</w:t>
                  </w:r>
                </w:p>
              </w:tc>
              <w:tc>
                <w:tcPr>
                  <w:tcW w:w="1220" w:type="pct"/>
                  <w:vAlign w:val="center"/>
                </w:tcPr>
                <w:p w14:paraId="02320B8B">
                  <w:pPr>
                    <w:adjustRightInd w:val="0"/>
                    <w:snapToGrid w:val="0"/>
                    <w:jc w:val="center"/>
                    <w:rPr>
                      <w:bCs/>
                      <w:color w:val="auto"/>
                      <w:kern w:val="21"/>
                      <w:szCs w:val="21"/>
                    </w:rPr>
                  </w:pPr>
                  <w:r>
                    <w:rPr>
                      <w:rFonts w:hint="eastAsia"/>
                      <w:bCs/>
                      <w:color w:val="auto"/>
                      <w:kern w:val="21"/>
                      <w:szCs w:val="21"/>
                    </w:rPr>
                    <w:t>0.3</w:t>
                  </w:r>
                </w:p>
              </w:tc>
              <w:tc>
                <w:tcPr>
                  <w:tcW w:w="1223" w:type="pct"/>
                  <w:vAlign w:val="center"/>
                </w:tcPr>
                <w:p w14:paraId="72F3062F">
                  <w:pPr>
                    <w:adjustRightInd w:val="0"/>
                    <w:snapToGrid w:val="0"/>
                    <w:jc w:val="center"/>
                    <w:rPr>
                      <w:bCs/>
                      <w:color w:val="auto"/>
                      <w:kern w:val="21"/>
                      <w:szCs w:val="21"/>
                    </w:rPr>
                  </w:pPr>
                  <w:r>
                    <w:rPr>
                      <w:rFonts w:hint="eastAsia"/>
                      <w:bCs/>
                      <w:color w:val="auto"/>
                      <w:kern w:val="21"/>
                      <w:szCs w:val="21"/>
                    </w:rPr>
                    <w:t>50</w:t>
                  </w:r>
                </w:p>
              </w:tc>
              <w:tc>
                <w:tcPr>
                  <w:tcW w:w="1220" w:type="pct"/>
                  <w:vAlign w:val="center"/>
                </w:tcPr>
                <w:p w14:paraId="7F4EA720">
                  <w:pPr>
                    <w:adjustRightInd w:val="0"/>
                    <w:snapToGrid w:val="0"/>
                    <w:jc w:val="center"/>
                    <w:rPr>
                      <w:bCs/>
                      <w:color w:val="auto"/>
                      <w:kern w:val="21"/>
                      <w:szCs w:val="21"/>
                    </w:rPr>
                  </w:pPr>
                  <w:r>
                    <w:rPr>
                      <w:rFonts w:hint="eastAsia"/>
                      <w:bCs/>
                      <w:color w:val="auto"/>
                      <w:kern w:val="21"/>
                      <w:szCs w:val="21"/>
                    </w:rPr>
                    <w:t>0.006</w:t>
                  </w:r>
                </w:p>
              </w:tc>
            </w:tr>
            <w:tr w14:paraId="62878E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779" w:type="pct"/>
                  <w:gridSpan w:val="3"/>
                  <w:vAlign w:val="center"/>
                </w:tcPr>
                <w:p w14:paraId="2CCCE266">
                  <w:pPr>
                    <w:adjustRightInd w:val="0"/>
                    <w:snapToGrid w:val="0"/>
                    <w:jc w:val="center"/>
                    <w:rPr>
                      <w:bCs/>
                      <w:color w:val="auto"/>
                      <w:kern w:val="21"/>
                      <w:szCs w:val="21"/>
                    </w:rPr>
                  </w:pPr>
                  <w:r>
                    <w:rPr>
                      <w:rFonts w:hint="eastAsia"/>
                      <w:bCs/>
                      <w:color w:val="auto"/>
                      <w:kern w:val="21"/>
                      <w:szCs w:val="21"/>
                    </w:rPr>
                    <w:t>总计</w:t>
                  </w:r>
                </w:p>
              </w:tc>
              <w:tc>
                <w:tcPr>
                  <w:tcW w:w="1220" w:type="pct"/>
                  <w:vAlign w:val="center"/>
                </w:tcPr>
                <w:p w14:paraId="11D3CEBD">
                  <w:pPr>
                    <w:adjustRightInd w:val="0"/>
                    <w:snapToGrid w:val="0"/>
                    <w:jc w:val="center"/>
                    <w:rPr>
                      <w:bCs/>
                      <w:color w:val="auto"/>
                      <w:kern w:val="21"/>
                      <w:szCs w:val="21"/>
                    </w:rPr>
                  </w:pPr>
                  <w:r>
                    <w:rPr>
                      <w:rFonts w:hint="eastAsia"/>
                      <w:bCs/>
                      <w:color w:val="auto"/>
                      <w:kern w:val="21"/>
                      <w:szCs w:val="21"/>
                    </w:rPr>
                    <w:t>0.00608</w:t>
                  </w:r>
                </w:p>
              </w:tc>
            </w:tr>
          </w:tbl>
          <w:p w14:paraId="03B36964">
            <w:pPr>
              <w:spacing w:before="120" w:beforeLines="50" w:line="360" w:lineRule="auto"/>
              <w:ind w:firstLine="480" w:firstLineChars="200"/>
              <w:rPr>
                <w:bCs/>
                <w:color w:val="auto"/>
                <w:sz w:val="24"/>
              </w:rPr>
            </w:pPr>
            <w:r>
              <w:rPr>
                <w:bCs/>
                <w:color w:val="auto"/>
                <w:sz w:val="24"/>
              </w:rPr>
              <w:t>经计算，本项目Q=</w:t>
            </w:r>
            <w:r>
              <w:rPr>
                <w:rFonts w:hint="eastAsia"/>
                <w:bCs/>
                <w:color w:val="auto"/>
                <w:sz w:val="24"/>
              </w:rPr>
              <w:t>0.00608</w:t>
            </w:r>
            <w:r>
              <w:rPr>
                <w:bCs/>
                <w:color w:val="auto"/>
                <w:sz w:val="24"/>
              </w:rPr>
              <w:t>＜1，确定本项目环境风险潜势为I，不存在重大危险源。</w:t>
            </w:r>
          </w:p>
          <w:p w14:paraId="09D88755">
            <w:pPr>
              <w:spacing w:line="360" w:lineRule="auto"/>
              <w:ind w:firstLine="480" w:firstLineChars="200"/>
              <w:rPr>
                <w:color w:val="auto"/>
                <w:sz w:val="24"/>
              </w:rPr>
            </w:pPr>
            <w:r>
              <w:rPr>
                <w:rFonts w:hint="eastAsia"/>
                <w:color w:val="auto"/>
                <w:sz w:val="24"/>
              </w:rPr>
              <w:t>（2）环境风险分析</w:t>
            </w:r>
          </w:p>
          <w:p w14:paraId="1912B3F6">
            <w:pPr>
              <w:pStyle w:val="78"/>
              <w:ind w:firstLine="480"/>
              <w:rPr>
                <w:rFonts w:ascii="Times New Roman" w:hAnsi="Times New Roman" w:cs="Times New Roman"/>
                <w:color w:val="auto"/>
              </w:rPr>
            </w:pPr>
            <w:r>
              <w:rPr>
                <w:rFonts w:hint="eastAsia" w:ascii="Times New Roman" w:hAnsi="Times New Roman" w:cs="Times New Roman"/>
                <w:color w:val="auto"/>
              </w:rPr>
              <w:t>①机油、废机油泄漏，可能会污染所在地的土壤环境和水环境。</w:t>
            </w:r>
          </w:p>
          <w:p w14:paraId="49DC1351">
            <w:pPr>
              <w:spacing w:line="360" w:lineRule="auto"/>
              <w:ind w:firstLine="480" w:firstLineChars="200"/>
              <w:rPr>
                <w:color w:val="auto"/>
                <w:sz w:val="24"/>
                <w:szCs w:val="32"/>
              </w:rPr>
            </w:pPr>
            <w:r>
              <w:rPr>
                <w:rFonts w:hint="eastAsia"/>
                <w:color w:val="auto"/>
                <w:sz w:val="24"/>
                <w:szCs w:val="32"/>
              </w:rPr>
              <w:t>②油类物质泄漏后遇明火或高温高压后燃烧后产生的次生大气污染物。风险物质泄漏后，遇明火或高温高压燃烧或爆炸后产生的烟尘、一氧化碳、氮氧化物等次生大气污染物。对周围环境空气会产生一定的影响</w:t>
            </w:r>
            <w:r>
              <w:rPr>
                <w:color w:val="auto"/>
                <w:sz w:val="24"/>
                <w:szCs w:val="32"/>
              </w:rPr>
              <w:t>。</w:t>
            </w:r>
          </w:p>
          <w:p w14:paraId="3AFEDFC7">
            <w:pPr>
              <w:pStyle w:val="73"/>
              <w:snapToGrid w:val="0"/>
              <w:spacing w:line="360" w:lineRule="auto"/>
              <w:ind w:left="0" w:right="0" w:firstLine="480" w:firstLineChars="200"/>
              <w:contextualSpacing/>
              <w:jc w:val="both"/>
              <w:rPr>
                <w:color w:val="auto"/>
              </w:rPr>
            </w:pPr>
            <w:r>
              <w:rPr>
                <w:rFonts w:hint="eastAsia"/>
                <w:color w:val="auto"/>
              </w:rPr>
              <w:t>（3）</w:t>
            </w:r>
            <w:r>
              <w:rPr>
                <w:color w:val="auto"/>
              </w:rPr>
              <w:t>环境风险防范措施</w:t>
            </w:r>
          </w:p>
          <w:p w14:paraId="1AD68756">
            <w:pPr>
              <w:adjustRightInd w:val="0"/>
              <w:snapToGrid w:val="0"/>
              <w:spacing w:line="360" w:lineRule="auto"/>
              <w:ind w:firstLine="480" w:firstLineChars="200"/>
              <w:rPr>
                <w:bCs/>
                <w:color w:val="auto"/>
                <w:sz w:val="24"/>
              </w:rPr>
            </w:pPr>
            <w:r>
              <w:rPr>
                <w:bCs/>
                <w:color w:val="auto"/>
                <w:sz w:val="24"/>
              </w:rPr>
              <w:t>为使环境风险减小到最低限度，必须加强劳动安全管理，制定完备、有效的防范措施，尽可能降低项目环境风险事故发生的概率</w:t>
            </w:r>
            <w:r>
              <w:rPr>
                <w:rFonts w:hint="eastAsia"/>
                <w:bCs/>
                <w:color w:val="auto"/>
                <w:sz w:val="24"/>
              </w:rPr>
              <w:t>，采取如下措施：</w:t>
            </w:r>
          </w:p>
          <w:p w14:paraId="32B8BBDE">
            <w:pPr>
              <w:widowControl/>
              <w:spacing w:line="360" w:lineRule="auto"/>
              <w:ind w:firstLine="480" w:firstLineChars="200"/>
              <w:rPr>
                <w:bCs/>
                <w:color w:val="auto"/>
                <w:sz w:val="24"/>
              </w:rPr>
            </w:pPr>
            <w:r>
              <w:rPr>
                <w:rFonts w:hint="eastAsia" w:ascii="宋体" w:hAnsi="宋体" w:cs="宋体"/>
                <w:color w:val="auto"/>
                <w:sz w:val="24"/>
              </w:rPr>
              <w:t>①</w:t>
            </w:r>
            <w:r>
              <w:rPr>
                <w:bCs/>
                <w:color w:val="auto"/>
                <w:sz w:val="24"/>
              </w:rPr>
              <w:t>建设单位应加强设备管理维护，严防火灾发生，定期对线路进行检查，及时处理破损线路</w:t>
            </w:r>
            <w:r>
              <w:rPr>
                <w:rFonts w:hint="eastAsia"/>
                <w:bCs/>
                <w:color w:val="auto"/>
                <w:sz w:val="24"/>
              </w:rPr>
              <w:t>；</w:t>
            </w:r>
          </w:p>
          <w:p w14:paraId="29151F95">
            <w:pPr>
              <w:widowControl/>
              <w:spacing w:line="360" w:lineRule="auto"/>
              <w:ind w:firstLine="480" w:firstLineChars="200"/>
              <w:rPr>
                <w:color w:val="auto"/>
                <w:sz w:val="24"/>
              </w:rPr>
            </w:pPr>
            <w:r>
              <w:rPr>
                <w:rFonts w:hint="eastAsia" w:ascii="宋体" w:hAnsi="宋体" w:cs="宋体"/>
                <w:color w:val="auto"/>
                <w:sz w:val="24"/>
              </w:rPr>
              <w:t>②</w:t>
            </w:r>
            <w:r>
              <w:rPr>
                <w:color w:val="auto"/>
                <w:sz w:val="24"/>
              </w:rPr>
              <w:t>加强明火管理，严防火种进入，在醒目的位置应</w:t>
            </w:r>
            <w:r>
              <w:rPr>
                <w:rFonts w:hint="eastAsia" w:ascii="宋体" w:hAnsi="宋体" w:cs="宋体"/>
                <w:color w:val="auto"/>
                <w:sz w:val="24"/>
              </w:rPr>
              <w:t>该设置“严禁烟火”“禁火区”等标</w:t>
            </w:r>
            <w:r>
              <w:rPr>
                <w:color w:val="auto"/>
                <w:sz w:val="24"/>
              </w:rPr>
              <w:t>语和标牌；</w:t>
            </w:r>
          </w:p>
          <w:p w14:paraId="26A2365E">
            <w:pPr>
              <w:widowControl/>
              <w:spacing w:line="360" w:lineRule="auto"/>
              <w:ind w:firstLine="480" w:firstLineChars="200"/>
              <w:rPr>
                <w:color w:val="auto"/>
                <w:sz w:val="24"/>
              </w:rPr>
            </w:pPr>
            <w:r>
              <w:rPr>
                <w:rFonts w:hint="eastAsia"/>
                <w:color w:val="auto"/>
                <w:sz w:val="24"/>
              </w:rPr>
              <w:t>③危险废物处理处置严格按照国家规定贮存、转移、处置；</w:t>
            </w:r>
          </w:p>
          <w:p w14:paraId="5653F91F">
            <w:pPr>
              <w:widowControl/>
              <w:spacing w:line="360" w:lineRule="auto"/>
              <w:ind w:firstLine="480" w:firstLineChars="200"/>
              <w:rPr>
                <w:color w:val="auto"/>
                <w:sz w:val="24"/>
              </w:rPr>
            </w:pPr>
            <w:r>
              <w:rPr>
                <w:rFonts w:hint="eastAsia" w:ascii="宋体" w:hAnsi="宋体" w:cs="宋体"/>
                <w:color w:val="auto"/>
                <w:sz w:val="24"/>
              </w:rPr>
              <w:t>④</w:t>
            </w:r>
            <w:r>
              <w:rPr>
                <w:color w:val="auto"/>
                <w:sz w:val="24"/>
              </w:rPr>
              <w:t>定期对</w:t>
            </w:r>
            <w:r>
              <w:rPr>
                <w:rFonts w:hint="eastAsia"/>
                <w:color w:val="auto"/>
                <w:sz w:val="24"/>
              </w:rPr>
              <w:t>危废贮存库</w:t>
            </w:r>
            <w:r>
              <w:rPr>
                <w:color w:val="auto"/>
                <w:sz w:val="24"/>
              </w:rPr>
              <w:t>进行检查，设置</w:t>
            </w:r>
            <w:r>
              <w:rPr>
                <w:rFonts w:hint="eastAsia"/>
                <w:color w:val="auto"/>
                <w:sz w:val="24"/>
              </w:rPr>
              <w:t>一定量</w:t>
            </w:r>
            <w:r>
              <w:rPr>
                <w:color w:val="auto"/>
                <w:sz w:val="24"/>
              </w:rPr>
              <w:t>消防</w:t>
            </w:r>
            <w:r>
              <w:rPr>
                <w:rFonts w:hint="eastAsia"/>
                <w:color w:val="auto"/>
                <w:sz w:val="24"/>
              </w:rPr>
              <w:t>及应急处置设施，</w:t>
            </w:r>
            <w:r>
              <w:rPr>
                <w:color w:val="auto"/>
                <w:sz w:val="24"/>
              </w:rPr>
              <w:t>减少事</w:t>
            </w:r>
            <w:r>
              <w:rPr>
                <w:rFonts w:hint="eastAsia"/>
                <w:color w:val="auto"/>
                <w:sz w:val="24"/>
              </w:rPr>
              <w:t>件</w:t>
            </w:r>
            <w:r>
              <w:rPr>
                <w:color w:val="auto"/>
                <w:sz w:val="24"/>
              </w:rPr>
              <w:t>隐患；</w:t>
            </w:r>
          </w:p>
          <w:p w14:paraId="59D0AD20">
            <w:pPr>
              <w:widowControl/>
              <w:spacing w:line="360" w:lineRule="auto"/>
              <w:ind w:firstLine="480" w:firstLineChars="200"/>
              <w:rPr>
                <w:color w:val="auto"/>
                <w:sz w:val="24"/>
              </w:rPr>
            </w:pPr>
            <w:r>
              <w:rPr>
                <w:rFonts w:hint="eastAsia" w:ascii="宋体" w:hAnsi="宋体" w:cs="宋体"/>
                <w:color w:val="auto"/>
                <w:sz w:val="24"/>
              </w:rPr>
              <w:t>⑤</w:t>
            </w:r>
            <w:r>
              <w:rPr>
                <w:color w:val="auto"/>
                <w:sz w:val="24"/>
              </w:rPr>
              <w:t>加强对员工的职业素养教育，搞好岗位技术培训，强化应急预案的演练，增强员工的应变能力，进一步提高员工的</w:t>
            </w:r>
            <w:r>
              <w:rPr>
                <w:rFonts w:hint="eastAsia"/>
                <w:color w:val="auto"/>
                <w:sz w:val="24"/>
              </w:rPr>
              <w:t>生产过程中的</w:t>
            </w:r>
            <w:r>
              <w:rPr>
                <w:color w:val="auto"/>
                <w:sz w:val="24"/>
              </w:rPr>
              <w:t>自我防范</w:t>
            </w:r>
            <w:r>
              <w:rPr>
                <w:rFonts w:hint="eastAsia"/>
                <w:color w:val="auto"/>
                <w:sz w:val="24"/>
              </w:rPr>
              <w:t>意识和</w:t>
            </w:r>
            <w:r>
              <w:rPr>
                <w:color w:val="auto"/>
                <w:sz w:val="24"/>
              </w:rPr>
              <w:t>能力；</w:t>
            </w:r>
          </w:p>
          <w:p w14:paraId="4EBB6CD1">
            <w:pPr>
              <w:widowControl/>
              <w:spacing w:line="360" w:lineRule="auto"/>
              <w:ind w:firstLine="480" w:firstLineChars="200"/>
              <w:rPr>
                <w:color w:val="auto"/>
                <w:sz w:val="24"/>
              </w:rPr>
            </w:pPr>
            <w:r>
              <w:rPr>
                <w:rFonts w:hint="eastAsia"/>
                <w:bCs/>
                <w:color w:val="auto"/>
                <w:sz w:val="24"/>
              </w:rPr>
              <w:t>⑥</w:t>
            </w:r>
            <w:r>
              <w:rPr>
                <w:rFonts w:hint="eastAsia"/>
                <w:color w:val="auto"/>
                <w:sz w:val="24"/>
              </w:rPr>
              <w:t>发生突发环境事件后进行相应的应急处置，尽可能缩小污染范围；</w:t>
            </w:r>
          </w:p>
          <w:p w14:paraId="1DCAD3B8">
            <w:pPr>
              <w:widowControl/>
              <w:spacing w:line="360" w:lineRule="auto"/>
              <w:ind w:firstLine="480" w:firstLineChars="200"/>
              <w:rPr>
                <w:color w:val="auto"/>
                <w:sz w:val="24"/>
              </w:rPr>
            </w:pPr>
            <w:r>
              <w:rPr>
                <w:rFonts w:hint="eastAsia"/>
                <w:bCs/>
                <w:color w:val="auto"/>
                <w:sz w:val="24"/>
              </w:rPr>
              <w:t>⑦根据本次建设内容，编制突发环境事件应急预案并报请相关主管部门进行备案</w:t>
            </w:r>
            <w:r>
              <w:rPr>
                <w:bCs/>
                <w:color w:val="auto"/>
                <w:sz w:val="24"/>
              </w:rPr>
              <w:t>。</w:t>
            </w:r>
          </w:p>
          <w:p w14:paraId="4A6DF426">
            <w:pPr>
              <w:widowControl/>
              <w:spacing w:line="360" w:lineRule="auto"/>
              <w:ind w:firstLine="482" w:firstLineChars="200"/>
              <w:rPr>
                <w:b/>
                <w:bCs/>
                <w:color w:val="auto"/>
                <w:sz w:val="24"/>
              </w:rPr>
            </w:pPr>
            <w:r>
              <w:rPr>
                <w:rFonts w:hint="eastAsia"/>
                <w:b/>
                <w:bCs/>
                <w:color w:val="auto"/>
                <w:sz w:val="24"/>
              </w:rPr>
              <w:t>7、环保投资</w:t>
            </w:r>
          </w:p>
          <w:p w14:paraId="5A9D7DB3">
            <w:pPr>
              <w:pStyle w:val="6"/>
              <w:ind w:firstLine="0"/>
              <w:jc w:val="center"/>
              <w:rPr>
                <w:b/>
                <w:bCs/>
                <w:color w:val="auto"/>
                <w:szCs w:val="24"/>
              </w:rPr>
            </w:pPr>
            <w:r>
              <w:rPr>
                <w:b/>
                <w:bCs/>
                <w:color w:val="auto"/>
                <w:szCs w:val="24"/>
              </w:rPr>
              <w:t>表</w:t>
            </w:r>
            <w:r>
              <w:rPr>
                <w:rFonts w:hint="eastAsia"/>
                <w:b/>
                <w:bCs/>
                <w:color w:val="auto"/>
                <w:szCs w:val="24"/>
              </w:rPr>
              <w:t>4-</w:t>
            </w:r>
            <w:r>
              <w:rPr>
                <w:rFonts w:hint="eastAsia"/>
                <w:b/>
                <w:bCs/>
                <w:color w:val="auto"/>
                <w:szCs w:val="24"/>
                <w:lang w:val="en-US" w:eastAsia="zh-CN"/>
              </w:rPr>
              <w:t>14</w:t>
            </w:r>
            <w:r>
              <w:rPr>
                <w:b/>
                <w:bCs/>
                <w:color w:val="auto"/>
                <w:szCs w:val="24"/>
              </w:rPr>
              <w:t xml:space="preserve">  环保投资一览表</w:t>
            </w:r>
          </w:p>
          <w:tbl>
            <w:tblPr>
              <w:tblStyle w:val="26"/>
              <w:tblW w:w="5049" w:type="pct"/>
              <w:jc w:val="center"/>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1263"/>
              <w:gridCol w:w="4201"/>
              <w:gridCol w:w="917"/>
              <w:gridCol w:w="1659"/>
              <w:gridCol w:w="27"/>
              <w:gridCol w:w="59"/>
            </w:tblGrid>
            <w:tr w14:paraId="10BDF3B1">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47" w:type="pct"/>
                <w:trHeight w:val="544" w:hRule="atLeast"/>
                <w:jc w:val="center"/>
              </w:trPr>
              <w:tc>
                <w:tcPr>
                  <w:tcW w:w="419" w:type="pct"/>
                  <w:vAlign w:val="center"/>
                </w:tcPr>
                <w:p w14:paraId="3F7B9C20">
                  <w:pPr>
                    <w:jc w:val="center"/>
                    <w:rPr>
                      <w:b/>
                      <w:bCs/>
                      <w:color w:val="auto"/>
                      <w:szCs w:val="21"/>
                    </w:rPr>
                  </w:pPr>
                  <w:r>
                    <w:rPr>
                      <w:rFonts w:hint="eastAsia"/>
                      <w:b/>
                      <w:bCs/>
                      <w:color w:val="auto"/>
                      <w:szCs w:val="21"/>
                    </w:rPr>
                    <w:t>序号</w:t>
                  </w:r>
                </w:p>
              </w:tc>
              <w:tc>
                <w:tcPr>
                  <w:tcW w:w="712" w:type="pct"/>
                  <w:vAlign w:val="center"/>
                </w:tcPr>
                <w:p w14:paraId="263B2880">
                  <w:pPr>
                    <w:jc w:val="center"/>
                    <w:rPr>
                      <w:b/>
                      <w:bCs/>
                      <w:color w:val="auto"/>
                      <w:szCs w:val="21"/>
                    </w:rPr>
                  </w:pPr>
                  <w:r>
                    <w:rPr>
                      <w:b/>
                      <w:bCs/>
                      <w:color w:val="auto"/>
                      <w:szCs w:val="21"/>
                    </w:rPr>
                    <w:t>污染种类</w:t>
                  </w:r>
                </w:p>
              </w:tc>
              <w:tc>
                <w:tcPr>
                  <w:tcW w:w="2368" w:type="pct"/>
                  <w:vAlign w:val="center"/>
                </w:tcPr>
                <w:p w14:paraId="2C6EA99D">
                  <w:pPr>
                    <w:jc w:val="center"/>
                    <w:rPr>
                      <w:b/>
                      <w:bCs/>
                      <w:color w:val="auto"/>
                      <w:szCs w:val="21"/>
                    </w:rPr>
                  </w:pPr>
                  <w:r>
                    <w:rPr>
                      <w:b/>
                      <w:bCs/>
                      <w:color w:val="auto"/>
                      <w:szCs w:val="21"/>
                    </w:rPr>
                    <w:t>设施名称</w:t>
                  </w:r>
                </w:p>
              </w:tc>
              <w:tc>
                <w:tcPr>
                  <w:tcW w:w="516" w:type="pct"/>
                  <w:vAlign w:val="center"/>
                </w:tcPr>
                <w:p w14:paraId="33B1748F">
                  <w:pPr>
                    <w:jc w:val="center"/>
                    <w:rPr>
                      <w:b/>
                      <w:bCs/>
                      <w:color w:val="auto"/>
                      <w:szCs w:val="21"/>
                    </w:rPr>
                  </w:pPr>
                  <w:r>
                    <w:rPr>
                      <w:b/>
                      <w:bCs/>
                      <w:color w:val="auto"/>
                      <w:szCs w:val="21"/>
                    </w:rPr>
                    <w:t>数量</w:t>
                  </w:r>
                </w:p>
              </w:tc>
              <w:tc>
                <w:tcPr>
                  <w:tcW w:w="935" w:type="pct"/>
                  <w:vAlign w:val="center"/>
                </w:tcPr>
                <w:p w14:paraId="4B94DB93">
                  <w:pPr>
                    <w:ind w:left="-105" w:leftChars="-50" w:right="-105" w:rightChars="-50"/>
                    <w:jc w:val="center"/>
                    <w:rPr>
                      <w:b/>
                      <w:bCs/>
                      <w:color w:val="auto"/>
                      <w:szCs w:val="21"/>
                    </w:rPr>
                  </w:pPr>
                  <w:r>
                    <w:rPr>
                      <w:b/>
                      <w:bCs/>
                      <w:color w:val="auto"/>
                      <w:szCs w:val="21"/>
                    </w:rPr>
                    <w:t>投资（万元）</w:t>
                  </w:r>
                </w:p>
              </w:tc>
            </w:tr>
            <w:tr w14:paraId="3E7C683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47" w:type="pct"/>
                <w:trHeight w:val="624" w:hRule="atLeast"/>
                <w:jc w:val="center"/>
              </w:trPr>
              <w:tc>
                <w:tcPr>
                  <w:tcW w:w="419" w:type="pct"/>
                  <w:vAlign w:val="center"/>
                </w:tcPr>
                <w:p w14:paraId="4891DE62">
                  <w:pPr>
                    <w:adjustRightInd w:val="0"/>
                    <w:snapToGrid w:val="0"/>
                    <w:jc w:val="center"/>
                    <w:rPr>
                      <w:color w:val="auto"/>
                      <w:szCs w:val="21"/>
                    </w:rPr>
                  </w:pPr>
                  <w:r>
                    <w:rPr>
                      <w:rFonts w:hint="eastAsia"/>
                      <w:color w:val="auto"/>
                      <w:szCs w:val="21"/>
                    </w:rPr>
                    <w:t>1</w:t>
                  </w:r>
                </w:p>
              </w:tc>
              <w:tc>
                <w:tcPr>
                  <w:tcW w:w="712" w:type="pct"/>
                  <w:vMerge w:val="restart"/>
                  <w:vAlign w:val="center"/>
                </w:tcPr>
                <w:p w14:paraId="49EB6D53">
                  <w:pPr>
                    <w:adjustRightInd w:val="0"/>
                    <w:snapToGrid w:val="0"/>
                    <w:jc w:val="center"/>
                    <w:rPr>
                      <w:color w:val="auto"/>
                      <w:szCs w:val="21"/>
                    </w:rPr>
                  </w:pPr>
                  <w:r>
                    <w:rPr>
                      <w:rFonts w:hint="eastAsia"/>
                      <w:color w:val="auto"/>
                      <w:szCs w:val="21"/>
                    </w:rPr>
                    <w:t>废气</w:t>
                  </w:r>
                </w:p>
              </w:tc>
              <w:tc>
                <w:tcPr>
                  <w:tcW w:w="2368" w:type="pct"/>
                  <w:vAlign w:val="center"/>
                </w:tcPr>
                <w:p w14:paraId="36E5A39B">
                  <w:pPr>
                    <w:adjustRightInd w:val="0"/>
                    <w:snapToGrid w:val="0"/>
                    <w:jc w:val="center"/>
                    <w:rPr>
                      <w:bCs/>
                      <w:color w:val="auto"/>
                      <w:szCs w:val="21"/>
                    </w:rPr>
                  </w:pPr>
                  <w:r>
                    <w:rPr>
                      <w:rFonts w:hint="eastAsia"/>
                      <w:bCs/>
                      <w:color w:val="auto"/>
                      <w:szCs w:val="21"/>
                    </w:rPr>
                    <w:t>集气罩（8个）+</w:t>
                  </w:r>
                  <w:r>
                    <w:rPr>
                      <w:rFonts w:hint="eastAsia"/>
                      <w:bCs/>
                      <w:color w:val="auto"/>
                      <w:szCs w:val="21"/>
                    </w:rPr>
                    <w:t>软帘+</w:t>
                  </w:r>
                  <w:r>
                    <w:rPr>
                      <w:rFonts w:hint="eastAsia"/>
                      <w:bCs/>
                      <w:color w:val="auto"/>
                      <w:szCs w:val="21"/>
                      <w:lang w:eastAsia="zh-CN"/>
                    </w:rPr>
                    <w:t>三级活性炭</w:t>
                  </w:r>
                  <w:r>
                    <w:rPr>
                      <w:rFonts w:hint="eastAsia"/>
                      <w:bCs/>
                      <w:color w:val="auto"/>
                      <w:szCs w:val="21"/>
                    </w:rPr>
                    <w:t>+15m高排气筒</w:t>
                  </w:r>
                </w:p>
              </w:tc>
              <w:tc>
                <w:tcPr>
                  <w:tcW w:w="516" w:type="pct"/>
                  <w:vAlign w:val="center"/>
                </w:tcPr>
                <w:p w14:paraId="2C7779BD">
                  <w:pPr>
                    <w:adjustRightInd w:val="0"/>
                    <w:snapToGrid w:val="0"/>
                    <w:jc w:val="center"/>
                    <w:rPr>
                      <w:color w:val="auto"/>
                      <w:szCs w:val="21"/>
                    </w:rPr>
                  </w:pPr>
                  <w:r>
                    <w:rPr>
                      <w:rFonts w:hint="eastAsia"/>
                      <w:color w:val="auto"/>
                      <w:szCs w:val="21"/>
                    </w:rPr>
                    <w:t>1</w:t>
                  </w:r>
                  <w:r>
                    <w:rPr>
                      <w:rFonts w:hint="eastAsia"/>
                      <w:color w:val="auto"/>
                    </w:rPr>
                    <w:t>套</w:t>
                  </w:r>
                </w:p>
              </w:tc>
              <w:tc>
                <w:tcPr>
                  <w:tcW w:w="935" w:type="pct"/>
                  <w:vAlign w:val="center"/>
                </w:tcPr>
                <w:p w14:paraId="4D20E0E3">
                  <w:pPr>
                    <w:adjustRightInd w:val="0"/>
                    <w:snapToGrid w:val="0"/>
                    <w:jc w:val="center"/>
                    <w:rPr>
                      <w:color w:val="auto"/>
                      <w:szCs w:val="21"/>
                    </w:rPr>
                  </w:pPr>
                  <w:r>
                    <w:rPr>
                      <w:rFonts w:hint="eastAsia"/>
                      <w:color w:val="auto"/>
                      <w:szCs w:val="21"/>
                    </w:rPr>
                    <w:t>20.0</w:t>
                  </w:r>
                </w:p>
              </w:tc>
            </w:tr>
            <w:tr w14:paraId="48422035">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47" w:type="pct"/>
                <w:trHeight w:val="454" w:hRule="atLeast"/>
                <w:jc w:val="center"/>
              </w:trPr>
              <w:tc>
                <w:tcPr>
                  <w:tcW w:w="419" w:type="pct"/>
                  <w:shd w:val="clear" w:color="auto" w:fill="auto"/>
                  <w:vAlign w:val="center"/>
                </w:tcPr>
                <w:p w14:paraId="11DE8543">
                  <w:pPr>
                    <w:adjustRightInd w:val="0"/>
                    <w:snapToGrid w:val="0"/>
                    <w:jc w:val="center"/>
                    <w:rPr>
                      <w:color w:val="auto"/>
                      <w:szCs w:val="21"/>
                    </w:rPr>
                  </w:pPr>
                  <w:r>
                    <w:rPr>
                      <w:rFonts w:hint="eastAsia"/>
                      <w:color w:val="auto"/>
                      <w:szCs w:val="21"/>
                    </w:rPr>
                    <w:t>2</w:t>
                  </w:r>
                </w:p>
              </w:tc>
              <w:tc>
                <w:tcPr>
                  <w:tcW w:w="712" w:type="pct"/>
                  <w:vMerge w:val="continue"/>
                  <w:vAlign w:val="center"/>
                </w:tcPr>
                <w:p w14:paraId="7188E684">
                  <w:pPr>
                    <w:adjustRightInd w:val="0"/>
                    <w:snapToGrid w:val="0"/>
                    <w:jc w:val="center"/>
                    <w:rPr>
                      <w:color w:val="auto"/>
                      <w:szCs w:val="21"/>
                    </w:rPr>
                  </w:pPr>
                </w:p>
              </w:tc>
              <w:tc>
                <w:tcPr>
                  <w:tcW w:w="2368" w:type="pct"/>
                  <w:shd w:val="clear" w:color="auto" w:fill="auto"/>
                  <w:vAlign w:val="center"/>
                </w:tcPr>
                <w:p w14:paraId="5B5D6BC6">
                  <w:pPr>
                    <w:adjustRightInd w:val="0"/>
                    <w:snapToGrid w:val="0"/>
                    <w:jc w:val="center"/>
                    <w:rPr>
                      <w:bCs/>
                      <w:color w:val="auto"/>
                      <w:szCs w:val="21"/>
                    </w:rPr>
                  </w:pPr>
                  <w:r>
                    <w:rPr>
                      <w:rFonts w:hint="eastAsia"/>
                      <w:bCs/>
                      <w:color w:val="auto"/>
                      <w:szCs w:val="21"/>
                    </w:rPr>
                    <w:t>集气罩+袋式除尘器</w:t>
                  </w:r>
                </w:p>
              </w:tc>
              <w:tc>
                <w:tcPr>
                  <w:tcW w:w="516" w:type="pct"/>
                  <w:shd w:val="clear" w:color="auto" w:fill="auto"/>
                  <w:vAlign w:val="center"/>
                </w:tcPr>
                <w:p w14:paraId="4FE5E14C">
                  <w:pPr>
                    <w:adjustRightInd w:val="0"/>
                    <w:snapToGrid w:val="0"/>
                    <w:jc w:val="center"/>
                    <w:rPr>
                      <w:color w:val="auto"/>
                      <w:szCs w:val="21"/>
                    </w:rPr>
                  </w:pPr>
                  <w:r>
                    <w:rPr>
                      <w:rFonts w:hint="eastAsia"/>
                      <w:color w:val="auto"/>
                      <w:szCs w:val="21"/>
                    </w:rPr>
                    <w:t>1套</w:t>
                  </w:r>
                </w:p>
              </w:tc>
              <w:tc>
                <w:tcPr>
                  <w:tcW w:w="935" w:type="pct"/>
                  <w:shd w:val="clear" w:color="auto" w:fill="auto"/>
                  <w:vAlign w:val="center"/>
                </w:tcPr>
                <w:p w14:paraId="1A601D23">
                  <w:pPr>
                    <w:adjustRightInd w:val="0"/>
                    <w:snapToGrid w:val="0"/>
                    <w:jc w:val="center"/>
                    <w:rPr>
                      <w:color w:val="auto"/>
                      <w:szCs w:val="21"/>
                    </w:rPr>
                  </w:pPr>
                  <w:r>
                    <w:rPr>
                      <w:rFonts w:hint="eastAsia"/>
                      <w:color w:val="auto"/>
                      <w:szCs w:val="21"/>
                    </w:rPr>
                    <w:t>8.0</w:t>
                  </w:r>
                </w:p>
              </w:tc>
            </w:tr>
            <w:tr w14:paraId="19580E8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47" w:type="pct"/>
                <w:trHeight w:val="454" w:hRule="atLeast"/>
                <w:jc w:val="center"/>
              </w:trPr>
              <w:tc>
                <w:tcPr>
                  <w:tcW w:w="419" w:type="pct"/>
                  <w:shd w:val="clear" w:color="auto" w:fill="auto"/>
                  <w:vAlign w:val="center"/>
                </w:tcPr>
                <w:p w14:paraId="6A5727DC">
                  <w:pPr>
                    <w:adjustRightInd w:val="0"/>
                    <w:snapToGrid w:val="0"/>
                    <w:jc w:val="center"/>
                    <w:rPr>
                      <w:color w:val="auto"/>
                      <w:szCs w:val="21"/>
                    </w:rPr>
                  </w:pPr>
                  <w:r>
                    <w:rPr>
                      <w:rFonts w:hint="eastAsia"/>
                      <w:color w:val="auto"/>
                      <w:szCs w:val="21"/>
                    </w:rPr>
                    <w:t>3</w:t>
                  </w:r>
                </w:p>
              </w:tc>
              <w:tc>
                <w:tcPr>
                  <w:tcW w:w="712" w:type="pct"/>
                  <w:vAlign w:val="center"/>
                </w:tcPr>
                <w:p w14:paraId="4D2CEA3C">
                  <w:pPr>
                    <w:adjustRightInd w:val="0"/>
                    <w:snapToGrid w:val="0"/>
                    <w:jc w:val="center"/>
                    <w:rPr>
                      <w:color w:val="auto"/>
                      <w:szCs w:val="21"/>
                    </w:rPr>
                  </w:pPr>
                  <w:r>
                    <w:rPr>
                      <w:color w:val="auto"/>
                      <w:szCs w:val="21"/>
                    </w:rPr>
                    <w:t>噪声</w:t>
                  </w:r>
                </w:p>
              </w:tc>
              <w:tc>
                <w:tcPr>
                  <w:tcW w:w="2368" w:type="pct"/>
                  <w:vAlign w:val="center"/>
                </w:tcPr>
                <w:p w14:paraId="7E34A58A">
                  <w:pPr>
                    <w:adjustRightInd w:val="0"/>
                    <w:snapToGrid w:val="0"/>
                    <w:jc w:val="center"/>
                    <w:rPr>
                      <w:color w:val="auto"/>
                      <w:szCs w:val="21"/>
                    </w:rPr>
                  </w:pPr>
                  <w:r>
                    <w:rPr>
                      <w:bCs/>
                      <w:color w:val="auto"/>
                      <w:szCs w:val="21"/>
                    </w:rPr>
                    <w:t>厂房隔声、</w:t>
                  </w:r>
                  <w:r>
                    <w:rPr>
                      <w:rFonts w:hint="eastAsia"/>
                      <w:color w:val="auto"/>
                      <w:szCs w:val="21"/>
                    </w:rPr>
                    <w:t>减振</w:t>
                  </w:r>
                  <w:r>
                    <w:rPr>
                      <w:color w:val="auto"/>
                      <w:szCs w:val="21"/>
                    </w:rPr>
                    <w:t>基座、</w:t>
                  </w:r>
                  <w:r>
                    <w:rPr>
                      <w:bCs/>
                      <w:color w:val="auto"/>
                      <w:szCs w:val="21"/>
                    </w:rPr>
                    <w:t>加强设备保养</w:t>
                  </w:r>
                </w:p>
              </w:tc>
              <w:tc>
                <w:tcPr>
                  <w:tcW w:w="516" w:type="pct"/>
                  <w:vAlign w:val="center"/>
                </w:tcPr>
                <w:p w14:paraId="2C392139">
                  <w:pPr>
                    <w:adjustRightInd w:val="0"/>
                    <w:snapToGrid w:val="0"/>
                    <w:jc w:val="center"/>
                    <w:rPr>
                      <w:color w:val="auto"/>
                      <w:szCs w:val="21"/>
                    </w:rPr>
                  </w:pPr>
                  <w:r>
                    <w:rPr>
                      <w:color w:val="auto"/>
                      <w:szCs w:val="21"/>
                    </w:rPr>
                    <w:t>/</w:t>
                  </w:r>
                </w:p>
              </w:tc>
              <w:tc>
                <w:tcPr>
                  <w:tcW w:w="935" w:type="pct"/>
                  <w:vAlign w:val="center"/>
                </w:tcPr>
                <w:p w14:paraId="2C2C4E66">
                  <w:pPr>
                    <w:adjustRightInd w:val="0"/>
                    <w:snapToGrid w:val="0"/>
                    <w:jc w:val="center"/>
                    <w:rPr>
                      <w:color w:val="auto"/>
                      <w:szCs w:val="21"/>
                    </w:rPr>
                  </w:pPr>
                  <w:r>
                    <w:rPr>
                      <w:rFonts w:hint="eastAsia"/>
                      <w:color w:val="auto"/>
                      <w:szCs w:val="21"/>
                    </w:rPr>
                    <w:t>1.0</w:t>
                  </w:r>
                </w:p>
              </w:tc>
            </w:tr>
            <w:tr w14:paraId="1E2D987B">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47" w:type="pct"/>
                <w:trHeight w:val="454" w:hRule="atLeast"/>
                <w:jc w:val="center"/>
              </w:trPr>
              <w:tc>
                <w:tcPr>
                  <w:tcW w:w="419" w:type="pct"/>
                  <w:shd w:val="clear" w:color="auto" w:fill="auto"/>
                  <w:vAlign w:val="center"/>
                </w:tcPr>
                <w:p w14:paraId="7F67F7EA">
                  <w:pPr>
                    <w:adjustRightInd w:val="0"/>
                    <w:snapToGrid w:val="0"/>
                    <w:jc w:val="center"/>
                    <w:rPr>
                      <w:color w:val="auto"/>
                      <w:szCs w:val="21"/>
                    </w:rPr>
                  </w:pPr>
                  <w:r>
                    <w:rPr>
                      <w:rFonts w:hint="eastAsia"/>
                      <w:color w:val="auto"/>
                      <w:szCs w:val="21"/>
                    </w:rPr>
                    <w:t>4</w:t>
                  </w:r>
                </w:p>
              </w:tc>
              <w:tc>
                <w:tcPr>
                  <w:tcW w:w="712" w:type="pct"/>
                  <w:vAlign w:val="center"/>
                </w:tcPr>
                <w:p w14:paraId="2AAD8CC5">
                  <w:pPr>
                    <w:adjustRightInd w:val="0"/>
                    <w:snapToGrid w:val="0"/>
                    <w:jc w:val="center"/>
                    <w:rPr>
                      <w:color w:val="auto"/>
                      <w:szCs w:val="21"/>
                    </w:rPr>
                  </w:pPr>
                  <w:r>
                    <w:rPr>
                      <w:color w:val="auto"/>
                      <w:szCs w:val="21"/>
                    </w:rPr>
                    <w:t>废水</w:t>
                  </w:r>
                </w:p>
              </w:tc>
              <w:tc>
                <w:tcPr>
                  <w:tcW w:w="2368" w:type="pct"/>
                  <w:vAlign w:val="center"/>
                </w:tcPr>
                <w:p w14:paraId="5E5256E4">
                  <w:pPr>
                    <w:adjustRightInd w:val="0"/>
                    <w:snapToGrid w:val="0"/>
                    <w:jc w:val="center"/>
                    <w:rPr>
                      <w:rFonts w:hint="eastAsia" w:eastAsia="宋体"/>
                      <w:color w:val="auto"/>
                      <w:szCs w:val="21"/>
                      <w:lang w:eastAsia="zh-CN"/>
                    </w:rPr>
                  </w:pPr>
                  <w:r>
                    <w:rPr>
                      <w:rFonts w:hint="eastAsia"/>
                      <w:color w:val="auto"/>
                      <w:szCs w:val="21"/>
                      <w:lang w:eastAsia="zh-CN"/>
                    </w:rPr>
                    <w:t>防渗旱厕</w:t>
                  </w:r>
                </w:p>
              </w:tc>
              <w:tc>
                <w:tcPr>
                  <w:tcW w:w="516" w:type="pct"/>
                  <w:vAlign w:val="center"/>
                </w:tcPr>
                <w:p w14:paraId="1CCB6F2D">
                  <w:pPr>
                    <w:adjustRightInd w:val="0"/>
                    <w:snapToGrid w:val="0"/>
                    <w:jc w:val="center"/>
                    <w:rPr>
                      <w:color w:val="auto"/>
                      <w:szCs w:val="21"/>
                    </w:rPr>
                  </w:pPr>
                  <w:r>
                    <w:rPr>
                      <w:rFonts w:hint="eastAsia"/>
                      <w:color w:val="auto"/>
                      <w:szCs w:val="21"/>
                    </w:rPr>
                    <w:t>1座</w:t>
                  </w:r>
                </w:p>
              </w:tc>
              <w:tc>
                <w:tcPr>
                  <w:tcW w:w="935" w:type="pct"/>
                  <w:vAlign w:val="center"/>
                </w:tcPr>
                <w:p w14:paraId="5AC11FA3">
                  <w:pPr>
                    <w:adjustRightInd w:val="0"/>
                    <w:snapToGrid w:val="0"/>
                    <w:jc w:val="center"/>
                    <w:rPr>
                      <w:color w:val="auto"/>
                      <w:szCs w:val="21"/>
                    </w:rPr>
                  </w:pPr>
                  <w:r>
                    <w:rPr>
                      <w:rFonts w:hint="eastAsia"/>
                      <w:color w:val="auto"/>
                      <w:szCs w:val="21"/>
                    </w:rPr>
                    <w:t>依托</w:t>
                  </w:r>
                </w:p>
              </w:tc>
            </w:tr>
            <w:tr w14:paraId="4B8855B7">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47" w:type="pct"/>
                <w:trHeight w:val="454" w:hRule="atLeast"/>
                <w:jc w:val="center"/>
              </w:trPr>
              <w:tc>
                <w:tcPr>
                  <w:tcW w:w="419" w:type="pct"/>
                  <w:shd w:val="clear" w:color="auto" w:fill="auto"/>
                  <w:vAlign w:val="center"/>
                </w:tcPr>
                <w:p w14:paraId="30E0BC95">
                  <w:pPr>
                    <w:adjustRightInd w:val="0"/>
                    <w:snapToGrid w:val="0"/>
                    <w:jc w:val="center"/>
                    <w:rPr>
                      <w:color w:val="auto"/>
                      <w:szCs w:val="21"/>
                    </w:rPr>
                  </w:pPr>
                  <w:r>
                    <w:rPr>
                      <w:rFonts w:hint="eastAsia"/>
                      <w:color w:val="auto"/>
                      <w:szCs w:val="21"/>
                    </w:rPr>
                    <w:t>5</w:t>
                  </w:r>
                </w:p>
              </w:tc>
              <w:tc>
                <w:tcPr>
                  <w:tcW w:w="712" w:type="pct"/>
                  <w:vMerge w:val="restart"/>
                  <w:vAlign w:val="center"/>
                </w:tcPr>
                <w:p w14:paraId="1F811637">
                  <w:pPr>
                    <w:adjustRightInd w:val="0"/>
                    <w:snapToGrid w:val="0"/>
                    <w:jc w:val="center"/>
                    <w:rPr>
                      <w:color w:val="auto"/>
                      <w:szCs w:val="21"/>
                    </w:rPr>
                  </w:pPr>
                  <w:r>
                    <w:rPr>
                      <w:rFonts w:hint="eastAsia"/>
                      <w:color w:val="auto"/>
                      <w:szCs w:val="21"/>
                    </w:rPr>
                    <w:t>固废</w:t>
                  </w:r>
                </w:p>
              </w:tc>
              <w:tc>
                <w:tcPr>
                  <w:tcW w:w="2368" w:type="pct"/>
                  <w:vAlign w:val="center"/>
                </w:tcPr>
                <w:p w14:paraId="0D645DEC">
                  <w:pPr>
                    <w:adjustRightInd w:val="0"/>
                    <w:snapToGrid w:val="0"/>
                    <w:jc w:val="center"/>
                    <w:rPr>
                      <w:color w:val="auto"/>
                      <w:szCs w:val="21"/>
                    </w:rPr>
                  </w:pPr>
                  <w:r>
                    <w:rPr>
                      <w:rFonts w:hint="eastAsia"/>
                      <w:color w:val="auto"/>
                      <w:szCs w:val="21"/>
                    </w:rPr>
                    <w:t>垃圾桶</w:t>
                  </w:r>
                </w:p>
              </w:tc>
              <w:tc>
                <w:tcPr>
                  <w:tcW w:w="516" w:type="pct"/>
                  <w:vAlign w:val="center"/>
                </w:tcPr>
                <w:p w14:paraId="563E559E">
                  <w:pPr>
                    <w:adjustRightInd w:val="0"/>
                    <w:snapToGrid w:val="0"/>
                    <w:jc w:val="center"/>
                    <w:rPr>
                      <w:color w:val="auto"/>
                      <w:szCs w:val="21"/>
                    </w:rPr>
                  </w:pPr>
                  <w:r>
                    <w:rPr>
                      <w:rFonts w:hint="eastAsia"/>
                      <w:color w:val="auto"/>
                      <w:szCs w:val="21"/>
                    </w:rPr>
                    <w:t>3个</w:t>
                  </w:r>
                </w:p>
              </w:tc>
              <w:tc>
                <w:tcPr>
                  <w:tcW w:w="935" w:type="pct"/>
                  <w:vAlign w:val="center"/>
                </w:tcPr>
                <w:p w14:paraId="1C1BFACB">
                  <w:pPr>
                    <w:adjustRightInd w:val="0"/>
                    <w:snapToGrid w:val="0"/>
                    <w:jc w:val="center"/>
                    <w:rPr>
                      <w:color w:val="auto"/>
                      <w:szCs w:val="21"/>
                    </w:rPr>
                  </w:pPr>
                  <w:r>
                    <w:rPr>
                      <w:rFonts w:hint="eastAsia"/>
                      <w:color w:val="auto"/>
                      <w:szCs w:val="21"/>
                    </w:rPr>
                    <w:t>依托</w:t>
                  </w:r>
                </w:p>
              </w:tc>
            </w:tr>
            <w:tr w14:paraId="28B3214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47" w:type="pct"/>
                <w:trHeight w:val="454" w:hRule="atLeast"/>
                <w:jc w:val="center"/>
              </w:trPr>
              <w:tc>
                <w:tcPr>
                  <w:tcW w:w="419" w:type="pct"/>
                  <w:shd w:val="clear" w:color="auto" w:fill="auto"/>
                  <w:vAlign w:val="center"/>
                </w:tcPr>
                <w:p w14:paraId="1758BB0A">
                  <w:pPr>
                    <w:adjustRightInd w:val="0"/>
                    <w:snapToGrid w:val="0"/>
                    <w:jc w:val="center"/>
                    <w:rPr>
                      <w:color w:val="auto"/>
                      <w:szCs w:val="21"/>
                    </w:rPr>
                  </w:pPr>
                  <w:r>
                    <w:rPr>
                      <w:rFonts w:hint="eastAsia"/>
                      <w:color w:val="auto"/>
                      <w:szCs w:val="21"/>
                    </w:rPr>
                    <w:t>6</w:t>
                  </w:r>
                </w:p>
              </w:tc>
              <w:tc>
                <w:tcPr>
                  <w:tcW w:w="712" w:type="pct"/>
                  <w:vMerge w:val="continue"/>
                  <w:vAlign w:val="center"/>
                </w:tcPr>
                <w:p w14:paraId="4480B404">
                  <w:pPr>
                    <w:adjustRightInd w:val="0"/>
                    <w:snapToGrid w:val="0"/>
                    <w:jc w:val="center"/>
                    <w:rPr>
                      <w:color w:val="auto"/>
                      <w:szCs w:val="21"/>
                    </w:rPr>
                  </w:pPr>
                </w:p>
              </w:tc>
              <w:tc>
                <w:tcPr>
                  <w:tcW w:w="2368" w:type="pct"/>
                  <w:vAlign w:val="center"/>
                </w:tcPr>
                <w:p w14:paraId="2F4CE3CC">
                  <w:pPr>
                    <w:adjustRightInd w:val="0"/>
                    <w:snapToGrid w:val="0"/>
                    <w:jc w:val="center"/>
                    <w:rPr>
                      <w:rFonts w:hint="default" w:eastAsia="宋体"/>
                      <w:color w:val="auto"/>
                      <w:szCs w:val="21"/>
                      <w:lang w:val="en-US" w:eastAsia="zh-CN"/>
                    </w:rPr>
                  </w:pPr>
                  <w:r>
                    <w:rPr>
                      <w:rFonts w:hint="eastAsia"/>
                      <w:color w:val="auto"/>
                      <w:szCs w:val="21"/>
                    </w:rPr>
                    <w:t>危废贮存库</w:t>
                  </w:r>
                  <w:r>
                    <w:rPr>
                      <w:rFonts w:hint="eastAsia"/>
                      <w:color w:val="auto"/>
                      <w:szCs w:val="21"/>
                      <w:lang w:val="en-US" w:eastAsia="zh-CN"/>
                    </w:rPr>
                    <w:t>整改</w:t>
                  </w:r>
                </w:p>
              </w:tc>
              <w:tc>
                <w:tcPr>
                  <w:tcW w:w="516" w:type="pct"/>
                  <w:vAlign w:val="center"/>
                </w:tcPr>
                <w:p w14:paraId="7237F224">
                  <w:pPr>
                    <w:adjustRightInd w:val="0"/>
                    <w:snapToGrid w:val="0"/>
                    <w:jc w:val="center"/>
                    <w:rPr>
                      <w:color w:val="auto"/>
                      <w:szCs w:val="21"/>
                    </w:rPr>
                  </w:pPr>
                  <w:r>
                    <w:rPr>
                      <w:rFonts w:hint="eastAsia"/>
                      <w:color w:val="auto"/>
                      <w:szCs w:val="21"/>
                    </w:rPr>
                    <w:t>1座</w:t>
                  </w:r>
                </w:p>
              </w:tc>
              <w:tc>
                <w:tcPr>
                  <w:tcW w:w="935" w:type="pct"/>
                  <w:vAlign w:val="center"/>
                </w:tcPr>
                <w:p w14:paraId="100DD055">
                  <w:pPr>
                    <w:adjustRightInd w:val="0"/>
                    <w:snapToGrid w:val="0"/>
                    <w:jc w:val="center"/>
                    <w:rPr>
                      <w:rFonts w:hint="default" w:eastAsia="宋体"/>
                      <w:color w:val="auto"/>
                      <w:szCs w:val="21"/>
                      <w:lang w:val="en-US" w:eastAsia="zh-CN"/>
                    </w:rPr>
                  </w:pPr>
                  <w:r>
                    <w:rPr>
                      <w:rFonts w:hint="eastAsia"/>
                      <w:color w:val="auto"/>
                      <w:szCs w:val="21"/>
                      <w:lang w:val="en-US" w:eastAsia="zh-CN"/>
                    </w:rPr>
                    <w:t>1.0</w:t>
                  </w:r>
                </w:p>
              </w:tc>
            </w:tr>
            <w:tr w14:paraId="71E222A4">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2" w:type="pct"/>
                <w:trHeight w:val="454" w:hRule="atLeast"/>
                <w:jc w:val="center"/>
              </w:trPr>
              <w:tc>
                <w:tcPr>
                  <w:tcW w:w="419" w:type="pct"/>
                  <w:vAlign w:val="center"/>
                </w:tcPr>
                <w:p w14:paraId="34915353">
                  <w:pPr>
                    <w:adjustRightInd w:val="0"/>
                    <w:snapToGrid w:val="0"/>
                    <w:jc w:val="center"/>
                    <w:rPr>
                      <w:color w:val="auto"/>
                      <w:szCs w:val="21"/>
                    </w:rPr>
                  </w:pPr>
                  <w:r>
                    <w:rPr>
                      <w:rFonts w:hint="eastAsia"/>
                      <w:color w:val="auto"/>
                      <w:szCs w:val="21"/>
                    </w:rPr>
                    <w:t>7</w:t>
                  </w:r>
                </w:p>
              </w:tc>
              <w:tc>
                <w:tcPr>
                  <w:tcW w:w="3597" w:type="pct"/>
                  <w:gridSpan w:val="3"/>
                  <w:vAlign w:val="center"/>
                </w:tcPr>
                <w:p w14:paraId="2DADAEE6">
                  <w:pPr>
                    <w:adjustRightInd w:val="0"/>
                    <w:snapToGrid w:val="0"/>
                    <w:jc w:val="center"/>
                    <w:rPr>
                      <w:color w:val="auto"/>
                      <w:szCs w:val="21"/>
                    </w:rPr>
                  </w:pPr>
                  <w:r>
                    <w:rPr>
                      <w:rFonts w:hint="eastAsia"/>
                      <w:color w:val="auto"/>
                      <w:szCs w:val="21"/>
                    </w:rPr>
                    <w:t>环境管理和监测费用</w:t>
                  </w:r>
                </w:p>
              </w:tc>
              <w:tc>
                <w:tcPr>
                  <w:tcW w:w="950" w:type="pct"/>
                  <w:gridSpan w:val="2"/>
                  <w:vAlign w:val="center"/>
                </w:tcPr>
                <w:p w14:paraId="00C96999">
                  <w:pPr>
                    <w:adjustRightInd w:val="0"/>
                    <w:snapToGrid w:val="0"/>
                    <w:jc w:val="center"/>
                    <w:rPr>
                      <w:color w:val="auto"/>
                      <w:szCs w:val="21"/>
                    </w:rPr>
                  </w:pPr>
                  <w:r>
                    <w:rPr>
                      <w:rFonts w:hint="eastAsia"/>
                      <w:color w:val="auto"/>
                      <w:szCs w:val="21"/>
                    </w:rPr>
                    <w:t>3.0</w:t>
                  </w:r>
                </w:p>
              </w:tc>
            </w:tr>
            <w:tr w14:paraId="13C2C03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16" w:type="pct"/>
                  <w:gridSpan w:val="4"/>
                  <w:vAlign w:val="center"/>
                </w:tcPr>
                <w:p w14:paraId="561A5BD6">
                  <w:pPr>
                    <w:adjustRightInd w:val="0"/>
                    <w:snapToGrid w:val="0"/>
                    <w:jc w:val="center"/>
                    <w:rPr>
                      <w:color w:val="auto"/>
                      <w:szCs w:val="21"/>
                    </w:rPr>
                  </w:pPr>
                  <w:r>
                    <w:rPr>
                      <w:color w:val="auto"/>
                      <w:szCs w:val="21"/>
                    </w:rPr>
                    <w:t>合计</w:t>
                  </w:r>
                </w:p>
              </w:tc>
              <w:tc>
                <w:tcPr>
                  <w:tcW w:w="983" w:type="pct"/>
                  <w:gridSpan w:val="3"/>
                  <w:vAlign w:val="center"/>
                </w:tcPr>
                <w:p w14:paraId="21E24E2F">
                  <w:pPr>
                    <w:adjustRightInd w:val="0"/>
                    <w:snapToGrid w:val="0"/>
                    <w:jc w:val="center"/>
                    <w:rPr>
                      <w:rFonts w:hint="default" w:eastAsia="宋体"/>
                      <w:color w:val="auto"/>
                      <w:szCs w:val="21"/>
                      <w:lang w:val="en-US" w:eastAsia="zh-CN"/>
                    </w:rPr>
                  </w:pPr>
                  <w:r>
                    <w:rPr>
                      <w:rFonts w:hint="eastAsia"/>
                      <w:color w:val="auto"/>
                      <w:szCs w:val="21"/>
                      <w:lang w:val="en-US" w:eastAsia="zh-CN"/>
                    </w:rPr>
                    <w:t>33.0</w:t>
                  </w:r>
                </w:p>
              </w:tc>
            </w:tr>
          </w:tbl>
          <w:p w14:paraId="430FBC5A">
            <w:pPr>
              <w:pStyle w:val="6"/>
              <w:spacing w:line="360" w:lineRule="auto"/>
              <w:ind w:firstLine="480" w:firstLineChars="200"/>
              <w:rPr>
                <w:color w:val="auto"/>
                <w:szCs w:val="24"/>
              </w:rPr>
            </w:pPr>
          </w:p>
        </w:tc>
      </w:tr>
    </w:tbl>
    <w:p w14:paraId="43B4B8BF">
      <w:pPr>
        <w:rPr>
          <w:color w:val="auto"/>
        </w:rPr>
        <w:sectPr>
          <w:pgSz w:w="11907" w:h="16840"/>
          <w:pgMar w:top="1701" w:right="1531" w:bottom="2127" w:left="1531" w:header="851" w:footer="851" w:gutter="0"/>
          <w:cols w:space="720" w:num="1"/>
          <w:docGrid w:linePitch="312" w:charSpace="0"/>
        </w:sectPr>
      </w:pPr>
    </w:p>
    <w:p w14:paraId="45E93E3B">
      <w:pPr>
        <w:pStyle w:val="23"/>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五、</w:t>
      </w:r>
      <w:bookmarkStart w:id="39" w:name="_Hlk54167917"/>
      <w:r>
        <w:rPr>
          <w:rFonts w:hint="eastAsia" w:ascii="黑体" w:hAnsi="黑体" w:eastAsia="黑体"/>
          <w:snapToGrid w:val="0"/>
          <w:color w:val="auto"/>
          <w:sz w:val="30"/>
          <w:szCs w:val="30"/>
        </w:rPr>
        <w:t>环境保护措施监督检查清单</w:t>
      </w:r>
      <w:bookmarkEnd w:id="39"/>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56"/>
        <w:gridCol w:w="756"/>
        <w:gridCol w:w="756"/>
        <w:gridCol w:w="1341"/>
        <w:gridCol w:w="2268"/>
        <w:gridCol w:w="2423"/>
      </w:tblGrid>
      <w:tr w14:paraId="5D1235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56" w:type="dxa"/>
            <w:tcBorders>
              <w:tl2br w:val="single" w:color="auto" w:sz="4" w:space="0"/>
            </w:tcBorders>
          </w:tcPr>
          <w:p w14:paraId="75FCD746">
            <w:pPr>
              <w:adjustRightInd w:val="0"/>
              <w:snapToGrid w:val="0"/>
              <w:jc w:val="right"/>
              <w:rPr>
                <w:color w:val="auto"/>
                <w:szCs w:val="21"/>
              </w:rPr>
            </w:pPr>
            <w:r>
              <w:rPr>
                <w:color w:val="auto"/>
                <w:szCs w:val="21"/>
              </w:rPr>
              <w:t>内容</w:t>
            </w:r>
          </w:p>
          <w:p w14:paraId="2F47A4F5">
            <w:pPr>
              <w:adjustRightInd w:val="0"/>
              <w:snapToGrid w:val="0"/>
              <w:rPr>
                <w:color w:val="auto"/>
                <w:szCs w:val="21"/>
              </w:rPr>
            </w:pPr>
          </w:p>
          <w:p w14:paraId="18D04915">
            <w:pPr>
              <w:adjustRightInd w:val="0"/>
              <w:snapToGrid w:val="0"/>
              <w:rPr>
                <w:color w:val="auto"/>
                <w:szCs w:val="21"/>
              </w:rPr>
            </w:pPr>
            <w:r>
              <w:rPr>
                <w:color w:val="auto"/>
                <w:szCs w:val="21"/>
              </w:rPr>
              <w:t>要素</w:t>
            </w:r>
          </w:p>
        </w:tc>
        <w:tc>
          <w:tcPr>
            <w:tcW w:w="1512" w:type="dxa"/>
            <w:gridSpan w:val="2"/>
            <w:vAlign w:val="center"/>
          </w:tcPr>
          <w:p w14:paraId="6D1AC98D">
            <w:pPr>
              <w:adjustRightInd w:val="0"/>
              <w:snapToGrid w:val="0"/>
              <w:jc w:val="center"/>
              <w:rPr>
                <w:color w:val="auto"/>
                <w:szCs w:val="21"/>
              </w:rPr>
            </w:pPr>
            <w:r>
              <w:rPr>
                <w:color w:val="auto"/>
                <w:szCs w:val="21"/>
              </w:rPr>
              <w:t>排放口(编号、</w:t>
            </w:r>
          </w:p>
          <w:p w14:paraId="27DAA756">
            <w:pPr>
              <w:adjustRightInd w:val="0"/>
              <w:snapToGrid w:val="0"/>
              <w:jc w:val="center"/>
              <w:rPr>
                <w:color w:val="auto"/>
                <w:szCs w:val="21"/>
              </w:rPr>
            </w:pPr>
            <w:r>
              <w:rPr>
                <w:color w:val="auto"/>
                <w:szCs w:val="21"/>
              </w:rPr>
              <w:t>名称)/污染源</w:t>
            </w:r>
          </w:p>
        </w:tc>
        <w:tc>
          <w:tcPr>
            <w:tcW w:w="1341" w:type="dxa"/>
            <w:vAlign w:val="center"/>
          </w:tcPr>
          <w:p w14:paraId="4E6F5EBB">
            <w:pPr>
              <w:adjustRightInd w:val="0"/>
              <w:snapToGrid w:val="0"/>
              <w:jc w:val="center"/>
              <w:rPr>
                <w:color w:val="auto"/>
                <w:szCs w:val="21"/>
              </w:rPr>
            </w:pPr>
            <w:r>
              <w:rPr>
                <w:color w:val="auto"/>
                <w:szCs w:val="21"/>
              </w:rPr>
              <w:t>污染物项目</w:t>
            </w:r>
          </w:p>
        </w:tc>
        <w:tc>
          <w:tcPr>
            <w:tcW w:w="2268" w:type="dxa"/>
            <w:vAlign w:val="center"/>
          </w:tcPr>
          <w:p w14:paraId="21BECEF1">
            <w:pPr>
              <w:adjustRightInd w:val="0"/>
              <w:snapToGrid w:val="0"/>
              <w:jc w:val="center"/>
              <w:rPr>
                <w:color w:val="auto"/>
                <w:szCs w:val="21"/>
              </w:rPr>
            </w:pPr>
            <w:r>
              <w:rPr>
                <w:color w:val="auto"/>
                <w:szCs w:val="21"/>
              </w:rPr>
              <w:t>环境保护措施</w:t>
            </w:r>
          </w:p>
        </w:tc>
        <w:tc>
          <w:tcPr>
            <w:tcW w:w="2423" w:type="dxa"/>
            <w:vAlign w:val="center"/>
          </w:tcPr>
          <w:p w14:paraId="6ABF18D3">
            <w:pPr>
              <w:adjustRightInd w:val="0"/>
              <w:snapToGrid w:val="0"/>
              <w:jc w:val="center"/>
              <w:rPr>
                <w:color w:val="auto"/>
                <w:szCs w:val="21"/>
              </w:rPr>
            </w:pPr>
            <w:r>
              <w:rPr>
                <w:color w:val="auto"/>
                <w:szCs w:val="21"/>
              </w:rPr>
              <w:t>执行标准</w:t>
            </w:r>
          </w:p>
        </w:tc>
      </w:tr>
      <w:tr w14:paraId="24E96B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256" w:type="dxa"/>
            <w:vMerge w:val="restart"/>
            <w:vAlign w:val="center"/>
          </w:tcPr>
          <w:p w14:paraId="551E22AF">
            <w:pPr>
              <w:adjustRightInd w:val="0"/>
              <w:snapToGrid w:val="0"/>
              <w:jc w:val="center"/>
              <w:rPr>
                <w:color w:val="auto"/>
                <w:szCs w:val="21"/>
              </w:rPr>
            </w:pPr>
            <w:r>
              <w:rPr>
                <w:color w:val="auto"/>
                <w:szCs w:val="21"/>
              </w:rPr>
              <w:t>大气环境</w:t>
            </w:r>
          </w:p>
        </w:tc>
        <w:tc>
          <w:tcPr>
            <w:tcW w:w="756" w:type="dxa"/>
            <w:vAlign w:val="center"/>
          </w:tcPr>
          <w:p w14:paraId="77B84A1C">
            <w:pPr>
              <w:ind w:left="-105" w:leftChars="-50" w:right="-105" w:rightChars="-50"/>
              <w:jc w:val="center"/>
              <w:rPr>
                <w:color w:val="auto"/>
                <w:szCs w:val="21"/>
              </w:rPr>
            </w:pPr>
            <w:r>
              <w:rPr>
                <w:rFonts w:hint="eastAsia"/>
                <w:color w:val="auto"/>
                <w:szCs w:val="21"/>
              </w:rPr>
              <w:t>有组织</w:t>
            </w:r>
          </w:p>
        </w:tc>
        <w:tc>
          <w:tcPr>
            <w:tcW w:w="756" w:type="dxa"/>
            <w:vAlign w:val="center"/>
          </w:tcPr>
          <w:p w14:paraId="3410CB0E">
            <w:pPr>
              <w:ind w:left="-105" w:leftChars="-50" w:right="-105" w:rightChars="-50"/>
              <w:jc w:val="center"/>
              <w:rPr>
                <w:color w:val="auto"/>
                <w:szCs w:val="21"/>
              </w:rPr>
            </w:pPr>
            <w:r>
              <w:rPr>
                <w:rFonts w:hint="eastAsia"/>
                <w:color w:val="auto"/>
                <w:szCs w:val="21"/>
              </w:rPr>
              <w:t>DA001</w:t>
            </w:r>
          </w:p>
        </w:tc>
        <w:tc>
          <w:tcPr>
            <w:tcW w:w="1341" w:type="dxa"/>
            <w:vAlign w:val="center"/>
          </w:tcPr>
          <w:p w14:paraId="60630DAA">
            <w:pPr>
              <w:adjustRightInd w:val="0"/>
              <w:snapToGrid w:val="0"/>
              <w:jc w:val="center"/>
              <w:rPr>
                <w:color w:val="auto"/>
                <w:szCs w:val="21"/>
              </w:rPr>
            </w:pPr>
            <w:r>
              <w:rPr>
                <w:rFonts w:hint="eastAsia"/>
                <w:color w:val="auto"/>
                <w:szCs w:val="21"/>
              </w:rPr>
              <w:t>非甲烷总烃</w:t>
            </w:r>
          </w:p>
        </w:tc>
        <w:tc>
          <w:tcPr>
            <w:tcW w:w="2268" w:type="dxa"/>
            <w:vAlign w:val="center"/>
          </w:tcPr>
          <w:p w14:paraId="1CEE549C">
            <w:pPr>
              <w:adjustRightInd w:val="0"/>
              <w:snapToGrid w:val="0"/>
              <w:jc w:val="center"/>
              <w:rPr>
                <w:color w:val="auto"/>
                <w:szCs w:val="21"/>
              </w:rPr>
            </w:pPr>
            <w:r>
              <w:rPr>
                <w:rFonts w:hint="eastAsia"/>
                <w:color w:val="auto"/>
                <w:szCs w:val="21"/>
              </w:rPr>
              <w:t>采用集气罩+软帘+</w:t>
            </w:r>
            <w:r>
              <w:rPr>
                <w:rFonts w:hint="eastAsia"/>
                <w:color w:val="auto"/>
                <w:szCs w:val="21"/>
                <w:lang w:eastAsia="zh-CN"/>
              </w:rPr>
              <w:t>三级活性炭</w:t>
            </w:r>
            <w:r>
              <w:rPr>
                <w:rFonts w:hint="eastAsia"/>
                <w:color w:val="auto"/>
                <w:szCs w:val="21"/>
              </w:rPr>
              <w:t>吸附处理后，尾气通过15m高排气筒排放</w:t>
            </w:r>
          </w:p>
        </w:tc>
        <w:tc>
          <w:tcPr>
            <w:tcW w:w="2423" w:type="dxa"/>
            <w:vAlign w:val="center"/>
          </w:tcPr>
          <w:p w14:paraId="26D853E8">
            <w:pPr>
              <w:adjustRightInd w:val="0"/>
              <w:snapToGrid w:val="0"/>
              <w:jc w:val="center"/>
              <w:rPr>
                <w:color w:val="auto"/>
                <w:szCs w:val="21"/>
              </w:rPr>
            </w:pPr>
            <w:r>
              <w:rPr>
                <w:rFonts w:hint="eastAsia"/>
                <w:color w:val="auto"/>
                <w:szCs w:val="21"/>
              </w:rPr>
              <w:t>《合成树脂工业污染物排放标准》（GB31572-2015）表5大气污染物特别排放限值</w:t>
            </w:r>
          </w:p>
        </w:tc>
      </w:tr>
      <w:tr w14:paraId="45A91A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256" w:type="dxa"/>
            <w:vMerge w:val="continue"/>
            <w:vAlign w:val="center"/>
          </w:tcPr>
          <w:p w14:paraId="7E261D73">
            <w:pPr>
              <w:adjustRightInd w:val="0"/>
              <w:snapToGrid w:val="0"/>
              <w:jc w:val="center"/>
              <w:rPr>
                <w:color w:val="auto"/>
                <w:szCs w:val="21"/>
              </w:rPr>
            </w:pPr>
          </w:p>
        </w:tc>
        <w:tc>
          <w:tcPr>
            <w:tcW w:w="756" w:type="dxa"/>
            <w:vMerge w:val="restart"/>
            <w:vAlign w:val="center"/>
          </w:tcPr>
          <w:p w14:paraId="61D0F507">
            <w:pPr>
              <w:ind w:left="-105" w:leftChars="-50" w:right="-105" w:rightChars="-50"/>
              <w:jc w:val="center"/>
              <w:rPr>
                <w:color w:val="auto"/>
                <w:szCs w:val="21"/>
              </w:rPr>
            </w:pPr>
            <w:r>
              <w:rPr>
                <w:rFonts w:hint="eastAsia"/>
                <w:color w:val="auto"/>
                <w:szCs w:val="21"/>
              </w:rPr>
              <w:t>无组织</w:t>
            </w:r>
          </w:p>
        </w:tc>
        <w:tc>
          <w:tcPr>
            <w:tcW w:w="756" w:type="dxa"/>
            <w:vMerge w:val="restart"/>
            <w:vAlign w:val="center"/>
          </w:tcPr>
          <w:p w14:paraId="140A028C">
            <w:pPr>
              <w:ind w:left="-105" w:leftChars="-50" w:right="-105" w:rightChars="-50"/>
              <w:jc w:val="center"/>
              <w:rPr>
                <w:color w:val="auto"/>
                <w:szCs w:val="21"/>
              </w:rPr>
            </w:pPr>
            <w:r>
              <w:rPr>
                <w:rFonts w:hint="eastAsia"/>
                <w:color w:val="auto"/>
                <w:szCs w:val="21"/>
              </w:rPr>
              <w:t>厂界</w:t>
            </w:r>
          </w:p>
        </w:tc>
        <w:tc>
          <w:tcPr>
            <w:tcW w:w="1341" w:type="dxa"/>
            <w:vAlign w:val="center"/>
          </w:tcPr>
          <w:p w14:paraId="61EB0169">
            <w:pPr>
              <w:adjustRightInd w:val="0"/>
              <w:snapToGrid w:val="0"/>
              <w:jc w:val="center"/>
              <w:rPr>
                <w:color w:val="auto"/>
                <w:szCs w:val="21"/>
              </w:rPr>
            </w:pPr>
            <w:r>
              <w:rPr>
                <w:rFonts w:hint="eastAsia"/>
                <w:color w:val="auto"/>
                <w:szCs w:val="21"/>
              </w:rPr>
              <w:t>非甲烷总烃</w:t>
            </w:r>
          </w:p>
        </w:tc>
        <w:tc>
          <w:tcPr>
            <w:tcW w:w="2268" w:type="dxa"/>
            <w:vAlign w:val="center"/>
          </w:tcPr>
          <w:p w14:paraId="466F7562">
            <w:pPr>
              <w:adjustRightInd w:val="0"/>
              <w:snapToGrid w:val="0"/>
              <w:jc w:val="center"/>
              <w:rPr>
                <w:color w:val="auto"/>
                <w:szCs w:val="21"/>
              </w:rPr>
            </w:pPr>
            <w:r>
              <w:rPr>
                <w:color w:val="auto"/>
                <w:szCs w:val="21"/>
              </w:rPr>
              <w:t>规范生产操作，加强通风换气，产污设施加强集气</w:t>
            </w:r>
          </w:p>
        </w:tc>
        <w:tc>
          <w:tcPr>
            <w:tcW w:w="2423" w:type="dxa"/>
            <w:vMerge w:val="restart"/>
            <w:vAlign w:val="center"/>
          </w:tcPr>
          <w:p w14:paraId="6FAB7283">
            <w:pPr>
              <w:adjustRightInd w:val="0"/>
              <w:snapToGrid w:val="0"/>
              <w:jc w:val="center"/>
              <w:rPr>
                <w:color w:val="auto"/>
                <w:szCs w:val="21"/>
              </w:rPr>
            </w:pPr>
            <w:r>
              <w:rPr>
                <w:color w:val="auto"/>
                <w:szCs w:val="21"/>
              </w:rPr>
              <w:t>《合成树脂工业污染物排放标准》（GB31572-2015）表9大气污染物特别排放限值</w:t>
            </w:r>
          </w:p>
        </w:tc>
      </w:tr>
      <w:tr w14:paraId="224F8D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256" w:type="dxa"/>
            <w:vMerge w:val="continue"/>
            <w:vAlign w:val="center"/>
          </w:tcPr>
          <w:p w14:paraId="412B156E">
            <w:pPr>
              <w:adjustRightInd w:val="0"/>
              <w:snapToGrid w:val="0"/>
              <w:jc w:val="center"/>
              <w:rPr>
                <w:color w:val="auto"/>
                <w:szCs w:val="21"/>
              </w:rPr>
            </w:pPr>
          </w:p>
        </w:tc>
        <w:tc>
          <w:tcPr>
            <w:tcW w:w="756" w:type="dxa"/>
            <w:vMerge w:val="continue"/>
            <w:vAlign w:val="center"/>
          </w:tcPr>
          <w:p w14:paraId="0C39F279">
            <w:pPr>
              <w:ind w:left="-105" w:leftChars="-50" w:right="-105" w:rightChars="-50"/>
              <w:jc w:val="center"/>
              <w:rPr>
                <w:color w:val="auto"/>
                <w:szCs w:val="21"/>
              </w:rPr>
            </w:pPr>
          </w:p>
        </w:tc>
        <w:tc>
          <w:tcPr>
            <w:tcW w:w="756" w:type="dxa"/>
            <w:vMerge w:val="continue"/>
            <w:vAlign w:val="center"/>
          </w:tcPr>
          <w:p w14:paraId="6A8E3C11">
            <w:pPr>
              <w:ind w:left="-105" w:leftChars="-50" w:right="-105" w:rightChars="-50"/>
              <w:jc w:val="center"/>
              <w:rPr>
                <w:color w:val="auto"/>
                <w:szCs w:val="21"/>
              </w:rPr>
            </w:pPr>
          </w:p>
        </w:tc>
        <w:tc>
          <w:tcPr>
            <w:tcW w:w="1341" w:type="dxa"/>
            <w:vAlign w:val="center"/>
          </w:tcPr>
          <w:p w14:paraId="5065CFF6">
            <w:pPr>
              <w:adjustRightInd w:val="0"/>
              <w:snapToGrid w:val="0"/>
              <w:jc w:val="center"/>
              <w:rPr>
                <w:color w:val="auto"/>
                <w:szCs w:val="21"/>
              </w:rPr>
            </w:pPr>
            <w:r>
              <w:rPr>
                <w:rFonts w:hint="eastAsia"/>
                <w:color w:val="auto"/>
                <w:szCs w:val="21"/>
              </w:rPr>
              <w:t>颗粒物</w:t>
            </w:r>
          </w:p>
        </w:tc>
        <w:tc>
          <w:tcPr>
            <w:tcW w:w="2268" w:type="dxa"/>
            <w:vAlign w:val="center"/>
          </w:tcPr>
          <w:p w14:paraId="2FF5BCBC">
            <w:pPr>
              <w:adjustRightInd w:val="0"/>
              <w:snapToGrid w:val="0"/>
              <w:jc w:val="center"/>
              <w:rPr>
                <w:color w:val="auto"/>
                <w:szCs w:val="21"/>
              </w:rPr>
            </w:pPr>
            <w:r>
              <w:rPr>
                <w:rFonts w:hint="eastAsia"/>
                <w:color w:val="auto"/>
                <w:szCs w:val="21"/>
              </w:rPr>
              <w:t>破碎粉尘集气罩+袋式除尘器处理</w:t>
            </w:r>
          </w:p>
        </w:tc>
        <w:tc>
          <w:tcPr>
            <w:tcW w:w="2423" w:type="dxa"/>
            <w:vMerge w:val="continue"/>
            <w:vAlign w:val="center"/>
          </w:tcPr>
          <w:p w14:paraId="3AD7BEA0">
            <w:pPr>
              <w:adjustRightInd w:val="0"/>
              <w:snapToGrid w:val="0"/>
              <w:jc w:val="center"/>
              <w:rPr>
                <w:color w:val="auto"/>
                <w:szCs w:val="21"/>
              </w:rPr>
            </w:pPr>
          </w:p>
        </w:tc>
      </w:tr>
      <w:tr w14:paraId="02D07E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256" w:type="dxa"/>
            <w:vMerge w:val="continue"/>
            <w:vAlign w:val="center"/>
          </w:tcPr>
          <w:p w14:paraId="5E441B10">
            <w:pPr>
              <w:adjustRightInd w:val="0"/>
              <w:snapToGrid w:val="0"/>
              <w:jc w:val="center"/>
              <w:rPr>
                <w:color w:val="auto"/>
                <w:szCs w:val="21"/>
              </w:rPr>
            </w:pPr>
          </w:p>
        </w:tc>
        <w:tc>
          <w:tcPr>
            <w:tcW w:w="756" w:type="dxa"/>
            <w:vMerge w:val="continue"/>
            <w:vAlign w:val="center"/>
          </w:tcPr>
          <w:p w14:paraId="4D4461CD">
            <w:pPr>
              <w:ind w:left="-105" w:leftChars="-50" w:right="-105" w:rightChars="-50"/>
              <w:jc w:val="center"/>
              <w:rPr>
                <w:color w:val="auto"/>
                <w:szCs w:val="21"/>
              </w:rPr>
            </w:pPr>
          </w:p>
        </w:tc>
        <w:tc>
          <w:tcPr>
            <w:tcW w:w="756" w:type="dxa"/>
            <w:vAlign w:val="center"/>
          </w:tcPr>
          <w:p w14:paraId="71B21340">
            <w:pPr>
              <w:ind w:left="-105" w:leftChars="-50" w:right="-105" w:rightChars="-50"/>
              <w:jc w:val="center"/>
              <w:rPr>
                <w:color w:val="auto"/>
                <w:szCs w:val="21"/>
              </w:rPr>
            </w:pPr>
            <w:r>
              <w:rPr>
                <w:rFonts w:hint="eastAsia"/>
                <w:color w:val="auto"/>
                <w:szCs w:val="21"/>
              </w:rPr>
              <w:t>厂区内</w:t>
            </w:r>
          </w:p>
        </w:tc>
        <w:tc>
          <w:tcPr>
            <w:tcW w:w="1341" w:type="dxa"/>
            <w:vAlign w:val="center"/>
          </w:tcPr>
          <w:p w14:paraId="390A3F05">
            <w:pPr>
              <w:adjustRightInd w:val="0"/>
              <w:snapToGrid w:val="0"/>
              <w:jc w:val="center"/>
              <w:rPr>
                <w:color w:val="auto"/>
                <w:szCs w:val="21"/>
              </w:rPr>
            </w:pPr>
            <w:r>
              <w:rPr>
                <w:rFonts w:hint="eastAsia"/>
                <w:color w:val="auto"/>
                <w:szCs w:val="21"/>
              </w:rPr>
              <w:t>非甲烷总烃</w:t>
            </w:r>
          </w:p>
        </w:tc>
        <w:tc>
          <w:tcPr>
            <w:tcW w:w="2268" w:type="dxa"/>
            <w:vAlign w:val="center"/>
          </w:tcPr>
          <w:p w14:paraId="611B7967">
            <w:pPr>
              <w:adjustRightInd w:val="0"/>
              <w:snapToGrid w:val="0"/>
              <w:jc w:val="center"/>
              <w:rPr>
                <w:color w:val="auto"/>
                <w:szCs w:val="21"/>
              </w:rPr>
            </w:pPr>
            <w:r>
              <w:rPr>
                <w:rFonts w:hint="eastAsia"/>
                <w:color w:val="auto"/>
                <w:szCs w:val="21"/>
              </w:rPr>
              <w:t>/</w:t>
            </w:r>
          </w:p>
        </w:tc>
        <w:tc>
          <w:tcPr>
            <w:tcW w:w="2423" w:type="dxa"/>
            <w:vAlign w:val="center"/>
          </w:tcPr>
          <w:p w14:paraId="1720F60A">
            <w:pPr>
              <w:adjustRightInd w:val="0"/>
              <w:snapToGrid w:val="0"/>
              <w:jc w:val="center"/>
              <w:rPr>
                <w:color w:val="auto"/>
                <w:szCs w:val="21"/>
              </w:rPr>
            </w:pPr>
            <w:r>
              <w:rPr>
                <w:rFonts w:hint="eastAsia"/>
                <w:color w:val="auto"/>
                <w:szCs w:val="21"/>
              </w:rPr>
              <w:t>《挥发性有机物无组织排放控制标准》（GB37822-2019）表 A.1厂区内无组织特别排放限值要求</w:t>
            </w:r>
          </w:p>
        </w:tc>
      </w:tr>
      <w:tr w14:paraId="0B838C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1256" w:type="dxa"/>
            <w:vAlign w:val="center"/>
          </w:tcPr>
          <w:p w14:paraId="0DBD8114">
            <w:pPr>
              <w:adjustRightInd w:val="0"/>
              <w:snapToGrid w:val="0"/>
              <w:jc w:val="center"/>
              <w:rPr>
                <w:color w:val="auto"/>
                <w:szCs w:val="21"/>
              </w:rPr>
            </w:pPr>
            <w:r>
              <w:rPr>
                <w:color w:val="auto"/>
                <w:szCs w:val="21"/>
              </w:rPr>
              <w:t>地表水环境</w:t>
            </w:r>
          </w:p>
        </w:tc>
        <w:tc>
          <w:tcPr>
            <w:tcW w:w="1512" w:type="dxa"/>
            <w:gridSpan w:val="2"/>
            <w:vAlign w:val="center"/>
          </w:tcPr>
          <w:p w14:paraId="4DDD3552">
            <w:pPr>
              <w:adjustRightInd w:val="0"/>
              <w:snapToGrid w:val="0"/>
              <w:jc w:val="center"/>
              <w:rPr>
                <w:color w:val="auto"/>
                <w:szCs w:val="21"/>
              </w:rPr>
            </w:pPr>
            <w:r>
              <w:rPr>
                <w:color w:val="auto"/>
                <w:szCs w:val="21"/>
              </w:rPr>
              <w:t>生活污水</w:t>
            </w:r>
          </w:p>
        </w:tc>
        <w:tc>
          <w:tcPr>
            <w:tcW w:w="1341" w:type="dxa"/>
            <w:vAlign w:val="center"/>
          </w:tcPr>
          <w:p w14:paraId="0B5E2D2B">
            <w:pPr>
              <w:adjustRightInd w:val="0"/>
              <w:snapToGrid w:val="0"/>
              <w:jc w:val="center"/>
              <w:rPr>
                <w:color w:val="auto"/>
                <w:szCs w:val="21"/>
              </w:rPr>
            </w:pPr>
            <w:r>
              <w:rPr>
                <w:color w:val="auto"/>
                <w:szCs w:val="21"/>
              </w:rPr>
              <w:t>COD</w:t>
            </w:r>
            <w:r>
              <w:rPr>
                <w:rFonts w:hint="eastAsia"/>
                <w:color w:val="auto"/>
                <w:szCs w:val="21"/>
              </w:rPr>
              <w:t>、</w:t>
            </w:r>
            <w:r>
              <w:rPr>
                <w:color w:val="auto"/>
                <w:szCs w:val="21"/>
              </w:rPr>
              <w:t>BOD</w:t>
            </w:r>
            <w:r>
              <w:rPr>
                <w:color w:val="auto"/>
                <w:szCs w:val="21"/>
                <w:vertAlign w:val="subscript"/>
              </w:rPr>
              <w:t>5</w:t>
            </w:r>
            <w:r>
              <w:rPr>
                <w:rFonts w:hint="eastAsia"/>
                <w:color w:val="auto"/>
                <w:szCs w:val="21"/>
              </w:rPr>
              <w:t>、</w:t>
            </w:r>
            <w:r>
              <w:rPr>
                <w:color w:val="auto"/>
                <w:szCs w:val="21"/>
              </w:rPr>
              <w:t>SS</w:t>
            </w:r>
            <w:r>
              <w:rPr>
                <w:rFonts w:hint="eastAsia"/>
                <w:color w:val="auto"/>
                <w:szCs w:val="21"/>
              </w:rPr>
              <w:t>、</w:t>
            </w:r>
            <w:r>
              <w:rPr>
                <w:color w:val="auto"/>
                <w:szCs w:val="21"/>
              </w:rPr>
              <w:t>NH</w:t>
            </w:r>
            <w:r>
              <w:rPr>
                <w:color w:val="auto"/>
                <w:szCs w:val="21"/>
                <w:vertAlign w:val="subscript"/>
              </w:rPr>
              <w:t>3</w:t>
            </w:r>
            <w:r>
              <w:rPr>
                <w:color w:val="auto"/>
                <w:szCs w:val="21"/>
              </w:rPr>
              <w:t>-N</w:t>
            </w:r>
            <w:r>
              <w:rPr>
                <w:rFonts w:hint="eastAsia"/>
                <w:color w:val="auto"/>
                <w:szCs w:val="21"/>
              </w:rPr>
              <w:t>、TN、TP</w:t>
            </w:r>
          </w:p>
        </w:tc>
        <w:tc>
          <w:tcPr>
            <w:tcW w:w="2268" w:type="dxa"/>
            <w:vAlign w:val="center"/>
          </w:tcPr>
          <w:p w14:paraId="0EFC208A">
            <w:pPr>
              <w:adjustRightInd w:val="0"/>
              <w:snapToGrid w:val="0"/>
              <w:jc w:val="center"/>
              <w:rPr>
                <w:color w:val="auto"/>
                <w:szCs w:val="21"/>
              </w:rPr>
            </w:pPr>
            <w:r>
              <w:rPr>
                <w:rFonts w:hint="eastAsia"/>
                <w:color w:val="auto"/>
                <w:szCs w:val="21"/>
              </w:rPr>
              <w:t>依托租赁厂区</w:t>
            </w:r>
            <w:r>
              <w:rPr>
                <w:rFonts w:hint="eastAsia"/>
                <w:color w:val="auto"/>
                <w:szCs w:val="21"/>
                <w:lang w:eastAsia="zh-CN"/>
              </w:rPr>
              <w:t>防渗旱厕</w:t>
            </w:r>
            <w:r>
              <w:rPr>
                <w:rFonts w:hint="eastAsia"/>
                <w:color w:val="auto"/>
                <w:szCs w:val="21"/>
              </w:rPr>
              <w:t>处理后，</w:t>
            </w:r>
            <w:r>
              <w:rPr>
                <w:rFonts w:hint="eastAsia"/>
                <w:color w:val="auto"/>
              </w:rPr>
              <w:t>定期清掏用于周边农地，不外排</w:t>
            </w:r>
          </w:p>
        </w:tc>
        <w:tc>
          <w:tcPr>
            <w:tcW w:w="2423" w:type="dxa"/>
            <w:vAlign w:val="center"/>
          </w:tcPr>
          <w:p w14:paraId="2D4F7AF9">
            <w:pPr>
              <w:adjustRightInd w:val="0"/>
              <w:snapToGrid w:val="0"/>
              <w:jc w:val="center"/>
              <w:rPr>
                <w:color w:val="auto"/>
                <w:szCs w:val="21"/>
              </w:rPr>
            </w:pPr>
            <w:r>
              <w:rPr>
                <w:rFonts w:hint="eastAsia"/>
                <w:color w:val="auto"/>
                <w:szCs w:val="21"/>
              </w:rPr>
              <w:t>/</w:t>
            </w:r>
          </w:p>
        </w:tc>
      </w:tr>
      <w:tr w14:paraId="37AE22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56" w:type="dxa"/>
            <w:vAlign w:val="center"/>
          </w:tcPr>
          <w:p w14:paraId="73343101">
            <w:pPr>
              <w:adjustRightInd w:val="0"/>
              <w:snapToGrid w:val="0"/>
              <w:jc w:val="center"/>
              <w:rPr>
                <w:color w:val="auto"/>
                <w:szCs w:val="21"/>
              </w:rPr>
            </w:pPr>
            <w:r>
              <w:rPr>
                <w:color w:val="auto"/>
                <w:szCs w:val="21"/>
              </w:rPr>
              <w:t>声环境</w:t>
            </w:r>
          </w:p>
        </w:tc>
        <w:tc>
          <w:tcPr>
            <w:tcW w:w="1512" w:type="dxa"/>
            <w:gridSpan w:val="2"/>
            <w:vAlign w:val="center"/>
          </w:tcPr>
          <w:p w14:paraId="609F8C6F">
            <w:pPr>
              <w:adjustRightInd w:val="0"/>
              <w:snapToGrid w:val="0"/>
              <w:jc w:val="center"/>
              <w:rPr>
                <w:color w:val="auto"/>
                <w:szCs w:val="21"/>
              </w:rPr>
            </w:pPr>
            <w:r>
              <w:rPr>
                <w:rFonts w:hint="eastAsia"/>
                <w:color w:val="auto"/>
                <w:szCs w:val="21"/>
              </w:rPr>
              <w:t>生产</w:t>
            </w:r>
            <w:r>
              <w:rPr>
                <w:color w:val="auto"/>
                <w:szCs w:val="21"/>
              </w:rPr>
              <w:t>设备</w:t>
            </w:r>
            <w:r>
              <w:rPr>
                <w:rFonts w:hint="eastAsia"/>
                <w:color w:val="auto"/>
                <w:szCs w:val="21"/>
              </w:rPr>
              <w:t>及环保设备噪声</w:t>
            </w:r>
          </w:p>
        </w:tc>
        <w:tc>
          <w:tcPr>
            <w:tcW w:w="1341" w:type="dxa"/>
            <w:vAlign w:val="center"/>
          </w:tcPr>
          <w:p w14:paraId="59DC3348">
            <w:pPr>
              <w:adjustRightInd w:val="0"/>
              <w:snapToGrid w:val="0"/>
              <w:jc w:val="center"/>
              <w:rPr>
                <w:color w:val="auto"/>
                <w:szCs w:val="21"/>
              </w:rPr>
            </w:pPr>
            <w:r>
              <w:rPr>
                <w:rFonts w:hint="eastAsia"/>
                <w:color w:val="auto"/>
                <w:kern w:val="0"/>
                <w:szCs w:val="21"/>
              </w:rPr>
              <w:t>噪声</w:t>
            </w:r>
          </w:p>
        </w:tc>
        <w:tc>
          <w:tcPr>
            <w:tcW w:w="2268" w:type="dxa"/>
            <w:vAlign w:val="center"/>
          </w:tcPr>
          <w:p w14:paraId="5F250DB4">
            <w:pPr>
              <w:adjustRightInd w:val="0"/>
              <w:snapToGrid w:val="0"/>
              <w:jc w:val="center"/>
              <w:rPr>
                <w:color w:val="auto"/>
                <w:szCs w:val="21"/>
              </w:rPr>
            </w:pPr>
            <w:r>
              <w:rPr>
                <w:color w:val="auto"/>
                <w:kern w:val="0"/>
                <w:szCs w:val="21"/>
              </w:rPr>
              <w:t>选用低噪设备、厂房隔声、基础</w:t>
            </w:r>
            <w:r>
              <w:rPr>
                <w:rFonts w:hint="eastAsia"/>
                <w:color w:val="auto"/>
                <w:kern w:val="0"/>
                <w:szCs w:val="21"/>
              </w:rPr>
              <w:t>减振、设置隔声罩</w:t>
            </w:r>
          </w:p>
        </w:tc>
        <w:tc>
          <w:tcPr>
            <w:tcW w:w="2423" w:type="dxa"/>
            <w:vAlign w:val="center"/>
          </w:tcPr>
          <w:p w14:paraId="176BDD8A">
            <w:pPr>
              <w:adjustRightInd w:val="0"/>
              <w:snapToGrid w:val="0"/>
              <w:jc w:val="center"/>
              <w:rPr>
                <w:color w:val="auto"/>
                <w:szCs w:val="21"/>
              </w:rPr>
            </w:pPr>
            <w:r>
              <w:rPr>
                <w:bCs/>
                <w:color w:val="auto"/>
                <w:szCs w:val="21"/>
              </w:rPr>
              <w:t>《工业企业厂界环境噪声排放标准》</w:t>
            </w:r>
            <w:r>
              <w:rPr>
                <w:color w:val="auto"/>
                <w:szCs w:val="21"/>
              </w:rPr>
              <w:t>（</w:t>
            </w:r>
            <w:r>
              <w:rPr>
                <w:bCs/>
                <w:color w:val="auto"/>
                <w:szCs w:val="21"/>
              </w:rPr>
              <w:t>GB12348-2008）</w:t>
            </w:r>
            <w:r>
              <w:rPr>
                <w:color w:val="auto"/>
                <w:spacing w:val="6"/>
                <w:szCs w:val="21"/>
              </w:rPr>
              <w:t>中的</w:t>
            </w:r>
            <w:r>
              <w:rPr>
                <w:rFonts w:hint="eastAsia"/>
                <w:color w:val="auto"/>
                <w:spacing w:val="6"/>
                <w:szCs w:val="21"/>
              </w:rPr>
              <w:t>2</w:t>
            </w:r>
            <w:r>
              <w:rPr>
                <w:color w:val="auto"/>
                <w:spacing w:val="6"/>
                <w:szCs w:val="21"/>
              </w:rPr>
              <w:t>类标准</w:t>
            </w:r>
          </w:p>
        </w:tc>
      </w:tr>
      <w:tr w14:paraId="5E13C8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6" w:type="dxa"/>
            <w:vAlign w:val="center"/>
          </w:tcPr>
          <w:p w14:paraId="77CD0CE5">
            <w:pPr>
              <w:adjustRightInd w:val="0"/>
              <w:snapToGrid w:val="0"/>
              <w:jc w:val="center"/>
              <w:rPr>
                <w:color w:val="auto"/>
                <w:szCs w:val="21"/>
              </w:rPr>
            </w:pPr>
            <w:r>
              <w:rPr>
                <w:color w:val="auto"/>
                <w:szCs w:val="21"/>
              </w:rPr>
              <w:t>电磁辐射</w:t>
            </w:r>
          </w:p>
        </w:tc>
        <w:tc>
          <w:tcPr>
            <w:tcW w:w="1512" w:type="dxa"/>
            <w:gridSpan w:val="2"/>
            <w:vAlign w:val="center"/>
          </w:tcPr>
          <w:p w14:paraId="100088F0">
            <w:pPr>
              <w:adjustRightInd w:val="0"/>
              <w:snapToGrid w:val="0"/>
              <w:jc w:val="center"/>
              <w:rPr>
                <w:color w:val="auto"/>
                <w:szCs w:val="21"/>
              </w:rPr>
            </w:pPr>
            <w:r>
              <w:rPr>
                <w:color w:val="auto"/>
                <w:szCs w:val="21"/>
              </w:rPr>
              <w:t>/</w:t>
            </w:r>
          </w:p>
        </w:tc>
        <w:tc>
          <w:tcPr>
            <w:tcW w:w="1341" w:type="dxa"/>
            <w:vAlign w:val="center"/>
          </w:tcPr>
          <w:p w14:paraId="574751BF">
            <w:pPr>
              <w:adjustRightInd w:val="0"/>
              <w:snapToGrid w:val="0"/>
              <w:jc w:val="center"/>
              <w:rPr>
                <w:color w:val="auto"/>
                <w:szCs w:val="21"/>
              </w:rPr>
            </w:pPr>
            <w:r>
              <w:rPr>
                <w:color w:val="auto"/>
                <w:szCs w:val="21"/>
              </w:rPr>
              <w:t>/</w:t>
            </w:r>
          </w:p>
        </w:tc>
        <w:tc>
          <w:tcPr>
            <w:tcW w:w="2268" w:type="dxa"/>
            <w:vAlign w:val="center"/>
          </w:tcPr>
          <w:p w14:paraId="45AC61B4">
            <w:pPr>
              <w:adjustRightInd w:val="0"/>
              <w:snapToGrid w:val="0"/>
              <w:jc w:val="center"/>
              <w:rPr>
                <w:color w:val="auto"/>
                <w:szCs w:val="21"/>
              </w:rPr>
            </w:pPr>
            <w:r>
              <w:rPr>
                <w:color w:val="auto"/>
                <w:szCs w:val="21"/>
              </w:rPr>
              <w:t>/</w:t>
            </w:r>
          </w:p>
        </w:tc>
        <w:tc>
          <w:tcPr>
            <w:tcW w:w="2423" w:type="dxa"/>
            <w:vAlign w:val="center"/>
          </w:tcPr>
          <w:p w14:paraId="0FFBA2F7">
            <w:pPr>
              <w:adjustRightInd w:val="0"/>
              <w:snapToGrid w:val="0"/>
              <w:jc w:val="center"/>
              <w:rPr>
                <w:color w:val="auto"/>
                <w:szCs w:val="21"/>
              </w:rPr>
            </w:pPr>
            <w:r>
              <w:rPr>
                <w:color w:val="auto"/>
                <w:szCs w:val="21"/>
              </w:rPr>
              <w:t>/</w:t>
            </w:r>
          </w:p>
        </w:tc>
      </w:tr>
      <w:tr w14:paraId="45D6F7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6" w:type="dxa"/>
            <w:vMerge w:val="restart"/>
            <w:vAlign w:val="center"/>
          </w:tcPr>
          <w:p w14:paraId="60169370">
            <w:pPr>
              <w:adjustRightInd w:val="0"/>
              <w:snapToGrid w:val="0"/>
              <w:jc w:val="center"/>
              <w:rPr>
                <w:color w:val="auto"/>
                <w:szCs w:val="21"/>
              </w:rPr>
            </w:pPr>
            <w:r>
              <w:rPr>
                <w:color w:val="auto"/>
                <w:szCs w:val="21"/>
              </w:rPr>
              <w:t>固体废物</w:t>
            </w:r>
          </w:p>
        </w:tc>
        <w:tc>
          <w:tcPr>
            <w:tcW w:w="1512" w:type="dxa"/>
            <w:gridSpan w:val="2"/>
            <w:tcBorders>
              <w:bottom w:val="single" w:color="auto" w:sz="4" w:space="0"/>
              <w:right w:val="single" w:color="000000" w:sz="6" w:space="0"/>
            </w:tcBorders>
            <w:vAlign w:val="center"/>
          </w:tcPr>
          <w:p w14:paraId="513F9AF8">
            <w:pPr>
              <w:jc w:val="center"/>
              <w:rPr>
                <w:color w:val="auto"/>
                <w:szCs w:val="21"/>
              </w:rPr>
            </w:pPr>
            <w:r>
              <w:rPr>
                <w:color w:val="auto"/>
                <w:szCs w:val="21"/>
              </w:rPr>
              <w:t>生活办公</w:t>
            </w:r>
          </w:p>
        </w:tc>
        <w:tc>
          <w:tcPr>
            <w:tcW w:w="1341" w:type="dxa"/>
            <w:tcBorders>
              <w:left w:val="single" w:color="000000" w:sz="6" w:space="0"/>
              <w:bottom w:val="single" w:color="auto" w:sz="4" w:space="0"/>
              <w:right w:val="single" w:color="000000" w:sz="6" w:space="0"/>
            </w:tcBorders>
            <w:vAlign w:val="center"/>
          </w:tcPr>
          <w:p w14:paraId="552A3042">
            <w:pPr>
              <w:jc w:val="center"/>
              <w:rPr>
                <w:color w:val="auto"/>
                <w:szCs w:val="21"/>
              </w:rPr>
            </w:pPr>
            <w:r>
              <w:rPr>
                <w:color w:val="auto"/>
                <w:szCs w:val="21"/>
              </w:rPr>
              <w:t>生活垃圾</w:t>
            </w:r>
          </w:p>
        </w:tc>
        <w:tc>
          <w:tcPr>
            <w:tcW w:w="2268" w:type="dxa"/>
            <w:tcBorders>
              <w:left w:val="single" w:color="000000" w:sz="6" w:space="0"/>
              <w:right w:val="single" w:color="000000" w:sz="6" w:space="0"/>
            </w:tcBorders>
            <w:vAlign w:val="center"/>
          </w:tcPr>
          <w:p w14:paraId="71306046">
            <w:pPr>
              <w:jc w:val="center"/>
              <w:rPr>
                <w:color w:val="auto"/>
                <w:szCs w:val="21"/>
              </w:rPr>
            </w:pPr>
            <w:r>
              <w:rPr>
                <w:color w:val="auto"/>
                <w:szCs w:val="21"/>
              </w:rPr>
              <w:t>环卫部门</w:t>
            </w:r>
            <w:r>
              <w:rPr>
                <w:rFonts w:hint="eastAsia"/>
                <w:color w:val="auto"/>
                <w:szCs w:val="21"/>
              </w:rPr>
              <w:t>统一清运</w:t>
            </w:r>
          </w:p>
        </w:tc>
        <w:tc>
          <w:tcPr>
            <w:tcW w:w="2423" w:type="dxa"/>
            <w:tcBorders>
              <w:left w:val="single" w:color="000000" w:sz="6" w:space="0"/>
              <w:bottom w:val="single" w:color="auto" w:sz="4" w:space="0"/>
            </w:tcBorders>
            <w:vAlign w:val="center"/>
          </w:tcPr>
          <w:p w14:paraId="202355AF">
            <w:pPr>
              <w:adjustRightInd w:val="0"/>
              <w:snapToGrid w:val="0"/>
              <w:jc w:val="center"/>
              <w:rPr>
                <w:color w:val="auto"/>
                <w:szCs w:val="21"/>
              </w:rPr>
            </w:pPr>
            <w:r>
              <w:rPr>
                <w:color w:val="auto"/>
                <w:szCs w:val="21"/>
              </w:rPr>
              <w:t>/</w:t>
            </w:r>
          </w:p>
        </w:tc>
      </w:tr>
      <w:tr w14:paraId="72DE83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6" w:type="dxa"/>
            <w:vMerge w:val="continue"/>
            <w:vAlign w:val="center"/>
          </w:tcPr>
          <w:p w14:paraId="0C0546BE">
            <w:pPr>
              <w:adjustRightInd w:val="0"/>
              <w:snapToGrid w:val="0"/>
              <w:jc w:val="center"/>
              <w:rPr>
                <w:color w:val="auto"/>
                <w:szCs w:val="21"/>
              </w:rPr>
            </w:pPr>
          </w:p>
        </w:tc>
        <w:tc>
          <w:tcPr>
            <w:tcW w:w="1512" w:type="dxa"/>
            <w:gridSpan w:val="2"/>
            <w:vMerge w:val="restart"/>
            <w:tcBorders>
              <w:right w:val="single" w:color="000000" w:sz="6" w:space="0"/>
            </w:tcBorders>
            <w:vAlign w:val="center"/>
          </w:tcPr>
          <w:p w14:paraId="4B1853AB">
            <w:pPr>
              <w:jc w:val="center"/>
              <w:rPr>
                <w:color w:val="auto"/>
                <w:szCs w:val="21"/>
              </w:rPr>
            </w:pPr>
            <w:r>
              <w:rPr>
                <w:rFonts w:hint="eastAsia"/>
                <w:color w:val="auto"/>
                <w:szCs w:val="21"/>
              </w:rPr>
              <w:t>生产</w:t>
            </w:r>
            <w:r>
              <w:rPr>
                <w:color w:val="auto"/>
                <w:szCs w:val="21"/>
              </w:rPr>
              <w:t>活动</w:t>
            </w:r>
          </w:p>
        </w:tc>
        <w:tc>
          <w:tcPr>
            <w:tcW w:w="1341" w:type="dxa"/>
            <w:tcBorders>
              <w:left w:val="single" w:color="000000" w:sz="6" w:space="0"/>
              <w:bottom w:val="single" w:color="auto" w:sz="4" w:space="0"/>
              <w:right w:val="single" w:color="000000" w:sz="6" w:space="0"/>
            </w:tcBorders>
            <w:vAlign w:val="center"/>
          </w:tcPr>
          <w:p w14:paraId="01A7622A">
            <w:pPr>
              <w:jc w:val="center"/>
              <w:rPr>
                <w:color w:val="auto"/>
                <w:szCs w:val="21"/>
              </w:rPr>
            </w:pPr>
            <w:r>
              <w:rPr>
                <w:rFonts w:hint="eastAsia"/>
                <w:color w:val="auto"/>
                <w:szCs w:val="21"/>
              </w:rPr>
              <w:t>除尘器收尘</w:t>
            </w:r>
          </w:p>
        </w:tc>
        <w:tc>
          <w:tcPr>
            <w:tcW w:w="2268" w:type="dxa"/>
            <w:vMerge w:val="restart"/>
            <w:tcBorders>
              <w:left w:val="single" w:color="000000" w:sz="6" w:space="0"/>
              <w:right w:val="single" w:color="000000" w:sz="6" w:space="0"/>
            </w:tcBorders>
            <w:vAlign w:val="center"/>
          </w:tcPr>
          <w:p w14:paraId="34D7EA8B">
            <w:pPr>
              <w:jc w:val="center"/>
              <w:rPr>
                <w:color w:val="auto"/>
                <w:szCs w:val="21"/>
              </w:rPr>
            </w:pPr>
            <w:r>
              <w:rPr>
                <w:rFonts w:hint="eastAsia"/>
                <w:color w:val="auto"/>
                <w:szCs w:val="21"/>
              </w:rPr>
              <w:t>收集后回用于生产</w:t>
            </w:r>
          </w:p>
        </w:tc>
        <w:tc>
          <w:tcPr>
            <w:tcW w:w="2423" w:type="dxa"/>
            <w:vMerge w:val="restart"/>
            <w:tcBorders>
              <w:left w:val="single" w:color="000000" w:sz="6" w:space="0"/>
            </w:tcBorders>
            <w:vAlign w:val="center"/>
          </w:tcPr>
          <w:p w14:paraId="45212563">
            <w:pPr>
              <w:adjustRightInd w:val="0"/>
              <w:snapToGrid w:val="0"/>
              <w:jc w:val="center"/>
              <w:rPr>
                <w:color w:val="auto"/>
                <w:szCs w:val="21"/>
              </w:rPr>
            </w:pPr>
            <w:r>
              <w:rPr>
                <w:rFonts w:hint="eastAsia"/>
                <w:color w:val="auto"/>
                <w:szCs w:val="21"/>
              </w:rPr>
              <w:t>《一般工业固体废物贮存和填埋污染控制标准》（GB18599-2020）</w:t>
            </w:r>
          </w:p>
        </w:tc>
      </w:tr>
      <w:tr w14:paraId="03C43B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6" w:type="dxa"/>
            <w:vMerge w:val="continue"/>
            <w:vAlign w:val="center"/>
          </w:tcPr>
          <w:p w14:paraId="0FE92BAC">
            <w:pPr>
              <w:adjustRightInd w:val="0"/>
              <w:snapToGrid w:val="0"/>
              <w:jc w:val="center"/>
              <w:rPr>
                <w:color w:val="auto"/>
                <w:szCs w:val="21"/>
              </w:rPr>
            </w:pPr>
          </w:p>
        </w:tc>
        <w:tc>
          <w:tcPr>
            <w:tcW w:w="1512" w:type="dxa"/>
            <w:gridSpan w:val="2"/>
            <w:vMerge w:val="continue"/>
            <w:tcBorders>
              <w:right w:val="single" w:color="000000" w:sz="6" w:space="0"/>
            </w:tcBorders>
            <w:vAlign w:val="center"/>
          </w:tcPr>
          <w:p w14:paraId="675B6E4E">
            <w:pPr>
              <w:jc w:val="center"/>
              <w:rPr>
                <w:color w:val="auto"/>
                <w:szCs w:val="21"/>
              </w:rPr>
            </w:pPr>
          </w:p>
        </w:tc>
        <w:tc>
          <w:tcPr>
            <w:tcW w:w="1341" w:type="dxa"/>
            <w:tcBorders>
              <w:left w:val="single" w:color="000000" w:sz="6" w:space="0"/>
              <w:bottom w:val="single" w:color="auto" w:sz="4" w:space="0"/>
              <w:right w:val="single" w:color="000000" w:sz="6" w:space="0"/>
            </w:tcBorders>
            <w:vAlign w:val="center"/>
          </w:tcPr>
          <w:p w14:paraId="667A564F">
            <w:pPr>
              <w:jc w:val="center"/>
              <w:rPr>
                <w:color w:val="auto"/>
                <w:szCs w:val="21"/>
              </w:rPr>
            </w:pPr>
            <w:r>
              <w:rPr>
                <w:rFonts w:hint="eastAsia"/>
                <w:color w:val="auto"/>
                <w:szCs w:val="21"/>
              </w:rPr>
              <w:t>不合格品</w:t>
            </w:r>
          </w:p>
        </w:tc>
        <w:tc>
          <w:tcPr>
            <w:tcW w:w="2268" w:type="dxa"/>
            <w:vMerge w:val="continue"/>
            <w:tcBorders>
              <w:left w:val="single" w:color="000000" w:sz="6" w:space="0"/>
              <w:right w:val="single" w:color="000000" w:sz="6" w:space="0"/>
            </w:tcBorders>
            <w:vAlign w:val="center"/>
          </w:tcPr>
          <w:p w14:paraId="2B4E605D">
            <w:pPr>
              <w:jc w:val="center"/>
              <w:rPr>
                <w:color w:val="auto"/>
                <w:szCs w:val="21"/>
              </w:rPr>
            </w:pPr>
          </w:p>
        </w:tc>
        <w:tc>
          <w:tcPr>
            <w:tcW w:w="2423" w:type="dxa"/>
            <w:vMerge w:val="continue"/>
            <w:tcBorders>
              <w:left w:val="single" w:color="000000" w:sz="6" w:space="0"/>
            </w:tcBorders>
            <w:vAlign w:val="center"/>
          </w:tcPr>
          <w:p w14:paraId="6C348C5D">
            <w:pPr>
              <w:adjustRightInd w:val="0"/>
              <w:snapToGrid w:val="0"/>
              <w:jc w:val="center"/>
              <w:rPr>
                <w:color w:val="auto"/>
                <w:szCs w:val="21"/>
              </w:rPr>
            </w:pPr>
          </w:p>
        </w:tc>
      </w:tr>
      <w:tr w14:paraId="1DAED4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6" w:type="dxa"/>
            <w:vMerge w:val="continue"/>
            <w:vAlign w:val="center"/>
          </w:tcPr>
          <w:p w14:paraId="36B380F3">
            <w:pPr>
              <w:adjustRightInd w:val="0"/>
              <w:snapToGrid w:val="0"/>
              <w:jc w:val="center"/>
              <w:rPr>
                <w:color w:val="auto"/>
                <w:szCs w:val="21"/>
              </w:rPr>
            </w:pPr>
          </w:p>
        </w:tc>
        <w:tc>
          <w:tcPr>
            <w:tcW w:w="1512" w:type="dxa"/>
            <w:gridSpan w:val="2"/>
            <w:vMerge w:val="continue"/>
            <w:tcBorders>
              <w:right w:val="single" w:color="000000" w:sz="6" w:space="0"/>
            </w:tcBorders>
            <w:vAlign w:val="center"/>
          </w:tcPr>
          <w:p w14:paraId="7DD4278A">
            <w:pPr>
              <w:jc w:val="center"/>
              <w:rPr>
                <w:color w:val="auto"/>
                <w:szCs w:val="21"/>
              </w:rPr>
            </w:pPr>
          </w:p>
        </w:tc>
        <w:tc>
          <w:tcPr>
            <w:tcW w:w="1341" w:type="dxa"/>
            <w:tcBorders>
              <w:left w:val="single" w:color="000000" w:sz="6" w:space="0"/>
              <w:bottom w:val="single" w:color="auto" w:sz="4" w:space="0"/>
              <w:right w:val="single" w:color="000000" w:sz="6" w:space="0"/>
            </w:tcBorders>
            <w:vAlign w:val="center"/>
          </w:tcPr>
          <w:p w14:paraId="27FF479D">
            <w:pPr>
              <w:jc w:val="center"/>
              <w:rPr>
                <w:color w:val="auto"/>
                <w:szCs w:val="21"/>
              </w:rPr>
            </w:pPr>
            <w:r>
              <w:rPr>
                <w:rFonts w:hint="eastAsia"/>
                <w:color w:val="auto"/>
                <w:szCs w:val="21"/>
              </w:rPr>
              <w:t>废包装材料</w:t>
            </w:r>
          </w:p>
        </w:tc>
        <w:tc>
          <w:tcPr>
            <w:tcW w:w="2268" w:type="dxa"/>
            <w:tcBorders>
              <w:left w:val="single" w:color="000000" w:sz="6" w:space="0"/>
              <w:right w:val="single" w:color="000000" w:sz="6" w:space="0"/>
            </w:tcBorders>
            <w:vAlign w:val="center"/>
          </w:tcPr>
          <w:p w14:paraId="48E8B5F3">
            <w:pPr>
              <w:jc w:val="center"/>
              <w:rPr>
                <w:color w:val="auto"/>
                <w:szCs w:val="21"/>
              </w:rPr>
            </w:pPr>
            <w:r>
              <w:rPr>
                <w:rFonts w:hint="eastAsia"/>
                <w:color w:val="auto"/>
                <w:szCs w:val="21"/>
              </w:rPr>
              <w:t>统一收集后外售处置</w:t>
            </w:r>
          </w:p>
        </w:tc>
        <w:tc>
          <w:tcPr>
            <w:tcW w:w="2423" w:type="dxa"/>
            <w:vMerge w:val="continue"/>
            <w:tcBorders>
              <w:left w:val="single" w:color="000000" w:sz="6" w:space="0"/>
            </w:tcBorders>
            <w:vAlign w:val="center"/>
          </w:tcPr>
          <w:p w14:paraId="2B0E33AF">
            <w:pPr>
              <w:adjustRightInd w:val="0"/>
              <w:snapToGrid w:val="0"/>
              <w:jc w:val="center"/>
              <w:rPr>
                <w:color w:val="auto"/>
                <w:szCs w:val="21"/>
              </w:rPr>
            </w:pPr>
          </w:p>
        </w:tc>
      </w:tr>
      <w:tr w14:paraId="62A832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6" w:type="dxa"/>
            <w:vMerge w:val="continue"/>
            <w:vAlign w:val="center"/>
          </w:tcPr>
          <w:p w14:paraId="05E68272">
            <w:pPr>
              <w:adjustRightInd w:val="0"/>
              <w:snapToGrid w:val="0"/>
              <w:jc w:val="center"/>
              <w:rPr>
                <w:color w:val="auto"/>
                <w:szCs w:val="21"/>
              </w:rPr>
            </w:pPr>
          </w:p>
        </w:tc>
        <w:tc>
          <w:tcPr>
            <w:tcW w:w="1512" w:type="dxa"/>
            <w:gridSpan w:val="2"/>
            <w:vMerge w:val="continue"/>
            <w:tcBorders>
              <w:right w:val="single" w:color="000000" w:sz="6" w:space="0"/>
            </w:tcBorders>
            <w:vAlign w:val="center"/>
          </w:tcPr>
          <w:p w14:paraId="0C9EE361">
            <w:pPr>
              <w:jc w:val="center"/>
              <w:rPr>
                <w:color w:val="auto"/>
                <w:szCs w:val="21"/>
              </w:rPr>
            </w:pPr>
          </w:p>
        </w:tc>
        <w:tc>
          <w:tcPr>
            <w:tcW w:w="1341" w:type="dxa"/>
            <w:tcBorders>
              <w:left w:val="single" w:color="000000" w:sz="6" w:space="0"/>
              <w:bottom w:val="single" w:color="auto" w:sz="4" w:space="0"/>
              <w:right w:val="single" w:color="000000" w:sz="6" w:space="0"/>
            </w:tcBorders>
            <w:vAlign w:val="center"/>
          </w:tcPr>
          <w:p w14:paraId="152953F0">
            <w:pPr>
              <w:jc w:val="center"/>
              <w:rPr>
                <w:color w:val="auto"/>
                <w:szCs w:val="21"/>
              </w:rPr>
            </w:pPr>
            <w:r>
              <w:rPr>
                <w:rFonts w:hint="eastAsia"/>
                <w:color w:val="auto"/>
                <w:szCs w:val="21"/>
              </w:rPr>
              <w:t>废活性炭</w:t>
            </w:r>
          </w:p>
        </w:tc>
        <w:tc>
          <w:tcPr>
            <w:tcW w:w="2268" w:type="dxa"/>
            <w:vMerge w:val="restart"/>
            <w:tcBorders>
              <w:left w:val="single" w:color="000000" w:sz="6" w:space="0"/>
              <w:right w:val="single" w:color="000000" w:sz="6" w:space="0"/>
            </w:tcBorders>
            <w:vAlign w:val="center"/>
          </w:tcPr>
          <w:p w14:paraId="0BC5FE03">
            <w:pPr>
              <w:jc w:val="center"/>
              <w:rPr>
                <w:color w:val="auto"/>
                <w:szCs w:val="21"/>
              </w:rPr>
            </w:pPr>
            <w:r>
              <w:rPr>
                <w:rFonts w:hint="eastAsia"/>
                <w:color w:val="auto"/>
                <w:szCs w:val="21"/>
              </w:rPr>
              <w:t>分类收集暂存，定期委托有资质单位处置</w:t>
            </w:r>
          </w:p>
        </w:tc>
        <w:tc>
          <w:tcPr>
            <w:tcW w:w="2423" w:type="dxa"/>
            <w:vMerge w:val="restart"/>
            <w:tcBorders>
              <w:left w:val="single" w:color="000000" w:sz="6" w:space="0"/>
            </w:tcBorders>
            <w:vAlign w:val="center"/>
          </w:tcPr>
          <w:p w14:paraId="588B7209">
            <w:pPr>
              <w:adjustRightInd w:val="0"/>
              <w:snapToGrid w:val="0"/>
              <w:jc w:val="center"/>
              <w:rPr>
                <w:color w:val="auto"/>
                <w:szCs w:val="21"/>
              </w:rPr>
            </w:pPr>
            <w:r>
              <w:rPr>
                <w:color w:val="auto"/>
                <w:szCs w:val="21"/>
              </w:rPr>
              <w:t>《危险废物贮存污染控制标准》</w:t>
            </w:r>
            <w:r>
              <w:rPr>
                <w:rFonts w:hint="eastAsia"/>
                <w:color w:val="auto"/>
                <w:szCs w:val="21"/>
              </w:rPr>
              <w:t>（GB18597-2023）</w:t>
            </w:r>
          </w:p>
        </w:tc>
      </w:tr>
      <w:tr w14:paraId="07D01D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6" w:type="dxa"/>
            <w:vMerge w:val="continue"/>
            <w:vAlign w:val="center"/>
          </w:tcPr>
          <w:p w14:paraId="142426D0">
            <w:pPr>
              <w:adjustRightInd w:val="0"/>
              <w:snapToGrid w:val="0"/>
              <w:jc w:val="center"/>
              <w:rPr>
                <w:color w:val="auto"/>
                <w:szCs w:val="21"/>
              </w:rPr>
            </w:pPr>
          </w:p>
        </w:tc>
        <w:tc>
          <w:tcPr>
            <w:tcW w:w="1512" w:type="dxa"/>
            <w:gridSpan w:val="2"/>
            <w:vMerge w:val="restart"/>
            <w:tcBorders>
              <w:right w:val="single" w:color="000000" w:sz="6" w:space="0"/>
            </w:tcBorders>
            <w:vAlign w:val="center"/>
          </w:tcPr>
          <w:p w14:paraId="3637F89C">
            <w:pPr>
              <w:jc w:val="center"/>
              <w:rPr>
                <w:color w:val="auto"/>
                <w:szCs w:val="21"/>
              </w:rPr>
            </w:pPr>
            <w:r>
              <w:rPr>
                <w:color w:val="auto"/>
                <w:szCs w:val="21"/>
              </w:rPr>
              <w:t>设备维护</w:t>
            </w:r>
          </w:p>
        </w:tc>
        <w:tc>
          <w:tcPr>
            <w:tcW w:w="1341" w:type="dxa"/>
            <w:tcBorders>
              <w:left w:val="single" w:color="000000" w:sz="6" w:space="0"/>
              <w:bottom w:val="single" w:color="auto" w:sz="4" w:space="0"/>
              <w:right w:val="single" w:color="000000" w:sz="6" w:space="0"/>
            </w:tcBorders>
            <w:vAlign w:val="center"/>
          </w:tcPr>
          <w:p w14:paraId="0689B7CC">
            <w:pPr>
              <w:jc w:val="center"/>
              <w:rPr>
                <w:color w:val="auto"/>
                <w:szCs w:val="21"/>
              </w:rPr>
            </w:pPr>
            <w:r>
              <w:rPr>
                <w:rFonts w:hint="eastAsia"/>
                <w:color w:val="auto"/>
                <w:szCs w:val="21"/>
              </w:rPr>
              <w:t>废机油</w:t>
            </w:r>
          </w:p>
        </w:tc>
        <w:tc>
          <w:tcPr>
            <w:tcW w:w="2268" w:type="dxa"/>
            <w:vMerge w:val="continue"/>
            <w:tcBorders>
              <w:left w:val="single" w:color="000000" w:sz="6" w:space="0"/>
              <w:right w:val="single" w:color="000000" w:sz="6" w:space="0"/>
            </w:tcBorders>
            <w:vAlign w:val="center"/>
          </w:tcPr>
          <w:p w14:paraId="7AEEA878">
            <w:pPr>
              <w:jc w:val="center"/>
              <w:rPr>
                <w:color w:val="auto"/>
                <w:szCs w:val="21"/>
              </w:rPr>
            </w:pPr>
          </w:p>
        </w:tc>
        <w:tc>
          <w:tcPr>
            <w:tcW w:w="2423" w:type="dxa"/>
            <w:vMerge w:val="continue"/>
            <w:tcBorders>
              <w:left w:val="single" w:color="000000" w:sz="6" w:space="0"/>
            </w:tcBorders>
            <w:vAlign w:val="center"/>
          </w:tcPr>
          <w:p w14:paraId="0019494C">
            <w:pPr>
              <w:adjustRightInd w:val="0"/>
              <w:snapToGrid w:val="0"/>
              <w:jc w:val="center"/>
              <w:rPr>
                <w:color w:val="auto"/>
                <w:szCs w:val="21"/>
              </w:rPr>
            </w:pPr>
          </w:p>
        </w:tc>
      </w:tr>
      <w:tr w14:paraId="6AB477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6" w:type="dxa"/>
            <w:vMerge w:val="continue"/>
            <w:vAlign w:val="center"/>
          </w:tcPr>
          <w:p w14:paraId="6B8B250F">
            <w:pPr>
              <w:adjustRightInd w:val="0"/>
              <w:snapToGrid w:val="0"/>
              <w:jc w:val="center"/>
              <w:rPr>
                <w:color w:val="auto"/>
                <w:szCs w:val="21"/>
              </w:rPr>
            </w:pPr>
          </w:p>
        </w:tc>
        <w:tc>
          <w:tcPr>
            <w:tcW w:w="1512" w:type="dxa"/>
            <w:gridSpan w:val="2"/>
            <w:vMerge w:val="continue"/>
            <w:tcBorders>
              <w:right w:val="single" w:color="000000" w:sz="6" w:space="0"/>
            </w:tcBorders>
            <w:vAlign w:val="center"/>
          </w:tcPr>
          <w:p w14:paraId="65162252">
            <w:pPr>
              <w:jc w:val="center"/>
              <w:rPr>
                <w:color w:val="auto"/>
                <w:szCs w:val="21"/>
              </w:rPr>
            </w:pPr>
          </w:p>
        </w:tc>
        <w:tc>
          <w:tcPr>
            <w:tcW w:w="1341" w:type="dxa"/>
            <w:tcBorders>
              <w:left w:val="single" w:color="000000" w:sz="6" w:space="0"/>
              <w:bottom w:val="single" w:color="auto" w:sz="4" w:space="0"/>
              <w:right w:val="single" w:color="000000" w:sz="6" w:space="0"/>
            </w:tcBorders>
            <w:vAlign w:val="center"/>
          </w:tcPr>
          <w:p w14:paraId="14FDAFD3">
            <w:pPr>
              <w:jc w:val="center"/>
              <w:rPr>
                <w:color w:val="auto"/>
                <w:szCs w:val="21"/>
              </w:rPr>
            </w:pPr>
            <w:r>
              <w:rPr>
                <w:rFonts w:hint="eastAsia"/>
                <w:color w:val="auto"/>
                <w:szCs w:val="21"/>
              </w:rPr>
              <w:t>废油桶</w:t>
            </w:r>
          </w:p>
        </w:tc>
        <w:tc>
          <w:tcPr>
            <w:tcW w:w="2268" w:type="dxa"/>
            <w:vMerge w:val="continue"/>
            <w:tcBorders>
              <w:left w:val="single" w:color="000000" w:sz="6" w:space="0"/>
              <w:right w:val="single" w:color="000000" w:sz="6" w:space="0"/>
            </w:tcBorders>
            <w:vAlign w:val="center"/>
          </w:tcPr>
          <w:p w14:paraId="5775B111">
            <w:pPr>
              <w:jc w:val="center"/>
              <w:rPr>
                <w:color w:val="auto"/>
                <w:szCs w:val="21"/>
              </w:rPr>
            </w:pPr>
          </w:p>
        </w:tc>
        <w:tc>
          <w:tcPr>
            <w:tcW w:w="2423" w:type="dxa"/>
            <w:vMerge w:val="continue"/>
            <w:tcBorders>
              <w:left w:val="single" w:color="000000" w:sz="6" w:space="0"/>
            </w:tcBorders>
            <w:vAlign w:val="center"/>
          </w:tcPr>
          <w:p w14:paraId="67BF3E34">
            <w:pPr>
              <w:adjustRightInd w:val="0"/>
              <w:snapToGrid w:val="0"/>
              <w:jc w:val="center"/>
              <w:rPr>
                <w:color w:val="auto"/>
                <w:szCs w:val="21"/>
              </w:rPr>
            </w:pPr>
          </w:p>
        </w:tc>
      </w:tr>
      <w:tr w14:paraId="2B1519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6" w:type="dxa"/>
            <w:vMerge w:val="continue"/>
            <w:vAlign w:val="center"/>
          </w:tcPr>
          <w:p w14:paraId="321A9334">
            <w:pPr>
              <w:adjustRightInd w:val="0"/>
              <w:snapToGrid w:val="0"/>
              <w:jc w:val="center"/>
              <w:rPr>
                <w:color w:val="auto"/>
                <w:szCs w:val="21"/>
              </w:rPr>
            </w:pPr>
          </w:p>
        </w:tc>
        <w:tc>
          <w:tcPr>
            <w:tcW w:w="1512" w:type="dxa"/>
            <w:gridSpan w:val="2"/>
            <w:vMerge w:val="continue"/>
            <w:tcBorders>
              <w:right w:val="single" w:color="000000" w:sz="6" w:space="0"/>
            </w:tcBorders>
            <w:vAlign w:val="center"/>
          </w:tcPr>
          <w:p w14:paraId="0741A4EB">
            <w:pPr>
              <w:jc w:val="center"/>
              <w:rPr>
                <w:color w:val="auto"/>
                <w:szCs w:val="21"/>
              </w:rPr>
            </w:pPr>
          </w:p>
        </w:tc>
        <w:tc>
          <w:tcPr>
            <w:tcW w:w="1341" w:type="dxa"/>
            <w:tcBorders>
              <w:left w:val="single" w:color="000000" w:sz="6" w:space="0"/>
              <w:bottom w:val="single" w:color="auto" w:sz="4" w:space="0"/>
              <w:right w:val="single" w:color="000000" w:sz="6" w:space="0"/>
            </w:tcBorders>
            <w:vAlign w:val="center"/>
          </w:tcPr>
          <w:p w14:paraId="479B10FE">
            <w:pPr>
              <w:jc w:val="center"/>
              <w:rPr>
                <w:color w:val="auto"/>
                <w:szCs w:val="21"/>
              </w:rPr>
            </w:pPr>
            <w:r>
              <w:rPr>
                <w:rFonts w:hint="eastAsia"/>
                <w:color w:val="auto"/>
                <w:szCs w:val="21"/>
              </w:rPr>
              <w:t>废抹布</w:t>
            </w:r>
          </w:p>
        </w:tc>
        <w:tc>
          <w:tcPr>
            <w:tcW w:w="2268" w:type="dxa"/>
            <w:vMerge w:val="continue"/>
            <w:tcBorders>
              <w:left w:val="single" w:color="000000" w:sz="6" w:space="0"/>
              <w:bottom w:val="single" w:color="auto" w:sz="4" w:space="0"/>
              <w:right w:val="single" w:color="000000" w:sz="6" w:space="0"/>
            </w:tcBorders>
            <w:vAlign w:val="center"/>
          </w:tcPr>
          <w:p w14:paraId="1C7F9D8C">
            <w:pPr>
              <w:jc w:val="center"/>
              <w:rPr>
                <w:color w:val="auto"/>
                <w:szCs w:val="21"/>
              </w:rPr>
            </w:pPr>
          </w:p>
        </w:tc>
        <w:tc>
          <w:tcPr>
            <w:tcW w:w="2423" w:type="dxa"/>
            <w:vMerge w:val="continue"/>
            <w:tcBorders>
              <w:left w:val="single" w:color="000000" w:sz="6" w:space="0"/>
            </w:tcBorders>
            <w:vAlign w:val="center"/>
          </w:tcPr>
          <w:p w14:paraId="5841F195">
            <w:pPr>
              <w:adjustRightInd w:val="0"/>
              <w:snapToGrid w:val="0"/>
              <w:jc w:val="center"/>
              <w:rPr>
                <w:color w:val="auto"/>
                <w:szCs w:val="21"/>
              </w:rPr>
            </w:pPr>
          </w:p>
        </w:tc>
      </w:tr>
      <w:tr w14:paraId="360836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56" w:type="dxa"/>
            <w:vAlign w:val="center"/>
          </w:tcPr>
          <w:p w14:paraId="78977FCE">
            <w:pPr>
              <w:adjustRightInd w:val="0"/>
              <w:snapToGrid w:val="0"/>
              <w:jc w:val="center"/>
              <w:rPr>
                <w:color w:val="auto"/>
                <w:szCs w:val="21"/>
              </w:rPr>
            </w:pPr>
            <w:r>
              <w:rPr>
                <w:color w:val="auto"/>
                <w:szCs w:val="21"/>
              </w:rPr>
              <w:t>土壤及地下水污染防治措施</w:t>
            </w:r>
          </w:p>
        </w:tc>
        <w:tc>
          <w:tcPr>
            <w:tcW w:w="7544" w:type="dxa"/>
            <w:gridSpan w:val="5"/>
            <w:vAlign w:val="center"/>
          </w:tcPr>
          <w:p w14:paraId="28A7276B">
            <w:pPr>
              <w:adjustRightInd w:val="0"/>
              <w:snapToGrid w:val="0"/>
              <w:spacing w:line="360" w:lineRule="auto"/>
              <w:jc w:val="center"/>
              <w:rPr>
                <w:color w:val="auto"/>
                <w:szCs w:val="21"/>
              </w:rPr>
            </w:pPr>
            <w:r>
              <w:rPr>
                <w:rFonts w:hint="eastAsia"/>
                <w:color w:val="auto"/>
                <w:szCs w:val="21"/>
              </w:rPr>
              <w:t>/</w:t>
            </w:r>
          </w:p>
        </w:tc>
      </w:tr>
      <w:tr w14:paraId="61B0D9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6" w:type="dxa"/>
            <w:vAlign w:val="center"/>
          </w:tcPr>
          <w:p w14:paraId="1883AE72">
            <w:pPr>
              <w:adjustRightInd w:val="0"/>
              <w:snapToGrid w:val="0"/>
              <w:jc w:val="center"/>
              <w:rPr>
                <w:color w:val="auto"/>
                <w:szCs w:val="21"/>
              </w:rPr>
            </w:pPr>
            <w:r>
              <w:rPr>
                <w:color w:val="auto"/>
                <w:szCs w:val="21"/>
              </w:rPr>
              <w:t>生态保护措施</w:t>
            </w:r>
          </w:p>
        </w:tc>
        <w:tc>
          <w:tcPr>
            <w:tcW w:w="7544" w:type="dxa"/>
            <w:gridSpan w:val="5"/>
            <w:vAlign w:val="center"/>
          </w:tcPr>
          <w:p w14:paraId="00664BBE">
            <w:pPr>
              <w:adjustRightInd w:val="0"/>
              <w:snapToGrid w:val="0"/>
              <w:jc w:val="center"/>
              <w:rPr>
                <w:color w:val="auto"/>
                <w:szCs w:val="21"/>
              </w:rPr>
            </w:pPr>
            <w:r>
              <w:rPr>
                <w:color w:val="auto"/>
                <w:szCs w:val="21"/>
              </w:rPr>
              <w:t>/</w:t>
            </w:r>
          </w:p>
        </w:tc>
      </w:tr>
      <w:tr w14:paraId="5CEB7B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1256" w:type="dxa"/>
            <w:vAlign w:val="center"/>
          </w:tcPr>
          <w:p w14:paraId="13B0B055">
            <w:pPr>
              <w:adjustRightInd w:val="0"/>
              <w:snapToGrid w:val="0"/>
              <w:jc w:val="center"/>
              <w:rPr>
                <w:color w:val="auto"/>
                <w:spacing w:val="-8"/>
                <w:szCs w:val="21"/>
              </w:rPr>
            </w:pPr>
            <w:r>
              <w:rPr>
                <w:color w:val="auto"/>
                <w:spacing w:val="-8"/>
                <w:szCs w:val="21"/>
              </w:rPr>
              <w:t>环境风险</w:t>
            </w:r>
          </w:p>
          <w:p w14:paraId="7AACC163">
            <w:pPr>
              <w:adjustRightInd w:val="0"/>
              <w:snapToGrid w:val="0"/>
              <w:jc w:val="center"/>
              <w:rPr>
                <w:color w:val="auto"/>
                <w:spacing w:val="-8"/>
                <w:szCs w:val="21"/>
              </w:rPr>
            </w:pPr>
            <w:r>
              <w:rPr>
                <w:color w:val="auto"/>
                <w:spacing w:val="-8"/>
                <w:szCs w:val="21"/>
              </w:rPr>
              <w:t>防范措施</w:t>
            </w:r>
          </w:p>
        </w:tc>
        <w:tc>
          <w:tcPr>
            <w:tcW w:w="7544" w:type="dxa"/>
            <w:gridSpan w:val="5"/>
            <w:vAlign w:val="center"/>
          </w:tcPr>
          <w:p w14:paraId="39005C28">
            <w:pPr>
              <w:adjustRightInd w:val="0"/>
              <w:snapToGrid w:val="0"/>
              <w:spacing w:before="120" w:beforeLines="50" w:line="360" w:lineRule="auto"/>
              <w:ind w:firstLine="420" w:firstLineChars="200"/>
              <w:rPr>
                <w:color w:val="auto"/>
                <w:szCs w:val="21"/>
              </w:rPr>
            </w:pPr>
            <w:r>
              <w:rPr>
                <w:rFonts w:hint="eastAsia"/>
                <w:color w:val="auto"/>
                <w:szCs w:val="21"/>
              </w:rPr>
              <w:t>应落实本报告提出的上述环境风险防范措施</w:t>
            </w:r>
            <w:r>
              <w:rPr>
                <w:rFonts w:hint="eastAsia"/>
                <w:color w:val="auto"/>
                <w:szCs w:val="21"/>
                <w:lang w:val="en-GB"/>
              </w:rPr>
              <w:t>；</w:t>
            </w:r>
            <w:r>
              <w:rPr>
                <w:rFonts w:hint="eastAsia"/>
                <w:color w:val="auto"/>
                <w:szCs w:val="21"/>
              </w:rPr>
              <w:t>编制突发环境事件应急预案并</w:t>
            </w:r>
            <w:r>
              <w:rPr>
                <w:rFonts w:hint="eastAsia"/>
                <w:color w:val="auto"/>
                <w:szCs w:val="21"/>
                <w:lang w:val="en-GB"/>
              </w:rPr>
              <w:t>进行应急演练等。</w:t>
            </w:r>
          </w:p>
        </w:tc>
      </w:tr>
      <w:tr w14:paraId="37CED0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256" w:type="dxa"/>
            <w:vAlign w:val="center"/>
          </w:tcPr>
          <w:p w14:paraId="11787BAB">
            <w:pPr>
              <w:adjustRightInd w:val="0"/>
              <w:snapToGrid w:val="0"/>
              <w:jc w:val="center"/>
              <w:rPr>
                <w:color w:val="auto"/>
                <w:spacing w:val="-8"/>
                <w:szCs w:val="21"/>
              </w:rPr>
            </w:pPr>
            <w:r>
              <w:rPr>
                <w:color w:val="auto"/>
                <w:spacing w:val="-8"/>
                <w:szCs w:val="21"/>
              </w:rPr>
              <w:t>其他环境管理要求</w:t>
            </w:r>
          </w:p>
        </w:tc>
        <w:tc>
          <w:tcPr>
            <w:tcW w:w="7544" w:type="dxa"/>
            <w:gridSpan w:val="5"/>
            <w:vAlign w:val="center"/>
          </w:tcPr>
          <w:p w14:paraId="48344567">
            <w:pPr>
              <w:spacing w:before="120" w:beforeLines="50" w:line="360" w:lineRule="auto"/>
              <w:ind w:firstLine="420" w:firstLineChars="200"/>
              <w:rPr>
                <w:color w:val="auto"/>
                <w:szCs w:val="21"/>
              </w:rPr>
            </w:pPr>
            <w:r>
              <w:rPr>
                <w:rFonts w:hint="eastAsia"/>
                <w:color w:val="auto"/>
                <w:szCs w:val="21"/>
              </w:rPr>
              <w:t>1、</w:t>
            </w:r>
            <w:r>
              <w:rPr>
                <w:color w:val="auto"/>
                <w:szCs w:val="21"/>
              </w:rPr>
              <w:t>建立环保档案，</w:t>
            </w:r>
            <w:r>
              <w:rPr>
                <w:rFonts w:hint="eastAsia"/>
                <w:color w:val="auto"/>
                <w:szCs w:val="21"/>
              </w:rPr>
              <w:t>设置厂内人员（可兼职）进行</w:t>
            </w:r>
            <w:r>
              <w:rPr>
                <w:color w:val="auto"/>
                <w:szCs w:val="21"/>
              </w:rPr>
              <w:t>环境管理</w:t>
            </w:r>
            <w:r>
              <w:rPr>
                <w:rFonts w:hint="eastAsia"/>
                <w:color w:val="auto"/>
                <w:szCs w:val="21"/>
              </w:rPr>
              <w:t>，</w:t>
            </w:r>
            <w:r>
              <w:rPr>
                <w:color w:val="auto"/>
                <w:szCs w:val="21"/>
              </w:rPr>
              <w:t>具体内容如下：</w:t>
            </w:r>
          </w:p>
          <w:p w14:paraId="1E11A7FE">
            <w:pPr>
              <w:spacing w:line="360" w:lineRule="auto"/>
              <w:ind w:firstLine="420" w:firstLineChars="200"/>
              <w:rPr>
                <w:color w:val="auto"/>
                <w:szCs w:val="21"/>
              </w:rPr>
            </w:pPr>
            <w:r>
              <w:rPr>
                <w:rFonts w:hint="eastAsia"/>
                <w:color w:val="auto"/>
                <w:szCs w:val="21"/>
              </w:rPr>
              <w:t>①“三同时”制度：</w:t>
            </w:r>
          </w:p>
          <w:p w14:paraId="310F8970">
            <w:pPr>
              <w:spacing w:line="360" w:lineRule="auto"/>
              <w:ind w:firstLine="420" w:firstLineChars="200"/>
              <w:rPr>
                <w:color w:val="auto"/>
                <w:szCs w:val="21"/>
              </w:rPr>
            </w:pPr>
            <w:r>
              <w:rPr>
                <w:rFonts w:hint="eastAsia"/>
                <w:color w:val="auto"/>
                <w:szCs w:val="21"/>
              </w:rPr>
              <w:t>按照设计和建设单位认真落实废气、污（废）水、固废、噪声等防治措施。</w:t>
            </w:r>
          </w:p>
          <w:p w14:paraId="4EE92B1C">
            <w:pPr>
              <w:spacing w:line="360" w:lineRule="auto"/>
              <w:ind w:firstLine="420" w:firstLineChars="200"/>
              <w:rPr>
                <w:color w:val="auto"/>
                <w:szCs w:val="21"/>
              </w:rPr>
            </w:pPr>
            <w:r>
              <w:rPr>
                <w:rFonts w:hint="eastAsia"/>
                <w:color w:val="auto"/>
                <w:szCs w:val="21"/>
              </w:rPr>
              <w:t>②环境管理制度：</w:t>
            </w:r>
          </w:p>
          <w:p w14:paraId="2C5EBBB8">
            <w:pPr>
              <w:spacing w:line="360" w:lineRule="auto"/>
              <w:ind w:firstLine="420" w:firstLineChars="200"/>
              <w:rPr>
                <w:color w:val="auto"/>
                <w:szCs w:val="21"/>
              </w:rPr>
            </w:pPr>
            <w:r>
              <w:rPr>
                <w:rFonts w:hint="eastAsia"/>
                <w:color w:val="auto"/>
                <w:szCs w:val="21"/>
              </w:rPr>
              <w:t>加强环保设施的管理，落实废气、固废等的治理。建立岗位责任制和工作台账制度，对污染防治情况进行定时监测，及时掌握污染治理设施的运行情况，做好各项污染物的达标排放工作。</w:t>
            </w:r>
          </w:p>
          <w:p w14:paraId="7CA443B7">
            <w:pPr>
              <w:spacing w:line="360" w:lineRule="auto"/>
              <w:ind w:firstLine="420" w:firstLineChars="200"/>
              <w:rPr>
                <w:color w:val="auto"/>
                <w:szCs w:val="21"/>
              </w:rPr>
            </w:pPr>
            <w:r>
              <w:rPr>
                <w:rFonts w:hint="eastAsia"/>
                <w:color w:val="auto"/>
                <w:szCs w:val="21"/>
              </w:rPr>
              <w:t>③排污许可制度：</w:t>
            </w:r>
          </w:p>
          <w:p w14:paraId="702F6F2E">
            <w:pPr>
              <w:spacing w:line="360" w:lineRule="auto"/>
              <w:ind w:firstLine="420" w:firstLineChars="200"/>
              <w:rPr>
                <w:color w:val="auto"/>
                <w:szCs w:val="21"/>
              </w:rPr>
            </w:pPr>
            <w:r>
              <w:rPr>
                <w:rFonts w:hint="eastAsia"/>
                <w:color w:val="auto"/>
                <w:szCs w:val="21"/>
              </w:rPr>
              <w:t>根据《固定污染源排污许可分类管理名录（2019年版）》要求，建设单位应及时完成排污许可手续，合法排污。</w:t>
            </w:r>
          </w:p>
          <w:p w14:paraId="4833C928">
            <w:pPr>
              <w:spacing w:line="360" w:lineRule="auto"/>
              <w:ind w:firstLine="420" w:firstLineChars="200"/>
              <w:rPr>
                <w:color w:val="auto"/>
                <w:szCs w:val="21"/>
              </w:rPr>
            </w:pPr>
            <w:r>
              <w:rPr>
                <w:rFonts w:hint="eastAsia"/>
                <w:color w:val="auto"/>
                <w:szCs w:val="21"/>
              </w:rPr>
              <w:t>④环境监测：</w:t>
            </w:r>
          </w:p>
          <w:p w14:paraId="41685219">
            <w:pPr>
              <w:spacing w:line="360" w:lineRule="auto"/>
              <w:ind w:firstLine="420" w:firstLineChars="200"/>
              <w:rPr>
                <w:color w:val="auto"/>
                <w:szCs w:val="21"/>
              </w:rPr>
            </w:pPr>
            <w:r>
              <w:rPr>
                <w:rFonts w:hint="eastAsia"/>
                <w:color w:val="auto"/>
                <w:szCs w:val="21"/>
              </w:rPr>
              <w:t>按照监测计划的频次和要求进行监测，并保留监测原始记录，每次数据应及时由专人整理、统计，如有异常，立即向上级有关部门通报，并做好监测资料的归档、备查工作，建议建设单位定期将监测数据上墙公示，接受公众监督。</w:t>
            </w:r>
          </w:p>
          <w:p w14:paraId="5271EC10">
            <w:pPr>
              <w:spacing w:line="360" w:lineRule="auto"/>
              <w:ind w:firstLine="420" w:firstLineChars="200"/>
              <w:rPr>
                <w:color w:val="auto"/>
                <w:szCs w:val="21"/>
              </w:rPr>
            </w:pPr>
            <w:r>
              <w:rPr>
                <w:rFonts w:hint="eastAsia"/>
                <w:color w:val="auto"/>
                <w:szCs w:val="21"/>
              </w:rPr>
              <w:t>⑤竣工验收</w:t>
            </w:r>
          </w:p>
          <w:p w14:paraId="7F249F79">
            <w:pPr>
              <w:spacing w:line="360" w:lineRule="auto"/>
              <w:ind w:firstLine="420" w:firstLineChars="200"/>
              <w:rPr>
                <w:color w:val="auto"/>
                <w:szCs w:val="21"/>
              </w:rPr>
            </w:pPr>
            <w:r>
              <w:rPr>
                <w:rFonts w:hint="eastAsia"/>
                <w:color w:val="auto"/>
                <w:szCs w:val="21"/>
              </w:rPr>
              <w:t>根据《建设项目竣工环境保护验收暂行办法》（国环规环评〔2017〕4号），建设单位自行验收。验收合格后，方可投入生产或使用。</w:t>
            </w:r>
          </w:p>
          <w:p w14:paraId="254788E1">
            <w:pPr>
              <w:spacing w:line="360" w:lineRule="auto"/>
              <w:ind w:firstLine="420" w:firstLineChars="200"/>
              <w:rPr>
                <w:color w:val="auto"/>
                <w:szCs w:val="21"/>
              </w:rPr>
            </w:pPr>
            <w:r>
              <w:rPr>
                <w:rFonts w:hint="eastAsia"/>
                <w:color w:val="auto"/>
                <w:szCs w:val="21"/>
              </w:rPr>
              <w:t>⑥突发环境事件应急预案</w:t>
            </w:r>
          </w:p>
          <w:p w14:paraId="063C393D">
            <w:pPr>
              <w:spacing w:line="360" w:lineRule="auto"/>
              <w:ind w:firstLine="420" w:firstLineChars="200"/>
              <w:rPr>
                <w:color w:val="auto"/>
                <w:szCs w:val="21"/>
              </w:rPr>
            </w:pPr>
            <w:r>
              <w:rPr>
                <w:rFonts w:hint="eastAsia"/>
                <w:color w:val="auto"/>
                <w:szCs w:val="21"/>
              </w:rPr>
              <w:t>根据本次建设内容，编制厂区突发环境事件应急预案。</w:t>
            </w:r>
          </w:p>
          <w:p w14:paraId="7DE48266">
            <w:pPr>
              <w:spacing w:line="360" w:lineRule="auto"/>
              <w:ind w:firstLine="420" w:firstLineChars="200"/>
              <w:rPr>
                <w:color w:val="auto"/>
                <w:szCs w:val="21"/>
              </w:rPr>
            </w:pPr>
            <w:r>
              <w:rPr>
                <w:rFonts w:hint="eastAsia"/>
                <w:color w:val="auto"/>
                <w:szCs w:val="21"/>
              </w:rPr>
              <w:t>⑦环境信息公开的要求</w:t>
            </w:r>
          </w:p>
          <w:p w14:paraId="3405591C">
            <w:pPr>
              <w:spacing w:line="360" w:lineRule="auto"/>
              <w:ind w:firstLine="420" w:firstLineChars="200"/>
              <w:rPr>
                <w:color w:val="auto"/>
                <w:szCs w:val="21"/>
              </w:rPr>
            </w:pPr>
            <w:r>
              <w:rPr>
                <w:rFonts w:hint="eastAsia"/>
                <w:color w:val="auto"/>
                <w:szCs w:val="21"/>
              </w:rPr>
              <w:t>按照《建设项目环境影响评价政府信息公开指南（试行）》有关要求进行信息公开。</w:t>
            </w:r>
          </w:p>
        </w:tc>
      </w:tr>
    </w:tbl>
    <w:p w14:paraId="486697FB">
      <w:pPr>
        <w:pStyle w:val="23"/>
        <w:jc w:val="center"/>
        <w:outlineLvl w:val="0"/>
        <w:rPr>
          <w:snapToGrid w:val="0"/>
          <w:color w:val="auto"/>
        </w:rPr>
        <w:sectPr>
          <w:pgSz w:w="11906" w:h="16838"/>
          <w:pgMar w:top="1701" w:right="1531" w:bottom="1701" w:left="1531" w:header="851" w:footer="851" w:gutter="0"/>
          <w:cols w:space="720" w:num="1"/>
          <w:docGrid w:linePitch="312" w:charSpace="0"/>
        </w:sectPr>
      </w:pPr>
    </w:p>
    <w:p w14:paraId="5BB93B0F">
      <w:pPr>
        <w:pStyle w:val="23"/>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六、结论</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15A8A3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7E44A7B3">
            <w:pPr>
              <w:tabs>
                <w:tab w:val="left" w:pos="1882"/>
              </w:tabs>
              <w:spacing w:line="480" w:lineRule="exact"/>
              <w:ind w:firstLine="480" w:firstLineChars="200"/>
              <w:rPr>
                <w:color w:val="auto"/>
                <w:sz w:val="24"/>
              </w:rPr>
            </w:pPr>
            <w:r>
              <w:rPr>
                <w:rFonts w:hint="eastAsia"/>
                <w:color w:val="auto"/>
                <w:sz w:val="24"/>
              </w:rPr>
              <w:t>从环境保护角度，本建设项目的环境影响是可行的。</w:t>
            </w:r>
          </w:p>
          <w:p w14:paraId="1C45A7F4">
            <w:pPr>
              <w:pStyle w:val="45"/>
              <w:rPr>
                <w:color w:val="auto"/>
              </w:rPr>
            </w:pPr>
          </w:p>
        </w:tc>
      </w:tr>
    </w:tbl>
    <w:p w14:paraId="1C0177A6">
      <w:pPr>
        <w:rPr>
          <w:rFonts w:ascii="宋体"/>
          <w:color w:val="auto"/>
        </w:rPr>
        <w:sectPr>
          <w:pgSz w:w="11906" w:h="16838"/>
          <w:pgMar w:top="1701" w:right="1531" w:bottom="1701" w:left="1531" w:header="851" w:footer="851" w:gutter="0"/>
          <w:cols w:space="720" w:num="1"/>
          <w:docGrid w:linePitch="312" w:charSpace="0"/>
        </w:sectPr>
      </w:pPr>
    </w:p>
    <w:p w14:paraId="1B79BA10">
      <w:pPr>
        <w:pStyle w:val="23"/>
        <w:adjustRightInd w:val="0"/>
        <w:snapToGrid w:val="0"/>
        <w:spacing w:before="0" w:beforeAutospacing="0" w:after="0" w:afterAutospacing="0" w:line="648" w:lineRule="auto"/>
        <w:outlineLvl w:val="0"/>
        <w:rPr>
          <w:rFonts w:ascii="黑体" w:hAnsi="黑体" w:eastAsia="黑体"/>
          <w:snapToGrid w:val="0"/>
          <w:color w:val="auto"/>
          <w:sz w:val="32"/>
          <w:szCs w:val="32"/>
        </w:rPr>
      </w:pPr>
      <w:r>
        <w:rPr>
          <w:rFonts w:hint="eastAsia" w:ascii="黑体" w:hAnsi="黑体" w:eastAsia="黑体"/>
          <w:snapToGrid w:val="0"/>
          <w:color w:val="auto"/>
          <w:sz w:val="32"/>
          <w:szCs w:val="32"/>
        </w:rPr>
        <w:t>附表</w:t>
      </w:r>
    </w:p>
    <w:p w14:paraId="44BFFF13">
      <w:pPr>
        <w:pStyle w:val="23"/>
        <w:adjustRightInd w:val="0"/>
        <w:snapToGrid w:val="0"/>
        <w:spacing w:before="0" w:beforeAutospacing="0" w:after="0" w:afterAutospacing="0" w:line="360" w:lineRule="auto"/>
        <w:jc w:val="center"/>
        <w:outlineLvl w:val="0"/>
        <w:rPr>
          <w:rFonts w:ascii="方正小标宋_GBK" w:hAnsi="黑体" w:eastAsia="方正小标宋_GBK"/>
          <w:snapToGrid w:val="0"/>
          <w:color w:val="auto"/>
          <w:sz w:val="38"/>
          <w:szCs w:val="38"/>
        </w:rPr>
      </w:pPr>
      <w:r>
        <w:rPr>
          <w:rFonts w:hint="eastAsia" w:ascii="方正小标宋_GBK" w:hAnsi="黑体" w:eastAsia="方正小标宋_GBK"/>
          <w:snapToGrid w:val="0"/>
          <w:color w:val="auto"/>
          <w:sz w:val="38"/>
          <w:szCs w:val="38"/>
        </w:rPr>
        <w:t>建设项目污染物排放量汇总表</w:t>
      </w:r>
    </w:p>
    <w:tbl>
      <w:tblPr>
        <w:tblStyle w:val="26"/>
        <w:tblW w:w="1384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57"/>
        <w:gridCol w:w="1948"/>
        <w:gridCol w:w="1701"/>
        <w:gridCol w:w="1276"/>
        <w:gridCol w:w="1701"/>
        <w:gridCol w:w="1559"/>
        <w:gridCol w:w="1761"/>
        <w:gridCol w:w="1436"/>
        <w:gridCol w:w="1403"/>
      </w:tblGrid>
      <w:tr w14:paraId="2DAC30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057" w:type="dxa"/>
            <w:tcBorders>
              <w:tl2br w:val="single" w:color="auto" w:sz="4" w:space="0"/>
            </w:tcBorders>
            <w:tcMar>
              <w:left w:w="28" w:type="dxa"/>
              <w:right w:w="28" w:type="dxa"/>
            </w:tcMar>
            <w:vAlign w:val="center"/>
          </w:tcPr>
          <w:p w14:paraId="22316D6D">
            <w:pPr>
              <w:pStyle w:val="33"/>
              <w:spacing w:beforeLines="0" w:afterLines="0" w:line="240" w:lineRule="auto"/>
              <w:jc w:val="right"/>
              <w:rPr>
                <w:rFonts w:ascii="黑体" w:hAnsi="黑体" w:eastAsia="黑体" w:cs="宋体"/>
                <w:snapToGrid w:val="0"/>
                <w:color w:val="auto"/>
                <w:spacing w:val="-6"/>
                <w:kern w:val="21"/>
                <w:szCs w:val="21"/>
              </w:rPr>
            </w:pPr>
            <w:bookmarkStart w:id="40" w:name="_Hlk111803989"/>
            <w:r>
              <w:rPr>
                <w:rFonts w:hint="eastAsia" w:ascii="黑体" w:hAnsi="黑体" w:eastAsia="黑体" w:cs="宋体"/>
                <w:snapToGrid w:val="0"/>
                <w:color w:val="auto"/>
                <w:spacing w:val="-6"/>
                <w:kern w:val="21"/>
                <w:szCs w:val="21"/>
              </w:rPr>
              <w:t>项目</w:t>
            </w:r>
          </w:p>
          <w:p w14:paraId="54FE2AE8">
            <w:pPr>
              <w:pStyle w:val="33"/>
              <w:spacing w:beforeLines="0" w:afterLines="0" w:line="240" w:lineRule="auto"/>
              <w:jc w:val="left"/>
              <w:rPr>
                <w:rFonts w:ascii="黑体" w:hAnsi="黑体" w:eastAsia="黑体" w:cs="宋体"/>
                <w:snapToGrid w:val="0"/>
                <w:color w:val="auto"/>
                <w:spacing w:val="-6"/>
                <w:kern w:val="21"/>
                <w:szCs w:val="21"/>
              </w:rPr>
            </w:pPr>
            <w:r>
              <w:rPr>
                <w:rFonts w:hint="eastAsia" w:ascii="黑体" w:hAnsi="黑体" w:eastAsia="黑体" w:cs="宋体"/>
                <w:snapToGrid w:val="0"/>
                <w:color w:val="auto"/>
                <w:spacing w:val="-6"/>
                <w:kern w:val="21"/>
                <w:szCs w:val="21"/>
              </w:rPr>
              <w:t>分类</w:t>
            </w:r>
          </w:p>
        </w:tc>
        <w:tc>
          <w:tcPr>
            <w:tcW w:w="1948" w:type="dxa"/>
            <w:tcMar>
              <w:left w:w="28" w:type="dxa"/>
              <w:right w:w="28" w:type="dxa"/>
            </w:tcMar>
            <w:vAlign w:val="center"/>
          </w:tcPr>
          <w:p w14:paraId="446F1BCB">
            <w:pPr>
              <w:pStyle w:val="33"/>
              <w:spacing w:beforeLines="0" w:afterLines="0" w:line="240" w:lineRule="auto"/>
              <w:rPr>
                <w:rFonts w:ascii="黑体" w:hAnsi="黑体" w:eastAsia="黑体" w:cs="宋体"/>
                <w:snapToGrid w:val="0"/>
                <w:color w:val="auto"/>
                <w:spacing w:val="-6"/>
                <w:kern w:val="21"/>
                <w:szCs w:val="21"/>
              </w:rPr>
            </w:pPr>
            <w:r>
              <w:rPr>
                <w:rFonts w:hint="eastAsia" w:ascii="黑体" w:hAnsi="黑体" w:eastAsia="黑体" w:cs="宋体"/>
                <w:snapToGrid w:val="0"/>
                <w:color w:val="auto"/>
                <w:spacing w:val="-6"/>
                <w:kern w:val="21"/>
                <w:szCs w:val="21"/>
              </w:rPr>
              <w:t>污染物名称</w:t>
            </w:r>
          </w:p>
        </w:tc>
        <w:tc>
          <w:tcPr>
            <w:tcW w:w="1701" w:type="dxa"/>
            <w:tcMar>
              <w:left w:w="28" w:type="dxa"/>
              <w:right w:w="28" w:type="dxa"/>
            </w:tcMar>
            <w:vAlign w:val="center"/>
          </w:tcPr>
          <w:p w14:paraId="3D819545">
            <w:pPr>
              <w:pStyle w:val="33"/>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现有工程</w:t>
            </w:r>
          </w:p>
          <w:p w14:paraId="3232F50F">
            <w:pPr>
              <w:pStyle w:val="33"/>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排放量（固</w:t>
            </w:r>
            <w:r>
              <w:rPr>
                <w:rFonts w:hint="eastAsia" w:ascii="黑体" w:hAnsi="黑体" w:eastAsia="黑体"/>
                <w:snapToGrid w:val="0"/>
                <w:color w:val="auto"/>
                <w:spacing w:val="-6"/>
                <w:kern w:val="21"/>
                <w:szCs w:val="21"/>
              </w:rPr>
              <w:t>体</w:t>
            </w:r>
            <w:r>
              <w:rPr>
                <w:rFonts w:ascii="黑体" w:hAnsi="黑体" w:eastAsia="黑体"/>
                <w:snapToGrid w:val="0"/>
                <w:color w:val="auto"/>
                <w:spacing w:val="-6"/>
                <w:kern w:val="21"/>
                <w:szCs w:val="21"/>
              </w:rPr>
              <w:t>废</w:t>
            </w:r>
            <w:r>
              <w:rPr>
                <w:rFonts w:hint="eastAsia" w:ascii="黑体" w:hAnsi="黑体" w:eastAsia="黑体"/>
                <w:snapToGrid w:val="0"/>
                <w:color w:val="auto"/>
                <w:spacing w:val="-6"/>
                <w:kern w:val="21"/>
                <w:szCs w:val="21"/>
              </w:rPr>
              <w:t>物</w:t>
            </w:r>
            <w:r>
              <w:rPr>
                <w:rFonts w:ascii="黑体" w:hAnsi="黑体" w:eastAsia="黑体"/>
                <w:snapToGrid w:val="0"/>
                <w:color w:val="auto"/>
                <w:spacing w:val="-6"/>
                <w:kern w:val="21"/>
                <w:szCs w:val="21"/>
              </w:rPr>
              <w:t>产生量）</w:t>
            </w: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1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color w:val="auto"/>
                <w:kern w:val="2"/>
                <w:szCs w:val="21"/>
              </w:rPr>
              <w:t>①</w:t>
            </w:r>
            <w:r>
              <w:rPr>
                <w:rFonts w:ascii="黑体" w:hAnsi="黑体" w:eastAsia="黑体"/>
                <w:snapToGrid w:val="0"/>
                <w:color w:val="auto"/>
                <w:spacing w:val="-6"/>
                <w:kern w:val="21"/>
                <w:szCs w:val="21"/>
              </w:rPr>
              <w:fldChar w:fldCharType="end"/>
            </w:r>
          </w:p>
        </w:tc>
        <w:tc>
          <w:tcPr>
            <w:tcW w:w="1276" w:type="dxa"/>
            <w:tcMar>
              <w:left w:w="28" w:type="dxa"/>
              <w:right w:w="28" w:type="dxa"/>
            </w:tcMar>
            <w:vAlign w:val="center"/>
          </w:tcPr>
          <w:p w14:paraId="3F7B6A75">
            <w:pPr>
              <w:pStyle w:val="33"/>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现有工程</w:t>
            </w:r>
          </w:p>
          <w:p w14:paraId="2D2BF237">
            <w:pPr>
              <w:pStyle w:val="33"/>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许可排放量</w:t>
            </w:r>
          </w:p>
          <w:p w14:paraId="3CCE8911">
            <w:pPr>
              <w:pStyle w:val="33"/>
              <w:spacing w:beforeLines="0" w:afterLines="0"/>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2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snapToGrid w:val="0"/>
                <w:color w:val="auto"/>
                <w:spacing w:val="-6"/>
                <w:kern w:val="21"/>
                <w:szCs w:val="21"/>
              </w:rPr>
              <w:t>②</w:t>
            </w:r>
            <w:r>
              <w:rPr>
                <w:rFonts w:ascii="黑体" w:hAnsi="黑体" w:eastAsia="黑体"/>
                <w:snapToGrid w:val="0"/>
                <w:color w:val="auto"/>
                <w:spacing w:val="-6"/>
                <w:kern w:val="21"/>
                <w:szCs w:val="21"/>
              </w:rPr>
              <w:fldChar w:fldCharType="end"/>
            </w:r>
          </w:p>
        </w:tc>
        <w:tc>
          <w:tcPr>
            <w:tcW w:w="1701" w:type="dxa"/>
            <w:tcMar>
              <w:left w:w="28" w:type="dxa"/>
              <w:right w:w="28" w:type="dxa"/>
            </w:tcMar>
            <w:vAlign w:val="center"/>
          </w:tcPr>
          <w:p w14:paraId="148A9D34">
            <w:pPr>
              <w:pStyle w:val="33"/>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在建工程</w:t>
            </w:r>
          </w:p>
          <w:p w14:paraId="2894BAA5">
            <w:pPr>
              <w:pStyle w:val="33"/>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排放量（固</w:t>
            </w:r>
            <w:r>
              <w:rPr>
                <w:rFonts w:hint="eastAsia" w:ascii="黑体" w:hAnsi="黑体" w:eastAsia="黑体"/>
                <w:snapToGrid w:val="0"/>
                <w:color w:val="auto"/>
                <w:spacing w:val="-6"/>
                <w:kern w:val="21"/>
                <w:szCs w:val="21"/>
              </w:rPr>
              <w:t>体</w:t>
            </w:r>
            <w:r>
              <w:rPr>
                <w:rFonts w:ascii="黑体" w:hAnsi="黑体" w:eastAsia="黑体"/>
                <w:snapToGrid w:val="0"/>
                <w:color w:val="auto"/>
                <w:spacing w:val="-6"/>
                <w:kern w:val="21"/>
                <w:szCs w:val="21"/>
              </w:rPr>
              <w:t>废</w:t>
            </w:r>
            <w:r>
              <w:rPr>
                <w:rFonts w:hint="eastAsia" w:ascii="黑体" w:hAnsi="黑体" w:eastAsia="黑体"/>
                <w:snapToGrid w:val="0"/>
                <w:color w:val="auto"/>
                <w:spacing w:val="-6"/>
                <w:kern w:val="21"/>
                <w:szCs w:val="21"/>
              </w:rPr>
              <w:t>物</w:t>
            </w:r>
            <w:r>
              <w:rPr>
                <w:rFonts w:ascii="黑体" w:hAnsi="黑体" w:eastAsia="黑体"/>
                <w:snapToGrid w:val="0"/>
                <w:color w:val="auto"/>
                <w:spacing w:val="-6"/>
                <w:kern w:val="21"/>
                <w:szCs w:val="21"/>
              </w:rPr>
              <w:t>产生量）</w:t>
            </w: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3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color w:val="auto"/>
                <w:kern w:val="2"/>
                <w:szCs w:val="21"/>
              </w:rPr>
              <w:t>③</w:t>
            </w:r>
            <w:r>
              <w:rPr>
                <w:rFonts w:ascii="黑体" w:hAnsi="黑体" w:eastAsia="黑体"/>
                <w:snapToGrid w:val="0"/>
                <w:color w:val="auto"/>
                <w:spacing w:val="-6"/>
                <w:kern w:val="21"/>
                <w:szCs w:val="21"/>
              </w:rPr>
              <w:fldChar w:fldCharType="end"/>
            </w:r>
          </w:p>
        </w:tc>
        <w:tc>
          <w:tcPr>
            <w:tcW w:w="1559" w:type="dxa"/>
            <w:tcMar>
              <w:left w:w="28" w:type="dxa"/>
              <w:right w:w="28" w:type="dxa"/>
            </w:tcMar>
            <w:vAlign w:val="center"/>
          </w:tcPr>
          <w:p w14:paraId="4A2B6080">
            <w:pPr>
              <w:pStyle w:val="33"/>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本项目</w:t>
            </w:r>
          </w:p>
          <w:p w14:paraId="7E898428">
            <w:pPr>
              <w:pStyle w:val="33"/>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排放量（固</w:t>
            </w:r>
            <w:r>
              <w:rPr>
                <w:rFonts w:hint="eastAsia" w:ascii="黑体" w:hAnsi="黑体" w:eastAsia="黑体"/>
                <w:snapToGrid w:val="0"/>
                <w:color w:val="auto"/>
                <w:spacing w:val="-6"/>
                <w:kern w:val="21"/>
                <w:szCs w:val="21"/>
              </w:rPr>
              <w:t>体</w:t>
            </w:r>
            <w:r>
              <w:rPr>
                <w:rFonts w:ascii="黑体" w:hAnsi="黑体" w:eastAsia="黑体"/>
                <w:snapToGrid w:val="0"/>
                <w:color w:val="auto"/>
                <w:spacing w:val="-6"/>
                <w:kern w:val="21"/>
                <w:szCs w:val="21"/>
              </w:rPr>
              <w:t>废</w:t>
            </w:r>
            <w:r>
              <w:rPr>
                <w:rFonts w:hint="eastAsia" w:ascii="黑体" w:hAnsi="黑体" w:eastAsia="黑体"/>
                <w:snapToGrid w:val="0"/>
                <w:color w:val="auto"/>
                <w:spacing w:val="-6"/>
                <w:kern w:val="21"/>
                <w:szCs w:val="21"/>
              </w:rPr>
              <w:t>物</w:t>
            </w:r>
            <w:r>
              <w:rPr>
                <w:rFonts w:ascii="黑体" w:hAnsi="黑体" w:eastAsia="黑体"/>
                <w:snapToGrid w:val="0"/>
                <w:color w:val="auto"/>
                <w:spacing w:val="-6"/>
                <w:kern w:val="21"/>
                <w:szCs w:val="21"/>
              </w:rPr>
              <w:t>产生量）</w:t>
            </w: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4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color w:val="auto"/>
                <w:kern w:val="2"/>
                <w:szCs w:val="21"/>
              </w:rPr>
              <w:t>④</w:t>
            </w:r>
            <w:r>
              <w:rPr>
                <w:rFonts w:ascii="黑体" w:hAnsi="黑体" w:eastAsia="黑体"/>
                <w:snapToGrid w:val="0"/>
                <w:color w:val="auto"/>
                <w:spacing w:val="-6"/>
                <w:kern w:val="21"/>
                <w:szCs w:val="21"/>
              </w:rPr>
              <w:fldChar w:fldCharType="end"/>
            </w:r>
          </w:p>
        </w:tc>
        <w:tc>
          <w:tcPr>
            <w:tcW w:w="1761" w:type="dxa"/>
            <w:tcMar>
              <w:left w:w="28" w:type="dxa"/>
              <w:right w:w="28" w:type="dxa"/>
            </w:tcMar>
            <w:vAlign w:val="center"/>
          </w:tcPr>
          <w:p w14:paraId="141C4FC1">
            <w:pPr>
              <w:pStyle w:val="33"/>
              <w:spacing w:beforeLines="0" w:afterLines="0" w:line="240" w:lineRule="auto"/>
              <w:rPr>
                <w:rFonts w:ascii="黑体" w:hAnsi="黑体" w:eastAsia="黑体"/>
                <w:snapToGrid w:val="0"/>
                <w:color w:val="auto"/>
                <w:spacing w:val="-16"/>
                <w:kern w:val="21"/>
                <w:szCs w:val="21"/>
              </w:rPr>
            </w:pPr>
            <w:r>
              <w:rPr>
                <w:rFonts w:ascii="黑体" w:hAnsi="黑体" w:eastAsia="黑体"/>
                <w:snapToGrid w:val="0"/>
                <w:color w:val="auto"/>
                <w:spacing w:val="-16"/>
                <w:kern w:val="21"/>
                <w:szCs w:val="21"/>
              </w:rPr>
              <w:t>以新带老削减量</w:t>
            </w:r>
          </w:p>
          <w:p w14:paraId="7A0F3C40">
            <w:pPr>
              <w:pStyle w:val="33"/>
              <w:spacing w:beforeLines="0" w:afterLines="0" w:line="240" w:lineRule="auto"/>
              <w:rPr>
                <w:rFonts w:ascii="黑体" w:hAnsi="黑体" w:eastAsia="黑体"/>
                <w:snapToGrid w:val="0"/>
                <w:color w:val="auto"/>
                <w:spacing w:val="-16"/>
                <w:kern w:val="21"/>
                <w:szCs w:val="21"/>
              </w:rPr>
            </w:pPr>
            <w:r>
              <w:rPr>
                <w:rFonts w:ascii="黑体" w:hAnsi="黑体" w:eastAsia="黑体"/>
                <w:snapToGrid w:val="0"/>
                <w:color w:val="auto"/>
                <w:spacing w:val="-16"/>
                <w:kern w:val="21"/>
                <w:szCs w:val="21"/>
              </w:rPr>
              <w:t>（新建项目不填）</w:t>
            </w:r>
            <w:r>
              <w:rPr>
                <w:rFonts w:ascii="黑体" w:hAnsi="黑体" w:eastAsia="黑体"/>
                <w:snapToGrid w:val="0"/>
                <w:color w:val="auto"/>
                <w:spacing w:val="-16"/>
                <w:kern w:val="21"/>
                <w:szCs w:val="21"/>
              </w:rPr>
              <w:fldChar w:fldCharType="begin"/>
            </w:r>
            <w:r>
              <w:rPr>
                <w:rFonts w:ascii="黑体" w:hAnsi="黑体" w:eastAsia="黑体"/>
                <w:snapToGrid w:val="0"/>
                <w:color w:val="auto"/>
                <w:spacing w:val="-16"/>
                <w:kern w:val="21"/>
                <w:szCs w:val="21"/>
              </w:rPr>
              <w:instrText xml:space="preserve"> = 5 \* GB3 \* MERGEFORMAT </w:instrText>
            </w:r>
            <w:r>
              <w:rPr>
                <w:rFonts w:ascii="黑体" w:hAnsi="黑体" w:eastAsia="黑体"/>
                <w:snapToGrid w:val="0"/>
                <w:color w:val="auto"/>
                <w:spacing w:val="-16"/>
                <w:kern w:val="21"/>
                <w:szCs w:val="21"/>
              </w:rPr>
              <w:fldChar w:fldCharType="separate"/>
            </w:r>
            <w:r>
              <w:rPr>
                <w:rFonts w:hint="eastAsia" w:ascii="黑体" w:hAnsi="黑体" w:eastAsia="黑体" w:cs="宋体"/>
                <w:color w:val="auto"/>
                <w:kern w:val="2"/>
                <w:szCs w:val="21"/>
              </w:rPr>
              <w:t>⑤</w:t>
            </w:r>
            <w:r>
              <w:rPr>
                <w:rFonts w:ascii="黑体" w:hAnsi="黑体" w:eastAsia="黑体"/>
                <w:snapToGrid w:val="0"/>
                <w:color w:val="auto"/>
                <w:spacing w:val="-16"/>
                <w:kern w:val="21"/>
                <w:szCs w:val="21"/>
              </w:rPr>
              <w:fldChar w:fldCharType="end"/>
            </w:r>
          </w:p>
        </w:tc>
        <w:tc>
          <w:tcPr>
            <w:tcW w:w="1436" w:type="dxa"/>
            <w:tcMar>
              <w:left w:w="28" w:type="dxa"/>
              <w:right w:w="28" w:type="dxa"/>
            </w:tcMar>
            <w:vAlign w:val="center"/>
          </w:tcPr>
          <w:p w14:paraId="666C63E4">
            <w:pPr>
              <w:pStyle w:val="33"/>
              <w:spacing w:beforeLines="0" w:afterLines="0" w:line="240" w:lineRule="auto"/>
              <w:rPr>
                <w:rFonts w:ascii="黑体" w:hAnsi="黑体" w:eastAsia="黑体"/>
                <w:snapToGrid w:val="0"/>
                <w:color w:val="auto"/>
                <w:spacing w:val="-16"/>
                <w:kern w:val="21"/>
                <w:szCs w:val="21"/>
              </w:rPr>
            </w:pPr>
            <w:r>
              <w:rPr>
                <w:rFonts w:ascii="黑体" w:hAnsi="黑体" w:eastAsia="黑体"/>
                <w:snapToGrid w:val="0"/>
                <w:color w:val="auto"/>
                <w:spacing w:val="-16"/>
                <w:kern w:val="21"/>
                <w:szCs w:val="21"/>
              </w:rPr>
              <w:t>本项目建成后</w:t>
            </w:r>
          </w:p>
          <w:p w14:paraId="78F41A46">
            <w:pPr>
              <w:pStyle w:val="33"/>
              <w:spacing w:beforeLines="0" w:afterLines="0" w:line="240" w:lineRule="auto"/>
              <w:rPr>
                <w:rFonts w:ascii="黑体" w:hAnsi="黑体" w:eastAsia="黑体"/>
                <w:snapToGrid w:val="0"/>
                <w:color w:val="auto"/>
                <w:spacing w:val="-16"/>
                <w:kern w:val="21"/>
                <w:szCs w:val="21"/>
              </w:rPr>
            </w:pPr>
            <w:r>
              <w:rPr>
                <w:rFonts w:hint="eastAsia" w:ascii="黑体" w:hAnsi="黑体" w:eastAsia="黑体"/>
                <w:snapToGrid w:val="0"/>
                <w:color w:val="auto"/>
                <w:spacing w:val="-16"/>
                <w:kern w:val="21"/>
                <w:szCs w:val="21"/>
              </w:rPr>
              <w:t>全厂</w:t>
            </w:r>
            <w:r>
              <w:rPr>
                <w:rFonts w:ascii="黑体" w:hAnsi="黑体" w:eastAsia="黑体"/>
                <w:snapToGrid w:val="0"/>
                <w:color w:val="auto"/>
                <w:spacing w:val="-16"/>
                <w:kern w:val="21"/>
                <w:szCs w:val="21"/>
              </w:rPr>
              <w:t>排放量（固</w:t>
            </w:r>
            <w:r>
              <w:rPr>
                <w:rFonts w:hint="eastAsia" w:ascii="黑体" w:hAnsi="黑体" w:eastAsia="黑体"/>
                <w:snapToGrid w:val="0"/>
                <w:color w:val="auto"/>
                <w:spacing w:val="-16"/>
                <w:kern w:val="21"/>
                <w:szCs w:val="21"/>
              </w:rPr>
              <w:t>体</w:t>
            </w:r>
            <w:r>
              <w:rPr>
                <w:rFonts w:ascii="黑体" w:hAnsi="黑体" w:eastAsia="黑体"/>
                <w:snapToGrid w:val="0"/>
                <w:color w:val="auto"/>
                <w:spacing w:val="-16"/>
                <w:kern w:val="21"/>
                <w:szCs w:val="21"/>
              </w:rPr>
              <w:t>废</w:t>
            </w:r>
            <w:r>
              <w:rPr>
                <w:rFonts w:hint="eastAsia" w:ascii="黑体" w:hAnsi="黑体" w:eastAsia="黑体"/>
                <w:snapToGrid w:val="0"/>
                <w:color w:val="auto"/>
                <w:spacing w:val="-16"/>
                <w:kern w:val="21"/>
                <w:szCs w:val="21"/>
              </w:rPr>
              <w:t>物</w:t>
            </w:r>
            <w:r>
              <w:rPr>
                <w:rFonts w:ascii="黑体" w:hAnsi="黑体" w:eastAsia="黑体"/>
                <w:snapToGrid w:val="0"/>
                <w:color w:val="auto"/>
                <w:spacing w:val="-16"/>
                <w:kern w:val="21"/>
                <w:szCs w:val="21"/>
              </w:rPr>
              <w:t>产生量）</w:t>
            </w:r>
            <w:r>
              <w:rPr>
                <w:rFonts w:ascii="黑体" w:hAnsi="黑体" w:eastAsia="黑体"/>
                <w:snapToGrid w:val="0"/>
                <w:color w:val="auto"/>
                <w:spacing w:val="-16"/>
                <w:kern w:val="21"/>
                <w:szCs w:val="21"/>
              </w:rPr>
              <w:fldChar w:fldCharType="begin"/>
            </w:r>
            <w:r>
              <w:rPr>
                <w:rFonts w:ascii="黑体" w:hAnsi="黑体" w:eastAsia="黑体"/>
                <w:snapToGrid w:val="0"/>
                <w:color w:val="auto"/>
                <w:spacing w:val="-16"/>
                <w:kern w:val="21"/>
                <w:szCs w:val="21"/>
              </w:rPr>
              <w:instrText xml:space="preserve"> = 6 \* GB3 \* MERGEFORMAT </w:instrText>
            </w:r>
            <w:r>
              <w:rPr>
                <w:rFonts w:ascii="黑体" w:hAnsi="黑体" w:eastAsia="黑体"/>
                <w:snapToGrid w:val="0"/>
                <w:color w:val="auto"/>
                <w:spacing w:val="-16"/>
                <w:kern w:val="21"/>
                <w:szCs w:val="21"/>
              </w:rPr>
              <w:fldChar w:fldCharType="separate"/>
            </w:r>
            <w:r>
              <w:rPr>
                <w:rFonts w:hint="eastAsia" w:ascii="黑体" w:hAnsi="黑体" w:eastAsia="黑体" w:cs="宋体"/>
                <w:color w:val="auto"/>
                <w:kern w:val="2"/>
                <w:szCs w:val="21"/>
              </w:rPr>
              <w:t>⑥</w:t>
            </w:r>
            <w:r>
              <w:rPr>
                <w:rFonts w:ascii="黑体" w:hAnsi="黑体" w:eastAsia="黑体"/>
                <w:snapToGrid w:val="0"/>
                <w:color w:val="auto"/>
                <w:spacing w:val="-16"/>
                <w:kern w:val="21"/>
                <w:szCs w:val="21"/>
              </w:rPr>
              <w:fldChar w:fldCharType="end"/>
            </w:r>
          </w:p>
        </w:tc>
        <w:tc>
          <w:tcPr>
            <w:tcW w:w="1403" w:type="dxa"/>
            <w:tcMar>
              <w:left w:w="28" w:type="dxa"/>
              <w:right w:w="28" w:type="dxa"/>
            </w:tcMar>
            <w:vAlign w:val="center"/>
          </w:tcPr>
          <w:p w14:paraId="3308C2DE">
            <w:pPr>
              <w:pStyle w:val="33"/>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变化量</w:t>
            </w:r>
          </w:p>
          <w:p w14:paraId="2517D147">
            <w:pPr>
              <w:pStyle w:val="33"/>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7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color w:val="auto"/>
                <w:kern w:val="2"/>
                <w:szCs w:val="21"/>
              </w:rPr>
              <w:t>⑦</w:t>
            </w:r>
            <w:r>
              <w:rPr>
                <w:rFonts w:ascii="黑体" w:hAnsi="黑体" w:eastAsia="黑体"/>
                <w:snapToGrid w:val="0"/>
                <w:color w:val="auto"/>
                <w:spacing w:val="-6"/>
                <w:kern w:val="21"/>
                <w:szCs w:val="21"/>
              </w:rPr>
              <w:fldChar w:fldCharType="end"/>
            </w:r>
          </w:p>
        </w:tc>
      </w:tr>
      <w:tr w14:paraId="1B8ACF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57" w:type="dxa"/>
            <w:vMerge w:val="restart"/>
            <w:vAlign w:val="center"/>
          </w:tcPr>
          <w:p w14:paraId="4BC888F7">
            <w:pPr>
              <w:pStyle w:val="33"/>
              <w:spacing w:beforeLines="0" w:afterLines="0" w:line="240" w:lineRule="auto"/>
              <w:rPr>
                <w:rFonts w:ascii="Times New Roman"/>
                <w:snapToGrid w:val="0"/>
                <w:color w:val="auto"/>
                <w:kern w:val="21"/>
                <w:szCs w:val="21"/>
              </w:rPr>
            </w:pPr>
            <w:r>
              <w:rPr>
                <w:rFonts w:ascii="Times New Roman"/>
                <w:snapToGrid w:val="0"/>
                <w:color w:val="auto"/>
                <w:kern w:val="21"/>
                <w:szCs w:val="21"/>
              </w:rPr>
              <w:t>废气</w:t>
            </w:r>
          </w:p>
        </w:tc>
        <w:tc>
          <w:tcPr>
            <w:tcW w:w="1948" w:type="dxa"/>
            <w:vAlign w:val="center"/>
          </w:tcPr>
          <w:p w14:paraId="54720D5D">
            <w:pPr>
              <w:pStyle w:val="69"/>
              <w:spacing w:line="240" w:lineRule="auto"/>
              <w:ind w:firstLine="0" w:firstLineChars="0"/>
              <w:jc w:val="center"/>
              <w:rPr>
                <w:rFonts w:cs="Times New Roman"/>
                <w:color w:val="auto"/>
                <w:kern w:val="2"/>
                <w:sz w:val="21"/>
                <w:szCs w:val="21"/>
                <w:lang w:eastAsia="zh-CN"/>
              </w:rPr>
            </w:pPr>
            <w:r>
              <w:rPr>
                <w:rFonts w:hint="eastAsia" w:cs="Times New Roman"/>
                <w:color w:val="auto"/>
                <w:kern w:val="2"/>
                <w:sz w:val="21"/>
                <w:szCs w:val="21"/>
                <w:lang w:eastAsia="zh-CN"/>
              </w:rPr>
              <w:t>非甲烷总烃</w:t>
            </w:r>
          </w:p>
        </w:tc>
        <w:tc>
          <w:tcPr>
            <w:tcW w:w="1701" w:type="dxa"/>
            <w:vAlign w:val="center"/>
          </w:tcPr>
          <w:p w14:paraId="5BEC1755">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276" w:type="dxa"/>
            <w:vAlign w:val="center"/>
          </w:tcPr>
          <w:p w14:paraId="66D27708">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701" w:type="dxa"/>
            <w:vAlign w:val="center"/>
          </w:tcPr>
          <w:p w14:paraId="6DEA94C2">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559" w:type="dxa"/>
            <w:vAlign w:val="center"/>
          </w:tcPr>
          <w:p w14:paraId="45B1CDA9">
            <w:pPr>
              <w:ind w:left="-105" w:leftChars="-50" w:right="-105" w:rightChars="-50"/>
              <w:jc w:val="center"/>
              <w:rPr>
                <w:snapToGrid w:val="0"/>
                <w:color w:val="auto"/>
                <w:kern w:val="21"/>
                <w:szCs w:val="21"/>
              </w:rPr>
            </w:pPr>
            <w:r>
              <w:rPr>
                <w:rFonts w:hint="eastAsia"/>
                <w:snapToGrid w:val="0"/>
                <w:color w:val="auto"/>
                <w:kern w:val="21"/>
                <w:szCs w:val="21"/>
                <w:lang w:eastAsia="zh-CN"/>
              </w:rPr>
              <w:t>4.292</w:t>
            </w:r>
            <w:r>
              <w:rPr>
                <w:rFonts w:hint="eastAsia"/>
                <w:snapToGrid w:val="0"/>
                <w:color w:val="auto"/>
                <w:kern w:val="21"/>
                <w:szCs w:val="21"/>
              </w:rPr>
              <w:t>t/a</w:t>
            </w:r>
          </w:p>
        </w:tc>
        <w:tc>
          <w:tcPr>
            <w:tcW w:w="1761" w:type="dxa"/>
            <w:vAlign w:val="center"/>
          </w:tcPr>
          <w:p w14:paraId="1E074DBF">
            <w:pPr>
              <w:jc w:val="center"/>
              <w:rPr>
                <w:snapToGrid w:val="0"/>
                <w:color w:val="auto"/>
                <w:kern w:val="21"/>
                <w:szCs w:val="21"/>
              </w:rPr>
            </w:pPr>
            <w:r>
              <w:rPr>
                <w:snapToGrid w:val="0"/>
                <w:color w:val="auto"/>
                <w:kern w:val="21"/>
                <w:szCs w:val="21"/>
              </w:rPr>
              <w:t>/</w:t>
            </w:r>
          </w:p>
        </w:tc>
        <w:tc>
          <w:tcPr>
            <w:tcW w:w="1436" w:type="dxa"/>
            <w:vAlign w:val="center"/>
          </w:tcPr>
          <w:p w14:paraId="0EC45A9C">
            <w:pPr>
              <w:ind w:left="-105" w:leftChars="-50" w:right="-105" w:rightChars="-50"/>
              <w:jc w:val="center"/>
              <w:rPr>
                <w:snapToGrid w:val="0"/>
                <w:color w:val="auto"/>
                <w:kern w:val="21"/>
                <w:szCs w:val="21"/>
              </w:rPr>
            </w:pPr>
            <w:r>
              <w:rPr>
                <w:rFonts w:hint="eastAsia"/>
                <w:snapToGrid w:val="0"/>
                <w:color w:val="auto"/>
                <w:kern w:val="21"/>
                <w:szCs w:val="21"/>
                <w:lang w:eastAsia="zh-CN"/>
              </w:rPr>
              <w:t>4.292</w:t>
            </w:r>
            <w:r>
              <w:rPr>
                <w:rFonts w:hint="eastAsia"/>
                <w:snapToGrid w:val="0"/>
                <w:color w:val="auto"/>
                <w:kern w:val="21"/>
                <w:szCs w:val="21"/>
              </w:rPr>
              <w:t>t/a</w:t>
            </w:r>
          </w:p>
        </w:tc>
        <w:tc>
          <w:tcPr>
            <w:tcW w:w="1403" w:type="dxa"/>
            <w:vAlign w:val="center"/>
          </w:tcPr>
          <w:p w14:paraId="52B845B0">
            <w:pPr>
              <w:pStyle w:val="33"/>
              <w:spacing w:beforeLines="0" w:afterLines="0" w:line="240" w:lineRule="auto"/>
              <w:rPr>
                <w:rFonts w:ascii="Times New Roman"/>
                <w:snapToGrid w:val="0"/>
                <w:color w:val="auto"/>
                <w:kern w:val="21"/>
                <w:szCs w:val="21"/>
              </w:rPr>
            </w:pPr>
            <w:r>
              <w:rPr>
                <w:rFonts w:ascii="Times New Roman"/>
                <w:snapToGrid w:val="0"/>
                <w:color w:val="auto"/>
                <w:kern w:val="21"/>
                <w:szCs w:val="21"/>
              </w:rPr>
              <w:t>+</w:t>
            </w:r>
            <w:r>
              <w:rPr>
                <w:rFonts w:hint="eastAsia" w:ascii="Times New Roman"/>
                <w:snapToGrid w:val="0"/>
                <w:color w:val="auto"/>
                <w:kern w:val="21"/>
                <w:szCs w:val="21"/>
                <w:lang w:eastAsia="zh-CN"/>
              </w:rPr>
              <w:t>4.292</w:t>
            </w:r>
            <w:r>
              <w:rPr>
                <w:rFonts w:ascii="Times New Roman"/>
                <w:snapToGrid w:val="0"/>
                <w:color w:val="auto"/>
                <w:kern w:val="21"/>
                <w:szCs w:val="21"/>
              </w:rPr>
              <w:t>t/a</w:t>
            </w:r>
          </w:p>
        </w:tc>
      </w:tr>
      <w:tr w14:paraId="57F5B5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57" w:type="dxa"/>
            <w:vMerge w:val="continue"/>
            <w:vAlign w:val="center"/>
          </w:tcPr>
          <w:p w14:paraId="2CF49A36">
            <w:pPr>
              <w:pStyle w:val="33"/>
              <w:spacing w:beforeLines="0" w:afterLines="0" w:line="240" w:lineRule="auto"/>
              <w:rPr>
                <w:rFonts w:ascii="Times New Roman"/>
                <w:snapToGrid w:val="0"/>
                <w:color w:val="auto"/>
                <w:kern w:val="21"/>
                <w:szCs w:val="21"/>
              </w:rPr>
            </w:pPr>
          </w:p>
        </w:tc>
        <w:tc>
          <w:tcPr>
            <w:tcW w:w="1948" w:type="dxa"/>
            <w:vAlign w:val="center"/>
          </w:tcPr>
          <w:p w14:paraId="0964D19E">
            <w:pPr>
              <w:pStyle w:val="69"/>
              <w:spacing w:line="240" w:lineRule="auto"/>
              <w:ind w:firstLine="0" w:firstLineChars="0"/>
              <w:jc w:val="center"/>
              <w:rPr>
                <w:rFonts w:cs="Times New Roman"/>
                <w:color w:val="auto"/>
                <w:kern w:val="2"/>
                <w:sz w:val="21"/>
                <w:szCs w:val="21"/>
                <w:lang w:eastAsia="zh-CN"/>
              </w:rPr>
            </w:pPr>
            <w:r>
              <w:rPr>
                <w:rFonts w:hint="eastAsia" w:cs="Times New Roman"/>
                <w:color w:val="auto"/>
                <w:kern w:val="2"/>
                <w:sz w:val="21"/>
                <w:szCs w:val="21"/>
                <w:lang w:eastAsia="zh-CN"/>
              </w:rPr>
              <w:t>颗粒物</w:t>
            </w:r>
          </w:p>
        </w:tc>
        <w:tc>
          <w:tcPr>
            <w:tcW w:w="1701" w:type="dxa"/>
            <w:vAlign w:val="center"/>
          </w:tcPr>
          <w:p w14:paraId="45808739">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0.0018t/a</w:t>
            </w:r>
          </w:p>
        </w:tc>
        <w:tc>
          <w:tcPr>
            <w:tcW w:w="1276" w:type="dxa"/>
            <w:vAlign w:val="center"/>
          </w:tcPr>
          <w:p w14:paraId="5368F04E">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701" w:type="dxa"/>
            <w:vAlign w:val="center"/>
          </w:tcPr>
          <w:p w14:paraId="602CDC7D">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559" w:type="dxa"/>
            <w:vAlign w:val="center"/>
          </w:tcPr>
          <w:p w14:paraId="04DA13BA">
            <w:pPr>
              <w:ind w:left="-105" w:leftChars="-50" w:right="-105" w:rightChars="-50"/>
              <w:jc w:val="center"/>
              <w:rPr>
                <w:snapToGrid w:val="0"/>
                <w:color w:val="auto"/>
                <w:kern w:val="21"/>
                <w:szCs w:val="21"/>
              </w:rPr>
            </w:pPr>
            <w:r>
              <w:rPr>
                <w:rFonts w:hint="eastAsia"/>
                <w:snapToGrid w:val="0"/>
                <w:color w:val="auto"/>
                <w:kern w:val="21"/>
                <w:szCs w:val="21"/>
              </w:rPr>
              <w:t>0.00045t/a</w:t>
            </w:r>
          </w:p>
        </w:tc>
        <w:tc>
          <w:tcPr>
            <w:tcW w:w="1761" w:type="dxa"/>
            <w:vAlign w:val="center"/>
          </w:tcPr>
          <w:p w14:paraId="3FD9059B">
            <w:pPr>
              <w:jc w:val="center"/>
              <w:rPr>
                <w:snapToGrid w:val="0"/>
                <w:color w:val="auto"/>
                <w:kern w:val="21"/>
                <w:szCs w:val="21"/>
              </w:rPr>
            </w:pPr>
            <w:r>
              <w:rPr>
                <w:snapToGrid w:val="0"/>
                <w:color w:val="auto"/>
                <w:kern w:val="21"/>
                <w:szCs w:val="21"/>
              </w:rPr>
              <w:t>0.0013t/a</w:t>
            </w:r>
          </w:p>
        </w:tc>
        <w:tc>
          <w:tcPr>
            <w:tcW w:w="1436" w:type="dxa"/>
            <w:vAlign w:val="center"/>
          </w:tcPr>
          <w:p w14:paraId="574AB7CD">
            <w:pPr>
              <w:ind w:left="-105" w:leftChars="-50" w:right="-105" w:rightChars="-50"/>
              <w:jc w:val="center"/>
              <w:rPr>
                <w:snapToGrid w:val="0"/>
                <w:color w:val="auto"/>
                <w:kern w:val="21"/>
                <w:szCs w:val="21"/>
              </w:rPr>
            </w:pPr>
            <w:r>
              <w:rPr>
                <w:rFonts w:hint="eastAsia"/>
                <w:snapToGrid w:val="0"/>
                <w:color w:val="auto"/>
                <w:kern w:val="21"/>
                <w:szCs w:val="21"/>
              </w:rPr>
              <w:t>0.00095t/a</w:t>
            </w:r>
          </w:p>
        </w:tc>
        <w:tc>
          <w:tcPr>
            <w:tcW w:w="1403" w:type="dxa"/>
            <w:vAlign w:val="center"/>
          </w:tcPr>
          <w:p w14:paraId="56896BCC">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-0.00085t</w:t>
            </w:r>
            <w:r>
              <w:rPr>
                <w:rFonts w:ascii="Times New Roman"/>
                <w:snapToGrid w:val="0"/>
                <w:color w:val="auto"/>
                <w:kern w:val="21"/>
                <w:szCs w:val="21"/>
              </w:rPr>
              <w:t>/a</w:t>
            </w:r>
          </w:p>
        </w:tc>
      </w:tr>
      <w:tr w14:paraId="5AAD91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57" w:type="dxa"/>
            <w:vAlign w:val="center"/>
          </w:tcPr>
          <w:p w14:paraId="4033CFFA">
            <w:pPr>
              <w:pStyle w:val="33"/>
              <w:spacing w:beforeLines="0" w:afterLines="0" w:line="240" w:lineRule="auto"/>
              <w:rPr>
                <w:rFonts w:ascii="Times New Roman"/>
                <w:snapToGrid w:val="0"/>
                <w:color w:val="auto"/>
                <w:kern w:val="21"/>
                <w:szCs w:val="21"/>
              </w:rPr>
            </w:pPr>
            <w:r>
              <w:rPr>
                <w:rFonts w:ascii="Times New Roman"/>
                <w:snapToGrid w:val="0"/>
                <w:color w:val="auto"/>
                <w:kern w:val="21"/>
                <w:szCs w:val="21"/>
              </w:rPr>
              <w:t>废水</w:t>
            </w:r>
          </w:p>
        </w:tc>
        <w:tc>
          <w:tcPr>
            <w:tcW w:w="1948" w:type="dxa"/>
            <w:vAlign w:val="center"/>
          </w:tcPr>
          <w:p w14:paraId="0F2F2859">
            <w:pPr>
              <w:adjustRightInd w:val="0"/>
              <w:snapToGrid w:val="0"/>
              <w:jc w:val="center"/>
              <w:rPr>
                <w:snapToGrid w:val="0"/>
                <w:color w:val="auto"/>
                <w:kern w:val="21"/>
                <w:szCs w:val="21"/>
              </w:rPr>
            </w:pPr>
            <w:r>
              <w:rPr>
                <w:rFonts w:hint="eastAsia"/>
                <w:snapToGrid w:val="0"/>
                <w:color w:val="auto"/>
                <w:kern w:val="21"/>
                <w:szCs w:val="21"/>
              </w:rPr>
              <w:t>/</w:t>
            </w:r>
          </w:p>
        </w:tc>
        <w:tc>
          <w:tcPr>
            <w:tcW w:w="1701" w:type="dxa"/>
            <w:vAlign w:val="center"/>
          </w:tcPr>
          <w:p w14:paraId="1074B1D9">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276" w:type="dxa"/>
            <w:vAlign w:val="center"/>
          </w:tcPr>
          <w:p w14:paraId="5A19AB68">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701" w:type="dxa"/>
            <w:vAlign w:val="center"/>
          </w:tcPr>
          <w:p w14:paraId="4B29B1DE">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559" w:type="dxa"/>
            <w:vAlign w:val="center"/>
          </w:tcPr>
          <w:p w14:paraId="1C7BC2AD">
            <w:pPr>
              <w:ind w:left="-105" w:leftChars="-50" w:right="-105" w:rightChars="-50"/>
              <w:jc w:val="center"/>
              <w:rPr>
                <w:snapToGrid w:val="0"/>
                <w:color w:val="auto"/>
                <w:kern w:val="21"/>
                <w:szCs w:val="21"/>
              </w:rPr>
            </w:pPr>
            <w:r>
              <w:rPr>
                <w:rFonts w:hint="eastAsia"/>
                <w:snapToGrid w:val="0"/>
                <w:color w:val="auto"/>
                <w:kern w:val="21"/>
                <w:szCs w:val="21"/>
              </w:rPr>
              <w:t>/</w:t>
            </w:r>
          </w:p>
        </w:tc>
        <w:tc>
          <w:tcPr>
            <w:tcW w:w="1761" w:type="dxa"/>
            <w:vAlign w:val="center"/>
          </w:tcPr>
          <w:p w14:paraId="169E83A1">
            <w:pPr>
              <w:pStyle w:val="33"/>
              <w:spacing w:beforeLines="0" w:afterLines="0" w:line="240" w:lineRule="auto"/>
              <w:rPr>
                <w:rFonts w:ascii="Times New Roman"/>
                <w:snapToGrid w:val="0"/>
                <w:color w:val="auto"/>
                <w:kern w:val="21"/>
                <w:szCs w:val="21"/>
              </w:rPr>
            </w:pPr>
            <w:r>
              <w:rPr>
                <w:rFonts w:ascii="Times New Roman"/>
                <w:snapToGrid w:val="0"/>
                <w:color w:val="auto"/>
                <w:kern w:val="21"/>
                <w:szCs w:val="21"/>
              </w:rPr>
              <w:t>/</w:t>
            </w:r>
          </w:p>
        </w:tc>
        <w:tc>
          <w:tcPr>
            <w:tcW w:w="1436" w:type="dxa"/>
            <w:vAlign w:val="center"/>
          </w:tcPr>
          <w:p w14:paraId="119A997F">
            <w:pPr>
              <w:ind w:left="-105" w:leftChars="-50" w:right="-105" w:rightChars="-50"/>
              <w:jc w:val="center"/>
              <w:rPr>
                <w:snapToGrid w:val="0"/>
                <w:color w:val="auto"/>
                <w:kern w:val="21"/>
                <w:szCs w:val="21"/>
              </w:rPr>
            </w:pPr>
            <w:r>
              <w:rPr>
                <w:rFonts w:hint="eastAsia"/>
                <w:snapToGrid w:val="0"/>
                <w:color w:val="auto"/>
                <w:kern w:val="21"/>
                <w:szCs w:val="21"/>
              </w:rPr>
              <w:t>/</w:t>
            </w:r>
          </w:p>
        </w:tc>
        <w:tc>
          <w:tcPr>
            <w:tcW w:w="1403" w:type="dxa"/>
            <w:vAlign w:val="center"/>
          </w:tcPr>
          <w:p w14:paraId="714526E7">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r>
      <w:tr w14:paraId="5224D7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57" w:type="dxa"/>
            <w:vMerge w:val="restart"/>
            <w:vAlign w:val="center"/>
          </w:tcPr>
          <w:p w14:paraId="5F759A13">
            <w:pPr>
              <w:pStyle w:val="33"/>
              <w:spacing w:beforeLines="0" w:afterLines="0" w:line="240" w:lineRule="auto"/>
              <w:rPr>
                <w:rFonts w:ascii="Times New Roman"/>
                <w:snapToGrid w:val="0"/>
                <w:color w:val="auto"/>
                <w:kern w:val="21"/>
                <w:szCs w:val="21"/>
              </w:rPr>
            </w:pPr>
            <w:r>
              <w:rPr>
                <w:rFonts w:ascii="Times New Roman"/>
                <w:snapToGrid w:val="0"/>
                <w:color w:val="auto"/>
                <w:kern w:val="21"/>
                <w:szCs w:val="21"/>
              </w:rPr>
              <w:t>一般工业</w:t>
            </w:r>
          </w:p>
          <w:p w14:paraId="7C53F5D5">
            <w:pPr>
              <w:pStyle w:val="33"/>
              <w:spacing w:before="24" w:after="24" w:line="240" w:lineRule="auto"/>
              <w:rPr>
                <w:rFonts w:ascii="Times New Roman"/>
                <w:snapToGrid w:val="0"/>
                <w:color w:val="auto"/>
                <w:kern w:val="21"/>
                <w:szCs w:val="21"/>
              </w:rPr>
            </w:pPr>
            <w:r>
              <w:rPr>
                <w:rFonts w:ascii="Times New Roman"/>
                <w:snapToGrid w:val="0"/>
                <w:color w:val="auto"/>
                <w:kern w:val="21"/>
                <w:szCs w:val="21"/>
              </w:rPr>
              <w:t>固体废物</w:t>
            </w:r>
          </w:p>
        </w:tc>
        <w:tc>
          <w:tcPr>
            <w:tcW w:w="1948" w:type="dxa"/>
            <w:vAlign w:val="center"/>
          </w:tcPr>
          <w:p w14:paraId="7D54C0D0">
            <w:pPr>
              <w:jc w:val="center"/>
              <w:rPr>
                <w:color w:val="auto"/>
                <w:szCs w:val="21"/>
              </w:rPr>
            </w:pPr>
            <w:r>
              <w:rPr>
                <w:rFonts w:hint="eastAsia"/>
                <w:color w:val="auto"/>
                <w:szCs w:val="21"/>
              </w:rPr>
              <w:t>废包装材料</w:t>
            </w:r>
          </w:p>
        </w:tc>
        <w:tc>
          <w:tcPr>
            <w:tcW w:w="1701" w:type="dxa"/>
            <w:vAlign w:val="center"/>
          </w:tcPr>
          <w:p w14:paraId="75F2E419">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276" w:type="dxa"/>
            <w:vAlign w:val="center"/>
          </w:tcPr>
          <w:p w14:paraId="06FF3B6E">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701" w:type="dxa"/>
            <w:vAlign w:val="center"/>
          </w:tcPr>
          <w:p w14:paraId="2A2B7072">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559" w:type="dxa"/>
            <w:vAlign w:val="center"/>
          </w:tcPr>
          <w:p w14:paraId="129FA488">
            <w:pPr>
              <w:jc w:val="center"/>
              <w:rPr>
                <w:color w:val="auto"/>
                <w:szCs w:val="21"/>
              </w:rPr>
            </w:pPr>
            <w:r>
              <w:rPr>
                <w:rFonts w:hint="eastAsia"/>
                <w:color w:val="auto"/>
                <w:szCs w:val="21"/>
                <w:lang w:eastAsia="zh-CN"/>
              </w:rPr>
              <w:t>8.935549</w:t>
            </w:r>
            <w:r>
              <w:rPr>
                <w:color w:val="auto"/>
                <w:szCs w:val="21"/>
              </w:rPr>
              <w:t>t/a</w:t>
            </w:r>
          </w:p>
        </w:tc>
        <w:tc>
          <w:tcPr>
            <w:tcW w:w="1761" w:type="dxa"/>
            <w:vAlign w:val="center"/>
          </w:tcPr>
          <w:p w14:paraId="33D6A4F5">
            <w:pPr>
              <w:pStyle w:val="33"/>
              <w:spacing w:beforeLines="0" w:afterLines="0" w:line="240" w:lineRule="auto"/>
              <w:rPr>
                <w:rFonts w:ascii="Times New Roman"/>
                <w:snapToGrid w:val="0"/>
                <w:color w:val="auto"/>
                <w:kern w:val="21"/>
                <w:szCs w:val="21"/>
              </w:rPr>
            </w:pPr>
            <w:r>
              <w:rPr>
                <w:rFonts w:ascii="Times New Roman"/>
                <w:snapToGrid w:val="0"/>
                <w:color w:val="auto"/>
                <w:kern w:val="21"/>
                <w:szCs w:val="21"/>
              </w:rPr>
              <w:t>/</w:t>
            </w:r>
          </w:p>
        </w:tc>
        <w:tc>
          <w:tcPr>
            <w:tcW w:w="1436" w:type="dxa"/>
            <w:vAlign w:val="center"/>
          </w:tcPr>
          <w:p w14:paraId="2A7D90B4">
            <w:pPr>
              <w:jc w:val="center"/>
              <w:rPr>
                <w:color w:val="auto"/>
                <w:szCs w:val="21"/>
              </w:rPr>
            </w:pPr>
            <w:r>
              <w:rPr>
                <w:rFonts w:hint="eastAsia"/>
                <w:color w:val="auto"/>
                <w:szCs w:val="21"/>
                <w:lang w:eastAsia="zh-CN"/>
              </w:rPr>
              <w:t>8.935549</w:t>
            </w:r>
            <w:r>
              <w:rPr>
                <w:rFonts w:hint="eastAsia"/>
                <w:color w:val="auto"/>
                <w:szCs w:val="21"/>
              </w:rPr>
              <w:t>t/a</w:t>
            </w:r>
          </w:p>
        </w:tc>
        <w:tc>
          <w:tcPr>
            <w:tcW w:w="1403" w:type="dxa"/>
            <w:vAlign w:val="center"/>
          </w:tcPr>
          <w:p w14:paraId="3B473FD5">
            <w:pPr>
              <w:pStyle w:val="33"/>
              <w:spacing w:beforeLines="0" w:afterLines="0" w:line="240" w:lineRule="auto"/>
              <w:rPr>
                <w:rFonts w:ascii="Times New Roman"/>
                <w:snapToGrid w:val="0"/>
                <w:color w:val="auto"/>
                <w:kern w:val="21"/>
                <w:szCs w:val="21"/>
              </w:rPr>
            </w:pPr>
            <w:r>
              <w:rPr>
                <w:rFonts w:ascii="Times New Roman"/>
                <w:snapToGrid w:val="0"/>
                <w:color w:val="auto"/>
                <w:kern w:val="21"/>
                <w:szCs w:val="21"/>
              </w:rPr>
              <w:t>+</w:t>
            </w:r>
            <w:r>
              <w:rPr>
                <w:rFonts w:hint="eastAsia" w:ascii="Times New Roman"/>
                <w:color w:val="auto"/>
                <w:szCs w:val="21"/>
                <w:lang w:eastAsia="zh-CN"/>
              </w:rPr>
              <w:t>8.935549</w:t>
            </w:r>
            <w:r>
              <w:rPr>
                <w:rFonts w:ascii="Times New Roman"/>
                <w:color w:val="auto"/>
                <w:szCs w:val="21"/>
              </w:rPr>
              <w:t>t/a</w:t>
            </w:r>
          </w:p>
        </w:tc>
      </w:tr>
      <w:tr w14:paraId="7252C5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57" w:type="dxa"/>
            <w:vMerge w:val="continue"/>
            <w:vAlign w:val="center"/>
          </w:tcPr>
          <w:p w14:paraId="3C79F2EC">
            <w:pPr>
              <w:pStyle w:val="33"/>
              <w:spacing w:beforeLines="0" w:afterLines="0" w:line="240" w:lineRule="auto"/>
              <w:rPr>
                <w:rFonts w:ascii="Times New Roman"/>
                <w:snapToGrid w:val="0"/>
                <w:color w:val="auto"/>
                <w:kern w:val="21"/>
                <w:szCs w:val="21"/>
              </w:rPr>
            </w:pPr>
          </w:p>
        </w:tc>
        <w:tc>
          <w:tcPr>
            <w:tcW w:w="1948" w:type="dxa"/>
            <w:vAlign w:val="center"/>
          </w:tcPr>
          <w:p w14:paraId="476EB5C1">
            <w:pPr>
              <w:jc w:val="center"/>
              <w:rPr>
                <w:color w:val="auto"/>
                <w:szCs w:val="21"/>
              </w:rPr>
            </w:pPr>
            <w:r>
              <w:rPr>
                <w:rFonts w:hint="eastAsia"/>
                <w:color w:val="auto"/>
                <w:szCs w:val="21"/>
              </w:rPr>
              <w:t>除尘器收尘</w:t>
            </w:r>
          </w:p>
        </w:tc>
        <w:tc>
          <w:tcPr>
            <w:tcW w:w="1701" w:type="dxa"/>
            <w:vAlign w:val="center"/>
          </w:tcPr>
          <w:p w14:paraId="6F886B7F">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276" w:type="dxa"/>
            <w:vAlign w:val="center"/>
          </w:tcPr>
          <w:p w14:paraId="59EEAAE9">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701" w:type="dxa"/>
            <w:vAlign w:val="center"/>
          </w:tcPr>
          <w:p w14:paraId="35DF19D4">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559" w:type="dxa"/>
            <w:vAlign w:val="center"/>
          </w:tcPr>
          <w:p w14:paraId="7853A7AD">
            <w:pPr>
              <w:jc w:val="center"/>
              <w:rPr>
                <w:color w:val="auto"/>
                <w:szCs w:val="21"/>
              </w:rPr>
            </w:pPr>
            <w:r>
              <w:rPr>
                <w:rFonts w:hint="eastAsia"/>
                <w:color w:val="auto"/>
              </w:rPr>
              <w:t>0.00189t/a</w:t>
            </w:r>
          </w:p>
        </w:tc>
        <w:tc>
          <w:tcPr>
            <w:tcW w:w="1761" w:type="dxa"/>
            <w:vAlign w:val="center"/>
          </w:tcPr>
          <w:p w14:paraId="7C8F9FEB">
            <w:pPr>
              <w:pStyle w:val="33"/>
              <w:spacing w:beforeLines="0" w:afterLines="0" w:line="240" w:lineRule="auto"/>
              <w:rPr>
                <w:rFonts w:ascii="Times New Roman"/>
                <w:snapToGrid w:val="0"/>
                <w:color w:val="auto"/>
                <w:kern w:val="21"/>
                <w:szCs w:val="21"/>
              </w:rPr>
            </w:pPr>
            <w:r>
              <w:rPr>
                <w:rFonts w:ascii="Times New Roman"/>
                <w:snapToGrid w:val="0"/>
                <w:color w:val="auto"/>
                <w:kern w:val="21"/>
                <w:szCs w:val="21"/>
              </w:rPr>
              <w:t>/</w:t>
            </w:r>
          </w:p>
        </w:tc>
        <w:tc>
          <w:tcPr>
            <w:tcW w:w="1436" w:type="dxa"/>
            <w:vAlign w:val="center"/>
          </w:tcPr>
          <w:p w14:paraId="4B3E8AF4">
            <w:pPr>
              <w:jc w:val="center"/>
              <w:rPr>
                <w:color w:val="auto"/>
                <w:szCs w:val="21"/>
              </w:rPr>
            </w:pPr>
            <w:r>
              <w:rPr>
                <w:rFonts w:hint="eastAsia"/>
                <w:color w:val="auto"/>
              </w:rPr>
              <w:t>0.00189t/a</w:t>
            </w:r>
          </w:p>
        </w:tc>
        <w:tc>
          <w:tcPr>
            <w:tcW w:w="1403" w:type="dxa"/>
            <w:vAlign w:val="center"/>
          </w:tcPr>
          <w:p w14:paraId="4730BDFA">
            <w:pPr>
              <w:pStyle w:val="33"/>
              <w:spacing w:beforeLines="0" w:afterLines="0" w:line="240" w:lineRule="auto"/>
              <w:rPr>
                <w:rFonts w:ascii="Times New Roman"/>
                <w:snapToGrid w:val="0"/>
                <w:color w:val="auto"/>
                <w:kern w:val="21"/>
                <w:szCs w:val="21"/>
              </w:rPr>
            </w:pPr>
            <w:r>
              <w:rPr>
                <w:rFonts w:ascii="Times New Roman"/>
                <w:color w:val="auto"/>
              </w:rPr>
              <w:t>+</w:t>
            </w:r>
            <w:r>
              <w:rPr>
                <w:rFonts w:hint="eastAsia" w:ascii="Times New Roman"/>
                <w:color w:val="auto"/>
              </w:rPr>
              <w:t>0.00189t</w:t>
            </w:r>
            <w:r>
              <w:rPr>
                <w:rFonts w:ascii="Times New Roman"/>
                <w:color w:val="auto"/>
              </w:rPr>
              <w:t>/a</w:t>
            </w:r>
          </w:p>
        </w:tc>
      </w:tr>
      <w:tr w14:paraId="6E7E43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57" w:type="dxa"/>
            <w:vMerge w:val="continue"/>
            <w:vAlign w:val="center"/>
          </w:tcPr>
          <w:p w14:paraId="2846D936">
            <w:pPr>
              <w:pStyle w:val="33"/>
              <w:spacing w:beforeLines="0" w:afterLines="0" w:line="240" w:lineRule="auto"/>
              <w:rPr>
                <w:rFonts w:ascii="Times New Roman"/>
                <w:snapToGrid w:val="0"/>
                <w:color w:val="auto"/>
                <w:kern w:val="21"/>
                <w:szCs w:val="21"/>
              </w:rPr>
            </w:pPr>
          </w:p>
        </w:tc>
        <w:tc>
          <w:tcPr>
            <w:tcW w:w="1948" w:type="dxa"/>
            <w:shd w:val="clear" w:color="auto" w:fill="auto"/>
            <w:vAlign w:val="center"/>
          </w:tcPr>
          <w:p w14:paraId="0421F1A5">
            <w:pPr>
              <w:jc w:val="center"/>
              <w:rPr>
                <w:color w:val="auto"/>
                <w:szCs w:val="21"/>
              </w:rPr>
            </w:pPr>
            <w:r>
              <w:rPr>
                <w:rFonts w:hint="eastAsia"/>
                <w:color w:val="auto"/>
                <w:szCs w:val="21"/>
              </w:rPr>
              <w:t>不合格品和废边角料</w:t>
            </w:r>
          </w:p>
        </w:tc>
        <w:tc>
          <w:tcPr>
            <w:tcW w:w="1701" w:type="dxa"/>
            <w:shd w:val="clear" w:color="auto" w:fill="auto"/>
            <w:vAlign w:val="center"/>
          </w:tcPr>
          <w:p w14:paraId="7FBF671B">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276" w:type="dxa"/>
            <w:shd w:val="clear" w:color="auto" w:fill="auto"/>
            <w:vAlign w:val="center"/>
          </w:tcPr>
          <w:p w14:paraId="09FE6ABD">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701" w:type="dxa"/>
            <w:shd w:val="clear" w:color="auto" w:fill="auto"/>
            <w:vAlign w:val="center"/>
          </w:tcPr>
          <w:p w14:paraId="76E68A94">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559" w:type="dxa"/>
            <w:shd w:val="clear" w:color="auto" w:fill="auto"/>
            <w:vAlign w:val="center"/>
          </w:tcPr>
          <w:p w14:paraId="6E4256E7">
            <w:pPr>
              <w:jc w:val="center"/>
              <w:rPr>
                <w:color w:val="auto"/>
                <w:szCs w:val="21"/>
              </w:rPr>
            </w:pPr>
            <w:r>
              <w:rPr>
                <w:rFonts w:hint="eastAsia"/>
                <w:color w:val="auto"/>
                <w:szCs w:val="21"/>
              </w:rPr>
              <w:t>6.25t/a</w:t>
            </w:r>
          </w:p>
        </w:tc>
        <w:tc>
          <w:tcPr>
            <w:tcW w:w="1761" w:type="dxa"/>
            <w:shd w:val="clear" w:color="auto" w:fill="auto"/>
            <w:vAlign w:val="center"/>
          </w:tcPr>
          <w:p w14:paraId="05E1F7BD">
            <w:pPr>
              <w:pStyle w:val="33"/>
              <w:spacing w:beforeLines="0" w:afterLines="0" w:line="240" w:lineRule="auto"/>
              <w:rPr>
                <w:rFonts w:ascii="Times New Roman"/>
                <w:snapToGrid w:val="0"/>
                <w:color w:val="auto"/>
                <w:kern w:val="21"/>
                <w:szCs w:val="21"/>
              </w:rPr>
            </w:pPr>
            <w:r>
              <w:rPr>
                <w:rFonts w:ascii="Times New Roman"/>
                <w:snapToGrid w:val="0"/>
                <w:color w:val="auto"/>
                <w:kern w:val="21"/>
                <w:szCs w:val="21"/>
              </w:rPr>
              <w:t>/</w:t>
            </w:r>
          </w:p>
        </w:tc>
        <w:tc>
          <w:tcPr>
            <w:tcW w:w="1436" w:type="dxa"/>
            <w:shd w:val="clear" w:color="auto" w:fill="auto"/>
            <w:vAlign w:val="center"/>
          </w:tcPr>
          <w:p w14:paraId="7B5D83F3">
            <w:pPr>
              <w:jc w:val="center"/>
              <w:rPr>
                <w:color w:val="auto"/>
                <w:szCs w:val="21"/>
              </w:rPr>
            </w:pPr>
            <w:r>
              <w:rPr>
                <w:rFonts w:hint="eastAsia"/>
                <w:color w:val="auto"/>
                <w:szCs w:val="21"/>
              </w:rPr>
              <w:t>6.25t/a</w:t>
            </w:r>
          </w:p>
        </w:tc>
        <w:tc>
          <w:tcPr>
            <w:tcW w:w="1403" w:type="dxa"/>
            <w:vAlign w:val="center"/>
          </w:tcPr>
          <w:p w14:paraId="50AC9482">
            <w:pPr>
              <w:pStyle w:val="33"/>
              <w:spacing w:beforeLines="0" w:afterLines="0" w:line="240" w:lineRule="auto"/>
              <w:rPr>
                <w:rFonts w:ascii="Times New Roman"/>
                <w:snapToGrid w:val="0"/>
                <w:color w:val="auto"/>
                <w:kern w:val="21"/>
                <w:szCs w:val="21"/>
              </w:rPr>
            </w:pPr>
            <w:r>
              <w:rPr>
                <w:rFonts w:ascii="Times New Roman"/>
                <w:snapToGrid w:val="0"/>
                <w:color w:val="auto"/>
                <w:kern w:val="21"/>
                <w:szCs w:val="21"/>
              </w:rPr>
              <w:t>+</w:t>
            </w:r>
            <w:r>
              <w:rPr>
                <w:rFonts w:ascii="Times New Roman"/>
                <w:color w:val="auto"/>
                <w:szCs w:val="21"/>
              </w:rPr>
              <w:t>6.25t/a</w:t>
            </w:r>
          </w:p>
        </w:tc>
      </w:tr>
      <w:tr w14:paraId="6A084C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57" w:type="dxa"/>
            <w:vMerge w:val="continue"/>
            <w:vAlign w:val="center"/>
          </w:tcPr>
          <w:p w14:paraId="182BD411">
            <w:pPr>
              <w:pStyle w:val="33"/>
              <w:spacing w:beforeLines="0" w:afterLines="0" w:line="240" w:lineRule="auto"/>
              <w:rPr>
                <w:rFonts w:ascii="Times New Roman"/>
                <w:snapToGrid w:val="0"/>
                <w:color w:val="auto"/>
                <w:kern w:val="21"/>
                <w:szCs w:val="21"/>
              </w:rPr>
            </w:pPr>
          </w:p>
        </w:tc>
        <w:tc>
          <w:tcPr>
            <w:tcW w:w="1948" w:type="dxa"/>
            <w:shd w:val="clear" w:color="auto" w:fill="auto"/>
            <w:vAlign w:val="center"/>
          </w:tcPr>
          <w:p w14:paraId="1608DF37">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烟尘净化器收尘</w:t>
            </w:r>
          </w:p>
        </w:tc>
        <w:tc>
          <w:tcPr>
            <w:tcW w:w="1701" w:type="dxa"/>
            <w:shd w:val="clear" w:color="auto" w:fill="auto"/>
            <w:vAlign w:val="center"/>
          </w:tcPr>
          <w:p w14:paraId="051E8801">
            <w:pPr>
              <w:pStyle w:val="33"/>
              <w:spacing w:beforeLines="0" w:afterLines="0" w:line="240" w:lineRule="auto"/>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rPr>
              <w:t>/</w:t>
            </w:r>
          </w:p>
        </w:tc>
        <w:tc>
          <w:tcPr>
            <w:tcW w:w="1276" w:type="dxa"/>
            <w:shd w:val="clear" w:color="auto" w:fill="auto"/>
            <w:vAlign w:val="center"/>
          </w:tcPr>
          <w:p w14:paraId="4A43DD75">
            <w:pPr>
              <w:pStyle w:val="33"/>
              <w:spacing w:beforeLines="0" w:afterLines="0" w:line="240" w:lineRule="auto"/>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rPr>
              <w:t>/</w:t>
            </w:r>
          </w:p>
        </w:tc>
        <w:tc>
          <w:tcPr>
            <w:tcW w:w="1701" w:type="dxa"/>
            <w:shd w:val="clear" w:color="auto" w:fill="auto"/>
            <w:vAlign w:val="center"/>
          </w:tcPr>
          <w:p w14:paraId="0910BE83">
            <w:pPr>
              <w:pStyle w:val="33"/>
              <w:spacing w:beforeLines="0" w:afterLines="0" w:line="240" w:lineRule="auto"/>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rPr>
              <w:t>/</w:t>
            </w:r>
          </w:p>
        </w:tc>
        <w:tc>
          <w:tcPr>
            <w:tcW w:w="1559" w:type="dxa"/>
            <w:shd w:val="clear" w:color="auto" w:fill="auto"/>
            <w:vAlign w:val="center"/>
          </w:tcPr>
          <w:p w14:paraId="51EF418D">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0.0013t/a</w:t>
            </w:r>
          </w:p>
        </w:tc>
        <w:tc>
          <w:tcPr>
            <w:tcW w:w="1761" w:type="dxa"/>
            <w:shd w:val="clear" w:color="auto" w:fill="auto"/>
            <w:vAlign w:val="center"/>
          </w:tcPr>
          <w:p w14:paraId="012E3C76">
            <w:pPr>
              <w:pStyle w:val="33"/>
              <w:spacing w:beforeLines="0" w:afterLines="0" w:line="240" w:lineRule="auto"/>
              <w:rPr>
                <w:rFonts w:ascii="Times New Roman" w:hAnsi="Times New Roman" w:eastAsia="宋体" w:cs="Times New Roman"/>
                <w:snapToGrid w:val="0"/>
                <w:color w:val="auto"/>
                <w:kern w:val="21"/>
                <w:sz w:val="21"/>
                <w:szCs w:val="21"/>
                <w:lang w:val="en-US" w:eastAsia="zh-CN" w:bidi="ar-SA"/>
              </w:rPr>
            </w:pPr>
            <w:r>
              <w:rPr>
                <w:rFonts w:ascii="Times New Roman"/>
                <w:snapToGrid w:val="0"/>
                <w:color w:val="auto"/>
                <w:kern w:val="21"/>
                <w:szCs w:val="21"/>
              </w:rPr>
              <w:t>/</w:t>
            </w:r>
          </w:p>
        </w:tc>
        <w:tc>
          <w:tcPr>
            <w:tcW w:w="1436" w:type="dxa"/>
            <w:shd w:val="clear" w:color="auto" w:fill="auto"/>
            <w:vAlign w:val="center"/>
          </w:tcPr>
          <w:p w14:paraId="32068249">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0.0013t/a</w:t>
            </w:r>
          </w:p>
        </w:tc>
        <w:tc>
          <w:tcPr>
            <w:tcW w:w="1403" w:type="dxa"/>
            <w:shd w:val="clear" w:color="auto" w:fill="auto"/>
            <w:vAlign w:val="center"/>
          </w:tcPr>
          <w:p w14:paraId="0200D2AA">
            <w:pPr>
              <w:pStyle w:val="33"/>
              <w:spacing w:beforeLines="0" w:afterLines="0" w:line="240" w:lineRule="auto"/>
              <w:rPr>
                <w:rFonts w:ascii="Times New Roman" w:hAnsi="Times New Roman" w:eastAsia="宋体" w:cs="Times New Roman"/>
                <w:snapToGrid w:val="0"/>
                <w:color w:val="auto"/>
                <w:kern w:val="21"/>
                <w:sz w:val="21"/>
                <w:szCs w:val="21"/>
                <w:lang w:val="en-US" w:eastAsia="zh-CN" w:bidi="ar-SA"/>
              </w:rPr>
            </w:pPr>
            <w:r>
              <w:rPr>
                <w:rFonts w:ascii="Times New Roman"/>
                <w:snapToGrid w:val="0"/>
                <w:color w:val="auto"/>
                <w:kern w:val="21"/>
                <w:szCs w:val="21"/>
              </w:rPr>
              <w:t>+</w:t>
            </w:r>
            <w:r>
              <w:rPr>
                <w:rFonts w:ascii="Times New Roman"/>
                <w:color w:val="auto"/>
                <w:szCs w:val="21"/>
              </w:rPr>
              <w:t>0.0013t/a</w:t>
            </w:r>
          </w:p>
        </w:tc>
      </w:tr>
      <w:tr w14:paraId="429345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57" w:type="dxa"/>
            <w:vMerge w:val="continue"/>
            <w:vAlign w:val="center"/>
          </w:tcPr>
          <w:p w14:paraId="2A915B5D">
            <w:pPr>
              <w:pStyle w:val="33"/>
              <w:spacing w:beforeLines="0" w:afterLines="0" w:line="240" w:lineRule="auto"/>
              <w:rPr>
                <w:rFonts w:ascii="Times New Roman"/>
                <w:snapToGrid w:val="0"/>
                <w:color w:val="auto"/>
                <w:kern w:val="21"/>
                <w:szCs w:val="21"/>
              </w:rPr>
            </w:pPr>
          </w:p>
        </w:tc>
        <w:tc>
          <w:tcPr>
            <w:tcW w:w="1948" w:type="dxa"/>
            <w:vAlign w:val="center"/>
          </w:tcPr>
          <w:p w14:paraId="3A919464">
            <w:pPr>
              <w:jc w:val="center"/>
              <w:rPr>
                <w:rFonts w:hint="eastAsia" w:eastAsia="宋体"/>
                <w:color w:val="auto"/>
                <w:szCs w:val="21"/>
                <w:lang w:val="en-US" w:eastAsia="zh-CN"/>
              </w:rPr>
            </w:pPr>
            <w:r>
              <w:rPr>
                <w:rFonts w:hint="eastAsia"/>
                <w:color w:val="auto"/>
                <w:szCs w:val="21"/>
                <w:lang w:val="en-US" w:eastAsia="zh-CN"/>
              </w:rPr>
              <w:t>废铁皮</w:t>
            </w:r>
          </w:p>
        </w:tc>
        <w:tc>
          <w:tcPr>
            <w:tcW w:w="1701" w:type="dxa"/>
            <w:vAlign w:val="center"/>
          </w:tcPr>
          <w:p w14:paraId="692DE8CF">
            <w:pPr>
              <w:pStyle w:val="33"/>
              <w:spacing w:beforeLines="0" w:afterLines="0" w:line="240" w:lineRule="auto"/>
              <w:rPr>
                <w:rFonts w:hint="default"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4.1882t/a</w:t>
            </w:r>
          </w:p>
        </w:tc>
        <w:tc>
          <w:tcPr>
            <w:tcW w:w="1276" w:type="dxa"/>
            <w:vAlign w:val="center"/>
          </w:tcPr>
          <w:p w14:paraId="1C8B239F">
            <w:pPr>
              <w:pStyle w:val="33"/>
              <w:spacing w:beforeLines="0" w:afterLines="0" w:line="240" w:lineRule="auto"/>
              <w:rPr>
                <w:rFonts w:hint="eastAsia"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w:t>
            </w:r>
          </w:p>
        </w:tc>
        <w:tc>
          <w:tcPr>
            <w:tcW w:w="1701" w:type="dxa"/>
            <w:vAlign w:val="center"/>
          </w:tcPr>
          <w:p w14:paraId="075A8D5B">
            <w:pPr>
              <w:pStyle w:val="33"/>
              <w:spacing w:beforeLines="0" w:afterLines="0" w:line="240" w:lineRule="auto"/>
              <w:rPr>
                <w:rFonts w:hint="eastAsia"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w:t>
            </w:r>
          </w:p>
        </w:tc>
        <w:tc>
          <w:tcPr>
            <w:tcW w:w="1559" w:type="dxa"/>
            <w:vAlign w:val="center"/>
          </w:tcPr>
          <w:p w14:paraId="10051391">
            <w:pPr>
              <w:jc w:val="center"/>
              <w:rPr>
                <w:rFonts w:hint="eastAsia" w:eastAsia="宋体"/>
                <w:color w:val="auto"/>
                <w:szCs w:val="21"/>
                <w:lang w:val="en-US" w:eastAsia="zh-CN"/>
              </w:rPr>
            </w:pPr>
            <w:r>
              <w:rPr>
                <w:rFonts w:hint="eastAsia"/>
                <w:color w:val="auto"/>
                <w:szCs w:val="21"/>
                <w:lang w:val="en-US" w:eastAsia="zh-CN"/>
              </w:rPr>
              <w:t>/</w:t>
            </w:r>
          </w:p>
        </w:tc>
        <w:tc>
          <w:tcPr>
            <w:tcW w:w="1761" w:type="dxa"/>
            <w:vAlign w:val="center"/>
          </w:tcPr>
          <w:p w14:paraId="7AF28C8B">
            <w:pPr>
              <w:pStyle w:val="33"/>
              <w:spacing w:beforeLines="0" w:afterLines="0" w:line="240" w:lineRule="auto"/>
              <w:rPr>
                <w:rFonts w:hint="eastAsia"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w:t>
            </w:r>
          </w:p>
        </w:tc>
        <w:tc>
          <w:tcPr>
            <w:tcW w:w="1436" w:type="dxa"/>
            <w:shd w:val="clear" w:color="auto" w:fill="auto"/>
            <w:vAlign w:val="center"/>
          </w:tcPr>
          <w:p w14:paraId="30E2F27D">
            <w:pPr>
              <w:pStyle w:val="33"/>
              <w:spacing w:beforeLines="0" w:afterLines="0" w:line="240" w:lineRule="auto"/>
              <w:rPr>
                <w:rFonts w:hint="default"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lang w:val="en-US" w:eastAsia="zh-CN"/>
              </w:rPr>
              <w:t>4.1882t/a</w:t>
            </w:r>
          </w:p>
        </w:tc>
        <w:tc>
          <w:tcPr>
            <w:tcW w:w="1403" w:type="dxa"/>
            <w:shd w:val="clear" w:color="auto" w:fill="auto"/>
            <w:vAlign w:val="center"/>
          </w:tcPr>
          <w:p w14:paraId="39997BB0">
            <w:pPr>
              <w:pStyle w:val="33"/>
              <w:spacing w:beforeLines="0" w:afterLines="0" w:line="240" w:lineRule="auto"/>
              <w:rPr>
                <w:rFonts w:hint="default"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lang w:val="en-US" w:eastAsia="zh-CN"/>
              </w:rPr>
              <w:t>+4.1882t/a</w:t>
            </w:r>
          </w:p>
        </w:tc>
      </w:tr>
      <w:tr w14:paraId="767A10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57" w:type="dxa"/>
            <w:vMerge w:val="continue"/>
            <w:vAlign w:val="center"/>
          </w:tcPr>
          <w:p w14:paraId="79CC3EEF">
            <w:pPr>
              <w:pStyle w:val="33"/>
              <w:spacing w:beforeLines="0" w:afterLines="0" w:line="240" w:lineRule="auto"/>
              <w:rPr>
                <w:rFonts w:ascii="Times New Roman"/>
                <w:snapToGrid w:val="0"/>
                <w:color w:val="auto"/>
                <w:kern w:val="21"/>
                <w:szCs w:val="21"/>
              </w:rPr>
            </w:pPr>
          </w:p>
        </w:tc>
        <w:tc>
          <w:tcPr>
            <w:tcW w:w="1948" w:type="dxa"/>
            <w:vAlign w:val="center"/>
          </w:tcPr>
          <w:p w14:paraId="2DE3D2BC">
            <w:pPr>
              <w:jc w:val="center"/>
              <w:rPr>
                <w:rFonts w:hint="eastAsia" w:eastAsia="宋体"/>
                <w:color w:val="auto"/>
                <w:szCs w:val="21"/>
                <w:lang w:val="en-US" w:eastAsia="zh-CN"/>
              </w:rPr>
            </w:pPr>
            <w:r>
              <w:rPr>
                <w:rFonts w:hint="eastAsia"/>
                <w:color w:val="auto"/>
                <w:szCs w:val="21"/>
                <w:lang w:val="en-US" w:eastAsia="zh-CN"/>
              </w:rPr>
              <w:t>焊渣</w:t>
            </w:r>
          </w:p>
        </w:tc>
        <w:tc>
          <w:tcPr>
            <w:tcW w:w="1701" w:type="dxa"/>
            <w:vAlign w:val="center"/>
          </w:tcPr>
          <w:p w14:paraId="04124E73">
            <w:pPr>
              <w:pStyle w:val="33"/>
              <w:spacing w:beforeLines="0" w:afterLines="0" w:line="240" w:lineRule="auto"/>
              <w:rPr>
                <w:rFonts w:hint="default"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0.01t/a</w:t>
            </w:r>
          </w:p>
        </w:tc>
        <w:tc>
          <w:tcPr>
            <w:tcW w:w="1276" w:type="dxa"/>
            <w:vAlign w:val="center"/>
          </w:tcPr>
          <w:p w14:paraId="3F16694D">
            <w:pPr>
              <w:pStyle w:val="33"/>
              <w:spacing w:beforeLines="0" w:afterLines="0" w:line="240" w:lineRule="auto"/>
              <w:rPr>
                <w:rFonts w:hint="eastAsia"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w:t>
            </w:r>
          </w:p>
        </w:tc>
        <w:tc>
          <w:tcPr>
            <w:tcW w:w="1701" w:type="dxa"/>
            <w:vAlign w:val="center"/>
          </w:tcPr>
          <w:p w14:paraId="4C27A287">
            <w:pPr>
              <w:pStyle w:val="33"/>
              <w:spacing w:beforeLines="0" w:afterLines="0" w:line="240" w:lineRule="auto"/>
              <w:rPr>
                <w:rFonts w:hint="eastAsia"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w:t>
            </w:r>
          </w:p>
        </w:tc>
        <w:tc>
          <w:tcPr>
            <w:tcW w:w="1559" w:type="dxa"/>
            <w:vAlign w:val="center"/>
          </w:tcPr>
          <w:p w14:paraId="306A7D1F">
            <w:pPr>
              <w:jc w:val="center"/>
              <w:rPr>
                <w:rFonts w:hint="eastAsia" w:eastAsia="宋体"/>
                <w:color w:val="auto"/>
                <w:szCs w:val="21"/>
                <w:lang w:val="en-US" w:eastAsia="zh-CN"/>
              </w:rPr>
            </w:pPr>
            <w:r>
              <w:rPr>
                <w:rFonts w:hint="eastAsia"/>
                <w:color w:val="auto"/>
                <w:szCs w:val="21"/>
                <w:lang w:val="en-US" w:eastAsia="zh-CN"/>
              </w:rPr>
              <w:t>/</w:t>
            </w:r>
          </w:p>
        </w:tc>
        <w:tc>
          <w:tcPr>
            <w:tcW w:w="1761" w:type="dxa"/>
            <w:vAlign w:val="center"/>
          </w:tcPr>
          <w:p w14:paraId="205B0734">
            <w:pPr>
              <w:pStyle w:val="33"/>
              <w:spacing w:beforeLines="0" w:afterLines="0" w:line="240" w:lineRule="auto"/>
              <w:rPr>
                <w:rFonts w:hint="eastAsia"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w:t>
            </w:r>
          </w:p>
        </w:tc>
        <w:tc>
          <w:tcPr>
            <w:tcW w:w="1436" w:type="dxa"/>
            <w:shd w:val="clear" w:color="auto" w:fill="auto"/>
            <w:vAlign w:val="center"/>
          </w:tcPr>
          <w:p w14:paraId="6D3C3BF0">
            <w:pPr>
              <w:pStyle w:val="33"/>
              <w:spacing w:beforeLines="0" w:afterLines="0" w:line="240" w:lineRule="auto"/>
              <w:rPr>
                <w:rFonts w:hint="default"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lang w:val="en-US" w:eastAsia="zh-CN"/>
              </w:rPr>
              <w:t>0.01t/a</w:t>
            </w:r>
          </w:p>
        </w:tc>
        <w:tc>
          <w:tcPr>
            <w:tcW w:w="1403" w:type="dxa"/>
            <w:shd w:val="clear" w:color="auto" w:fill="auto"/>
            <w:vAlign w:val="center"/>
          </w:tcPr>
          <w:p w14:paraId="7994F3EF">
            <w:pPr>
              <w:pStyle w:val="33"/>
              <w:spacing w:beforeLines="0" w:afterLines="0" w:line="240" w:lineRule="auto"/>
              <w:rPr>
                <w:rFonts w:hint="default"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lang w:val="en-US" w:eastAsia="zh-CN"/>
              </w:rPr>
              <w:t>+0.01t/a</w:t>
            </w:r>
          </w:p>
        </w:tc>
      </w:tr>
      <w:tr w14:paraId="5B5445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57" w:type="dxa"/>
            <w:vMerge w:val="restart"/>
            <w:vAlign w:val="center"/>
          </w:tcPr>
          <w:p w14:paraId="1541368F">
            <w:pPr>
              <w:pStyle w:val="33"/>
              <w:spacing w:beforeLines="0" w:afterLines="0" w:line="240" w:lineRule="auto"/>
              <w:rPr>
                <w:rFonts w:ascii="Times New Roman"/>
                <w:snapToGrid w:val="0"/>
                <w:color w:val="auto"/>
                <w:kern w:val="21"/>
                <w:szCs w:val="21"/>
              </w:rPr>
            </w:pPr>
            <w:r>
              <w:rPr>
                <w:rFonts w:ascii="Times New Roman"/>
                <w:snapToGrid w:val="0"/>
                <w:color w:val="auto"/>
                <w:kern w:val="21"/>
                <w:szCs w:val="21"/>
              </w:rPr>
              <w:t>危险废物</w:t>
            </w:r>
          </w:p>
        </w:tc>
        <w:tc>
          <w:tcPr>
            <w:tcW w:w="1948" w:type="dxa"/>
            <w:vAlign w:val="center"/>
          </w:tcPr>
          <w:p w14:paraId="5F6EAE37">
            <w:pPr>
              <w:jc w:val="center"/>
              <w:rPr>
                <w:color w:val="auto"/>
                <w:szCs w:val="21"/>
              </w:rPr>
            </w:pPr>
            <w:r>
              <w:rPr>
                <w:rFonts w:hint="eastAsia"/>
                <w:color w:val="auto"/>
                <w:szCs w:val="21"/>
              </w:rPr>
              <w:t>废活性炭</w:t>
            </w:r>
          </w:p>
        </w:tc>
        <w:tc>
          <w:tcPr>
            <w:tcW w:w="1701" w:type="dxa"/>
            <w:vAlign w:val="center"/>
          </w:tcPr>
          <w:p w14:paraId="220EEDF6">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276" w:type="dxa"/>
            <w:vAlign w:val="center"/>
          </w:tcPr>
          <w:p w14:paraId="057E7508">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701" w:type="dxa"/>
            <w:vAlign w:val="center"/>
          </w:tcPr>
          <w:p w14:paraId="0274078F">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559" w:type="dxa"/>
            <w:vAlign w:val="center"/>
          </w:tcPr>
          <w:p w14:paraId="70D88D3E">
            <w:pPr>
              <w:jc w:val="center"/>
              <w:rPr>
                <w:color w:val="auto"/>
                <w:szCs w:val="21"/>
              </w:rPr>
            </w:pPr>
            <w:r>
              <w:rPr>
                <w:rFonts w:hint="eastAsia"/>
                <w:color w:val="auto"/>
                <w:szCs w:val="21"/>
                <w:lang w:eastAsia="zh-CN"/>
              </w:rPr>
              <w:t>8.22</w:t>
            </w:r>
            <w:r>
              <w:rPr>
                <w:rFonts w:hint="eastAsia"/>
                <w:color w:val="auto"/>
                <w:szCs w:val="21"/>
              </w:rPr>
              <w:t>t/a</w:t>
            </w:r>
          </w:p>
        </w:tc>
        <w:tc>
          <w:tcPr>
            <w:tcW w:w="1761" w:type="dxa"/>
            <w:vAlign w:val="center"/>
          </w:tcPr>
          <w:p w14:paraId="5369D936">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436" w:type="dxa"/>
            <w:vAlign w:val="center"/>
          </w:tcPr>
          <w:p w14:paraId="6D9B61FA">
            <w:pPr>
              <w:jc w:val="center"/>
              <w:rPr>
                <w:color w:val="auto"/>
                <w:szCs w:val="21"/>
              </w:rPr>
            </w:pPr>
            <w:r>
              <w:rPr>
                <w:rFonts w:hint="eastAsia"/>
                <w:color w:val="auto"/>
                <w:szCs w:val="21"/>
                <w:lang w:eastAsia="zh-CN"/>
              </w:rPr>
              <w:t>8.22</w:t>
            </w:r>
            <w:r>
              <w:rPr>
                <w:rFonts w:hint="eastAsia"/>
                <w:color w:val="auto"/>
                <w:szCs w:val="21"/>
              </w:rPr>
              <w:t>t/a</w:t>
            </w:r>
          </w:p>
        </w:tc>
        <w:tc>
          <w:tcPr>
            <w:tcW w:w="1403" w:type="dxa"/>
            <w:vAlign w:val="center"/>
          </w:tcPr>
          <w:p w14:paraId="69605661">
            <w:pPr>
              <w:pStyle w:val="33"/>
              <w:spacing w:beforeLines="0" w:afterLines="0" w:line="240" w:lineRule="auto"/>
              <w:rPr>
                <w:rFonts w:ascii="Times New Roman"/>
                <w:snapToGrid w:val="0"/>
                <w:color w:val="auto"/>
                <w:kern w:val="21"/>
                <w:szCs w:val="21"/>
              </w:rPr>
            </w:pPr>
            <w:r>
              <w:rPr>
                <w:rFonts w:ascii="Times New Roman"/>
                <w:color w:val="auto"/>
                <w:szCs w:val="21"/>
              </w:rPr>
              <w:t>+</w:t>
            </w:r>
            <w:r>
              <w:rPr>
                <w:rFonts w:hint="eastAsia" w:ascii="Times New Roman"/>
                <w:color w:val="auto"/>
                <w:szCs w:val="21"/>
                <w:lang w:eastAsia="zh-CN"/>
              </w:rPr>
              <w:t>8.22</w:t>
            </w:r>
            <w:r>
              <w:rPr>
                <w:rFonts w:ascii="Times New Roman"/>
                <w:color w:val="auto"/>
                <w:szCs w:val="21"/>
              </w:rPr>
              <w:t>t/a</w:t>
            </w:r>
          </w:p>
        </w:tc>
      </w:tr>
      <w:tr w14:paraId="485EE5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57" w:type="dxa"/>
            <w:vMerge w:val="continue"/>
            <w:vAlign w:val="center"/>
          </w:tcPr>
          <w:p w14:paraId="59755EFA">
            <w:pPr>
              <w:pStyle w:val="33"/>
              <w:spacing w:beforeLines="0" w:afterLines="0" w:line="240" w:lineRule="auto"/>
              <w:rPr>
                <w:rFonts w:ascii="Times New Roman"/>
                <w:snapToGrid w:val="0"/>
                <w:color w:val="auto"/>
                <w:kern w:val="21"/>
                <w:szCs w:val="21"/>
              </w:rPr>
            </w:pPr>
          </w:p>
        </w:tc>
        <w:tc>
          <w:tcPr>
            <w:tcW w:w="1948" w:type="dxa"/>
            <w:vAlign w:val="center"/>
          </w:tcPr>
          <w:p w14:paraId="07796120">
            <w:pPr>
              <w:jc w:val="center"/>
              <w:rPr>
                <w:color w:val="auto"/>
                <w:szCs w:val="21"/>
              </w:rPr>
            </w:pPr>
            <w:r>
              <w:rPr>
                <w:rFonts w:hint="eastAsia"/>
                <w:color w:val="auto"/>
                <w:szCs w:val="21"/>
              </w:rPr>
              <w:t>废抹布</w:t>
            </w:r>
          </w:p>
        </w:tc>
        <w:tc>
          <w:tcPr>
            <w:tcW w:w="1701" w:type="dxa"/>
            <w:vAlign w:val="center"/>
          </w:tcPr>
          <w:p w14:paraId="6D3A3E20">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0.005t/a</w:t>
            </w:r>
          </w:p>
        </w:tc>
        <w:tc>
          <w:tcPr>
            <w:tcW w:w="1276" w:type="dxa"/>
            <w:vAlign w:val="center"/>
          </w:tcPr>
          <w:p w14:paraId="2284BD0A">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701" w:type="dxa"/>
            <w:vAlign w:val="center"/>
          </w:tcPr>
          <w:p w14:paraId="66782593">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559" w:type="dxa"/>
            <w:vAlign w:val="center"/>
          </w:tcPr>
          <w:p w14:paraId="11D20DD5">
            <w:pPr>
              <w:jc w:val="center"/>
              <w:rPr>
                <w:color w:val="auto"/>
              </w:rPr>
            </w:pPr>
            <w:r>
              <w:rPr>
                <w:rFonts w:hint="eastAsia"/>
                <w:color w:val="auto"/>
                <w:szCs w:val="21"/>
              </w:rPr>
              <w:t>0.005t/a</w:t>
            </w:r>
          </w:p>
        </w:tc>
        <w:tc>
          <w:tcPr>
            <w:tcW w:w="1761" w:type="dxa"/>
            <w:shd w:val="clear" w:color="auto" w:fill="auto"/>
            <w:vAlign w:val="center"/>
          </w:tcPr>
          <w:p w14:paraId="4BEE3B45">
            <w:pPr>
              <w:pStyle w:val="33"/>
              <w:spacing w:beforeLines="0" w:afterLines="0" w:line="240" w:lineRule="auto"/>
              <w:rPr>
                <w:rFonts w:hint="eastAsia"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w:t>
            </w:r>
          </w:p>
        </w:tc>
        <w:tc>
          <w:tcPr>
            <w:tcW w:w="1436" w:type="dxa"/>
            <w:vAlign w:val="center"/>
          </w:tcPr>
          <w:p w14:paraId="26A77AB2">
            <w:pPr>
              <w:jc w:val="center"/>
              <w:rPr>
                <w:color w:val="auto"/>
                <w:szCs w:val="21"/>
              </w:rPr>
            </w:pPr>
            <w:r>
              <w:rPr>
                <w:rFonts w:hint="eastAsia"/>
                <w:color w:val="auto"/>
                <w:szCs w:val="21"/>
              </w:rPr>
              <w:t>0.0</w:t>
            </w:r>
            <w:r>
              <w:rPr>
                <w:rFonts w:hint="eastAsia"/>
                <w:color w:val="auto"/>
                <w:szCs w:val="21"/>
                <w:lang w:val="en-US" w:eastAsia="zh-CN"/>
              </w:rPr>
              <w:t>1</w:t>
            </w:r>
            <w:r>
              <w:rPr>
                <w:rFonts w:hint="eastAsia"/>
                <w:color w:val="auto"/>
                <w:szCs w:val="21"/>
              </w:rPr>
              <w:t>t/a</w:t>
            </w:r>
          </w:p>
        </w:tc>
        <w:tc>
          <w:tcPr>
            <w:tcW w:w="1403" w:type="dxa"/>
            <w:shd w:val="clear" w:color="auto" w:fill="auto"/>
            <w:vAlign w:val="center"/>
          </w:tcPr>
          <w:p w14:paraId="72D1496D">
            <w:pPr>
              <w:jc w:val="center"/>
              <w:rPr>
                <w:rFonts w:hint="eastAsia" w:ascii="Times New Roman" w:hAnsi="Times New Roman" w:eastAsia="宋体" w:cs="Times New Roman"/>
                <w:color w:val="auto"/>
                <w:kern w:val="2"/>
                <w:sz w:val="21"/>
                <w:szCs w:val="24"/>
                <w:lang w:val="en-US" w:eastAsia="zh-CN" w:bidi="ar-SA"/>
              </w:rPr>
            </w:pPr>
            <w:r>
              <w:rPr>
                <w:rFonts w:hint="eastAsia"/>
                <w:color w:val="auto"/>
                <w:szCs w:val="21"/>
                <w:lang w:val="en-US" w:eastAsia="zh-CN"/>
              </w:rPr>
              <w:t>+</w:t>
            </w:r>
            <w:r>
              <w:rPr>
                <w:rFonts w:hint="eastAsia"/>
                <w:color w:val="auto"/>
                <w:szCs w:val="21"/>
              </w:rPr>
              <w:t>0.005t/a</w:t>
            </w:r>
          </w:p>
        </w:tc>
      </w:tr>
      <w:tr w14:paraId="167F09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57" w:type="dxa"/>
            <w:vMerge w:val="continue"/>
            <w:vAlign w:val="center"/>
          </w:tcPr>
          <w:p w14:paraId="130ABC37">
            <w:pPr>
              <w:pStyle w:val="33"/>
              <w:spacing w:beforeLines="0" w:afterLines="0" w:line="240" w:lineRule="auto"/>
              <w:rPr>
                <w:rFonts w:ascii="Times New Roman"/>
                <w:snapToGrid w:val="0"/>
                <w:color w:val="auto"/>
                <w:kern w:val="21"/>
                <w:szCs w:val="21"/>
              </w:rPr>
            </w:pPr>
          </w:p>
        </w:tc>
        <w:tc>
          <w:tcPr>
            <w:tcW w:w="1948" w:type="dxa"/>
            <w:vAlign w:val="center"/>
          </w:tcPr>
          <w:p w14:paraId="342C05EF">
            <w:pPr>
              <w:jc w:val="center"/>
              <w:rPr>
                <w:color w:val="auto"/>
                <w:szCs w:val="21"/>
              </w:rPr>
            </w:pPr>
            <w:r>
              <w:rPr>
                <w:rFonts w:hint="eastAsia"/>
                <w:color w:val="auto"/>
                <w:szCs w:val="21"/>
              </w:rPr>
              <w:t>废油桶</w:t>
            </w:r>
          </w:p>
        </w:tc>
        <w:tc>
          <w:tcPr>
            <w:tcW w:w="1701" w:type="dxa"/>
            <w:vAlign w:val="center"/>
          </w:tcPr>
          <w:p w14:paraId="6BD9BC9B">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0.05t/a</w:t>
            </w:r>
          </w:p>
        </w:tc>
        <w:tc>
          <w:tcPr>
            <w:tcW w:w="1276" w:type="dxa"/>
            <w:vAlign w:val="center"/>
          </w:tcPr>
          <w:p w14:paraId="0CD072D0">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701" w:type="dxa"/>
            <w:vAlign w:val="center"/>
          </w:tcPr>
          <w:p w14:paraId="28E505CA">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559" w:type="dxa"/>
            <w:vAlign w:val="center"/>
          </w:tcPr>
          <w:p w14:paraId="718B3522">
            <w:pPr>
              <w:jc w:val="center"/>
              <w:rPr>
                <w:snapToGrid w:val="0"/>
                <w:color w:val="auto"/>
                <w:kern w:val="21"/>
                <w:szCs w:val="21"/>
              </w:rPr>
            </w:pPr>
            <w:r>
              <w:rPr>
                <w:rFonts w:hint="eastAsia"/>
                <w:color w:val="auto"/>
                <w:szCs w:val="21"/>
              </w:rPr>
              <w:t>0.05t/a</w:t>
            </w:r>
          </w:p>
        </w:tc>
        <w:tc>
          <w:tcPr>
            <w:tcW w:w="1761" w:type="dxa"/>
            <w:shd w:val="clear" w:color="auto" w:fill="auto"/>
            <w:vAlign w:val="center"/>
          </w:tcPr>
          <w:p w14:paraId="1E3E0F58">
            <w:pPr>
              <w:pStyle w:val="33"/>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436" w:type="dxa"/>
            <w:vAlign w:val="center"/>
          </w:tcPr>
          <w:p w14:paraId="5A30DF78">
            <w:pPr>
              <w:jc w:val="center"/>
              <w:rPr>
                <w:snapToGrid w:val="0"/>
                <w:color w:val="auto"/>
                <w:kern w:val="21"/>
                <w:szCs w:val="21"/>
              </w:rPr>
            </w:pPr>
            <w:r>
              <w:rPr>
                <w:rFonts w:hint="eastAsia"/>
                <w:color w:val="auto"/>
                <w:szCs w:val="21"/>
              </w:rPr>
              <w:t>0.</w:t>
            </w:r>
            <w:r>
              <w:rPr>
                <w:rFonts w:hint="eastAsia"/>
                <w:color w:val="auto"/>
                <w:szCs w:val="21"/>
                <w:lang w:val="en-US" w:eastAsia="zh-CN"/>
              </w:rPr>
              <w:t>1</w:t>
            </w:r>
            <w:r>
              <w:rPr>
                <w:rFonts w:hint="eastAsia"/>
                <w:color w:val="auto"/>
                <w:szCs w:val="21"/>
              </w:rPr>
              <w:t>t/a</w:t>
            </w:r>
          </w:p>
        </w:tc>
        <w:tc>
          <w:tcPr>
            <w:tcW w:w="1403" w:type="dxa"/>
            <w:shd w:val="clear" w:color="auto" w:fill="auto"/>
            <w:vAlign w:val="center"/>
          </w:tcPr>
          <w:p w14:paraId="14201CCD">
            <w:pPr>
              <w:jc w:val="center"/>
              <w:rPr>
                <w:rFonts w:ascii="Times New Roman" w:hAnsi="Times New Roman" w:eastAsia="宋体" w:cs="Times New Roman"/>
                <w:snapToGrid w:val="0"/>
                <w:color w:val="auto"/>
                <w:kern w:val="21"/>
                <w:sz w:val="21"/>
                <w:szCs w:val="21"/>
                <w:lang w:val="en-US" w:eastAsia="zh-CN" w:bidi="ar-SA"/>
              </w:rPr>
            </w:pPr>
            <w:r>
              <w:rPr>
                <w:rFonts w:hint="eastAsia"/>
                <w:color w:val="auto"/>
                <w:szCs w:val="21"/>
                <w:lang w:val="en-US" w:eastAsia="zh-CN"/>
              </w:rPr>
              <w:t>+</w:t>
            </w:r>
            <w:r>
              <w:rPr>
                <w:rFonts w:hint="eastAsia"/>
                <w:color w:val="auto"/>
                <w:szCs w:val="21"/>
              </w:rPr>
              <w:t>0.05t/a</w:t>
            </w:r>
          </w:p>
        </w:tc>
      </w:tr>
      <w:tr w14:paraId="13E5B3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57" w:type="dxa"/>
            <w:vMerge w:val="continue"/>
            <w:vAlign w:val="center"/>
          </w:tcPr>
          <w:p w14:paraId="23FA1174">
            <w:pPr>
              <w:pStyle w:val="33"/>
              <w:spacing w:beforeLines="0" w:afterLines="0" w:line="240" w:lineRule="auto"/>
              <w:rPr>
                <w:rFonts w:ascii="Times New Roman"/>
                <w:snapToGrid w:val="0"/>
                <w:color w:val="auto"/>
                <w:kern w:val="21"/>
                <w:szCs w:val="21"/>
              </w:rPr>
            </w:pPr>
          </w:p>
        </w:tc>
        <w:tc>
          <w:tcPr>
            <w:tcW w:w="1948" w:type="dxa"/>
            <w:vAlign w:val="center"/>
          </w:tcPr>
          <w:p w14:paraId="1F03C563">
            <w:pPr>
              <w:jc w:val="center"/>
              <w:rPr>
                <w:snapToGrid w:val="0"/>
                <w:color w:val="auto"/>
                <w:kern w:val="21"/>
                <w:szCs w:val="21"/>
              </w:rPr>
            </w:pPr>
            <w:r>
              <w:rPr>
                <w:rFonts w:hint="eastAsia"/>
                <w:color w:val="auto"/>
                <w:szCs w:val="21"/>
              </w:rPr>
              <w:t>废机油</w:t>
            </w:r>
          </w:p>
        </w:tc>
        <w:tc>
          <w:tcPr>
            <w:tcW w:w="1701" w:type="dxa"/>
            <w:vAlign w:val="center"/>
          </w:tcPr>
          <w:p w14:paraId="21AAB76F">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0.2t/a</w:t>
            </w:r>
          </w:p>
        </w:tc>
        <w:tc>
          <w:tcPr>
            <w:tcW w:w="1276" w:type="dxa"/>
            <w:vAlign w:val="center"/>
          </w:tcPr>
          <w:p w14:paraId="5CCDA510">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701" w:type="dxa"/>
            <w:vAlign w:val="center"/>
          </w:tcPr>
          <w:p w14:paraId="467419C1">
            <w:pPr>
              <w:pStyle w:val="33"/>
              <w:spacing w:beforeLines="0" w:afterLines="0" w:line="240" w:lineRule="auto"/>
              <w:rPr>
                <w:rFonts w:ascii="Times New Roman"/>
                <w:snapToGrid w:val="0"/>
                <w:color w:val="auto"/>
                <w:kern w:val="21"/>
                <w:szCs w:val="21"/>
              </w:rPr>
            </w:pPr>
            <w:r>
              <w:rPr>
                <w:rFonts w:hint="eastAsia" w:ascii="Times New Roman"/>
                <w:snapToGrid w:val="0"/>
                <w:color w:val="auto"/>
                <w:kern w:val="21"/>
                <w:szCs w:val="21"/>
              </w:rPr>
              <w:t>/</w:t>
            </w:r>
          </w:p>
        </w:tc>
        <w:tc>
          <w:tcPr>
            <w:tcW w:w="1559" w:type="dxa"/>
            <w:vAlign w:val="center"/>
          </w:tcPr>
          <w:p w14:paraId="49C470DF">
            <w:pPr>
              <w:jc w:val="center"/>
              <w:rPr>
                <w:snapToGrid w:val="0"/>
                <w:color w:val="auto"/>
                <w:kern w:val="21"/>
                <w:szCs w:val="21"/>
              </w:rPr>
            </w:pPr>
            <w:r>
              <w:rPr>
                <w:rFonts w:hint="eastAsia"/>
                <w:color w:val="auto"/>
                <w:szCs w:val="21"/>
              </w:rPr>
              <w:t>0.3t/a</w:t>
            </w:r>
          </w:p>
        </w:tc>
        <w:tc>
          <w:tcPr>
            <w:tcW w:w="1761" w:type="dxa"/>
            <w:shd w:val="clear" w:color="auto" w:fill="auto"/>
            <w:vAlign w:val="center"/>
          </w:tcPr>
          <w:p w14:paraId="66A6DC5A">
            <w:pPr>
              <w:pStyle w:val="33"/>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w:t>
            </w:r>
          </w:p>
        </w:tc>
        <w:tc>
          <w:tcPr>
            <w:tcW w:w="1436" w:type="dxa"/>
            <w:vAlign w:val="center"/>
          </w:tcPr>
          <w:p w14:paraId="2F50D40D">
            <w:pPr>
              <w:jc w:val="center"/>
              <w:rPr>
                <w:snapToGrid w:val="0"/>
                <w:color w:val="auto"/>
                <w:kern w:val="21"/>
                <w:szCs w:val="21"/>
              </w:rPr>
            </w:pPr>
            <w:r>
              <w:rPr>
                <w:rFonts w:hint="eastAsia"/>
                <w:color w:val="auto"/>
                <w:szCs w:val="21"/>
              </w:rPr>
              <w:t>0.</w:t>
            </w:r>
            <w:r>
              <w:rPr>
                <w:rFonts w:hint="eastAsia"/>
                <w:color w:val="auto"/>
                <w:szCs w:val="21"/>
                <w:lang w:val="en-US" w:eastAsia="zh-CN"/>
              </w:rPr>
              <w:t>5</w:t>
            </w:r>
            <w:r>
              <w:rPr>
                <w:rFonts w:hint="eastAsia"/>
                <w:color w:val="auto"/>
                <w:szCs w:val="21"/>
              </w:rPr>
              <w:t>t/a</w:t>
            </w:r>
          </w:p>
        </w:tc>
        <w:tc>
          <w:tcPr>
            <w:tcW w:w="1403" w:type="dxa"/>
            <w:shd w:val="clear" w:color="auto" w:fill="auto"/>
            <w:vAlign w:val="center"/>
          </w:tcPr>
          <w:p w14:paraId="261833DA">
            <w:pPr>
              <w:jc w:val="center"/>
              <w:rPr>
                <w:rFonts w:ascii="Times New Roman" w:hAnsi="Times New Roman" w:eastAsia="宋体" w:cs="Times New Roman"/>
                <w:snapToGrid w:val="0"/>
                <w:color w:val="auto"/>
                <w:kern w:val="21"/>
                <w:sz w:val="21"/>
                <w:szCs w:val="21"/>
                <w:lang w:val="en-US" w:eastAsia="zh-CN" w:bidi="ar-SA"/>
              </w:rPr>
            </w:pPr>
            <w:r>
              <w:rPr>
                <w:rFonts w:hint="eastAsia"/>
                <w:color w:val="auto"/>
                <w:szCs w:val="21"/>
                <w:lang w:val="en-US" w:eastAsia="zh-CN"/>
              </w:rPr>
              <w:t>+</w:t>
            </w:r>
            <w:r>
              <w:rPr>
                <w:rFonts w:hint="eastAsia"/>
                <w:color w:val="auto"/>
                <w:szCs w:val="21"/>
              </w:rPr>
              <w:t>0.3t/a</w:t>
            </w:r>
          </w:p>
        </w:tc>
      </w:tr>
      <w:bookmarkEnd w:id="40"/>
    </w:tbl>
    <w:p w14:paraId="06ECA911">
      <w:pPr>
        <w:pStyle w:val="33"/>
        <w:spacing w:before="192" w:beforeLines="80" w:after="24"/>
        <w:jc w:val="left"/>
        <w:rPr>
          <w:rFonts w:hAnsi="宋体"/>
          <w:snapToGrid w:val="0"/>
          <w:color w:val="auto"/>
          <w:spacing w:val="-6"/>
          <w:kern w:val="21"/>
          <w:szCs w:val="21"/>
        </w:rPr>
      </w:pPr>
      <w:r>
        <w:rPr>
          <w:rFonts w:hAnsi="宋体"/>
          <w:snapToGrid w:val="0"/>
          <w:color w:val="auto"/>
          <w:kern w:val="21"/>
          <w:szCs w:val="21"/>
        </w:rPr>
        <w:t>注：</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3 \* GB3 \* MERGEFORMAT </w:instrText>
      </w:r>
      <w:r>
        <w:rPr>
          <w:rFonts w:hAnsi="宋体"/>
          <w:snapToGrid w:val="0"/>
          <w:color w:val="auto"/>
          <w:spacing w:val="-6"/>
          <w:kern w:val="21"/>
          <w:szCs w:val="21"/>
        </w:rPr>
        <w:fldChar w:fldCharType="separate"/>
      </w:r>
      <w:r>
        <w:rPr>
          <w:rFonts w:hint="eastAsia" w:hAnsi="宋体"/>
          <w:color w:val="auto"/>
          <w:szCs w:val="21"/>
        </w:rPr>
        <w:t>③</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4 \* GB3 \* MERGEFORMAT </w:instrText>
      </w:r>
      <w:r>
        <w:rPr>
          <w:rFonts w:hAnsi="宋体"/>
          <w:snapToGrid w:val="0"/>
          <w:color w:val="auto"/>
          <w:spacing w:val="-6"/>
          <w:kern w:val="21"/>
          <w:szCs w:val="21"/>
        </w:rPr>
        <w:fldChar w:fldCharType="separate"/>
      </w:r>
      <w:r>
        <w:rPr>
          <w:rFonts w:hint="eastAsia" w:hAnsi="宋体"/>
          <w:color w:val="auto"/>
          <w:szCs w:val="21"/>
        </w:rPr>
        <w:t>④</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5 \* GB3 \* MERGEFORMAT </w:instrText>
      </w:r>
      <w:r>
        <w:rPr>
          <w:rFonts w:hAnsi="宋体"/>
          <w:snapToGrid w:val="0"/>
          <w:color w:val="auto"/>
          <w:spacing w:val="-16"/>
          <w:kern w:val="21"/>
          <w:szCs w:val="21"/>
        </w:rPr>
        <w:fldChar w:fldCharType="separate"/>
      </w:r>
      <w:r>
        <w:rPr>
          <w:rFonts w:hint="eastAsia" w:hAnsi="宋体"/>
          <w:color w:val="auto"/>
          <w:szCs w:val="21"/>
        </w:rPr>
        <w:t>⑤</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7 \* GB3 \* MERGEFORMAT </w:instrText>
      </w:r>
      <w:r>
        <w:rPr>
          <w:rFonts w:hAnsi="宋体"/>
          <w:snapToGrid w:val="0"/>
          <w:color w:val="auto"/>
          <w:spacing w:val="-6"/>
          <w:kern w:val="21"/>
          <w:szCs w:val="21"/>
        </w:rPr>
        <w:fldChar w:fldCharType="separate"/>
      </w:r>
      <w:r>
        <w:rPr>
          <w:rFonts w:hint="eastAsia" w:hAnsi="宋体"/>
          <w:color w:val="auto"/>
          <w:szCs w:val="21"/>
        </w:rPr>
        <w:t>⑦</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p>
    <w:sectPr>
      <w:footerReference r:id="rId8" w:type="default"/>
      <w:pgSz w:w="16838" w:h="11906" w:orient="landscape"/>
      <w:pgMar w:top="1701" w:right="1531" w:bottom="1701" w:left="153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Gloucester MT Extra Condensed">
    <w:panose1 w:val="02030808020601010101"/>
    <w:charset w:val="00"/>
    <w:family w:val="roman"/>
    <w:pitch w:val="default"/>
    <w:sig w:usb0="00000003" w:usb1="00000000" w:usb2="00000000" w:usb3="00000000" w:csb0="20000001" w:csb1="00000000"/>
  </w:font>
  <w:font w:name="方正小标宋_GBK">
    <w:altName w:val="微软雅黑"/>
    <w:panose1 w:val="00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65D83">
    <w:pPr>
      <w:pStyle w:val="1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8E0F78">
    <w:pPr>
      <w:pStyle w:val="16"/>
      <w:framePr w:wrap="around" w:vAnchor="text" w:hAnchor="margin" w:xAlign="center" w:y="1"/>
      <w:rPr>
        <w:rStyle w:val="29"/>
      </w:rPr>
    </w:pPr>
    <w:r>
      <w:fldChar w:fldCharType="begin"/>
    </w:r>
    <w:r>
      <w:rPr>
        <w:rStyle w:val="29"/>
      </w:rPr>
      <w:instrText xml:space="preserve">PAGE  </w:instrText>
    </w:r>
    <w:r>
      <w:fldChar w:fldCharType="end"/>
    </w:r>
  </w:p>
  <w:p w14:paraId="76C508A2">
    <w:pPr>
      <w:pStyle w:val="1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F42885">
    <w:pPr>
      <w:pStyle w:val="16"/>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BDFDD">
    <w:pPr>
      <w:pStyle w:val="16"/>
      <w:framePr w:wrap="around" w:vAnchor="text" w:hAnchor="margin" w:xAlign="outside" w:y="1"/>
      <w:rPr>
        <w:rStyle w:val="29"/>
        <w:rFonts w:ascii="宋体" w:hAnsi="宋体"/>
        <w:sz w:val="28"/>
        <w:szCs w:val="28"/>
      </w:rPr>
    </w:pPr>
    <w:r>
      <w:rPr>
        <w:rStyle w:val="29"/>
        <w:rFonts w:hint="eastAsia" w:ascii="宋体" w:hAnsi="宋体"/>
        <w:sz w:val="28"/>
        <w:szCs w:val="28"/>
      </w:rPr>
      <w:t>—</w:t>
    </w:r>
    <w:r>
      <w:rPr>
        <w:rStyle w:val="29"/>
        <w:rFonts w:hint="eastAsia" w:ascii="宋体" w:hAnsi="宋体"/>
        <w:sz w:val="20"/>
      </w:rPr>
      <w:t xml:space="preserve">  </w:t>
    </w:r>
    <w:r>
      <w:rPr>
        <w:sz w:val="26"/>
        <w:szCs w:val="26"/>
      </w:rPr>
      <w:fldChar w:fldCharType="begin"/>
    </w:r>
    <w:r>
      <w:rPr>
        <w:rStyle w:val="29"/>
        <w:sz w:val="26"/>
        <w:szCs w:val="26"/>
      </w:rPr>
      <w:instrText xml:space="preserve">PAGE  </w:instrText>
    </w:r>
    <w:r>
      <w:rPr>
        <w:sz w:val="26"/>
        <w:szCs w:val="26"/>
      </w:rPr>
      <w:fldChar w:fldCharType="separate"/>
    </w:r>
    <w:r>
      <w:rPr>
        <w:rStyle w:val="29"/>
        <w:sz w:val="26"/>
        <w:szCs w:val="26"/>
      </w:rPr>
      <w:t>23</w:t>
    </w:r>
    <w:r>
      <w:rPr>
        <w:sz w:val="26"/>
        <w:szCs w:val="26"/>
      </w:rPr>
      <w:fldChar w:fldCharType="end"/>
    </w:r>
    <w:r>
      <w:rPr>
        <w:rStyle w:val="29"/>
        <w:rFonts w:hint="eastAsia" w:ascii="宋体" w:hAnsi="宋体"/>
        <w:sz w:val="20"/>
      </w:rPr>
      <w:t xml:space="preserve">  </w:t>
    </w:r>
    <w:r>
      <w:rPr>
        <w:rStyle w:val="29"/>
        <w:rFonts w:hint="eastAsia" w:ascii="宋体" w:hAnsi="宋体"/>
        <w:sz w:val="28"/>
        <w:szCs w:val="28"/>
      </w:rPr>
      <w:t>—</w:t>
    </w:r>
  </w:p>
  <w:p w14:paraId="09E0EF56">
    <w:pPr>
      <w:pStyle w:val="16"/>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2B8F5">
    <w:pPr>
      <w:pStyle w:val="16"/>
      <w:framePr w:wrap="around" w:vAnchor="text" w:hAnchor="margin" w:xAlign="outside" w:y="1"/>
      <w:rPr>
        <w:rStyle w:val="29"/>
        <w:rFonts w:ascii="宋体" w:hAnsi="宋体"/>
        <w:sz w:val="28"/>
        <w:szCs w:val="28"/>
      </w:rPr>
    </w:pPr>
    <w:r>
      <w:rPr>
        <w:rStyle w:val="29"/>
        <w:rFonts w:hint="eastAsia" w:ascii="宋体" w:hAnsi="宋体"/>
        <w:sz w:val="28"/>
        <w:szCs w:val="28"/>
      </w:rPr>
      <w:t>—</w:t>
    </w:r>
    <w:r>
      <w:rPr>
        <w:rStyle w:val="29"/>
        <w:rFonts w:hint="eastAsia" w:ascii="宋体" w:hAnsi="宋体"/>
        <w:sz w:val="20"/>
      </w:rPr>
      <w:t xml:space="preserve">  </w:t>
    </w:r>
    <w:r>
      <w:rPr>
        <w:rFonts w:ascii="宋体" w:hAnsi="宋体"/>
        <w:sz w:val="26"/>
        <w:szCs w:val="26"/>
      </w:rPr>
      <w:fldChar w:fldCharType="begin"/>
    </w:r>
    <w:r>
      <w:rPr>
        <w:rStyle w:val="29"/>
        <w:rFonts w:ascii="宋体" w:hAnsi="宋体"/>
        <w:sz w:val="26"/>
        <w:szCs w:val="26"/>
      </w:rPr>
      <w:instrText xml:space="preserve">PAGE  </w:instrText>
    </w:r>
    <w:r>
      <w:rPr>
        <w:rFonts w:ascii="宋体" w:hAnsi="宋体"/>
        <w:sz w:val="26"/>
        <w:szCs w:val="26"/>
      </w:rPr>
      <w:fldChar w:fldCharType="separate"/>
    </w:r>
    <w:r>
      <w:rPr>
        <w:rStyle w:val="29"/>
        <w:rFonts w:ascii="宋体" w:hAnsi="宋体"/>
        <w:sz w:val="26"/>
        <w:szCs w:val="26"/>
      </w:rPr>
      <w:t>52</w:t>
    </w:r>
    <w:r>
      <w:rPr>
        <w:rFonts w:ascii="宋体" w:hAnsi="宋体"/>
        <w:sz w:val="26"/>
        <w:szCs w:val="26"/>
      </w:rPr>
      <w:fldChar w:fldCharType="end"/>
    </w:r>
    <w:r>
      <w:rPr>
        <w:rStyle w:val="29"/>
        <w:rFonts w:hint="eastAsia" w:ascii="宋体" w:hAnsi="宋体"/>
        <w:sz w:val="20"/>
      </w:rPr>
      <w:t xml:space="preserve">  </w:t>
    </w:r>
    <w:r>
      <w:rPr>
        <w:rStyle w:val="29"/>
        <w:rFonts w:hint="eastAsia" w:ascii="宋体" w:hAnsi="宋体"/>
        <w:sz w:val="28"/>
        <w:szCs w:val="28"/>
      </w:rPr>
      <w:t>—</w:t>
    </w:r>
  </w:p>
  <w:p w14:paraId="2906BF9A">
    <w:pPr>
      <w:pStyle w:val="16"/>
      <w:ind w:right="360" w:firstLine="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BBF21">
    <w:pPr>
      <w:pStyle w:val="1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jMzdmMDBkOTUzOWM3MTBjM2U4YTAwOWZkZWVjOGIifQ=="/>
  </w:docVars>
  <w:rsids>
    <w:rsidRoot w:val="00172A27"/>
    <w:rsid w:val="000060B3"/>
    <w:rsid w:val="000102DF"/>
    <w:rsid w:val="000118A6"/>
    <w:rsid w:val="00015DC1"/>
    <w:rsid w:val="00022A7F"/>
    <w:rsid w:val="0003386A"/>
    <w:rsid w:val="00033CF2"/>
    <w:rsid w:val="00037065"/>
    <w:rsid w:val="0003746D"/>
    <w:rsid w:val="00043144"/>
    <w:rsid w:val="0004364B"/>
    <w:rsid w:val="00060026"/>
    <w:rsid w:val="00061B1F"/>
    <w:rsid w:val="00067224"/>
    <w:rsid w:val="0006756A"/>
    <w:rsid w:val="000733C4"/>
    <w:rsid w:val="00074783"/>
    <w:rsid w:val="0007570F"/>
    <w:rsid w:val="0008070B"/>
    <w:rsid w:val="000810AC"/>
    <w:rsid w:val="00081A02"/>
    <w:rsid w:val="00082231"/>
    <w:rsid w:val="00082C65"/>
    <w:rsid w:val="000845F6"/>
    <w:rsid w:val="00084E6F"/>
    <w:rsid w:val="00092D38"/>
    <w:rsid w:val="0009377B"/>
    <w:rsid w:val="000A20C9"/>
    <w:rsid w:val="000A32F9"/>
    <w:rsid w:val="000B058F"/>
    <w:rsid w:val="000B4467"/>
    <w:rsid w:val="000B44D3"/>
    <w:rsid w:val="000B4DB9"/>
    <w:rsid w:val="000C09AC"/>
    <w:rsid w:val="000C2EA4"/>
    <w:rsid w:val="000C7191"/>
    <w:rsid w:val="000C767F"/>
    <w:rsid w:val="000D5A44"/>
    <w:rsid w:val="000D6095"/>
    <w:rsid w:val="000E3ED2"/>
    <w:rsid w:val="000E4AEC"/>
    <w:rsid w:val="000F0D6E"/>
    <w:rsid w:val="000F2B5A"/>
    <w:rsid w:val="000F448F"/>
    <w:rsid w:val="00103897"/>
    <w:rsid w:val="001139D5"/>
    <w:rsid w:val="00130964"/>
    <w:rsid w:val="00131F42"/>
    <w:rsid w:val="00132B13"/>
    <w:rsid w:val="0013335E"/>
    <w:rsid w:val="0013454F"/>
    <w:rsid w:val="001357F1"/>
    <w:rsid w:val="00140FA8"/>
    <w:rsid w:val="00142FEB"/>
    <w:rsid w:val="00143A2D"/>
    <w:rsid w:val="00145A41"/>
    <w:rsid w:val="00151675"/>
    <w:rsid w:val="00152EFC"/>
    <w:rsid w:val="001570FF"/>
    <w:rsid w:val="00157435"/>
    <w:rsid w:val="00160A85"/>
    <w:rsid w:val="0016253B"/>
    <w:rsid w:val="00172A27"/>
    <w:rsid w:val="0017504D"/>
    <w:rsid w:val="0017671A"/>
    <w:rsid w:val="0017698E"/>
    <w:rsid w:val="00177422"/>
    <w:rsid w:val="00184590"/>
    <w:rsid w:val="001870D1"/>
    <w:rsid w:val="0018781E"/>
    <w:rsid w:val="0019162B"/>
    <w:rsid w:val="0019262D"/>
    <w:rsid w:val="001A1B35"/>
    <w:rsid w:val="001A48A2"/>
    <w:rsid w:val="001A49D4"/>
    <w:rsid w:val="001A5968"/>
    <w:rsid w:val="001A6F61"/>
    <w:rsid w:val="001B04DF"/>
    <w:rsid w:val="001B223C"/>
    <w:rsid w:val="001B6759"/>
    <w:rsid w:val="001B72B8"/>
    <w:rsid w:val="001C3F22"/>
    <w:rsid w:val="001C5CD1"/>
    <w:rsid w:val="001C69B3"/>
    <w:rsid w:val="001D0E9C"/>
    <w:rsid w:val="001D5595"/>
    <w:rsid w:val="001D7874"/>
    <w:rsid w:val="001D7F22"/>
    <w:rsid w:val="001E3704"/>
    <w:rsid w:val="001F0F17"/>
    <w:rsid w:val="001F2A4F"/>
    <w:rsid w:val="001F3347"/>
    <w:rsid w:val="001F3942"/>
    <w:rsid w:val="001F69E4"/>
    <w:rsid w:val="001F7103"/>
    <w:rsid w:val="00200BFC"/>
    <w:rsid w:val="00203088"/>
    <w:rsid w:val="00203E05"/>
    <w:rsid w:val="00205219"/>
    <w:rsid w:val="00207852"/>
    <w:rsid w:val="002125B4"/>
    <w:rsid w:val="002155B8"/>
    <w:rsid w:val="00221F09"/>
    <w:rsid w:val="00223766"/>
    <w:rsid w:val="00224839"/>
    <w:rsid w:val="002249B2"/>
    <w:rsid w:val="00226574"/>
    <w:rsid w:val="002278EC"/>
    <w:rsid w:val="002311AF"/>
    <w:rsid w:val="0023280E"/>
    <w:rsid w:val="002377D1"/>
    <w:rsid w:val="00240844"/>
    <w:rsid w:val="00242CD0"/>
    <w:rsid w:val="002506BC"/>
    <w:rsid w:val="00252A92"/>
    <w:rsid w:val="00254345"/>
    <w:rsid w:val="00256BF9"/>
    <w:rsid w:val="00264557"/>
    <w:rsid w:val="0026533A"/>
    <w:rsid w:val="00270EC6"/>
    <w:rsid w:val="002805AB"/>
    <w:rsid w:val="00282BDD"/>
    <w:rsid w:val="00284204"/>
    <w:rsid w:val="00291773"/>
    <w:rsid w:val="00292BAB"/>
    <w:rsid w:val="00295539"/>
    <w:rsid w:val="00297609"/>
    <w:rsid w:val="002A168C"/>
    <w:rsid w:val="002A3DC7"/>
    <w:rsid w:val="002B49E2"/>
    <w:rsid w:val="002B5CB3"/>
    <w:rsid w:val="002B7B00"/>
    <w:rsid w:val="002B7C44"/>
    <w:rsid w:val="002C0875"/>
    <w:rsid w:val="002C2B17"/>
    <w:rsid w:val="002C4789"/>
    <w:rsid w:val="002D3DD0"/>
    <w:rsid w:val="002D45FF"/>
    <w:rsid w:val="002E1F3A"/>
    <w:rsid w:val="002E234E"/>
    <w:rsid w:val="002E298A"/>
    <w:rsid w:val="002F1C66"/>
    <w:rsid w:val="002F3332"/>
    <w:rsid w:val="00301978"/>
    <w:rsid w:val="0030332C"/>
    <w:rsid w:val="003051C2"/>
    <w:rsid w:val="00311A5F"/>
    <w:rsid w:val="00312296"/>
    <w:rsid w:val="00314F0E"/>
    <w:rsid w:val="00315F11"/>
    <w:rsid w:val="00321D8E"/>
    <w:rsid w:val="00322FDC"/>
    <w:rsid w:val="0032532D"/>
    <w:rsid w:val="00325928"/>
    <w:rsid w:val="003263A1"/>
    <w:rsid w:val="00332863"/>
    <w:rsid w:val="0033684D"/>
    <w:rsid w:val="00337B42"/>
    <w:rsid w:val="00341B42"/>
    <w:rsid w:val="0034348F"/>
    <w:rsid w:val="00355CE5"/>
    <w:rsid w:val="00356653"/>
    <w:rsid w:val="00356661"/>
    <w:rsid w:val="0035743F"/>
    <w:rsid w:val="00357BE2"/>
    <w:rsid w:val="00360E24"/>
    <w:rsid w:val="0036170C"/>
    <w:rsid w:val="00366E0F"/>
    <w:rsid w:val="0037500F"/>
    <w:rsid w:val="003750FA"/>
    <w:rsid w:val="00381A72"/>
    <w:rsid w:val="00381BD2"/>
    <w:rsid w:val="00384676"/>
    <w:rsid w:val="00390857"/>
    <w:rsid w:val="00391960"/>
    <w:rsid w:val="0039543B"/>
    <w:rsid w:val="00396DCE"/>
    <w:rsid w:val="003A0655"/>
    <w:rsid w:val="003A42D9"/>
    <w:rsid w:val="003A4BF3"/>
    <w:rsid w:val="003A64FA"/>
    <w:rsid w:val="003B2B36"/>
    <w:rsid w:val="003B420D"/>
    <w:rsid w:val="003B5A76"/>
    <w:rsid w:val="003C5670"/>
    <w:rsid w:val="003C6C16"/>
    <w:rsid w:val="003D78F1"/>
    <w:rsid w:val="003D794D"/>
    <w:rsid w:val="003E3058"/>
    <w:rsid w:val="003E6F61"/>
    <w:rsid w:val="003E76A9"/>
    <w:rsid w:val="003F0809"/>
    <w:rsid w:val="003F20C8"/>
    <w:rsid w:val="003F417C"/>
    <w:rsid w:val="003F6A8C"/>
    <w:rsid w:val="003F755C"/>
    <w:rsid w:val="00406F01"/>
    <w:rsid w:val="00411CA3"/>
    <w:rsid w:val="00416D50"/>
    <w:rsid w:val="00416FD5"/>
    <w:rsid w:val="00417772"/>
    <w:rsid w:val="00420E6A"/>
    <w:rsid w:val="00425A9E"/>
    <w:rsid w:val="00426D6B"/>
    <w:rsid w:val="00427A16"/>
    <w:rsid w:val="00431556"/>
    <w:rsid w:val="00431E6C"/>
    <w:rsid w:val="00433CE7"/>
    <w:rsid w:val="00452738"/>
    <w:rsid w:val="00456091"/>
    <w:rsid w:val="0046619B"/>
    <w:rsid w:val="00466321"/>
    <w:rsid w:val="00472277"/>
    <w:rsid w:val="00473D8A"/>
    <w:rsid w:val="00484B9B"/>
    <w:rsid w:val="004855F6"/>
    <w:rsid w:val="00486203"/>
    <w:rsid w:val="0048661E"/>
    <w:rsid w:val="0049342A"/>
    <w:rsid w:val="00494670"/>
    <w:rsid w:val="004A3823"/>
    <w:rsid w:val="004E124B"/>
    <w:rsid w:val="004E6946"/>
    <w:rsid w:val="004F1AD8"/>
    <w:rsid w:val="004F52A3"/>
    <w:rsid w:val="00500D82"/>
    <w:rsid w:val="005039CB"/>
    <w:rsid w:val="00503B44"/>
    <w:rsid w:val="0050558F"/>
    <w:rsid w:val="00506286"/>
    <w:rsid w:val="00507105"/>
    <w:rsid w:val="005077E6"/>
    <w:rsid w:val="00510813"/>
    <w:rsid w:val="00511990"/>
    <w:rsid w:val="00511DE0"/>
    <w:rsid w:val="00514445"/>
    <w:rsid w:val="00514870"/>
    <w:rsid w:val="00514B9B"/>
    <w:rsid w:val="0051536E"/>
    <w:rsid w:val="00517F02"/>
    <w:rsid w:val="00524303"/>
    <w:rsid w:val="005258A2"/>
    <w:rsid w:val="005316C2"/>
    <w:rsid w:val="005401AE"/>
    <w:rsid w:val="00542E07"/>
    <w:rsid w:val="00545424"/>
    <w:rsid w:val="00554A7B"/>
    <w:rsid w:val="0055572C"/>
    <w:rsid w:val="0055782B"/>
    <w:rsid w:val="0056106A"/>
    <w:rsid w:val="00566B95"/>
    <w:rsid w:val="0057114B"/>
    <w:rsid w:val="005720AE"/>
    <w:rsid w:val="005942A8"/>
    <w:rsid w:val="00594D77"/>
    <w:rsid w:val="005969E4"/>
    <w:rsid w:val="005A06B7"/>
    <w:rsid w:val="005A1759"/>
    <w:rsid w:val="005A1BE0"/>
    <w:rsid w:val="005A6180"/>
    <w:rsid w:val="005A68A7"/>
    <w:rsid w:val="005A6ECC"/>
    <w:rsid w:val="005C0DEA"/>
    <w:rsid w:val="005C4D2E"/>
    <w:rsid w:val="005C5266"/>
    <w:rsid w:val="005D36AB"/>
    <w:rsid w:val="005E57C5"/>
    <w:rsid w:val="006132D7"/>
    <w:rsid w:val="006144A9"/>
    <w:rsid w:val="00617CC3"/>
    <w:rsid w:val="0063194F"/>
    <w:rsid w:val="006377A6"/>
    <w:rsid w:val="00637A3D"/>
    <w:rsid w:val="006411EF"/>
    <w:rsid w:val="006570F0"/>
    <w:rsid w:val="00664178"/>
    <w:rsid w:val="0067304F"/>
    <w:rsid w:val="006748B8"/>
    <w:rsid w:val="006775C3"/>
    <w:rsid w:val="00680D99"/>
    <w:rsid w:val="00683463"/>
    <w:rsid w:val="006839F0"/>
    <w:rsid w:val="0069290A"/>
    <w:rsid w:val="00696C70"/>
    <w:rsid w:val="0069775A"/>
    <w:rsid w:val="00697813"/>
    <w:rsid w:val="006A25E4"/>
    <w:rsid w:val="006A3EE8"/>
    <w:rsid w:val="006A72BF"/>
    <w:rsid w:val="006B03F2"/>
    <w:rsid w:val="006B37DC"/>
    <w:rsid w:val="006B4F68"/>
    <w:rsid w:val="006B6C44"/>
    <w:rsid w:val="006C0592"/>
    <w:rsid w:val="006C272E"/>
    <w:rsid w:val="006C49DB"/>
    <w:rsid w:val="006C5479"/>
    <w:rsid w:val="006D13B5"/>
    <w:rsid w:val="006D3659"/>
    <w:rsid w:val="006D5E93"/>
    <w:rsid w:val="006E12FF"/>
    <w:rsid w:val="006E607E"/>
    <w:rsid w:val="006F7362"/>
    <w:rsid w:val="006F7747"/>
    <w:rsid w:val="006F7EF7"/>
    <w:rsid w:val="00706C5D"/>
    <w:rsid w:val="00713F43"/>
    <w:rsid w:val="00720EA2"/>
    <w:rsid w:val="00732922"/>
    <w:rsid w:val="007467FA"/>
    <w:rsid w:val="0075162E"/>
    <w:rsid w:val="00754034"/>
    <w:rsid w:val="00756556"/>
    <w:rsid w:val="007618C4"/>
    <w:rsid w:val="0076313E"/>
    <w:rsid w:val="00765F29"/>
    <w:rsid w:val="007668C3"/>
    <w:rsid w:val="00767980"/>
    <w:rsid w:val="00770B19"/>
    <w:rsid w:val="007725B0"/>
    <w:rsid w:val="0077463F"/>
    <w:rsid w:val="007756C4"/>
    <w:rsid w:val="00777666"/>
    <w:rsid w:val="007836EA"/>
    <w:rsid w:val="00784CDA"/>
    <w:rsid w:val="0078768E"/>
    <w:rsid w:val="00787CC8"/>
    <w:rsid w:val="007906C4"/>
    <w:rsid w:val="007940EA"/>
    <w:rsid w:val="007967E8"/>
    <w:rsid w:val="007A2170"/>
    <w:rsid w:val="007A22BF"/>
    <w:rsid w:val="007A3323"/>
    <w:rsid w:val="007A6F63"/>
    <w:rsid w:val="007B1BCC"/>
    <w:rsid w:val="007B611B"/>
    <w:rsid w:val="007B72B8"/>
    <w:rsid w:val="007B7A58"/>
    <w:rsid w:val="007C1C20"/>
    <w:rsid w:val="007C21B5"/>
    <w:rsid w:val="007D457B"/>
    <w:rsid w:val="007E4BD2"/>
    <w:rsid w:val="007E53E1"/>
    <w:rsid w:val="00801393"/>
    <w:rsid w:val="00802F88"/>
    <w:rsid w:val="008059E8"/>
    <w:rsid w:val="0081293E"/>
    <w:rsid w:val="00815465"/>
    <w:rsid w:val="00817E9A"/>
    <w:rsid w:val="008306BD"/>
    <w:rsid w:val="00831A80"/>
    <w:rsid w:val="00833743"/>
    <w:rsid w:val="008340A4"/>
    <w:rsid w:val="00834883"/>
    <w:rsid w:val="008359DF"/>
    <w:rsid w:val="00835BAA"/>
    <w:rsid w:val="00835EA5"/>
    <w:rsid w:val="0083653A"/>
    <w:rsid w:val="008415BC"/>
    <w:rsid w:val="00844285"/>
    <w:rsid w:val="0084491A"/>
    <w:rsid w:val="008550FA"/>
    <w:rsid w:val="008657D7"/>
    <w:rsid w:val="00865854"/>
    <w:rsid w:val="0086732C"/>
    <w:rsid w:val="00870CE1"/>
    <w:rsid w:val="0087135F"/>
    <w:rsid w:val="008719D4"/>
    <w:rsid w:val="00872D94"/>
    <w:rsid w:val="00875C18"/>
    <w:rsid w:val="00876B88"/>
    <w:rsid w:val="00880364"/>
    <w:rsid w:val="008852D8"/>
    <w:rsid w:val="008868DB"/>
    <w:rsid w:val="00891592"/>
    <w:rsid w:val="00891E9E"/>
    <w:rsid w:val="00896172"/>
    <w:rsid w:val="008A2F68"/>
    <w:rsid w:val="008B0202"/>
    <w:rsid w:val="008B0B2C"/>
    <w:rsid w:val="008B4FA6"/>
    <w:rsid w:val="008B5282"/>
    <w:rsid w:val="008B5F81"/>
    <w:rsid w:val="008B7C17"/>
    <w:rsid w:val="008C07DB"/>
    <w:rsid w:val="008C2D01"/>
    <w:rsid w:val="008C40E6"/>
    <w:rsid w:val="008D0F7A"/>
    <w:rsid w:val="008D68E4"/>
    <w:rsid w:val="008E0506"/>
    <w:rsid w:val="008E0CFF"/>
    <w:rsid w:val="008E4764"/>
    <w:rsid w:val="008E5D6B"/>
    <w:rsid w:val="008E76F0"/>
    <w:rsid w:val="008F15FE"/>
    <w:rsid w:val="008F2D29"/>
    <w:rsid w:val="008F3843"/>
    <w:rsid w:val="008F5187"/>
    <w:rsid w:val="008F56BA"/>
    <w:rsid w:val="008F60D8"/>
    <w:rsid w:val="008F6485"/>
    <w:rsid w:val="00902727"/>
    <w:rsid w:val="0090312B"/>
    <w:rsid w:val="009045D6"/>
    <w:rsid w:val="0091225B"/>
    <w:rsid w:val="00915BE6"/>
    <w:rsid w:val="0091736D"/>
    <w:rsid w:val="00926E6D"/>
    <w:rsid w:val="0093037A"/>
    <w:rsid w:val="00940918"/>
    <w:rsid w:val="0094154D"/>
    <w:rsid w:val="00945068"/>
    <w:rsid w:val="0095155F"/>
    <w:rsid w:val="00954429"/>
    <w:rsid w:val="009563CE"/>
    <w:rsid w:val="00960271"/>
    <w:rsid w:val="00976328"/>
    <w:rsid w:val="0097680D"/>
    <w:rsid w:val="00982438"/>
    <w:rsid w:val="0098404C"/>
    <w:rsid w:val="00985283"/>
    <w:rsid w:val="00992CCB"/>
    <w:rsid w:val="00994DE7"/>
    <w:rsid w:val="00995989"/>
    <w:rsid w:val="00995992"/>
    <w:rsid w:val="009A03E5"/>
    <w:rsid w:val="009A0F3B"/>
    <w:rsid w:val="009A1BB4"/>
    <w:rsid w:val="009A2628"/>
    <w:rsid w:val="009A3200"/>
    <w:rsid w:val="009A5800"/>
    <w:rsid w:val="009B040B"/>
    <w:rsid w:val="009B0897"/>
    <w:rsid w:val="009B729B"/>
    <w:rsid w:val="009B7BD9"/>
    <w:rsid w:val="009C15CF"/>
    <w:rsid w:val="009C4955"/>
    <w:rsid w:val="009C7DD5"/>
    <w:rsid w:val="009D26ED"/>
    <w:rsid w:val="009D6FDE"/>
    <w:rsid w:val="009E227D"/>
    <w:rsid w:val="009E363F"/>
    <w:rsid w:val="009E43DA"/>
    <w:rsid w:val="009E5019"/>
    <w:rsid w:val="00A038B6"/>
    <w:rsid w:val="00A045B1"/>
    <w:rsid w:val="00A04F1B"/>
    <w:rsid w:val="00A0501B"/>
    <w:rsid w:val="00A05C08"/>
    <w:rsid w:val="00A14947"/>
    <w:rsid w:val="00A2362A"/>
    <w:rsid w:val="00A32A83"/>
    <w:rsid w:val="00A33FA6"/>
    <w:rsid w:val="00A342D3"/>
    <w:rsid w:val="00A34B51"/>
    <w:rsid w:val="00A368DB"/>
    <w:rsid w:val="00A3693E"/>
    <w:rsid w:val="00A423AA"/>
    <w:rsid w:val="00A43493"/>
    <w:rsid w:val="00A43877"/>
    <w:rsid w:val="00A44107"/>
    <w:rsid w:val="00A45237"/>
    <w:rsid w:val="00A462EF"/>
    <w:rsid w:val="00A46EF9"/>
    <w:rsid w:val="00A47045"/>
    <w:rsid w:val="00A5008B"/>
    <w:rsid w:val="00A53051"/>
    <w:rsid w:val="00A53EC6"/>
    <w:rsid w:val="00A55C0F"/>
    <w:rsid w:val="00A604ED"/>
    <w:rsid w:val="00A61269"/>
    <w:rsid w:val="00A6244D"/>
    <w:rsid w:val="00A65587"/>
    <w:rsid w:val="00A700AF"/>
    <w:rsid w:val="00A71C5E"/>
    <w:rsid w:val="00A75DF1"/>
    <w:rsid w:val="00A8713F"/>
    <w:rsid w:val="00A90BA1"/>
    <w:rsid w:val="00A913C9"/>
    <w:rsid w:val="00A94D06"/>
    <w:rsid w:val="00A97A9A"/>
    <w:rsid w:val="00AA0671"/>
    <w:rsid w:val="00AA2531"/>
    <w:rsid w:val="00AB1DAA"/>
    <w:rsid w:val="00AB1E09"/>
    <w:rsid w:val="00AB2C9B"/>
    <w:rsid w:val="00AB5330"/>
    <w:rsid w:val="00AB5B63"/>
    <w:rsid w:val="00AB7747"/>
    <w:rsid w:val="00AC14CE"/>
    <w:rsid w:val="00AC2A56"/>
    <w:rsid w:val="00AD055E"/>
    <w:rsid w:val="00AD47A7"/>
    <w:rsid w:val="00AF0735"/>
    <w:rsid w:val="00AF0CBF"/>
    <w:rsid w:val="00AF1D62"/>
    <w:rsid w:val="00AF257F"/>
    <w:rsid w:val="00AF33CF"/>
    <w:rsid w:val="00AF3839"/>
    <w:rsid w:val="00AF4D50"/>
    <w:rsid w:val="00AF6179"/>
    <w:rsid w:val="00B02430"/>
    <w:rsid w:val="00B02CE6"/>
    <w:rsid w:val="00B07924"/>
    <w:rsid w:val="00B07F6C"/>
    <w:rsid w:val="00B10FBB"/>
    <w:rsid w:val="00B1111A"/>
    <w:rsid w:val="00B1295A"/>
    <w:rsid w:val="00B154A3"/>
    <w:rsid w:val="00B16AB6"/>
    <w:rsid w:val="00B178F0"/>
    <w:rsid w:val="00B20A45"/>
    <w:rsid w:val="00B2149F"/>
    <w:rsid w:val="00B22228"/>
    <w:rsid w:val="00B228FF"/>
    <w:rsid w:val="00B22C5C"/>
    <w:rsid w:val="00B22D28"/>
    <w:rsid w:val="00B23AD3"/>
    <w:rsid w:val="00B24F30"/>
    <w:rsid w:val="00B3132B"/>
    <w:rsid w:val="00B31ABF"/>
    <w:rsid w:val="00B32474"/>
    <w:rsid w:val="00B33BE3"/>
    <w:rsid w:val="00B362BC"/>
    <w:rsid w:val="00B53B5D"/>
    <w:rsid w:val="00B6055E"/>
    <w:rsid w:val="00B6317D"/>
    <w:rsid w:val="00B63B9B"/>
    <w:rsid w:val="00B7723F"/>
    <w:rsid w:val="00B77334"/>
    <w:rsid w:val="00B802AD"/>
    <w:rsid w:val="00B80534"/>
    <w:rsid w:val="00B83CBA"/>
    <w:rsid w:val="00B8433C"/>
    <w:rsid w:val="00B84D47"/>
    <w:rsid w:val="00B87491"/>
    <w:rsid w:val="00B92181"/>
    <w:rsid w:val="00B93E11"/>
    <w:rsid w:val="00B97101"/>
    <w:rsid w:val="00BA051B"/>
    <w:rsid w:val="00BA132B"/>
    <w:rsid w:val="00BA29E9"/>
    <w:rsid w:val="00BA3924"/>
    <w:rsid w:val="00BA63B9"/>
    <w:rsid w:val="00BA7142"/>
    <w:rsid w:val="00BA7963"/>
    <w:rsid w:val="00BA7E53"/>
    <w:rsid w:val="00BB237C"/>
    <w:rsid w:val="00BB41A3"/>
    <w:rsid w:val="00BC32DC"/>
    <w:rsid w:val="00BC35B6"/>
    <w:rsid w:val="00BD1B51"/>
    <w:rsid w:val="00BD4596"/>
    <w:rsid w:val="00BE1405"/>
    <w:rsid w:val="00BE312D"/>
    <w:rsid w:val="00BF1C20"/>
    <w:rsid w:val="00BF54B7"/>
    <w:rsid w:val="00C07E59"/>
    <w:rsid w:val="00C10578"/>
    <w:rsid w:val="00C10A2B"/>
    <w:rsid w:val="00C12D58"/>
    <w:rsid w:val="00C135BC"/>
    <w:rsid w:val="00C15C95"/>
    <w:rsid w:val="00C2596A"/>
    <w:rsid w:val="00C27537"/>
    <w:rsid w:val="00C311F3"/>
    <w:rsid w:val="00C328FE"/>
    <w:rsid w:val="00C33507"/>
    <w:rsid w:val="00C42D5A"/>
    <w:rsid w:val="00C4409D"/>
    <w:rsid w:val="00C44E72"/>
    <w:rsid w:val="00C45A06"/>
    <w:rsid w:val="00C47E5B"/>
    <w:rsid w:val="00C50730"/>
    <w:rsid w:val="00C528D4"/>
    <w:rsid w:val="00C61E4B"/>
    <w:rsid w:val="00C64BFF"/>
    <w:rsid w:val="00C704E9"/>
    <w:rsid w:val="00C738C0"/>
    <w:rsid w:val="00C73FE7"/>
    <w:rsid w:val="00C763C9"/>
    <w:rsid w:val="00C80057"/>
    <w:rsid w:val="00C82232"/>
    <w:rsid w:val="00C82913"/>
    <w:rsid w:val="00C85F20"/>
    <w:rsid w:val="00C87201"/>
    <w:rsid w:val="00C972B1"/>
    <w:rsid w:val="00CA2CCE"/>
    <w:rsid w:val="00CA43FD"/>
    <w:rsid w:val="00CA4555"/>
    <w:rsid w:val="00CA7EF8"/>
    <w:rsid w:val="00CB11EA"/>
    <w:rsid w:val="00CC0ACE"/>
    <w:rsid w:val="00CC3BDA"/>
    <w:rsid w:val="00CC489B"/>
    <w:rsid w:val="00CD2BCD"/>
    <w:rsid w:val="00CD3A4C"/>
    <w:rsid w:val="00CD3D21"/>
    <w:rsid w:val="00CE10E9"/>
    <w:rsid w:val="00CE13C7"/>
    <w:rsid w:val="00CE2910"/>
    <w:rsid w:val="00CE5393"/>
    <w:rsid w:val="00CE7983"/>
    <w:rsid w:val="00CF1B3A"/>
    <w:rsid w:val="00CF36BE"/>
    <w:rsid w:val="00CF501A"/>
    <w:rsid w:val="00CF6000"/>
    <w:rsid w:val="00D003F3"/>
    <w:rsid w:val="00D0364F"/>
    <w:rsid w:val="00D06834"/>
    <w:rsid w:val="00D14996"/>
    <w:rsid w:val="00D20B4D"/>
    <w:rsid w:val="00D308ED"/>
    <w:rsid w:val="00D36D86"/>
    <w:rsid w:val="00D40D69"/>
    <w:rsid w:val="00D428AA"/>
    <w:rsid w:val="00D474F2"/>
    <w:rsid w:val="00D50A34"/>
    <w:rsid w:val="00D53EFA"/>
    <w:rsid w:val="00D92F15"/>
    <w:rsid w:val="00D94A7C"/>
    <w:rsid w:val="00D94CD1"/>
    <w:rsid w:val="00D95896"/>
    <w:rsid w:val="00DB2954"/>
    <w:rsid w:val="00DB2983"/>
    <w:rsid w:val="00DB69B8"/>
    <w:rsid w:val="00DC1257"/>
    <w:rsid w:val="00DC35CD"/>
    <w:rsid w:val="00DC3DC0"/>
    <w:rsid w:val="00DC5B2B"/>
    <w:rsid w:val="00DC69AE"/>
    <w:rsid w:val="00DD318D"/>
    <w:rsid w:val="00DD3B7A"/>
    <w:rsid w:val="00DE1720"/>
    <w:rsid w:val="00DE24D1"/>
    <w:rsid w:val="00DE43FF"/>
    <w:rsid w:val="00DF2E12"/>
    <w:rsid w:val="00DF514A"/>
    <w:rsid w:val="00DF6690"/>
    <w:rsid w:val="00DF6804"/>
    <w:rsid w:val="00E0358D"/>
    <w:rsid w:val="00E03AE0"/>
    <w:rsid w:val="00E04323"/>
    <w:rsid w:val="00E070A2"/>
    <w:rsid w:val="00E071F2"/>
    <w:rsid w:val="00E10C95"/>
    <w:rsid w:val="00E15234"/>
    <w:rsid w:val="00E2117A"/>
    <w:rsid w:val="00E25E42"/>
    <w:rsid w:val="00E2656A"/>
    <w:rsid w:val="00E32D5A"/>
    <w:rsid w:val="00E412D0"/>
    <w:rsid w:val="00E46B2F"/>
    <w:rsid w:val="00E54838"/>
    <w:rsid w:val="00E558D9"/>
    <w:rsid w:val="00E56322"/>
    <w:rsid w:val="00E60982"/>
    <w:rsid w:val="00E62C62"/>
    <w:rsid w:val="00E654C1"/>
    <w:rsid w:val="00E65D97"/>
    <w:rsid w:val="00E72A5A"/>
    <w:rsid w:val="00E73354"/>
    <w:rsid w:val="00E82E6A"/>
    <w:rsid w:val="00E9242D"/>
    <w:rsid w:val="00EA0EA3"/>
    <w:rsid w:val="00EB5255"/>
    <w:rsid w:val="00EB5C47"/>
    <w:rsid w:val="00EB71F7"/>
    <w:rsid w:val="00ED0639"/>
    <w:rsid w:val="00ED1953"/>
    <w:rsid w:val="00ED3C94"/>
    <w:rsid w:val="00EE0C27"/>
    <w:rsid w:val="00EE5438"/>
    <w:rsid w:val="00EF4755"/>
    <w:rsid w:val="00EF550C"/>
    <w:rsid w:val="00EF6BD4"/>
    <w:rsid w:val="00EF6C3C"/>
    <w:rsid w:val="00EF7135"/>
    <w:rsid w:val="00F00428"/>
    <w:rsid w:val="00F027DB"/>
    <w:rsid w:val="00F147E5"/>
    <w:rsid w:val="00F14A7A"/>
    <w:rsid w:val="00F17E89"/>
    <w:rsid w:val="00F22985"/>
    <w:rsid w:val="00F3383E"/>
    <w:rsid w:val="00F45E43"/>
    <w:rsid w:val="00F465A7"/>
    <w:rsid w:val="00F50B7C"/>
    <w:rsid w:val="00F53393"/>
    <w:rsid w:val="00F550E6"/>
    <w:rsid w:val="00F57058"/>
    <w:rsid w:val="00F6257D"/>
    <w:rsid w:val="00F71288"/>
    <w:rsid w:val="00F74345"/>
    <w:rsid w:val="00F80A0A"/>
    <w:rsid w:val="00F82B19"/>
    <w:rsid w:val="00F9212D"/>
    <w:rsid w:val="00F965DA"/>
    <w:rsid w:val="00F97B2C"/>
    <w:rsid w:val="00FA406A"/>
    <w:rsid w:val="00FA648D"/>
    <w:rsid w:val="00FB503A"/>
    <w:rsid w:val="00FB516C"/>
    <w:rsid w:val="00FB6003"/>
    <w:rsid w:val="00FC450F"/>
    <w:rsid w:val="00FD0236"/>
    <w:rsid w:val="00FD18F4"/>
    <w:rsid w:val="00FD54DB"/>
    <w:rsid w:val="00FD619F"/>
    <w:rsid w:val="00FE2EC4"/>
    <w:rsid w:val="00FF703A"/>
    <w:rsid w:val="01024FFA"/>
    <w:rsid w:val="010F7078"/>
    <w:rsid w:val="011078C7"/>
    <w:rsid w:val="01121891"/>
    <w:rsid w:val="0112363F"/>
    <w:rsid w:val="011A24F4"/>
    <w:rsid w:val="01203FAE"/>
    <w:rsid w:val="01265205"/>
    <w:rsid w:val="01290F7E"/>
    <w:rsid w:val="012A2737"/>
    <w:rsid w:val="012F2267"/>
    <w:rsid w:val="012F2F42"/>
    <w:rsid w:val="013435B5"/>
    <w:rsid w:val="0152040D"/>
    <w:rsid w:val="01545A05"/>
    <w:rsid w:val="015D1E09"/>
    <w:rsid w:val="016351A8"/>
    <w:rsid w:val="016B1F40"/>
    <w:rsid w:val="0179546C"/>
    <w:rsid w:val="017B11E4"/>
    <w:rsid w:val="017D4F5C"/>
    <w:rsid w:val="018067FB"/>
    <w:rsid w:val="018A1427"/>
    <w:rsid w:val="018F2EE2"/>
    <w:rsid w:val="018F4C90"/>
    <w:rsid w:val="01964270"/>
    <w:rsid w:val="01981D96"/>
    <w:rsid w:val="01A544B3"/>
    <w:rsid w:val="01A71FD9"/>
    <w:rsid w:val="01A746B1"/>
    <w:rsid w:val="01AA1AC9"/>
    <w:rsid w:val="01AF2CB4"/>
    <w:rsid w:val="01BB5A85"/>
    <w:rsid w:val="01BB5D13"/>
    <w:rsid w:val="01BC2913"/>
    <w:rsid w:val="01C03AE6"/>
    <w:rsid w:val="01C25065"/>
    <w:rsid w:val="01C33F6F"/>
    <w:rsid w:val="01C847F2"/>
    <w:rsid w:val="01C91564"/>
    <w:rsid w:val="01C963F3"/>
    <w:rsid w:val="01CC3A68"/>
    <w:rsid w:val="01D60B10"/>
    <w:rsid w:val="01DD4D72"/>
    <w:rsid w:val="01E90844"/>
    <w:rsid w:val="01EF12B8"/>
    <w:rsid w:val="01F33470"/>
    <w:rsid w:val="020431C4"/>
    <w:rsid w:val="02181129"/>
    <w:rsid w:val="021F7DC1"/>
    <w:rsid w:val="0224187C"/>
    <w:rsid w:val="022D3125"/>
    <w:rsid w:val="02331731"/>
    <w:rsid w:val="023B6BC5"/>
    <w:rsid w:val="02421B93"/>
    <w:rsid w:val="02441F1E"/>
    <w:rsid w:val="02555ED9"/>
    <w:rsid w:val="0256755B"/>
    <w:rsid w:val="025D08EA"/>
    <w:rsid w:val="02693733"/>
    <w:rsid w:val="02697903"/>
    <w:rsid w:val="026B1259"/>
    <w:rsid w:val="026C1AFB"/>
    <w:rsid w:val="026C77BD"/>
    <w:rsid w:val="026E0D49"/>
    <w:rsid w:val="026E2AF7"/>
    <w:rsid w:val="0272648B"/>
    <w:rsid w:val="02774A2E"/>
    <w:rsid w:val="027A76EE"/>
    <w:rsid w:val="027C16B8"/>
    <w:rsid w:val="028E13EB"/>
    <w:rsid w:val="02924A37"/>
    <w:rsid w:val="02937591"/>
    <w:rsid w:val="02985DC6"/>
    <w:rsid w:val="02A1111E"/>
    <w:rsid w:val="02B349AE"/>
    <w:rsid w:val="02B80216"/>
    <w:rsid w:val="02BC7D06"/>
    <w:rsid w:val="02C1356F"/>
    <w:rsid w:val="02C646E1"/>
    <w:rsid w:val="02C92423"/>
    <w:rsid w:val="02CF7FB2"/>
    <w:rsid w:val="02D0021C"/>
    <w:rsid w:val="02D45050"/>
    <w:rsid w:val="02DC3F04"/>
    <w:rsid w:val="02DD7CB8"/>
    <w:rsid w:val="02E62FD5"/>
    <w:rsid w:val="02EB05EB"/>
    <w:rsid w:val="02ED7EC0"/>
    <w:rsid w:val="02F05C02"/>
    <w:rsid w:val="02F56D74"/>
    <w:rsid w:val="02F96569"/>
    <w:rsid w:val="02FA082F"/>
    <w:rsid w:val="02FB439A"/>
    <w:rsid w:val="02FE3E7B"/>
    <w:rsid w:val="02FF7BF3"/>
    <w:rsid w:val="03011BBD"/>
    <w:rsid w:val="0302794D"/>
    <w:rsid w:val="030769C5"/>
    <w:rsid w:val="03082F4B"/>
    <w:rsid w:val="03092820"/>
    <w:rsid w:val="030B47EA"/>
    <w:rsid w:val="0313544C"/>
    <w:rsid w:val="031511C4"/>
    <w:rsid w:val="03173746"/>
    <w:rsid w:val="031C07A5"/>
    <w:rsid w:val="031E020B"/>
    <w:rsid w:val="031E451D"/>
    <w:rsid w:val="03217B69"/>
    <w:rsid w:val="03222B75"/>
    <w:rsid w:val="03267338"/>
    <w:rsid w:val="0328714A"/>
    <w:rsid w:val="03290669"/>
    <w:rsid w:val="03380E3C"/>
    <w:rsid w:val="03441113"/>
    <w:rsid w:val="0347314F"/>
    <w:rsid w:val="034C72DC"/>
    <w:rsid w:val="03505018"/>
    <w:rsid w:val="03563CB7"/>
    <w:rsid w:val="036118B7"/>
    <w:rsid w:val="036208AE"/>
    <w:rsid w:val="03732EE0"/>
    <w:rsid w:val="0374238F"/>
    <w:rsid w:val="03767EB5"/>
    <w:rsid w:val="037B54CB"/>
    <w:rsid w:val="03942A31"/>
    <w:rsid w:val="03962305"/>
    <w:rsid w:val="039B791C"/>
    <w:rsid w:val="039D7B38"/>
    <w:rsid w:val="03A42F63"/>
    <w:rsid w:val="03A53155"/>
    <w:rsid w:val="03B15391"/>
    <w:rsid w:val="03B22EB7"/>
    <w:rsid w:val="03B31109"/>
    <w:rsid w:val="03B65FF1"/>
    <w:rsid w:val="03B94246"/>
    <w:rsid w:val="03B97AEE"/>
    <w:rsid w:val="03C07EBE"/>
    <w:rsid w:val="03C63AB9"/>
    <w:rsid w:val="03D3225C"/>
    <w:rsid w:val="03D8291E"/>
    <w:rsid w:val="03DC75B8"/>
    <w:rsid w:val="03DF6E67"/>
    <w:rsid w:val="03EA7B21"/>
    <w:rsid w:val="03EE2141"/>
    <w:rsid w:val="04043713"/>
    <w:rsid w:val="04051239"/>
    <w:rsid w:val="04082AD7"/>
    <w:rsid w:val="040D2851"/>
    <w:rsid w:val="040F5BED"/>
    <w:rsid w:val="04112693"/>
    <w:rsid w:val="04194CE4"/>
    <w:rsid w:val="041B0A5C"/>
    <w:rsid w:val="043543C3"/>
    <w:rsid w:val="044D5AD1"/>
    <w:rsid w:val="04561A95"/>
    <w:rsid w:val="04570ED9"/>
    <w:rsid w:val="04620439"/>
    <w:rsid w:val="04657F2A"/>
    <w:rsid w:val="04673CA2"/>
    <w:rsid w:val="0472627E"/>
    <w:rsid w:val="04787198"/>
    <w:rsid w:val="04787DF0"/>
    <w:rsid w:val="047B14FB"/>
    <w:rsid w:val="047D34C5"/>
    <w:rsid w:val="04A040B3"/>
    <w:rsid w:val="04A62A1C"/>
    <w:rsid w:val="04A84BE8"/>
    <w:rsid w:val="04A942BA"/>
    <w:rsid w:val="04B00DC4"/>
    <w:rsid w:val="04B72815"/>
    <w:rsid w:val="04C74740"/>
    <w:rsid w:val="04C9670A"/>
    <w:rsid w:val="04CB041A"/>
    <w:rsid w:val="04CD61FB"/>
    <w:rsid w:val="04D07A99"/>
    <w:rsid w:val="04DC643E"/>
    <w:rsid w:val="04DF5F2E"/>
    <w:rsid w:val="04E452F2"/>
    <w:rsid w:val="04E92843"/>
    <w:rsid w:val="04F3732D"/>
    <w:rsid w:val="05065269"/>
    <w:rsid w:val="05080FE1"/>
    <w:rsid w:val="05094D59"/>
    <w:rsid w:val="05184F9C"/>
    <w:rsid w:val="05212B27"/>
    <w:rsid w:val="05241B93"/>
    <w:rsid w:val="05281683"/>
    <w:rsid w:val="05283431"/>
    <w:rsid w:val="052851DF"/>
    <w:rsid w:val="05290F57"/>
    <w:rsid w:val="05445D91"/>
    <w:rsid w:val="054466C6"/>
    <w:rsid w:val="0549010F"/>
    <w:rsid w:val="054933A7"/>
    <w:rsid w:val="0560750F"/>
    <w:rsid w:val="056703FD"/>
    <w:rsid w:val="056A3A4A"/>
    <w:rsid w:val="05706B86"/>
    <w:rsid w:val="057427F5"/>
    <w:rsid w:val="0576797F"/>
    <w:rsid w:val="057E371F"/>
    <w:rsid w:val="05806658"/>
    <w:rsid w:val="05882122"/>
    <w:rsid w:val="058A5E9A"/>
    <w:rsid w:val="058E1734"/>
    <w:rsid w:val="058E660D"/>
    <w:rsid w:val="059162FD"/>
    <w:rsid w:val="05924E76"/>
    <w:rsid w:val="05926AFC"/>
    <w:rsid w:val="05AB7BBE"/>
    <w:rsid w:val="05BB7FE0"/>
    <w:rsid w:val="05C0366A"/>
    <w:rsid w:val="05C07B0D"/>
    <w:rsid w:val="05C237BA"/>
    <w:rsid w:val="05C452CF"/>
    <w:rsid w:val="05CA7CF7"/>
    <w:rsid w:val="05CF7D50"/>
    <w:rsid w:val="05D46A64"/>
    <w:rsid w:val="05DE61E6"/>
    <w:rsid w:val="05E7796E"/>
    <w:rsid w:val="05F45A09"/>
    <w:rsid w:val="05F83EAE"/>
    <w:rsid w:val="05FA3EA2"/>
    <w:rsid w:val="06043E9E"/>
    <w:rsid w:val="060968FB"/>
    <w:rsid w:val="060A6FDB"/>
    <w:rsid w:val="060E0879"/>
    <w:rsid w:val="060E6ACB"/>
    <w:rsid w:val="060F45F1"/>
    <w:rsid w:val="06185ABE"/>
    <w:rsid w:val="061C5678"/>
    <w:rsid w:val="062067FE"/>
    <w:rsid w:val="0624009C"/>
    <w:rsid w:val="062718DE"/>
    <w:rsid w:val="062E0F1B"/>
    <w:rsid w:val="06316BF0"/>
    <w:rsid w:val="06336531"/>
    <w:rsid w:val="063876A4"/>
    <w:rsid w:val="063E7D85"/>
    <w:rsid w:val="0645174F"/>
    <w:rsid w:val="06486D9A"/>
    <w:rsid w:val="064A5629"/>
    <w:rsid w:val="064C13A1"/>
    <w:rsid w:val="065D710A"/>
    <w:rsid w:val="06620BC5"/>
    <w:rsid w:val="06677F89"/>
    <w:rsid w:val="066F06E3"/>
    <w:rsid w:val="068776D9"/>
    <w:rsid w:val="06931805"/>
    <w:rsid w:val="069845E6"/>
    <w:rsid w:val="06A42F8B"/>
    <w:rsid w:val="06A44D39"/>
    <w:rsid w:val="06A92474"/>
    <w:rsid w:val="06AE3E0A"/>
    <w:rsid w:val="06AE7966"/>
    <w:rsid w:val="06BC7083"/>
    <w:rsid w:val="06C62F02"/>
    <w:rsid w:val="06CE6EF4"/>
    <w:rsid w:val="06D27AF8"/>
    <w:rsid w:val="06DA69AD"/>
    <w:rsid w:val="06DF2215"/>
    <w:rsid w:val="06E15F8D"/>
    <w:rsid w:val="06E6018A"/>
    <w:rsid w:val="06F061D0"/>
    <w:rsid w:val="06F20536"/>
    <w:rsid w:val="06F3181D"/>
    <w:rsid w:val="06F4336E"/>
    <w:rsid w:val="07083C84"/>
    <w:rsid w:val="0717446C"/>
    <w:rsid w:val="071A324D"/>
    <w:rsid w:val="072445B9"/>
    <w:rsid w:val="07293490"/>
    <w:rsid w:val="07293586"/>
    <w:rsid w:val="07295285"/>
    <w:rsid w:val="07342561"/>
    <w:rsid w:val="07442078"/>
    <w:rsid w:val="07464042"/>
    <w:rsid w:val="074D717F"/>
    <w:rsid w:val="07566172"/>
    <w:rsid w:val="0757624F"/>
    <w:rsid w:val="075C73C2"/>
    <w:rsid w:val="07634BF4"/>
    <w:rsid w:val="07636392"/>
    <w:rsid w:val="076C6B7F"/>
    <w:rsid w:val="07770C56"/>
    <w:rsid w:val="077B36C0"/>
    <w:rsid w:val="077C5CB6"/>
    <w:rsid w:val="077E558A"/>
    <w:rsid w:val="078608E3"/>
    <w:rsid w:val="078801B7"/>
    <w:rsid w:val="079E5C2C"/>
    <w:rsid w:val="07AF1FF8"/>
    <w:rsid w:val="07B23486"/>
    <w:rsid w:val="07B47950"/>
    <w:rsid w:val="07B561E7"/>
    <w:rsid w:val="07B74F40"/>
    <w:rsid w:val="07B76CEE"/>
    <w:rsid w:val="07C27AF6"/>
    <w:rsid w:val="07C35693"/>
    <w:rsid w:val="07C95AF2"/>
    <w:rsid w:val="07CC1BEE"/>
    <w:rsid w:val="07CF228A"/>
    <w:rsid w:val="07D000A4"/>
    <w:rsid w:val="07D17DB0"/>
    <w:rsid w:val="07DF36D0"/>
    <w:rsid w:val="07E327C2"/>
    <w:rsid w:val="07F023C3"/>
    <w:rsid w:val="07F43A9E"/>
    <w:rsid w:val="07F615C4"/>
    <w:rsid w:val="07FB45D3"/>
    <w:rsid w:val="08002443"/>
    <w:rsid w:val="0802440D"/>
    <w:rsid w:val="08057A5A"/>
    <w:rsid w:val="0808754A"/>
    <w:rsid w:val="080B79E7"/>
    <w:rsid w:val="080C0DE8"/>
    <w:rsid w:val="08114650"/>
    <w:rsid w:val="081351AB"/>
    <w:rsid w:val="08186309"/>
    <w:rsid w:val="081952B3"/>
    <w:rsid w:val="081A50F6"/>
    <w:rsid w:val="08226EE0"/>
    <w:rsid w:val="082B4AC2"/>
    <w:rsid w:val="082C16C5"/>
    <w:rsid w:val="08346591"/>
    <w:rsid w:val="08470072"/>
    <w:rsid w:val="08485B98"/>
    <w:rsid w:val="084A22BC"/>
    <w:rsid w:val="084E5DED"/>
    <w:rsid w:val="08510EF1"/>
    <w:rsid w:val="0854278F"/>
    <w:rsid w:val="085E53BC"/>
    <w:rsid w:val="087150EF"/>
    <w:rsid w:val="08935065"/>
    <w:rsid w:val="089963F4"/>
    <w:rsid w:val="089E3A0A"/>
    <w:rsid w:val="08A13584"/>
    <w:rsid w:val="08A2799E"/>
    <w:rsid w:val="08A84E85"/>
    <w:rsid w:val="08A90D2D"/>
    <w:rsid w:val="08A9137D"/>
    <w:rsid w:val="08A94889"/>
    <w:rsid w:val="08AC573F"/>
    <w:rsid w:val="08AD581B"/>
    <w:rsid w:val="08AF4D90"/>
    <w:rsid w:val="08BB636A"/>
    <w:rsid w:val="08BC0A60"/>
    <w:rsid w:val="08BD6586"/>
    <w:rsid w:val="08C94F2B"/>
    <w:rsid w:val="08D33112"/>
    <w:rsid w:val="08D43138"/>
    <w:rsid w:val="08F17FDE"/>
    <w:rsid w:val="08F5187C"/>
    <w:rsid w:val="08FA50E4"/>
    <w:rsid w:val="08FB7F22"/>
    <w:rsid w:val="090441B5"/>
    <w:rsid w:val="090D306A"/>
    <w:rsid w:val="090F26A2"/>
    <w:rsid w:val="09134F41"/>
    <w:rsid w:val="092217DD"/>
    <w:rsid w:val="093A7294"/>
    <w:rsid w:val="094273DC"/>
    <w:rsid w:val="094B3B92"/>
    <w:rsid w:val="09510CB4"/>
    <w:rsid w:val="098350DA"/>
    <w:rsid w:val="098552F6"/>
    <w:rsid w:val="098F78BD"/>
    <w:rsid w:val="09913A13"/>
    <w:rsid w:val="0995305F"/>
    <w:rsid w:val="099B0F2F"/>
    <w:rsid w:val="099E3CC2"/>
    <w:rsid w:val="09AC496E"/>
    <w:rsid w:val="09B039F5"/>
    <w:rsid w:val="09BB0D18"/>
    <w:rsid w:val="09C54398"/>
    <w:rsid w:val="09CF031F"/>
    <w:rsid w:val="09D973F0"/>
    <w:rsid w:val="09DE7301"/>
    <w:rsid w:val="09E0252C"/>
    <w:rsid w:val="09F2225F"/>
    <w:rsid w:val="09F2400E"/>
    <w:rsid w:val="09F4422A"/>
    <w:rsid w:val="09F50B09"/>
    <w:rsid w:val="09FC30DE"/>
    <w:rsid w:val="0A067AB9"/>
    <w:rsid w:val="0A0D52EB"/>
    <w:rsid w:val="0A122902"/>
    <w:rsid w:val="0A193C90"/>
    <w:rsid w:val="0A1E4E03"/>
    <w:rsid w:val="0A263993"/>
    <w:rsid w:val="0A2A19F9"/>
    <w:rsid w:val="0A2A3A81"/>
    <w:rsid w:val="0A2C7FD3"/>
    <w:rsid w:val="0A2D3AC2"/>
    <w:rsid w:val="0A2E773B"/>
    <w:rsid w:val="0A36039E"/>
    <w:rsid w:val="0A397E8E"/>
    <w:rsid w:val="0A3B3C06"/>
    <w:rsid w:val="0A432ABB"/>
    <w:rsid w:val="0A4E393A"/>
    <w:rsid w:val="0A54037F"/>
    <w:rsid w:val="0A5D378E"/>
    <w:rsid w:val="0A64315D"/>
    <w:rsid w:val="0A652A31"/>
    <w:rsid w:val="0A6D2261"/>
    <w:rsid w:val="0A6F1B02"/>
    <w:rsid w:val="0A716483"/>
    <w:rsid w:val="0A747118"/>
    <w:rsid w:val="0A7B4003"/>
    <w:rsid w:val="0A7D5FCD"/>
    <w:rsid w:val="0A8D3D36"/>
    <w:rsid w:val="0AA755DF"/>
    <w:rsid w:val="0AB1211B"/>
    <w:rsid w:val="0AB17A25"/>
    <w:rsid w:val="0AB2168A"/>
    <w:rsid w:val="0AB34339"/>
    <w:rsid w:val="0AB37C41"/>
    <w:rsid w:val="0ABD286D"/>
    <w:rsid w:val="0AD0588A"/>
    <w:rsid w:val="0AD876A7"/>
    <w:rsid w:val="0ADC17D3"/>
    <w:rsid w:val="0ADD6A6C"/>
    <w:rsid w:val="0AE93662"/>
    <w:rsid w:val="0AF30554"/>
    <w:rsid w:val="0AFA5870"/>
    <w:rsid w:val="0AFB6461"/>
    <w:rsid w:val="0B015613"/>
    <w:rsid w:val="0B057E05"/>
    <w:rsid w:val="0B08250A"/>
    <w:rsid w:val="0B0A5387"/>
    <w:rsid w:val="0B120D44"/>
    <w:rsid w:val="0B13248D"/>
    <w:rsid w:val="0B1A7CC0"/>
    <w:rsid w:val="0B221213"/>
    <w:rsid w:val="0B3B5918"/>
    <w:rsid w:val="0B3D575C"/>
    <w:rsid w:val="0B424B21"/>
    <w:rsid w:val="0B4B60CB"/>
    <w:rsid w:val="0B575FC8"/>
    <w:rsid w:val="0B5A00BC"/>
    <w:rsid w:val="0B5A630E"/>
    <w:rsid w:val="0B6158EF"/>
    <w:rsid w:val="0B680A2B"/>
    <w:rsid w:val="0B753E53"/>
    <w:rsid w:val="0B817309"/>
    <w:rsid w:val="0B873B37"/>
    <w:rsid w:val="0B955093"/>
    <w:rsid w:val="0B9E444D"/>
    <w:rsid w:val="0BA15CEB"/>
    <w:rsid w:val="0BA83BD6"/>
    <w:rsid w:val="0BAA1044"/>
    <w:rsid w:val="0BB27606"/>
    <w:rsid w:val="0BBA6DAD"/>
    <w:rsid w:val="0BC119BA"/>
    <w:rsid w:val="0BCB0FBA"/>
    <w:rsid w:val="0BD27BF6"/>
    <w:rsid w:val="0BE5207C"/>
    <w:rsid w:val="0BF20764"/>
    <w:rsid w:val="0BFC1173"/>
    <w:rsid w:val="0C0562B6"/>
    <w:rsid w:val="0C0A1AE2"/>
    <w:rsid w:val="0C192780"/>
    <w:rsid w:val="0C1B3CF0"/>
    <w:rsid w:val="0C1C7A68"/>
    <w:rsid w:val="0C20118A"/>
    <w:rsid w:val="0C201306"/>
    <w:rsid w:val="0C230DF6"/>
    <w:rsid w:val="0C274EA9"/>
    <w:rsid w:val="0C35077B"/>
    <w:rsid w:val="0C3B3C7D"/>
    <w:rsid w:val="0C3D5107"/>
    <w:rsid w:val="0C3F7BB0"/>
    <w:rsid w:val="0C4F3999"/>
    <w:rsid w:val="0C5A262D"/>
    <w:rsid w:val="0C5B215F"/>
    <w:rsid w:val="0C633BE0"/>
    <w:rsid w:val="0C722063"/>
    <w:rsid w:val="0C790A16"/>
    <w:rsid w:val="0C7F6C0A"/>
    <w:rsid w:val="0C912C5C"/>
    <w:rsid w:val="0C99140A"/>
    <w:rsid w:val="0C994C14"/>
    <w:rsid w:val="0C9F66CF"/>
    <w:rsid w:val="0CA5180B"/>
    <w:rsid w:val="0CA830A9"/>
    <w:rsid w:val="0CAA5CE1"/>
    <w:rsid w:val="0CAB2EAE"/>
    <w:rsid w:val="0CAF61E6"/>
    <w:rsid w:val="0CB63A18"/>
    <w:rsid w:val="0CBA524C"/>
    <w:rsid w:val="0CBB4B8B"/>
    <w:rsid w:val="0CCC4C4B"/>
    <w:rsid w:val="0CCE3913"/>
    <w:rsid w:val="0CCF6888"/>
    <w:rsid w:val="0CD10852"/>
    <w:rsid w:val="0CD520F0"/>
    <w:rsid w:val="0CD666EC"/>
    <w:rsid w:val="0CDA1F1F"/>
    <w:rsid w:val="0CDB347F"/>
    <w:rsid w:val="0CDC1500"/>
    <w:rsid w:val="0CDD71F7"/>
    <w:rsid w:val="0CDE6ACB"/>
    <w:rsid w:val="0CE2480D"/>
    <w:rsid w:val="0CE75980"/>
    <w:rsid w:val="0CEC2F96"/>
    <w:rsid w:val="0CEE1EA6"/>
    <w:rsid w:val="0CEE31B2"/>
    <w:rsid w:val="0CF26F3A"/>
    <w:rsid w:val="0CF37688"/>
    <w:rsid w:val="0CF81D5D"/>
    <w:rsid w:val="0CF87B8D"/>
    <w:rsid w:val="0CFB142B"/>
    <w:rsid w:val="0CFE2CC9"/>
    <w:rsid w:val="0CFF54F2"/>
    <w:rsid w:val="0D0E73B0"/>
    <w:rsid w:val="0D0F523E"/>
    <w:rsid w:val="0D1F1227"/>
    <w:rsid w:val="0D200E92"/>
    <w:rsid w:val="0D253AC7"/>
    <w:rsid w:val="0D2B61B4"/>
    <w:rsid w:val="0D2E1801"/>
    <w:rsid w:val="0D3517D5"/>
    <w:rsid w:val="0D3D5EE8"/>
    <w:rsid w:val="0D4C7E4E"/>
    <w:rsid w:val="0D554FDF"/>
    <w:rsid w:val="0D58687D"/>
    <w:rsid w:val="0D5A6C1F"/>
    <w:rsid w:val="0D5E7D23"/>
    <w:rsid w:val="0D605732"/>
    <w:rsid w:val="0D621C7D"/>
    <w:rsid w:val="0D643474"/>
    <w:rsid w:val="0D645222"/>
    <w:rsid w:val="0D676AC1"/>
    <w:rsid w:val="0D7336B7"/>
    <w:rsid w:val="0D7A4A46"/>
    <w:rsid w:val="0D7C6A10"/>
    <w:rsid w:val="0D7E2E7B"/>
    <w:rsid w:val="0D814026"/>
    <w:rsid w:val="0D8238FA"/>
    <w:rsid w:val="0D870F11"/>
    <w:rsid w:val="0D945104"/>
    <w:rsid w:val="0D977646"/>
    <w:rsid w:val="0D984ECC"/>
    <w:rsid w:val="0DA10224"/>
    <w:rsid w:val="0DA672BA"/>
    <w:rsid w:val="0DA91009"/>
    <w:rsid w:val="0DAA38F3"/>
    <w:rsid w:val="0DAB2E51"/>
    <w:rsid w:val="0DB25F8E"/>
    <w:rsid w:val="0DD00B0A"/>
    <w:rsid w:val="0DD62DD5"/>
    <w:rsid w:val="0DD779A6"/>
    <w:rsid w:val="0DE5117B"/>
    <w:rsid w:val="0DE6032D"/>
    <w:rsid w:val="0DE85E53"/>
    <w:rsid w:val="0DED16BC"/>
    <w:rsid w:val="0DEF69F4"/>
    <w:rsid w:val="0DF01911"/>
    <w:rsid w:val="0DF20A80"/>
    <w:rsid w:val="0DF91E0E"/>
    <w:rsid w:val="0DFA5B87"/>
    <w:rsid w:val="0DFD033B"/>
    <w:rsid w:val="0E0B0A4B"/>
    <w:rsid w:val="0E124C7E"/>
    <w:rsid w:val="0E1A17D5"/>
    <w:rsid w:val="0E3115D4"/>
    <w:rsid w:val="0E4704FD"/>
    <w:rsid w:val="0E4A266A"/>
    <w:rsid w:val="0E4D215A"/>
    <w:rsid w:val="0E5378BC"/>
    <w:rsid w:val="0E5864B3"/>
    <w:rsid w:val="0E603C3C"/>
    <w:rsid w:val="0E631DF4"/>
    <w:rsid w:val="0E682CB3"/>
    <w:rsid w:val="0E6B25E0"/>
    <w:rsid w:val="0E73034D"/>
    <w:rsid w:val="0E7476E7"/>
    <w:rsid w:val="0E7C6834"/>
    <w:rsid w:val="0E87566C"/>
    <w:rsid w:val="0E8E3F75"/>
    <w:rsid w:val="0E912A8E"/>
    <w:rsid w:val="0E927B6D"/>
    <w:rsid w:val="0E9644C4"/>
    <w:rsid w:val="0E9658AF"/>
    <w:rsid w:val="0E96765D"/>
    <w:rsid w:val="0E9F36E7"/>
    <w:rsid w:val="0E9F3E75"/>
    <w:rsid w:val="0EB14533"/>
    <w:rsid w:val="0EC41493"/>
    <w:rsid w:val="0EC71F0D"/>
    <w:rsid w:val="0EC95C85"/>
    <w:rsid w:val="0ED022E6"/>
    <w:rsid w:val="0ED15F25"/>
    <w:rsid w:val="0ED4462A"/>
    <w:rsid w:val="0EDB048D"/>
    <w:rsid w:val="0EDC703A"/>
    <w:rsid w:val="0EE44AF3"/>
    <w:rsid w:val="0EE52393"/>
    <w:rsid w:val="0EE91002"/>
    <w:rsid w:val="0EFD2794"/>
    <w:rsid w:val="0F024CF3"/>
    <w:rsid w:val="0F032819"/>
    <w:rsid w:val="0F046CBD"/>
    <w:rsid w:val="0F0D0F22"/>
    <w:rsid w:val="0F13775A"/>
    <w:rsid w:val="0F182F0F"/>
    <w:rsid w:val="0F186B39"/>
    <w:rsid w:val="0F1F034D"/>
    <w:rsid w:val="0F2227A9"/>
    <w:rsid w:val="0F2F360E"/>
    <w:rsid w:val="0F3103A4"/>
    <w:rsid w:val="0F3D5D2B"/>
    <w:rsid w:val="0F527882"/>
    <w:rsid w:val="0F587009"/>
    <w:rsid w:val="0F5D461F"/>
    <w:rsid w:val="0F5F2145"/>
    <w:rsid w:val="0F5F45FE"/>
    <w:rsid w:val="0F657030"/>
    <w:rsid w:val="0F6C6610"/>
    <w:rsid w:val="0F757FCC"/>
    <w:rsid w:val="0F7B042B"/>
    <w:rsid w:val="0F7D081D"/>
    <w:rsid w:val="0F824086"/>
    <w:rsid w:val="0F953899"/>
    <w:rsid w:val="0F985657"/>
    <w:rsid w:val="0F9A112B"/>
    <w:rsid w:val="0F9D5B71"/>
    <w:rsid w:val="0FA933C0"/>
    <w:rsid w:val="0FAB36E5"/>
    <w:rsid w:val="0FAB4E34"/>
    <w:rsid w:val="0FB5079A"/>
    <w:rsid w:val="0FC85F3C"/>
    <w:rsid w:val="0FCA37D9"/>
    <w:rsid w:val="0FD820CA"/>
    <w:rsid w:val="0FE16FFE"/>
    <w:rsid w:val="0FF24D67"/>
    <w:rsid w:val="0FF94348"/>
    <w:rsid w:val="0FFA1E6E"/>
    <w:rsid w:val="0FFC3CF9"/>
    <w:rsid w:val="10090303"/>
    <w:rsid w:val="10125409"/>
    <w:rsid w:val="10143FAC"/>
    <w:rsid w:val="1017657C"/>
    <w:rsid w:val="101A2510"/>
    <w:rsid w:val="10233173"/>
    <w:rsid w:val="10262C63"/>
    <w:rsid w:val="102665D2"/>
    <w:rsid w:val="102A2753"/>
    <w:rsid w:val="10345380"/>
    <w:rsid w:val="10390BE8"/>
    <w:rsid w:val="103A226A"/>
    <w:rsid w:val="104135F9"/>
    <w:rsid w:val="104F2372"/>
    <w:rsid w:val="104F29C6"/>
    <w:rsid w:val="106620DB"/>
    <w:rsid w:val="106D2F64"/>
    <w:rsid w:val="10765998"/>
    <w:rsid w:val="1077526D"/>
    <w:rsid w:val="107C6D27"/>
    <w:rsid w:val="107F59CF"/>
    <w:rsid w:val="10845A10"/>
    <w:rsid w:val="10857989"/>
    <w:rsid w:val="108628B1"/>
    <w:rsid w:val="108D1265"/>
    <w:rsid w:val="109E4EEF"/>
    <w:rsid w:val="109F048E"/>
    <w:rsid w:val="10A047C3"/>
    <w:rsid w:val="10A818CA"/>
    <w:rsid w:val="10A84707"/>
    <w:rsid w:val="10B506CD"/>
    <w:rsid w:val="10B63710"/>
    <w:rsid w:val="10B86A16"/>
    <w:rsid w:val="10BB33AB"/>
    <w:rsid w:val="10BD451F"/>
    <w:rsid w:val="10C5422A"/>
    <w:rsid w:val="10C85AC8"/>
    <w:rsid w:val="10CB0174"/>
    <w:rsid w:val="10D95F27"/>
    <w:rsid w:val="10DC6F8F"/>
    <w:rsid w:val="10E32902"/>
    <w:rsid w:val="10E723F2"/>
    <w:rsid w:val="10E73DBD"/>
    <w:rsid w:val="10E943BC"/>
    <w:rsid w:val="10F10820"/>
    <w:rsid w:val="10FB5E9E"/>
    <w:rsid w:val="10FC5772"/>
    <w:rsid w:val="11001706"/>
    <w:rsid w:val="110A4DCF"/>
    <w:rsid w:val="110D797F"/>
    <w:rsid w:val="111C2F7A"/>
    <w:rsid w:val="112371A2"/>
    <w:rsid w:val="112F55F3"/>
    <w:rsid w:val="11335637"/>
    <w:rsid w:val="1140317B"/>
    <w:rsid w:val="11433A97"/>
    <w:rsid w:val="11483E0A"/>
    <w:rsid w:val="114E421F"/>
    <w:rsid w:val="11507455"/>
    <w:rsid w:val="115C0412"/>
    <w:rsid w:val="116003F7"/>
    <w:rsid w:val="116021A5"/>
    <w:rsid w:val="11625554"/>
    <w:rsid w:val="11665CA1"/>
    <w:rsid w:val="116C0B49"/>
    <w:rsid w:val="11731ED8"/>
    <w:rsid w:val="11773B24"/>
    <w:rsid w:val="117B00A3"/>
    <w:rsid w:val="117B7CBC"/>
    <w:rsid w:val="118557C7"/>
    <w:rsid w:val="119114EB"/>
    <w:rsid w:val="119360D6"/>
    <w:rsid w:val="11943BFC"/>
    <w:rsid w:val="11967974"/>
    <w:rsid w:val="11971413"/>
    <w:rsid w:val="119F2CCD"/>
    <w:rsid w:val="119F4A7B"/>
    <w:rsid w:val="11A03203"/>
    <w:rsid w:val="11A958FA"/>
    <w:rsid w:val="11AC53EA"/>
    <w:rsid w:val="11AC5D7A"/>
    <w:rsid w:val="11BA7B07"/>
    <w:rsid w:val="11C55E5A"/>
    <w:rsid w:val="11C80E18"/>
    <w:rsid w:val="11CE7E08"/>
    <w:rsid w:val="11D0732A"/>
    <w:rsid w:val="11D21920"/>
    <w:rsid w:val="11D23A1B"/>
    <w:rsid w:val="11D64215"/>
    <w:rsid w:val="11D65914"/>
    <w:rsid w:val="11D755F1"/>
    <w:rsid w:val="11FF19BD"/>
    <w:rsid w:val="11FF551A"/>
    <w:rsid w:val="120D0BAC"/>
    <w:rsid w:val="12107727"/>
    <w:rsid w:val="12107D36"/>
    <w:rsid w:val="12162BF0"/>
    <w:rsid w:val="121C256F"/>
    <w:rsid w:val="12244F80"/>
    <w:rsid w:val="12245FAF"/>
    <w:rsid w:val="12381717"/>
    <w:rsid w:val="123F625E"/>
    <w:rsid w:val="12456514"/>
    <w:rsid w:val="124A70DD"/>
    <w:rsid w:val="12543AB7"/>
    <w:rsid w:val="125D0E86"/>
    <w:rsid w:val="12612198"/>
    <w:rsid w:val="126526E0"/>
    <w:rsid w:val="126A43E5"/>
    <w:rsid w:val="12706417"/>
    <w:rsid w:val="127465B7"/>
    <w:rsid w:val="12771554"/>
    <w:rsid w:val="127777A6"/>
    <w:rsid w:val="127C6B6A"/>
    <w:rsid w:val="12843C71"/>
    <w:rsid w:val="12850115"/>
    <w:rsid w:val="128A74D9"/>
    <w:rsid w:val="128D3A26"/>
    <w:rsid w:val="128D6FC9"/>
    <w:rsid w:val="12900868"/>
    <w:rsid w:val="12922832"/>
    <w:rsid w:val="12962AB6"/>
    <w:rsid w:val="1299596E"/>
    <w:rsid w:val="12B46304"/>
    <w:rsid w:val="12BA34A8"/>
    <w:rsid w:val="12BE53D5"/>
    <w:rsid w:val="12C02EFB"/>
    <w:rsid w:val="12CD5618"/>
    <w:rsid w:val="12D22C2E"/>
    <w:rsid w:val="12DF608A"/>
    <w:rsid w:val="12E110C3"/>
    <w:rsid w:val="12EA61CA"/>
    <w:rsid w:val="12EA7F14"/>
    <w:rsid w:val="12EB43C4"/>
    <w:rsid w:val="12EF37E0"/>
    <w:rsid w:val="12F30264"/>
    <w:rsid w:val="12FA5AEA"/>
    <w:rsid w:val="130059ED"/>
    <w:rsid w:val="130318FD"/>
    <w:rsid w:val="130628D8"/>
    <w:rsid w:val="13074598"/>
    <w:rsid w:val="130A061A"/>
    <w:rsid w:val="130D010A"/>
    <w:rsid w:val="13121D9E"/>
    <w:rsid w:val="1316431C"/>
    <w:rsid w:val="131B45D5"/>
    <w:rsid w:val="13217217"/>
    <w:rsid w:val="13225964"/>
    <w:rsid w:val="132711CC"/>
    <w:rsid w:val="132972AC"/>
    <w:rsid w:val="132A4818"/>
    <w:rsid w:val="132B4976"/>
    <w:rsid w:val="133645B5"/>
    <w:rsid w:val="1340403C"/>
    <w:rsid w:val="1347361C"/>
    <w:rsid w:val="134B4538"/>
    <w:rsid w:val="13545D39"/>
    <w:rsid w:val="136046DE"/>
    <w:rsid w:val="13643432"/>
    <w:rsid w:val="13664FBF"/>
    <w:rsid w:val="136E6DFB"/>
    <w:rsid w:val="137905F3"/>
    <w:rsid w:val="137C253C"/>
    <w:rsid w:val="13906D71"/>
    <w:rsid w:val="1393060F"/>
    <w:rsid w:val="13951726"/>
    <w:rsid w:val="13954387"/>
    <w:rsid w:val="13972729"/>
    <w:rsid w:val="13A04ADA"/>
    <w:rsid w:val="13AA7707"/>
    <w:rsid w:val="13AC16D1"/>
    <w:rsid w:val="13B16CE7"/>
    <w:rsid w:val="13BB0FAD"/>
    <w:rsid w:val="13C62793"/>
    <w:rsid w:val="13CF716E"/>
    <w:rsid w:val="13D541B1"/>
    <w:rsid w:val="13DA19AE"/>
    <w:rsid w:val="13F55BB2"/>
    <w:rsid w:val="14077AA1"/>
    <w:rsid w:val="14164D9C"/>
    <w:rsid w:val="14192544"/>
    <w:rsid w:val="14221120"/>
    <w:rsid w:val="14302302"/>
    <w:rsid w:val="14356B22"/>
    <w:rsid w:val="14396509"/>
    <w:rsid w:val="144052DA"/>
    <w:rsid w:val="14457998"/>
    <w:rsid w:val="14496F20"/>
    <w:rsid w:val="144D69D1"/>
    <w:rsid w:val="144D6AC7"/>
    <w:rsid w:val="144E4536"/>
    <w:rsid w:val="14504752"/>
    <w:rsid w:val="14590FA4"/>
    <w:rsid w:val="146124BC"/>
    <w:rsid w:val="1461426A"/>
    <w:rsid w:val="14636A5F"/>
    <w:rsid w:val="14641FAC"/>
    <w:rsid w:val="146855F8"/>
    <w:rsid w:val="14711346"/>
    <w:rsid w:val="1473140B"/>
    <w:rsid w:val="147A049E"/>
    <w:rsid w:val="147A357D"/>
    <w:rsid w:val="14912710"/>
    <w:rsid w:val="14971778"/>
    <w:rsid w:val="14975EDD"/>
    <w:rsid w:val="14983A03"/>
    <w:rsid w:val="14B1053D"/>
    <w:rsid w:val="14B22D17"/>
    <w:rsid w:val="14BC5944"/>
    <w:rsid w:val="14C42AB2"/>
    <w:rsid w:val="14C97C5F"/>
    <w:rsid w:val="14CD2F2D"/>
    <w:rsid w:val="14CF38C9"/>
    <w:rsid w:val="14D41F21"/>
    <w:rsid w:val="14D64C58"/>
    <w:rsid w:val="14DB226E"/>
    <w:rsid w:val="14DD2C3C"/>
    <w:rsid w:val="14E37DDB"/>
    <w:rsid w:val="14EC3ED4"/>
    <w:rsid w:val="14EF1875"/>
    <w:rsid w:val="14F57B48"/>
    <w:rsid w:val="15042CA4"/>
    <w:rsid w:val="150F7C50"/>
    <w:rsid w:val="15113B97"/>
    <w:rsid w:val="15121A08"/>
    <w:rsid w:val="151614F8"/>
    <w:rsid w:val="1517701E"/>
    <w:rsid w:val="15211C4B"/>
    <w:rsid w:val="15212CE3"/>
    <w:rsid w:val="15291F27"/>
    <w:rsid w:val="152A4FA3"/>
    <w:rsid w:val="153452D1"/>
    <w:rsid w:val="15363948"/>
    <w:rsid w:val="153B2D0D"/>
    <w:rsid w:val="15406575"/>
    <w:rsid w:val="1542115F"/>
    <w:rsid w:val="154A2F50"/>
    <w:rsid w:val="154B2D58"/>
    <w:rsid w:val="154E591C"/>
    <w:rsid w:val="15547ECE"/>
    <w:rsid w:val="155500FD"/>
    <w:rsid w:val="15581B10"/>
    <w:rsid w:val="155A57B6"/>
    <w:rsid w:val="15673B02"/>
    <w:rsid w:val="15681628"/>
    <w:rsid w:val="15743B87"/>
    <w:rsid w:val="157E3448"/>
    <w:rsid w:val="158741A4"/>
    <w:rsid w:val="158F6E23"/>
    <w:rsid w:val="1598015F"/>
    <w:rsid w:val="159F14ED"/>
    <w:rsid w:val="15A0797C"/>
    <w:rsid w:val="15A563D8"/>
    <w:rsid w:val="15BE749A"/>
    <w:rsid w:val="15C45954"/>
    <w:rsid w:val="15C54CCC"/>
    <w:rsid w:val="15C56A7A"/>
    <w:rsid w:val="15C745A0"/>
    <w:rsid w:val="15D62A35"/>
    <w:rsid w:val="15E74C42"/>
    <w:rsid w:val="15E769F0"/>
    <w:rsid w:val="15E92769"/>
    <w:rsid w:val="15EA028F"/>
    <w:rsid w:val="15EC2259"/>
    <w:rsid w:val="15EE30A9"/>
    <w:rsid w:val="15F335E7"/>
    <w:rsid w:val="15FA3362"/>
    <w:rsid w:val="15FE3F1E"/>
    <w:rsid w:val="160457F4"/>
    <w:rsid w:val="160839B9"/>
    <w:rsid w:val="16087E1D"/>
    <w:rsid w:val="16113A6D"/>
    <w:rsid w:val="16175528"/>
    <w:rsid w:val="161A2DBA"/>
    <w:rsid w:val="161B669A"/>
    <w:rsid w:val="16261542"/>
    <w:rsid w:val="16334878"/>
    <w:rsid w:val="163559AE"/>
    <w:rsid w:val="163A1216"/>
    <w:rsid w:val="164112E4"/>
    <w:rsid w:val="1643023A"/>
    <w:rsid w:val="16536716"/>
    <w:rsid w:val="165C118C"/>
    <w:rsid w:val="16646231"/>
    <w:rsid w:val="16691AFB"/>
    <w:rsid w:val="166A787D"/>
    <w:rsid w:val="166D339A"/>
    <w:rsid w:val="16893020"/>
    <w:rsid w:val="169052DA"/>
    <w:rsid w:val="16966185"/>
    <w:rsid w:val="16A27D1E"/>
    <w:rsid w:val="16AA639C"/>
    <w:rsid w:val="16AB3EC2"/>
    <w:rsid w:val="16BA0A86"/>
    <w:rsid w:val="16BA2357"/>
    <w:rsid w:val="16CB00C0"/>
    <w:rsid w:val="16CF4DE3"/>
    <w:rsid w:val="16D52119"/>
    <w:rsid w:val="16DA0303"/>
    <w:rsid w:val="16DB032D"/>
    <w:rsid w:val="16DB4356"/>
    <w:rsid w:val="16E01DBD"/>
    <w:rsid w:val="16E15C12"/>
    <w:rsid w:val="16E4792D"/>
    <w:rsid w:val="16E64EFA"/>
    <w:rsid w:val="16EF7903"/>
    <w:rsid w:val="16FC296F"/>
    <w:rsid w:val="17005FBC"/>
    <w:rsid w:val="170B670F"/>
    <w:rsid w:val="170C0E1D"/>
    <w:rsid w:val="1716069D"/>
    <w:rsid w:val="172073B0"/>
    <w:rsid w:val="17283764"/>
    <w:rsid w:val="17285513"/>
    <w:rsid w:val="172F68A1"/>
    <w:rsid w:val="173B5475"/>
    <w:rsid w:val="173D7210"/>
    <w:rsid w:val="175005C5"/>
    <w:rsid w:val="175400B6"/>
    <w:rsid w:val="17544559"/>
    <w:rsid w:val="175A078B"/>
    <w:rsid w:val="176072A0"/>
    <w:rsid w:val="17646B09"/>
    <w:rsid w:val="17654071"/>
    <w:rsid w:val="176D1921"/>
    <w:rsid w:val="17701D14"/>
    <w:rsid w:val="17735226"/>
    <w:rsid w:val="17793FC0"/>
    <w:rsid w:val="177D585E"/>
    <w:rsid w:val="17836BED"/>
    <w:rsid w:val="1788011D"/>
    <w:rsid w:val="178C16D3"/>
    <w:rsid w:val="17966920"/>
    <w:rsid w:val="179F2F2B"/>
    <w:rsid w:val="17B40D82"/>
    <w:rsid w:val="17B46DA6"/>
    <w:rsid w:val="17BA0860"/>
    <w:rsid w:val="17C074F9"/>
    <w:rsid w:val="17D15BAA"/>
    <w:rsid w:val="17D252BA"/>
    <w:rsid w:val="17D44911"/>
    <w:rsid w:val="17D47448"/>
    <w:rsid w:val="17E01949"/>
    <w:rsid w:val="17E05349"/>
    <w:rsid w:val="17E05CA2"/>
    <w:rsid w:val="17E05DED"/>
    <w:rsid w:val="17E71550"/>
    <w:rsid w:val="17F65611"/>
    <w:rsid w:val="17F73697"/>
    <w:rsid w:val="18014161"/>
    <w:rsid w:val="180715CC"/>
    <w:rsid w:val="18076390"/>
    <w:rsid w:val="180C4344"/>
    <w:rsid w:val="18117D55"/>
    <w:rsid w:val="1817268D"/>
    <w:rsid w:val="181C16C5"/>
    <w:rsid w:val="181D2B9D"/>
    <w:rsid w:val="18221F62"/>
    <w:rsid w:val="18251383"/>
    <w:rsid w:val="18253800"/>
    <w:rsid w:val="182A0384"/>
    <w:rsid w:val="182F467F"/>
    <w:rsid w:val="183121A5"/>
    <w:rsid w:val="18335BB8"/>
    <w:rsid w:val="183C5697"/>
    <w:rsid w:val="18453379"/>
    <w:rsid w:val="184B0274"/>
    <w:rsid w:val="184C0003"/>
    <w:rsid w:val="184D1F1E"/>
    <w:rsid w:val="18513D70"/>
    <w:rsid w:val="18585984"/>
    <w:rsid w:val="18601E30"/>
    <w:rsid w:val="18626802"/>
    <w:rsid w:val="18784278"/>
    <w:rsid w:val="18860D7D"/>
    <w:rsid w:val="18872D26"/>
    <w:rsid w:val="1890511D"/>
    <w:rsid w:val="189232A1"/>
    <w:rsid w:val="18952734"/>
    <w:rsid w:val="18963BFB"/>
    <w:rsid w:val="189F624C"/>
    <w:rsid w:val="18A05D08"/>
    <w:rsid w:val="18A47F3B"/>
    <w:rsid w:val="18A70A60"/>
    <w:rsid w:val="18A75F66"/>
    <w:rsid w:val="18AC1F77"/>
    <w:rsid w:val="18AC5CCF"/>
    <w:rsid w:val="18BA03EC"/>
    <w:rsid w:val="18C354F3"/>
    <w:rsid w:val="18CB39A2"/>
    <w:rsid w:val="18D00CC1"/>
    <w:rsid w:val="18D02C08"/>
    <w:rsid w:val="18DA0A8E"/>
    <w:rsid w:val="18DA6CE0"/>
    <w:rsid w:val="18E0247C"/>
    <w:rsid w:val="18E82296"/>
    <w:rsid w:val="18E90CD1"/>
    <w:rsid w:val="18EC1E75"/>
    <w:rsid w:val="18F774CF"/>
    <w:rsid w:val="18FD1CA1"/>
    <w:rsid w:val="19081158"/>
    <w:rsid w:val="190B6E9A"/>
    <w:rsid w:val="191C10A7"/>
    <w:rsid w:val="192F2B88"/>
    <w:rsid w:val="19434886"/>
    <w:rsid w:val="19483C4A"/>
    <w:rsid w:val="19502AFF"/>
    <w:rsid w:val="19566367"/>
    <w:rsid w:val="196565AA"/>
    <w:rsid w:val="196A3626"/>
    <w:rsid w:val="19721C8F"/>
    <w:rsid w:val="19742D44"/>
    <w:rsid w:val="197902A7"/>
    <w:rsid w:val="197B7B7C"/>
    <w:rsid w:val="198033E4"/>
    <w:rsid w:val="19834C82"/>
    <w:rsid w:val="19882AEE"/>
    <w:rsid w:val="198A6011"/>
    <w:rsid w:val="19960E59"/>
    <w:rsid w:val="1997072D"/>
    <w:rsid w:val="199C3B09"/>
    <w:rsid w:val="19A86726"/>
    <w:rsid w:val="19AB4380"/>
    <w:rsid w:val="19AC41D9"/>
    <w:rsid w:val="19B92850"/>
    <w:rsid w:val="19BE3F0C"/>
    <w:rsid w:val="19D227B1"/>
    <w:rsid w:val="19D64527"/>
    <w:rsid w:val="19DF45AE"/>
    <w:rsid w:val="19F618F8"/>
    <w:rsid w:val="19F93196"/>
    <w:rsid w:val="1A045DC3"/>
    <w:rsid w:val="1A0904E9"/>
    <w:rsid w:val="1A091263"/>
    <w:rsid w:val="1A0933D0"/>
    <w:rsid w:val="1A102EB7"/>
    <w:rsid w:val="1A116732"/>
    <w:rsid w:val="1A143B2C"/>
    <w:rsid w:val="1A1A3838"/>
    <w:rsid w:val="1A1B7FD5"/>
    <w:rsid w:val="1A1C66C0"/>
    <w:rsid w:val="1A277D03"/>
    <w:rsid w:val="1A2A15A2"/>
    <w:rsid w:val="1A332204"/>
    <w:rsid w:val="1A36016C"/>
    <w:rsid w:val="1A366198"/>
    <w:rsid w:val="1A3D12D5"/>
    <w:rsid w:val="1A42393B"/>
    <w:rsid w:val="1A4276AF"/>
    <w:rsid w:val="1A4C1518"/>
    <w:rsid w:val="1A4C5233"/>
    <w:rsid w:val="1A4C59BC"/>
    <w:rsid w:val="1A587EBD"/>
    <w:rsid w:val="1A5E3B6D"/>
    <w:rsid w:val="1A6920CA"/>
    <w:rsid w:val="1A73397C"/>
    <w:rsid w:val="1A807414"/>
    <w:rsid w:val="1A8A7410"/>
    <w:rsid w:val="1A8E38DF"/>
    <w:rsid w:val="1A9D7FC6"/>
    <w:rsid w:val="1AA67F85"/>
    <w:rsid w:val="1AAD45DE"/>
    <w:rsid w:val="1AB31597"/>
    <w:rsid w:val="1ABA0B77"/>
    <w:rsid w:val="1ABB4342"/>
    <w:rsid w:val="1ABC48F0"/>
    <w:rsid w:val="1ABD5F72"/>
    <w:rsid w:val="1AC47300"/>
    <w:rsid w:val="1AD5150D"/>
    <w:rsid w:val="1ADC051E"/>
    <w:rsid w:val="1ADF238C"/>
    <w:rsid w:val="1ADF413A"/>
    <w:rsid w:val="1AE17EB2"/>
    <w:rsid w:val="1AEE25CF"/>
    <w:rsid w:val="1AF37BE5"/>
    <w:rsid w:val="1AF57E02"/>
    <w:rsid w:val="1AFD2812"/>
    <w:rsid w:val="1AFF47DC"/>
    <w:rsid w:val="1AFF658A"/>
    <w:rsid w:val="1B046F80"/>
    <w:rsid w:val="1B087B35"/>
    <w:rsid w:val="1B0B13D3"/>
    <w:rsid w:val="1B0D6EF9"/>
    <w:rsid w:val="1B0F0EC3"/>
    <w:rsid w:val="1B137620"/>
    <w:rsid w:val="1B1529A1"/>
    <w:rsid w:val="1B174574"/>
    <w:rsid w:val="1B177D78"/>
    <w:rsid w:val="1B3267B5"/>
    <w:rsid w:val="1B334486"/>
    <w:rsid w:val="1B3721C8"/>
    <w:rsid w:val="1B3E3557"/>
    <w:rsid w:val="1B40161D"/>
    <w:rsid w:val="1B441859"/>
    <w:rsid w:val="1B445528"/>
    <w:rsid w:val="1B483E67"/>
    <w:rsid w:val="1B4F7512"/>
    <w:rsid w:val="1B5C48BD"/>
    <w:rsid w:val="1B5C578B"/>
    <w:rsid w:val="1B5E19CF"/>
    <w:rsid w:val="1B5F448C"/>
    <w:rsid w:val="1B6606B1"/>
    <w:rsid w:val="1B6D5BEA"/>
    <w:rsid w:val="1B754A9E"/>
    <w:rsid w:val="1B774D45"/>
    <w:rsid w:val="1B854CE1"/>
    <w:rsid w:val="1B8A679C"/>
    <w:rsid w:val="1B977D90"/>
    <w:rsid w:val="1B9D5DED"/>
    <w:rsid w:val="1BA33FC4"/>
    <w:rsid w:val="1BB43819"/>
    <w:rsid w:val="1BB5686B"/>
    <w:rsid w:val="1BB9498B"/>
    <w:rsid w:val="1BC05D1A"/>
    <w:rsid w:val="1BC31CAE"/>
    <w:rsid w:val="1BEC38FA"/>
    <w:rsid w:val="1BEF3443"/>
    <w:rsid w:val="1BF8749E"/>
    <w:rsid w:val="1C0227D6"/>
    <w:rsid w:val="1C0A0989"/>
    <w:rsid w:val="1C1846B4"/>
    <w:rsid w:val="1C197304"/>
    <w:rsid w:val="1C1B5646"/>
    <w:rsid w:val="1C1E0C92"/>
    <w:rsid w:val="1C204A0A"/>
    <w:rsid w:val="1C23216B"/>
    <w:rsid w:val="1C284AF5"/>
    <w:rsid w:val="1C2A5889"/>
    <w:rsid w:val="1C330BE1"/>
    <w:rsid w:val="1C3A1F70"/>
    <w:rsid w:val="1C4C3A51"/>
    <w:rsid w:val="1C4D015E"/>
    <w:rsid w:val="1C5126B8"/>
    <w:rsid w:val="1C5617FA"/>
    <w:rsid w:val="1C5E7925"/>
    <w:rsid w:val="1C69015F"/>
    <w:rsid w:val="1C6917AC"/>
    <w:rsid w:val="1C7654F3"/>
    <w:rsid w:val="1C782A98"/>
    <w:rsid w:val="1C7D1E5D"/>
    <w:rsid w:val="1C7D71C4"/>
    <w:rsid w:val="1C7F3E27"/>
    <w:rsid w:val="1C821221"/>
    <w:rsid w:val="1C876837"/>
    <w:rsid w:val="1C8C6544"/>
    <w:rsid w:val="1C8D182E"/>
    <w:rsid w:val="1C962F1E"/>
    <w:rsid w:val="1CA150CB"/>
    <w:rsid w:val="1CA473E9"/>
    <w:rsid w:val="1CA64748"/>
    <w:rsid w:val="1CB03FE0"/>
    <w:rsid w:val="1CB16FFC"/>
    <w:rsid w:val="1CB25FAA"/>
    <w:rsid w:val="1CB6536F"/>
    <w:rsid w:val="1CBD04AB"/>
    <w:rsid w:val="1CC61A56"/>
    <w:rsid w:val="1CCB1BEA"/>
    <w:rsid w:val="1CCB4EEC"/>
    <w:rsid w:val="1CCF6B59"/>
    <w:rsid w:val="1CD001DE"/>
    <w:rsid w:val="1CD13F56"/>
    <w:rsid w:val="1CD72FDB"/>
    <w:rsid w:val="1CDB4B7F"/>
    <w:rsid w:val="1CDF6673"/>
    <w:rsid w:val="1CE32A5E"/>
    <w:rsid w:val="1CEE035B"/>
    <w:rsid w:val="1CF245F9"/>
    <w:rsid w:val="1CF30371"/>
    <w:rsid w:val="1CFD070F"/>
    <w:rsid w:val="1D0600A4"/>
    <w:rsid w:val="1D117452"/>
    <w:rsid w:val="1D1722B1"/>
    <w:rsid w:val="1D214EDE"/>
    <w:rsid w:val="1D2247B2"/>
    <w:rsid w:val="1D28001A"/>
    <w:rsid w:val="1D305121"/>
    <w:rsid w:val="1D306ECF"/>
    <w:rsid w:val="1D3F0FF8"/>
    <w:rsid w:val="1D4B1F5B"/>
    <w:rsid w:val="1D4D7A81"/>
    <w:rsid w:val="1D547F1B"/>
    <w:rsid w:val="1D552DD9"/>
    <w:rsid w:val="1D5801D4"/>
    <w:rsid w:val="1D5F6196"/>
    <w:rsid w:val="1D6132A5"/>
    <w:rsid w:val="1D64760A"/>
    <w:rsid w:val="1D785CC2"/>
    <w:rsid w:val="1D8E56D5"/>
    <w:rsid w:val="1D901B97"/>
    <w:rsid w:val="1DA43419"/>
    <w:rsid w:val="1DA8115B"/>
    <w:rsid w:val="1DAB6D83"/>
    <w:rsid w:val="1DAC5E21"/>
    <w:rsid w:val="1DB56858"/>
    <w:rsid w:val="1DB57D82"/>
    <w:rsid w:val="1DBF7253"/>
    <w:rsid w:val="1DC15D79"/>
    <w:rsid w:val="1DC37D43"/>
    <w:rsid w:val="1DC55869"/>
    <w:rsid w:val="1DC75A85"/>
    <w:rsid w:val="1DCF493A"/>
    <w:rsid w:val="1DD17E23"/>
    <w:rsid w:val="1DD555A3"/>
    <w:rsid w:val="1DE2466D"/>
    <w:rsid w:val="1DE45D04"/>
    <w:rsid w:val="1DEF6D8A"/>
    <w:rsid w:val="1E0335B9"/>
    <w:rsid w:val="1E0740D4"/>
    <w:rsid w:val="1E0E450A"/>
    <w:rsid w:val="1E124827"/>
    <w:rsid w:val="1E1467F1"/>
    <w:rsid w:val="1E1B7B7F"/>
    <w:rsid w:val="1E1C72F1"/>
    <w:rsid w:val="1E2B7E0D"/>
    <w:rsid w:val="1E2E2CDE"/>
    <w:rsid w:val="1E31059F"/>
    <w:rsid w:val="1E326C77"/>
    <w:rsid w:val="1E3E73CA"/>
    <w:rsid w:val="1E4A3FC0"/>
    <w:rsid w:val="1E4B73EA"/>
    <w:rsid w:val="1E5D0198"/>
    <w:rsid w:val="1E6257AE"/>
    <w:rsid w:val="1E64093C"/>
    <w:rsid w:val="1E7A2AF8"/>
    <w:rsid w:val="1E7A43DA"/>
    <w:rsid w:val="1E7E491D"/>
    <w:rsid w:val="1E861030"/>
    <w:rsid w:val="1E933AF2"/>
    <w:rsid w:val="1E982F7E"/>
    <w:rsid w:val="1EA41923"/>
    <w:rsid w:val="1EAA1C30"/>
    <w:rsid w:val="1EAE0073"/>
    <w:rsid w:val="1EB52427"/>
    <w:rsid w:val="1ECB1201"/>
    <w:rsid w:val="1ECB3353"/>
    <w:rsid w:val="1ECE2E43"/>
    <w:rsid w:val="1ED97CE5"/>
    <w:rsid w:val="1EDC2CC2"/>
    <w:rsid w:val="1EE7180F"/>
    <w:rsid w:val="1EF33837"/>
    <w:rsid w:val="1EF97CD9"/>
    <w:rsid w:val="1EFC5720"/>
    <w:rsid w:val="1F040613"/>
    <w:rsid w:val="1F08550B"/>
    <w:rsid w:val="1F0B0B1C"/>
    <w:rsid w:val="1F0B7A54"/>
    <w:rsid w:val="1F130856"/>
    <w:rsid w:val="1F170A41"/>
    <w:rsid w:val="1F1A3993"/>
    <w:rsid w:val="1F1A4B11"/>
    <w:rsid w:val="1F1D3483"/>
    <w:rsid w:val="1F26058A"/>
    <w:rsid w:val="1F3507CD"/>
    <w:rsid w:val="1F394761"/>
    <w:rsid w:val="1F4B7FF0"/>
    <w:rsid w:val="1F574497"/>
    <w:rsid w:val="1F5C044F"/>
    <w:rsid w:val="1F610877"/>
    <w:rsid w:val="1F6F0182"/>
    <w:rsid w:val="1F707A57"/>
    <w:rsid w:val="1F765C4F"/>
    <w:rsid w:val="1F78690B"/>
    <w:rsid w:val="1F811C64"/>
    <w:rsid w:val="1F8B663F"/>
    <w:rsid w:val="1F903C55"/>
    <w:rsid w:val="1F90634B"/>
    <w:rsid w:val="1F915D98"/>
    <w:rsid w:val="1F925C1F"/>
    <w:rsid w:val="1F9C084C"/>
    <w:rsid w:val="1FA91429"/>
    <w:rsid w:val="1FAA740D"/>
    <w:rsid w:val="1FB40B92"/>
    <w:rsid w:val="1FB42039"/>
    <w:rsid w:val="1FB77434"/>
    <w:rsid w:val="1FBA0B75"/>
    <w:rsid w:val="1FBA6F24"/>
    <w:rsid w:val="1FBC7130"/>
    <w:rsid w:val="1FBF7581"/>
    <w:rsid w:val="1FC13134"/>
    <w:rsid w:val="1FC4250E"/>
    <w:rsid w:val="1FC57DA2"/>
    <w:rsid w:val="1FC658C9"/>
    <w:rsid w:val="1FCB2EDF"/>
    <w:rsid w:val="1FD16DFB"/>
    <w:rsid w:val="1FD2426D"/>
    <w:rsid w:val="1FD46237"/>
    <w:rsid w:val="1FE16E93"/>
    <w:rsid w:val="1FE7539E"/>
    <w:rsid w:val="1FE81CE3"/>
    <w:rsid w:val="1FEB3E6F"/>
    <w:rsid w:val="1FEB532F"/>
    <w:rsid w:val="1FF64400"/>
    <w:rsid w:val="1FF86BEF"/>
    <w:rsid w:val="20036B1D"/>
    <w:rsid w:val="20036C4E"/>
    <w:rsid w:val="20085EE1"/>
    <w:rsid w:val="200C1136"/>
    <w:rsid w:val="200D2F2F"/>
    <w:rsid w:val="200F455B"/>
    <w:rsid w:val="20112FE8"/>
    <w:rsid w:val="20146634"/>
    <w:rsid w:val="20190771"/>
    <w:rsid w:val="201A112B"/>
    <w:rsid w:val="203C5B8B"/>
    <w:rsid w:val="204038CD"/>
    <w:rsid w:val="20421A6C"/>
    <w:rsid w:val="20476E39"/>
    <w:rsid w:val="20484530"/>
    <w:rsid w:val="20671BE0"/>
    <w:rsid w:val="206770AC"/>
    <w:rsid w:val="206A4F58"/>
    <w:rsid w:val="207806E2"/>
    <w:rsid w:val="20783067"/>
    <w:rsid w:val="207922E0"/>
    <w:rsid w:val="207B2276"/>
    <w:rsid w:val="2081016A"/>
    <w:rsid w:val="20961159"/>
    <w:rsid w:val="20963CB8"/>
    <w:rsid w:val="20994D8B"/>
    <w:rsid w:val="20A81A1B"/>
    <w:rsid w:val="20A94CEF"/>
    <w:rsid w:val="20AC0F62"/>
    <w:rsid w:val="20AE4CDA"/>
    <w:rsid w:val="20AF2801"/>
    <w:rsid w:val="20B07FB6"/>
    <w:rsid w:val="20B366A3"/>
    <w:rsid w:val="20B646FB"/>
    <w:rsid w:val="20BD124F"/>
    <w:rsid w:val="20BE47F2"/>
    <w:rsid w:val="20BE5BD1"/>
    <w:rsid w:val="20CC6F0F"/>
    <w:rsid w:val="20CF4C51"/>
    <w:rsid w:val="20D32E33"/>
    <w:rsid w:val="20D65FDF"/>
    <w:rsid w:val="20DD55C0"/>
    <w:rsid w:val="20E17005"/>
    <w:rsid w:val="20E223FB"/>
    <w:rsid w:val="20E26732"/>
    <w:rsid w:val="20F04293"/>
    <w:rsid w:val="20F46465"/>
    <w:rsid w:val="20F54D73"/>
    <w:rsid w:val="20FB5A46"/>
    <w:rsid w:val="20FB77F4"/>
    <w:rsid w:val="20FE3206"/>
    <w:rsid w:val="21015009"/>
    <w:rsid w:val="21022BF1"/>
    <w:rsid w:val="21050673"/>
    <w:rsid w:val="21091F11"/>
    <w:rsid w:val="210F504D"/>
    <w:rsid w:val="2110329F"/>
    <w:rsid w:val="211A2370"/>
    <w:rsid w:val="21244762"/>
    <w:rsid w:val="21303941"/>
    <w:rsid w:val="21333432"/>
    <w:rsid w:val="213B74B1"/>
    <w:rsid w:val="214178FD"/>
    <w:rsid w:val="21420BF6"/>
    <w:rsid w:val="214210C5"/>
    <w:rsid w:val="2145768F"/>
    <w:rsid w:val="2146548E"/>
    <w:rsid w:val="21500A96"/>
    <w:rsid w:val="215846DF"/>
    <w:rsid w:val="21597E73"/>
    <w:rsid w:val="215A2310"/>
    <w:rsid w:val="215F5FD5"/>
    <w:rsid w:val="2160035F"/>
    <w:rsid w:val="21645399"/>
    <w:rsid w:val="216B17B1"/>
    <w:rsid w:val="216C51F8"/>
    <w:rsid w:val="217001E2"/>
    <w:rsid w:val="21747CD2"/>
    <w:rsid w:val="21756DFF"/>
    <w:rsid w:val="217575A6"/>
    <w:rsid w:val="217A6BD0"/>
    <w:rsid w:val="217C26E3"/>
    <w:rsid w:val="218617B3"/>
    <w:rsid w:val="218B6DCA"/>
    <w:rsid w:val="218D2B42"/>
    <w:rsid w:val="218D48F0"/>
    <w:rsid w:val="218E14D8"/>
    <w:rsid w:val="21933ED0"/>
    <w:rsid w:val="219C0FD7"/>
    <w:rsid w:val="21A25EC1"/>
    <w:rsid w:val="21A30EF9"/>
    <w:rsid w:val="21A65A73"/>
    <w:rsid w:val="21AB736B"/>
    <w:rsid w:val="21B207FA"/>
    <w:rsid w:val="21B225A8"/>
    <w:rsid w:val="21B300CF"/>
    <w:rsid w:val="21B52099"/>
    <w:rsid w:val="21BA36BB"/>
    <w:rsid w:val="21BC3427"/>
    <w:rsid w:val="21BC5899"/>
    <w:rsid w:val="21BD56DE"/>
    <w:rsid w:val="21C61BB0"/>
    <w:rsid w:val="21C83B7A"/>
    <w:rsid w:val="21DC7625"/>
    <w:rsid w:val="21DE318A"/>
    <w:rsid w:val="21DF66D2"/>
    <w:rsid w:val="21E12E8E"/>
    <w:rsid w:val="21E7078F"/>
    <w:rsid w:val="21EF5B80"/>
    <w:rsid w:val="21F0540A"/>
    <w:rsid w:val="21F229A5"/>
    <w:rsid w:val="21FE0679"/>
    <w:rsid w:val="220936AA"/>
    <w:rsid w:val="220B1CB9"/>
    <w:rsid w:val="220D3C83"/>
    <w:rsid w:val="22162B37"/>
    <w:rsid w:val="221E310D"/>
    <w:rsid w:val="22250FCC"/>
    <w:rsid w:val="22310B3B"/>
    <w:rsid w:val="223261EB"/>
    <w:rsid w:val="22330BA6"/>
    <w:rsid w:val="223E208E"/>
    <w:rsid w:val="224272A4"/>
    <w:rsid w:val="224F1BA5"/>
    <w:rsid w:val="22507E6A"/>
    <w:rsid w:val="22511DC1"/>
    <w:rsid w:val="2256435E"/>
    <w:rsid w:val="22576990"/>
    <w:rsid w:val="22590C76"/>
    <w:rsid w:val="225C42C2"/>
    <w:rsid w:val="226D1E71"/>
    <w:rsid w:val="2274785E"/>
    <w:rsid w:val="227B5090"/>
    <w:rsid w:val="22847ED9"/>
    <w:rsid w:val="228D0920"/>
    <w:rsid w:val="22925F36"/>
    <w:rsid w:val="229920C2"/>
    <w:rsid w:val="229A6618"/>
    <w:rsid w:val="229E0D7F"/>
    <w:rsid w:val="22A31868"/>
    <w:rsid w:val="22A6645D"/>
    <w:rsid w:val="22A939AC"/>
    <w:rsid w:val="22B37249"/>
    <w:rsid w:val="22C50F12"/>
    <w:rsid w:val="22CC58EC"/>
    <w:rsid w:val="22D21128"/>
    <w:rsid w:val="22D65567"/>
    <w:rsid w:val="22DB78DD"/>
    <w:rsid w:val="22EE5862"/>
    <w:rsid w:val="22F32E79"/>
    <w:rsid w:val="22F47480"/>
    <w:rsid w:val="230230BC"/>
    <w:rsid w:val="230A01C2"/>
    <w:rsid w:val="23152DEF"/>
    <w:rsid w:val="231D7EF5"/>
    <w:rsid w:val="23235910"/>
    <w:rsid w:val="2329689A"/>
    <w:rsid w:val="23307C29"/>
    <w:rsid w:val="23492A98"/>
    <w:rsid w:val="234B6811"/>
    <w:rsid w:val="234C67A9"/>
    <w:rsid w:val="23525447"/>
    <w:rsid w:val="23575EA4"/>
    <w:rsid w:val="23645B24"/>
    <w:rsid w:val="23663BE5"/>
    <w:rsid w:val="23675615"/>
    <w:rsid w:val="236D2C2B"/>
    <w:rsid w:val="237B68CE"/>
    <w:rsid w:val="237B69CA"/>
    <w:rsid w:val="237C03D1"/>
    <w:rsid w:val="237F295E"/>
    <w:rsid w:val="238735C1"/>
    <w:rsid w:val="23B51EDC"/>
    <w:rsid w:val="23B9280E"/>
    <w:rsid w:val="23BD5235"/>
    <w:rsid w:val="23C6233B"/>
    <w:rsid w:val="23CA4E29"/>
    <w:rsid w:val="23CF11EF"/>
    <w:rsid w:val="23D031BA"/>
    <w:rsid w:val="23D245E4"/>
    <w:rsid w:val="23DE1C48"/>
    <w:rsid w:val="23F724F4"/>
    <w:rsid w:val="23FC7B0B"/>
    <w:rsid w:val="23FF13A9"/>
    <w:rsid w:val="240210CD"/>
    <w:rsid w:val="24022A5E"/>
    <w:rsid w:val="240370EB"/>
    <w:rsid w:val="240B2444"/>
    <w:rsid w:val="240D7F6A"/>
    <w:rsid w:val="2419690F"/>
    <w:rsid w:val="242670A6"/>
    <w:rsid w:val="24292AD2"/>
    <w:rsid w:val="24305A06"/>
    <w:rsid w:val="2435301D"/>
    <w:rsid w:val="24354CFE"/>
    <w:rsid w:val="243D2C55"/>
    <w:rsid w:val="243D5AF5"/>
    <w:rsid w:val="243E45C7"/>
    <w:rsid w:val="24401886"/>
    <w:rsid w:val="2443573A"/>
    <w:rsid w:val="24443260"/>
    <w:rsid w:val="244517FB"/>
    <w:rsid w:val="244A1193"/>
    <w:rsid w:val="244A2F6C"/>
    <w:rsid w:val="244B1B1F"/>
    <w:rsid w:val="24561911"/>
    <w:rsid w:val="245711E5"/>
    <w:rsid w:val="245979BA"/>
    <w:rsid w:val="245C67FB"/>
    <w:rsid w:val="245E2E7B"/>
    <w:rsid w:val="245E4322"/>
    <w:rsid w:val="24695521"/>
    <w:rsid w:val="247B1137"/>
    <w:rsid w:val="247D50F0"/>
    <w:rsid w:val="247E2C16"/>
    <w:rsid w:val="248829BB"/>
    <w:rsid w:val="248A73C5"/>
    <w:rsid w:val="248D4C07"/>
    <w:rsid w:val="24912949"/>
    <w:rsid w:val="2492046F"/>
    <w:rsid w:val="24942439"/>
    <w:rsid w:val="24973CD7"/>
    <w:rsid w:val="249964C7"/>
    <w:rsid w:val="249B7324"/>
    <w:rsid w:val="249C309C"/>
    <w:rsid w:val="24A3214B"/>
    <w:rsid w:val="24A3442A"/>
    <w:rsid w:val="24A472A2"/>
    <w:rsid w:val="24A70ECC"/>
    <w:rsid w:val="24BD279B"/>
    <w:rsid w:val="24BF09F7"/>
    <w:rsid w:val="24C22B02"/>
    <w:rsid w:val="24C50845"/>
    <w:rsid w:val="24C543A1"/>
    <w:rsid w:val="24CC56E0"/>
    <w:rsid w:val="24D665AE"/>
    <w:rsid w:val="24E20CE6"/>
    <w:rsid w:val="24F23553"/>
    <w:rsid w:val="24FE5B05"/>
    <w:rsid w:val="250255F5"/>
    <w:rsid w:val="25070E5D"/>
    <w:rsid w:val="251130A9"/>
    <w:rsid w:val="25113A8A"/>
    <w:rsid w:val="25115838"/>
    <w:rsid w:val="252217F3"/>
    <w:rsid w:val="252512E3"/>
    <w:rsid w:val="252C3AF3"/>
    <w:rsid w:val="252D53FE"/>
    <w:rsid w:val="253F55D6"/>
    <w:rsid w:val="254016A1"/>
    <w:rsid w:val="2540611D"/>
    <w:rsid w:val="25464C90"/>
    <w:rsid w:val="254E25E8"/>
    <w:rsid w:val="25513E86"/>
    <w:rsid w:val="25640F47"/>
    <w:rsid w:val="256E7B72"/>
    <w:rsid w:val="257066B4"/>
    <w:rsid w:val="257954FC"/>
    <w:rsid w:val="25910EAE"/>
    <w:rsid w:val="259C54CD"/>
    <w:rsid w:val="259E35AA"/>
    <w:rsid w:val="25AA05B3"/>
    <w:rsid w:val="25B52667"/>
    <w:rsid w:val="25B53E66"/>
    <w:rsid w:val="25C4538A"/>
    <w:rsid w:val="25C7239A"/>
    <w:rsid w:val="25CB59E7"/>
    <w:rsid w:val="25D95944"/>
    <w:rsid w:val="25DA3E7C"/>
    <w:rsid w:val="25E9526D"/>
    <w:rsid w:val="25EA15CD"/>
    <w:rsid w:val="25EC2D81"/>
    <w:rsid w:val="25F96315"/>
    <w:rsid w:val="260845C9"/>
    <w:rsid w:val="26183390"/>
    <w:rsid w:val="261A76E2"/>
    <w:rsid w:val="262C119C"/>
    <w:rsid w:val="26306192"/>
    <w:rsid w:val="26347509"/>
    <w:rsid w:val="263C18BA"/>
    <w:rsid w:val="263C4B36"/>
    <w:rsid w:val="264D6D44"/>
    <w:rsid w:val="265500D6"/>
    <w:rsid w:val="26554B29"/>
    <w:rsid w:val="26557651"/>
    <w:rsid w:val="265D11E3"/>
    <w:rsid w:val="2661459D"/>
    <w:rsid w:val="2668592C"/>
    <w:rsid w:val="266876DA"/>
    <w:rsid w:val="266D4CF0"/>
    <w:rsid w:val="266F0A68"/>
    <w:rsid w:val="26700AE3"/>
    <w:rsid w:val="26714974"/>
    <w:rsid w:val="26740258"/>
    <w:rsid w:val="267B565F"/>
    <w:rsid w:val="267C13D7"/>
    <w:rsid w:val="267F67D1"/>
    <w:rsid w:val="26877A00"/>
    <w:rsid w:val="26887CDD"/>
    <w:rsid w:val="269009DE"/>
    <w:rsid w:val="26904E03"/>
    <w:rsid w:val="26993D37"/>
    <w:rsid w:val="269E30FB"/>
    <w:rsid w:val="26A10E3D"/>
    <w:rsid w:val="26AD716D"/>
    <w:rsid w:val="26AF5308"/>
    <w:rsid w:val="26BB16C9"/>
    <w:rsid w:val="26BC3919"/>
    <w:rsid w:val="26BF0015"/>
    <w:rsid w:val="26C30ADC"/>
    <w:rsid w:val="26C560D8"/>
    <w:rsid w:val="26C95EE2"/>
    <w:rsid w:val="26D42FC1"/>
    <w:rsid w:val="26D62895"/>
    <w:rsid w:val="26DA72D5"/>
    <w:rsid w:val="26DE3246"/>
    <w:rsid w:val="26E020A7"/>
    <w:rsid w:val="26E1113A"/>
    <w:rsid w:val="26E34FB2"/>
    <w:rsid w:val="26E36D60"/>
    <w:rsid w:val="26E71D38"/>
    <w:rsid w:val="26EB0CFF"/>
    <w:rsid w:val="26EC030B"/>
    <w:rsid w:val="27057925"/>
    <w:rsid w:val="271433BD"/>
    <w:rsid w:val="27165388"/>
    <w:rsid w:val="271D1426"/>
    <w:rsid w:val="272730F1"/>
    <w:rsid w:val="272F6AF6"/>
    <w:rsid w:val="2735156F"/>
    <w:rsid w:val="27365927"/>
    <w:rsid w:val="27383550"/>
    <w:rsid w:val="274E51A4"/>
    <w:rsid w:val="276205CD"/>
    <w:rsid w:val="27624129"/>
    <w:rsid w:val="276A50FE"/>
    <w:rsid w:val="276D1501"/>
    <w:rsid w:val="276F6228"/>
    <w:rsid w:val="277057A2"/>
    <w:rsid w:val="27731DE8"/>
    <w:rsid w:val="27790766"/>
    <w:rsid w:val="278247CB"/>
    <w:rsid w:val="279544FE"/>
    <w:rsid w:val="27A01A49"/>
    <w:rsid w:val="27A110F5"/>
    <w:rsid w:val="27A533D9"/>
    <w:rsid w:val="27AC335A"/>
    <w:rsid w:val="27AC5CEC"/>
    <w:rsid w:val="27AE736E"/>
    <w:rsid w:val="27B92B32"/>
    <w:rsid w:val="27BB3DDD"/>
    <w:rsid w:val="27BB7CDD"/>
    <w:rsid w:val="27C941A8"/>
    <w:rsid w:val="27CC3C98"/>
    <w:rsid w:val="27CC5A46"/>
    <w:rsid w:val="27D364F8"/>
    <w:rsid w:val="27DF7940"/>
    <w:rsid w:val="27E47234"/>
    <w:rsid w:val="27EF5859"/>
    <w:rsid w:val="280132A1"/>
    <w:rsid w:val="28043432"/>
    <w:rsid w:val="280B656E"/>
    <w:rsid w:val="280E2503"/>
    <w:rsid w:val="281D6811"/>
    <w:rsid w:val="281E204D"/>
    <w:rsid w:val="28215D92"/>
    <w:rsid w:val="282619A3"/>
    <w:rsid w:val="2832687D"/>
    <w:rsid w:val="283A50A6"/>
    <w:rsid w:val="28445F24"/>
    <w:rsid w:val="28522822"/>
    <w:rsid w:val="2859257E"/>
    <w:rsid w:val="285C6DCA"/>
    <w:rsid w:val="28601FDB"/>
    <w:rsid w:val="28602B64"/>
    <w:rsid w:val="286B75ED"/>
    <w:rsid w:val="286E6AFD"/>
    <w:rsid w:val="288244A6"/>
    <w:rsid w:val="288310E2"/>
    <w:rsid w:val="288759BA"/>
    <w:rsid w:val="288822B5"/>
    <w:rsid w:val="288D78CB"/>
    <w:rsid w:val="28903CD6"/>
    <w:rsid w:val="289522DC"/>
    <w:rsid w:val="289C1AC0"/>
    <w:rsid w:val="28A168D1"/>
    <w:rsid w:val="28AA6D37"/>
    <w:rsid w:val="28BB69F6"/>
    <w:rsid w:val="28BD5758"/>
    <w:rsid w:val="28BE0636"/>
    <w:rsid w:val="28C8445F"/>
    <w:rsid w:val="28D40A96"/>
    <w:rsid w:val="28DF17A9"/>
    <w:rsid w:val="28E219C5"/>
    <w:rsid w:val="28E61253"/>
    <w:rsid w:val="28EA6ACC"/>
    <w:rsid w:val="28ED5865"/>
    <w:rsid w:val="28FB0D3B"/>
    <w:rsid w:val="28FC05AD"/>
    <w:rsid w:val="2900220C"/>
    <w:rsid w:val="29057D8A"/>
    <w:rsid w:val="290A06F0"/>
    <w:rsid w:val="290E4C2E"/>
    <w:rsid w:val="291229A2"/>
    <w:rsid w:val="29192F0D"/>
    <w:rsid w:val="291A2ABC"/>
    <w:rsid w:val="29206EB8"/>
    <w:rsid w:val="292813A2"/>
    <w:rsid w:val="292C49EE"/>
    <w:rsid w:val="292D0766"/>
    <w:rsid w:val="292E0EEE"/>
    <w:rsid w:val="292E22DB"/>
    <w:rsid w:val="29310257"/>
    <w:rsid w:val="29361D11"/>
    <w:rsid w:val="2939710B"/>
    <w:rsid w:val="29417F3D"/>
    <w:rsid w:val="29595666"/>
    <w:rsid w:val="295A26F1"/>
    <w:rsid w:val="295B52D4"/>
    <w:rsid w:val="295E3016"/>
    <w:rsid w:val="296168BE"/>
    <w:rsid w:val="296B7852"/>
    <w:rsid w:val="29744DF6"/>
    <w:rsid w:val="29752839"/>
    <w:rsid w:val="297D349C"/>
    <w:rsid w:val="297E7214"/>
    <w:rsid w:val="29874881"/>
    <w:rsid w:val="298F711A"/>
    <w:rsid w:val="299046D4"/>
    <w:rsid w:val="29984596"/>
    <w:rsid w:val="299A22A0"/>
    <w:rsid w:val="29A7676B"/>
    <w:rsid w:val="29AC5B2F"/>
    <w:rsid w:val="29AF561F"/>
    <w:rsid w:val="29B669AE"/>
    <w:rsid w:val="29BF5862"/>
    <w:rsid w:val="29D02E18"/>
    <w:rsid w:val="29DE0731"/>
    <w:rsid w:val="29E325E0"/>
    <w:rsid w:val="29E9308E"/>
    <w:rsid w:val="29EC23D0"/>
    <w:rsid w:val="29FF0355"/>
    <w:rsid w:val="2A021BF3"/>
    <w:rsid w:val="2A02643C"/>
    <w:rsid w:val="2A032407"/>
    <w:rsid w:val="2A0616E3"/>
    <w:rsid w:val="2A111E36"/>
    <w:rsid w:val="2A1273FB"/>
    <w:rsid w:val="2A1F27A5"/>
    <w:rsid w:val="2A224043"/>
    <w:rsid w:val="2A2544BA"/>
    <w:rsid w:val="2A297180"/>
    <w:rsid w:val="2A2B2EF8"/>
    <w:rsid w:val="2A346DF3"/>
    <w:rsid w:val="2A3F36B7"/>
    <w:rsid w:val="2A443FBA"/>
    <w:rsid w:val="2A452503"/>
    <w:rsid w:val="2A453DA4"/>
    <w:rsid w:val="2A46319B"/>
    <w:rsid w:val="2A471A55"/>
    <w:rsid w:val="2A585CB7"/>
    <w:rsid w:val="2A596F1F"/>
    <w:rsid w:val="2A622692"/>
    <w:rsid w:val="2A6B59EA"/>
    <w:rsid w:val="2A7228D5"/>
    <w:rsid w:val="2A7F3244"/>
    <w:rsid w:val="2A816FBC"/>
    <w:rsid w:val="2A830F86"/>
    <w:rsid w:val="2A836E9F"/>
    <w:rsid w:val="2A862824"/>
    <w:rsid w:val="2A8E16D9"/>
    <w:rsid w:val="2A9860B3"/>
    <w:rsid w:val="2A9D383D"/>
    <w:rsid w:val="2AA25673"/>
    <w:rsid w:val="2AA45E84"/>
    <w:rsid w:val="2AAE4B78"/>
    <w:rsid w:val="2AAE69E0"/>
    <w:rsid w:val="2AB54EB7"/>
    <w:rsid w:val="2ABB0720"/>
    <w:rsid w:val="2ABF1892"/>
    <w:rsid w:val="2AC375D4"/>
    <w:rsid w:val="2AC57281"/>
    <w:rsid w:val="2ACD3758"/>
    <w:rsid w:val="2AD65858"/>
    <w:rsid w:val="2ADE4C65"/>
    <w:rsid w:val="2AE82B97"/>
    <w:rsid w:val="2AE8703B"/>
    <w:rsid w:val="2AEA4B61"/>
    <w:rsid w:val="2AEA6272"/>
    <w:rsid w:val="2AF7727E"/>
    <w:rsid w:val="2B035C23"/>
    <w:rsid w:val="2B05199B"/>
    <w:rsid w:val="2B073965"/>
    <w:rsid w:val="2B0A0D5F"/>
    <w:rsid w:val="2B0B4AD7"/>
    <w:rsid w:val="2B0F35A6"/>
    <w:rsid w:val="2B1C0A93"/>
    <w:rsid w:val="2B1C6561"/>
    <w:rsid w:val="2B2303E8"/>
    <w:rsid w:val="2B2B6F28"/>
    <w:rsid w:val="2B361B54"/>
    <w:rsid w:val="2B365FF8"/>
    <w:rsid w:val="2B392A08"/>
    <w:rsid w:val="2B3B53BD"/>
    <w:rsid w:val="2B3C6CCF"/>
    <w:rsid w:val="2B430715"/>
    <w:rsid w:val="2B457FE9"/>
    <w:rsid w:val="2B550B72"/>
    <w:rsid w:val="2B5B15BB"/>
    <w:rsid w:val="2B5E72FD"/>
    <w:rsid w:val="2B626DED"/>
    <w:rsid w:val="2B6C5721"/>
    <w:rsid w:val="2B6C7A10"/>
    <w:rsid w:val="2B6E5792"/>
    <w:rsid w:val="2B715282"/>
    <w:rsid w:val="2B716C91"/>
    <w:rsid w:val="2B7663F5"/>
    <w:rsid w:val="2B797443"/>
    <w:rsid w:val="2B7D5129"/>
    <w:rsid w:val="2B7D7783"/>
    <w:rsid w:val="2B7E67D4"/>
    <w:rsid w:val="2B8054C5"/>
    <w:rsid w:val="2B8756EE"/>
    <w:rsid w:val="2B8D373E"/>
    <w:rsid w:val="2B9351F9"/>
    <w:rsid w:val="2B97729C"/>
    <w:rsid w:val="2BA411B4"/>
    <w:rsid w:val="2BA47F0E"/>
    <w:rsid w:val="2BA936A8"/>
    <w:rsid w:val="2BB1567F"/>
    <w:rsid w:val="2BB313F7"/>
    <w:rsid w:val="2BB47C1E"/>
    <w:rsid w:val="2BB7439F"/>
    <w:rsid w:val="2BB84C5F"/>
    <w:rsid w:val="2BC76B2E"/>
    <w:rsid w:val="2BC843CA"/>
    <w:rsid w:val="2BC9034B"/>
    <w:rsid w:val="2BCA4992"/>
    <w:rsid w:val="2BD4136D"/>
    <w:rsid w:val="2BD80E5D"/>
    <w:rsid w:val="2BD96984"/>
    <w:rsid w:val="2BDB14BE"/>
    <w:rsid w:val="2BDF21EC"/>
    <w:rsid w:val="2BE56DE3"/>
    <w:rsid w:val="2BEF7F55"/>
    <w:rsid w:val="2BF832AE"/>
    <w:rsid w:val="2BFC0FF0"/>
    <w:rsid w:val="2C027C88"/>
    <w:rsid w:val="2C044501"/>
    <w:rsid w:val="2C096E9D"/>
    <w:rsid w:val="2C0C0B07"/>
    <w:rsid w:val="2C155C0E"/>
    <w:rsid w:val="2C163734"/>
    <w:rsid w:val="2C167BD8"/>
    <w:rsid w:val="2C1F4CDE"/>
    <w:rsid w:val="2C2045B2"/>
    <w:rsid w:val="2C210A56"/>
    <w:rsid w:val="2C22657D"/>
    <w:rsid w:val="2C29790B"/>
    <w:rsid w:val="2C2D6A0C"/>
    <w:rsid w:val="2C2D7EEF"/>
    <w:rsid w:val="2C315A5A"/>
    <w:rsid w:val="2C365B84"/>
    <w:rsid w:val="2C3A38C6"/>
    <w:rsid w:val="2C3B319A"/>
    <w:rsid w:val="2C3C2D18"/>
    <w:rsid w:val="2C421A4F"/>
    <w:rsid w:val="2C464019"/>
    <w:rsid w:val="2C4B1C25"/>
    <w:rsid w:val="2C5C49F7"/>
    <w:rsid w:val="2C663401"/>
    <w:rsid w:val="2C7574ED"/>
    <w:rsid w:val="2C7A06EF"/>
    <w:rsid w:val="2C7C3EDF"/>
    <w:rsid w:val="2C820DC9"/>
    <w:rsid w:val="2C866B0B"/>
    <w:rsid w:val="2C8B4122"/>
    <w:rsid w:val="2C923702"/>
    <w:rsid w:val="2C9802A2"/>
    <w:rsid w:val="2C98683F"/>
    <w:rsid w:val="2CA62D0A"/>
    <w:rsid w:val="2CAF7012"/>
    <w:rsid w:val="2CB0338C"/>
    <w:rsid w:val="2CBB5179"/>
    <w:rsid w:val="2CC42D31"/>
    <w:rsid w:val="2CC56979"/>
    <w:rsid w:val="2CC6186D"/>
    <w:rsid w:val="2CC96809"/>
    <w:rsid w:val="2CCB09C2"/>
    <w:rsid w:val="2CCE2260"/>
    <w:rsid w:val="2CD21D51"/>
    <w:rsid w:val="2CD5539D"/>
    <w:rsid w:val="2CD66D68"/>
    <w:rsid w:val="2CDA1BE8"/>
    <w:rsid w:val="2CE050AF"/>
    <w:rsid w:val="2CE61358"/>
    <w:rsid w:val="2CE657FC"/>
    <w:rsid w:val="2CF445D2"/>
    <w:rsid w:val="2CF9552F"/>
    <w:rsid w:val="2CFB6F8F"/>
    <w:rsid w:val="2D0068BE"/>
    <w:rsid w:val="2D076927"/>
    <w:rsid w:val="2D087520"/>
    <w:rsid w:val="2D0F4D53"/>
    <w:rsid w:val="2D110FC4"/>
    <w:rsid w:val="2D1660E1"/>
    <w:rsid w:val="2D1C121E"/>
    <w:rsid w:val="2D1C7470"/>
    <w:rsid w:val="2D281971"/>
    <w:rsid w:val="2D2B33A6"/>
    <w:rsid w:val="2D2F71A3"/>
    <w:rsid w:val="2D3E2F42"/>
    <w:rsid w:val="2D430559"/>
    <w:rsid w:val="2D460049"/>
    <w:rsid w:val="2D480265"/>
    <w:rsid w:val="2D4B565F"/>
    <w:rsid w:val="2D4E5E92"/>
    <w:rsid w:val="2D572256"/>
    <w:rsid w:val="2D595FCE"/>
    <w:rsid w:val="2D5C786C"/>
    <w:rsid w:val="2D614EEF"/>
    <w:rsid w:val="2D652BC5"/>
    <w:rsid w:val="2D6C3F53"/>
    <w:rsid w:val="2D826665"/>
    <w:rsid w:val="2D83129D"/>
    <w:rsid w:val="2D8B7F3A"/>
    <w:rsid w:val="2D940DB4"/>
    <w:rsid w:val="2D990AC0"/>
    <w:rsid w:val="2D9E56F5"/>
    <w:rsid w:val="2DA800FA"/>
    <w:rsid w:val="2DB651CE"/>
    <w:rsid w:val="2DB73D70"/>
    <w:rsid w:val="2DDA15BD"/>
    <w:rsid w:val="2DDC3E7F"/>
    <w:rsid w:val="2DDE64D3"/>
    <w:rsid w:val="2DE7182C"/>
    <w:rsid w:val="2DEC308B"/>
    <w:rsid w:val="2DF0582A"/>
    <w:rsid w:val="2DF126AA"/>
    <w:rsid w:val="2DF14458"/>
    <w:rsid w:val="2E0028ED"/>
    <w:rsid w:val="2E0979F4"/>
    <w:rsid w:val="2E0E4BBE"/>
    <w:rsid w:val="2E1343CF"/>
    <w:rsid w:val="2E1E0778"/>
    <w:rsid w:val="2E1F6373"/>
    <w:rsid w:val="2E267445"/>
    <w:rsid w:val="2E2D6DDD"/>
    <w:rsid w:val="2E3108A3"/>
    <w:rsid w:val="2E340DCB"/>
    <w:rsid w:val="2E3658B9"/>
    <w:rsid w:val="2E3B3926"/>
    <w:rsid w:val="2E3B743A"/>
    <w:rsid w:val="2E3D58F0"/>
    <w:rsid w:val="2E462D64"/>
    <w:rsid w:val="2E4C5B33"/>
    <w:rsid w:val="2E541E94"/>
    <w:rsid w:val="2E596304"/>
    <w:rsid w:val="2E5C7A80"/>
    <w:rsid w:val="2E625356"/>
    <w:rsid w:val="2E642E7C"/>
    <w:rsid w:val="2E667F96"/>
    <w:rsid w:val="2E731311"/>
    <w:rsid w:val="2E732CBC"/>
    <w:rsid w:val="2E734E6D"/>
    <w:rsid w:val="2E762651"/>
    <w:rsid w:val="2E7A26A0"/>
    <w:rsid w:val="2E7B1F74"/>
    <w:rsid w:val="2E7C5ADB"/>
    <w:rsid w:val="2E8226AB"/>
    <w:rsid w:val="2E8452CD"/>
    <w:rsid w:val="2E882AA2"/>
    <w:rsid w:val="2E894691"/>
    <w:rsid w:val="2E8E7EF9"/>
    <w:rsid w:val="2E953036"/>
    <w:rsid w:val="2E9865CB"/>
    <w:rsid w:val="2E9A4AF0"/>
    <w:rsid w:val="2E9C2616"/>
    <w:rsid w:val="2E9E6274"/>
    <w:rsid w:val="2EA75CF5"/>
    <w:rsid w:val="2EB23BE8"/>
    <w:rsid w:val="2EBD3C1D"/>
    <w:rsid w:val="2ED05311"/>
    <w:rsid w:val="2ED20D19"/>
    <w:rsid w:val="2EDF0755"/>
    <w:rsid w:val="2EE15714"/>
    <w:rsid w:val="2EE23DA1"/>
    <w:rsid w:val="2EE539F5"/>
    <w:rsid w:val="2EF43956"/>
    <w:rsid w:val="2EF813AC"/>
    <w:rsid w:val="2EFB69ED"/>
    <w:rsid w:val="2F02582B"/>
    <w:rsid w:val="2F0361F1"/>
    <w:rsid w:val="2F0C651A"/>
    <w:rsid w:val="2F1273BC"/>
    <w:rsid w:val="2F133481"/>
    <w:rsid w:val="2F1A79DF"/>
    <w:rsid w:val="2F201022"/>
    <w:rsid w:val="2F23266D"/>
    <w:rsid w:val="2F246534"/>
    <w:rsid w:val="2F2F1BF5"/>
    <w:rsid w:val="2F2F348A"/>
    <w:rsid w:val="2F331C81"/>
    <w:rsid w:val="2F4131BE"/>
    <w:rsid w:val="2F4607D4"/>
    <w:rsid w:val="2F4A02C4"/>
    <w:rsid w:val="2F4A3E20"/>
    <w:rsid w:val="2F4D2F7A"/>
    <w:rsid w:val="2F5164D4"/>
    <w:rsid w:val="2F5527C5"/>
    <w:rsid w:val="2F5E1127"/>
    <w:rsid w:val="2F704616"/>
    <w:rsid w:val="2F865112"/>
    <w:rsid w:val="2F8C4439"/>
    <w:rsid w:val="2F9531CD"/>
    <w:rsid w:val="2F963509"/>
    <w:rsid w:val="2F971030"/>
    <w:rsid w:val="2F9B79DA"/>
    <w:rsid w:val="2FA31782"/>
    <w:rsid w:val="2FA572A9"/>
    <w:rsid w:val="2FA77F0B"/>
    <w:rsid w:val="2FAC4ADB"/>
    <w:rsid w:val="2FB120F1"/>
    <w:rsid w:val="2FB67708"/>
    <w:rsid w:val="2FB83480"/>
    <w:rsid w:val="2FBD57DB"/>
    <w:rsid w:val="2FBE480E"/>
    <w:rsid w:val="2FC8343D"/>
    <w:rsid w:val="2FCD4A51"/>
    <w:rsid w:val="2FCE6DEF"/>
    <w:rsid w:val="2FD065E6"/>
    <w:rsid w:val="2FD96870"/>
    <w:rsid w:val="2FDC6A42"/>
    <w:rsid w:val="2FE14059"/>
    <w:rsid w:val="2FE37DD1"/>
    <w:rsid w:val="2FE75783"/>
    <w:rsid w:val="2FEA0FE9"/>
    <w:rsid w:val="2FF54A2D"/>
    <w:rsid w:val="2FFB15BE"/>
    <w:rsid w:val="300555CC"/>
    <w:rsid w:val="300F0BC6"/>
    <w:rsid w:val="30182170"/>
    <w:rsid w:val="30191C64"/>
    <w:rsid w:val="30264334"/>
    <w:rsid w:val="3026690F"/>
    <w:rsid w:val="30354AD0"/>
    <w:rsid w:val="303D1BD7"/>
    <w:rsid w:val="30580BC9"/>
    <w:rsid w:val="30607673"/>
    <w:rsid w:val="306553A3"/>
    <w:rsid w:val="306929CC"/>
    <w:rsid w:val="3069477A"/>
    <w:rsid w:val="306C1974"/>
    <w:rsid w:val="307153DD"/>
    <w:rsid w:val="30744ECD"/>
    <w:rsid w:val="307D0225"/>
    <w:rsid w:val="308D45AF"/>
    <w:rsid w:val="308F062E"/>
    <w:rsid w:val="3095556F"/>
    <w:rsid w:val="30A532D8"/>
    <w:rsid w:val="30AE4883"/>
    <w:rsid w:val="30C43B08"/>
    <w:rsid w:val="30CC4D09"/>
    <w:rsid w:val="30EC5240"/>
    <w:rsid w:val="30F54260"/>
    <w:rsid w:val="31046C43"/>
    <w:rsid w:val="311741D6"/>
    <w:rsid w:val="31175F84"/>
    <w:rsid w:val="311E2ED7"/>
    <w:rsid w:val="311F0FAA"/>
    <w:rsid w:val="31256607"/>
    <w:rsid w:val="31292053"/>
    <w:rsid w:val="312A215B"/>
    <w:rsid w:val="312A311A"/>
    <w:rsid w:val="31300B2E"/>
    <w:rsid w:val="3131346A"/>
    <w:rsid w:val="313F372D"/>
    <w:rsid w:val="3148438F"/>
    <w:rsid w:val="314B0324"/>
    <w:rsid w:val="314E7B9F"/>
    <w:rsid w:val="31505F30"/>
    <w:rsid w:val="315619EE"/>
    <w:rsid w:val="31592A40"/>
    <w:rsid w:val="315B40B9"/>
    <w:rsid w:val="315C449C"/>
    <w:rsid w:val="315C7E9F"/>
    <w:rsid w:val="31605B7D"/>
    <w:rsid w:val="316A69FC"/>
    <w:rsid w:val="317A4765"/>
    <w:rsid w:val="317F1D7B"/>
    <w:rsid w:val="31882F82"/>
    <w:rsid w:val="318F1FBE"/>
    <w:rsid w:val="3193135A"/>
    <w:rsid w:val="31994BEB"/>
    <w:rsid w:val="319C302E"/>
    <w:rsid w:val="31AA329C"/>
    <w:rsid w:val="31AF440F"/>
    <w:rsid w:val="31B82709"/>
    <w:rsid w:val="31BE7835"/>
    <w:rsid w:val="31C13ED0"/>
    <w:rsid w:val="31C205E6"/>
    <w:rsid w:val="31CA1248"/>
    <w:rsid w:val="31D05482"/>
    <w:rsid w:val="31D74E48"/>
    <w:rsid w:val="31E22A36"/>
    <w:rsid w:val="31E40A5B"/>
    <w:rsid w:val="31E624C5"/>
    <w:rsid w:val="31E82AB3"/>
    <w:rsid w:val="31EF6F01"/>
    <w:rsid w:val="31F65EB1"/>
    <w:rsid w:val="31F665E8"/>
    <w:rsid w:val="31F7440B"/>
    <w:rsid w:val="32062F9C"/>
    <w:rsid w:val="320F30FF"/>
    <w:rsid w:val="3210784B"/>
    <w:rsid w:val="321A26C3"/>
    <w:rsid w:val="32335040"/>
    <w:rsid w:val="32400B34"/>
    <w:rsid w:val="32472899"/>
    <w:rsid w:val="324A4137"/>
    <w:rsid w:val="324F5BF1"/>
    <w:rsid w:val="32536CC0"/>
    <w:rsid w:val="325925CC"/>
    <w:rsid w:val="326E6078"/>
    <w:rsid w:val="32786EF6"/>
    <w:rsid w:val="327C08CF"/>
    <w:rsid w:val="327F2033"/>
    <w:rsid w:val="328408AA"/>
    <w:rsid w:val="32851613"/>
    <w:rsid w:val="328C29A2"/>
    <w:rsid w:val="32951856"/>
    <w:rsid w:val="329769BD"/>
    <w:rsid w:val="329A0EF7"/>
    <w:rsid w:val="329E6876"/>
    <w:rsid w:val="32A13281"/>
    <w:rsid w:val="32A24C0B"/>
    <w:rsid w:val="32A25D21"/>
    <w:rsid w:val="32A41139"/>
    <w:rsid w:val="32A418F9"/>
    <w:rsid w:val="32A47CEB"/>
    <w:rsid w:val="32AD2F28"/>
    <w:rsid w:val="32B45635"/>
    <w:rsid w:val="32BB0AB8"/>
    <w:rsid w:val="32BB6DE3"/>
    <w:rsid w:val="32BC3287"/>
    <w:rsid w:val="32C01218"/>
    <w:rsid w:val="32C37B36"/>
    <w:rsid w:val="32C4061C"/>
    <w:rsid w:val="32C57FC0"/>
    <w:rsid w:val="32E4633A"/>
    <w:rsid w:val="32E61D73"/>
    <w:rsid w:val="32E75E2A"/>
    <w:rsid w:val="32EE6A32"/>
    <w:rsid w:val="32F02F31"/>
    <w:rsid w:val="32F21E9F"/>
    <w:rsid w:val="32FE0135"/>
    <w:rsid w:val="32FE613D"/>
    <w:rsid w:val="33024A12"/>
    <w:rsid w:val="33057D4F"/>
    <w:rsid w:val="33062754"/>
    <w:rsid w:val="3310712F"/>
    <w:rsid w:val="33114C55"/>
    <w:rsid w:val="33233306"/>
    <w:rsid w:val="33250A89"/>
    <w:rsid w:val="333015F2"/>
    <w:rsid w:val="33331BF2"/>
    <w:rsid w:val="33334342"/>
    <w:rsid w:val="333C2F84"/>
    <w:rsid w:val="334B6320"/>
    <w:rsid w:val="335A65FC"/>
    <w:rsid w:val="33641229"/>
    <w:rsid w:val="336B25B7"/>
    <w:rsid w:val="336F02F9"/>
    <w:rsid w:val="33704071"/>
    <w:rsid w:val="33744ECB"/>
    <w:rsid w:val="33835B53"/>
    <w:rsid w:val="338777E7"/>
    <w:rsid w:val="338868F9"/>
    <w:rsid w:val="3393364F"/>
    <w:rsid w:val="33A201D2"/>
    <w:rsid w:val="33A61841"/>
    <w:rsid w:val="33B43F5E"/>
    <w:rsid w:val="33BB1256"/>
    <w:rsid w:val="33BB57E2"/>
    <w:rsid w:val="33C5689E"/>
    <w:rsid w:val="33C61EE3"/>
    <w:rsid w:val="33D068BE"/>
    <w:rsid w:val="33D21212"/>
    <w:rsid w:val="33D41E6C"/>
    <w:rsid w:val="33D53ED4"/>
    <w:rsid w:val="33D934D4"/>
    <w:rsid w:val="33F02891"/>
    <w:rsid w:val="33F26834"/>
    <w:rsid w:val="33FB7DDF"/>
    <w:rsid w:val="33FE2F6A"/>
    <w:rsid w:val="34012F1B"/>
    <w:rsid w:val="34034EE6"/>
    <w:rsid w:val="340E07E5"/>
    <w:rsid w:val="340E5410"/>
    <w:rsid w:val="34107A57"/>
    <w:rsid w:val="3417159D"/>
    <w:rsid w:val="341817A7"/>
    <w:rsid w:val="3420114E"/>
    <w:rsid w:val="34202D61"/>
    <w:rsid w:val="34235BF7"/>
    <w:rsid w:val="34270BD4"/>
    <w:rsid w:val="34276179"/>
    <w:rsid w:val="3431229D"/>
    <w:rsid w:val="343D373A"/>
    <w:rsid w:val="343E5F1E"/>
    <w:rsid w:val="344559EB"/>
    <w:rsid w:val="344A0DB7"/>
    <w:rsid w:val="344B63D6"/>
    <w:rsid w:val="344F5981"/>
    <w:rsid w:val="3454405D"/>
    <w:rsid w:val="345614B9"/>
    <w:rsid w:val="346A0AC1"/>
    <w:rsid w:val="346A6D13"/>
    <w:rsid w:val="34735BC7"/>
    <w:rsid w:val="34784F8C"/>
    <w:rsid w:val="34792515"/>
    <w:rsid w:val="348E47AF"/>
    <w:rsid w:val="34987079"/>
    <w:rsid w:val="34A62E75"/>
    <w:rsid w:val="34A915E9"/>
    <w:rsid w:val="34AA5361"/>
    <w:rsid w:val="34AC70A4"/>
    <w:rsid w:val="34B32468"/>
    <w:rsid w:val="34C03547"/>
    <w:rsid w:val="34CE2DFE"/>
    <w:rsid w:val="34D128EE"/>
    <w:rsid w:val="34D502D9"/>
    <w:rsid w:val="34DB40E6"/>
    <w:rsid w:val="34DB551B"/>
    <w:rsid w:val="34DC7A0A"/>
    <w:rsid w:val="34EB1C02"/>
    <w:rsid w:val="34EC3BCC"/>
    <w:rsid w:val="34F0546A"/>
    <w:rsid w:val="34F6554F"/>
    <w:rsid w:val="34FA42D3"/>
    <w:rsid w:val="350717E2"/>
    <w:rsid w:val="3509044E"/>
    <w:rsid w:val="350E58F0"/>
    <w:rsid w:val="35101668"/>
    <w:rsid w:val="35213875"/>
    <w:rsid w:val="3522444A"/>
    <w:rsid w:val="3526277B"/>
    <w:rsid w:val="35275CF0"/>
    <w:rsid w:val="352E7D40"/>
    <w:rsid w:val="352F0FB7"/>
    <w:rsid w:val="35380BBF"/>
    <w:rsid w:val="353A66E5"/>
    <w:rsid w:val="353D7F83"/>
    <w:rsid w:val="35431A3E"/>
    <w:rsid w:val="35470E02"/>
    <w:rsid w:val="354C115A"/>
    <w:rsid w:val="35533747"/>
    <w:rsid w:val="35551771"/>
    <w:rsid w:val="355552CD"/>
    <w:rsid w:val="355D23D3"/>
    <w:rsid w:val="3569521C"/>
    <w:rsid w:val="356C33B4"/>
    <w:rsid w:val="358838F4"/>
    <w:rsid w:val="358B5193"/>
    <w:rsid w:val="358C5FA8"/>
    <w:rsid w:val="358D26E0"/>
    <w:rsid w:val="3599165E"/>
    <w:rsid w:val="359C114E"/>
    <w:rsid w:val="359D616F"/>
    <w:rsid w:val="359D6409"/>
    <w:rsid w:val="35A40002"/>
    <w:rsid w:val="35A76B9B"/>
    <w:rsid w:val="35B45818"/>
    <w:rsid w:val="35B5220F"/>
    <w:rsid w:val="35B53FBD"/>
    <w:rsid w:val="35BC570F"/>
    <w:rsid w:val="35BD6C41"/>
    <w:rsid w:val="35BE10C4"/>
    <w:rsid w:val="35C10BB4"/>
    <w:rsid w:val="35C15DF1"/>
    <w:rsid w:val="35CB37E1"/>
    <w:rsid w:val="35DF103A"/>
    <w:rsid w:val="35E72CA4"/>
    <w:rsid w:val="35E86141"/>
    <w:rsid w:val="35E87EEF"/>
    <w:rsid w:val="35F42D38"/>
    <w:rsid w:val="35F779DD"/>
    <w:rsid w:val="36050807"/>
    <w:rsid w:val="36074A7F"/>
    <w:rsid w:val="360B4F3D"/>
    <w:rsid w:val="361231BE"/>
    <w:rsid w:val="36145188"/>
    <w:rsid w:val="36195E29"/>
    <w:rsid w:val="36257395"/>
    <w:rsid w:val="362829E1"/>
    <w:rsid w:val="362E4914"/>
    <w:rsid w:val="362E7A13"/>
    <w:rsid w:val="3647730B"/>
    <w:rsid w:val="364C5A34"/>
    <w:rsid w:val="36516E4D"/>
    <w:rsid w:val="365C7A2D"/>
    <w:rsid w:val="36614792"/>
    <w:rsid w:val="36794FEB"/>
    <w:rsid w:val="36796687"/>
    <w:rsid w:val="367E2601"/>
    <w:rsid w:val="3683397A"/>
    <w:rsid w:val="368816D2"/>
    <w:rsid w:val="368C11C2"/>
    <w:rsid w:val="36923549"/>
    <w:rsid w:val="36987B67"/>
    <w:rsid w:val="36A00CF5"/>
    <w:rsid w:val="36AA33F6"/>
    <w:rsid w:val="36AD487C"/>
    <w:rsid w:val="36AF6757"/>
    <w:rsid w:val="36B75FBF"/>
    <w:rsid w:val="36B85E24"/>
    <w:rsid w:val="36BD0C45"/>
    <w:rsid w:val="36BD4C49"/>
    <w:rsid w:val="36C941C4"/>
    <w:rsid w:val="36CE5337"/>
    <w:rsid w:val="36D46EB4"/>
    <w:rsid w:val="36E20DE2"/>
    <w:rsid w:val="36E50544"/>
    <w:rsid w:val="36E763F9"/>
    <w:rsid w:val="36FD3E6E"/>
    <w:rsid w:val="37076A9B"/>
    <w:rsid w:val="371F2036"/>
    <w:rsid w:val="37227431"/>
    <w:rsid w:val="372274FB"/>
    <w:rsid w:val="3724764D"/>
    <w:rsid w:val="37256916"/>
    <w:rsid w:val="372E65F2"/>
    <w:rsid w:val="373158C6"/>
    <w:rsid w:val="37362EDC"/>
    <w:rsid w:val="373A29CC"/>
    <w:rsid w:val="374455F9"/>
    <w:rsid w:val="37476E97"/>
    <w:rsid w:val="375810A4"/>
    <w:rsid w:val="37591A74"/>
    <w:rsid w:val="375D66BB"/>
    <w:rsid w:val="37797999"/>
    <w:rsid w:val="377F0D27"/>
    <w:rsid w:val="378123A9"/>
    <w:rsid w:val="378B02EC"/>
    <w:rsid w:val="378D57C0"/>
    <w:rsid w:val="378E2D18"/>
    <w:rsid w:val="37906A90"/>
    <w:rsid w:val="37920A5A"/>
    <w:rsid w:val="3793032E"/>
    <w:rsid w:val="379C5435"/>
    <w:rsid w:val="37B502A5"/>
    <w:rsid w:val="37B971EB"/>
    <w:rsid w:val="37BC1633"/>
    <w:rsid w:val="37CB1876"/>
    <w:rsid w:val="37CB3BC8"/>
    <w:rsid w:val="37CC183C"/>
    <w:rsid w:val="37CD1A92"/>
    <w:rsid w:val="37D1291E"/>
    <w:rsid w:val="37D746BF"/>
    <w:rsid w:val="37DD15AA"/>
    <w:rsid w:val="37E00298"/>
    <w:rsid w:val="37E5578B"/>
    <w:rsid w:val="37E56DDC"/>
    <w:rsid w:val="37E82428"/>
    <w:rsid w:val="37ED78B2"/>
    <w:rsid w:val="37F012DD"/>
    <w:rsid w:val="37F45271"/>
    <w:rsid w:val="37F963E3"/>
    <w:rsid w:val="37FA104F"/>
    <w:rsid w:val="37FF59C4"/>
    <w:rsid w:val="38005AB4"/>
    <w:rsid w:val="3801173C"/>
    <w:rsid w:val="38194CD8"/>
    <w:rsid w:val="382C4A0B"/>
    <w:rsid w:val="384653A1"/>
    <w:rsid w:val="38471845"/>
    <w:rsid w:val="384C6E5B"/>
    <w:rsid w:val="385250B2"/>
    <w:rsid w:val="38593326"/>
    <w:rsid w:val="385E26EA"/>
    <w:rsid w:val="386121DB"/>
    <w:rsid w:val="38633130"/>
    <w:rsid w:val="38657F1D"/>
    <w:rsid w:val="386638E8"/>
    <w:rsid w:val="38737065"/>
    <w:rsid w:val="38840FA1"/>
    <w:rsid w:val="388859B9"/>
    <w:rsid w:val="389257F7"/>
    <w:rsid w:val="38997362"/>
    <w:rsid w:val="38A34F2D"/>
    <w:rsid w:val="38B003A6"/>
    <w:rsid w:val="38B302F9"/>
    <w:rsid w:val="38BF7A8E"/>
    <w:rsid w:val="38C20ECB"/>
    <w:rsid w:val="38C5276A"/>
    <w:rsid w:val="38CA7F62"/>
    <w:rsid w:val="38CC7F9C"/>
    <w:rsid w:val="38CF183A"/>
    <w:rsid w:val="38D66725"/>
    <w:rsid w:val="38E52E0C"/>
    <w:rsid w:val="38EF3C8A"/>
    <w:rsid w:val="38F12CD3"/>
    <w:rsid w:val="38F94775"/>
    <w:rsid w:val="39047736"/>
    <w:rsid w:val="390D7134"/>
    <w:rsid w:val="39180AEB"/>
    <w:rsid w:val="391A72EC"/>
    <w:rsid w:val="39260A2B"/>
    <w:rsid w:val="392971ED"/>
    <w:rsid w:val="392E47B3"/>
    <w:rsid w:val="39325651"/>
    <w:rsid w:val="39400042"/>
    <w:rsid w:val="39447B32"/>
    <w:rsid w:val="39475874"/>
    <w:rsid w:val="394E0EDA"/>
    <w:rsid w:val="395A1104"/>
    <w:rsid w:val="395F4C11"/>
    <w:rsid w:val="396B1BD1"/>
    <w:rsid w:val="396E1053"/>
    <w:rsid w:val="397523E2"/>
    <w:rsid w:val="39761CB6"/>
    <w:rsid w:val="397877DC"/>
    <w:rsid w:val="39842625"/>
    <w:rsid w:val="39845C94"/>
    <w:rsid w:val="39873EC3"/>
    <w:rsid w:val="398B39B3"/>
    <w:rsid w:val="398B6B75"/>
    <w:rsid w:val="399333A1"/>
    <w:rsid w:val="39964FDD"/>
    <w:rsid w:val="399D36E6"/>
    <w:rsid w:val="399D7242"/>
    <w:rsid w:val="399F745E"/>
    <w:rsid w:val="39A32B0B"/>
    <w:rsid w:val="39A95BE7"/>
    <w:rsid w:val="39B667F6"/>
    <w:rsid w:val="39BA7DF4"/>
    <w:rsid w:val="39BE07C6"/>
    <w:rsid w:val="39CE38A0"/>
    <w:rsid w:val="39D4535A"/>
    <w:rsid w:val="39DA6754"/>
    <w:rsid w:val="39DB4E75"/>
    <w:rsid w:val="39DF4C62"/>
    <w:rsid w:val="39E76E3F"/>
    <w:rsid w:val="39E84962"/>
    <w:rsid w:val="39F74BA5"/>
    <w:rsid w:val="39FF3A59"/>
    <w:rsid w:val="3A045513"/>
    <w:rsid w:val="3A0B4AF4"/>
    <w:rsid w:val="3A0D6176"/>
    <w:rsid w:val="3A10210A"/>
    <w:rsid w:val="3A15327D"/>
    <w:rsid w:val="3A1A6AE5"/>
    <w:rsid w:val="3A1C285D"/>
    <w:rsid w:val="3A223F8F"/>
    <w:rsid w:val="3A235B1B"/>
    <w:rsid w:val="3A241712"/>
    <w:rsid w:val="3A267238"/>
    <w:rsid w:val="3A296D8E"/>
    <w:rsid w:val="3A2A4D68"/>
    <w:rsid w:val="3A2D05C6"/>
    <w:rsid w:val="3A3375EC"/>
    <w:rsid w:val="3A345DF9"/>
    <w:rsid w:val="3A4000FD"/>
    <w:rsid w:val="3A42502E"/>
    <w:rsid w:val="3A433156"/>
    <w:rsid w:val="3A433D5E"/>
    <w:rsid w:val="3A465B2C"/>
    <w:rsid w:val="3A485400"/>
    <w:rsid w:val="3A4B3142"/>
    <w:rsid w:val="3A525834"/>
    <w:rsid w:val="3A571AE7"/>
    <w:rsid w:val="3A5821B5"/>
    <w:rsid w:val="3A610AB5"/>
    <w:rsid w:val="3A661D2A"/>
    <w:rsid w:val="3A6A62B8"/>
    <w:rsid w:val="3A751F6D"/>
    <w:rsid w:val="3A766411"/>
    <w:rsid w:val="3A80103E"/>
    <w:rsid w:val="3A830B2E"/>
    <w:rsid w:val="3A8338D1"/>
    <w:rsid w:val="3A872856"/>
    <w:rsid w:val="3A8B5433"/>
    <w:rsid w:val="3A8F4D27"/>
    <w:rsid w:val="3A95616C"/>
    <w:rsid w:val="3AAC3BE1"/>
    <w:rsid w:val="3AAC5A7D"/>
    <w:rsid w:val="3AAF722D"/>
    <w:rsid w:val="3AB95E7B"/>
    <w:rsid w:val="3AC52EF5"/>
    <w:rsid w:val="3ACD1DA9"/>
    <w:rsid w:val="3ACD736D"/>
    <w:rsid w:val="3AD4138A"/>
    <w:rsid w:val="3AE12D69"/>
    <w:rsid w:val="3AE315CD"/>
    <w:rsid w:val="3AE93180"/>
    <w:rsid w:val="3AEA64B7"/>
    <w:rsid w:val="3AEC2C1C"/>
    <w:rsid w:val="3AED7D56"/>
    <w:rsid w:val="3AEE3656"/>
    <w:rsid w:val="3AFD0AE1"/>
    <w:rsid w:val="3B077069"/>
    <w:rsid w:val="3B0A5AAC"/>
    <w:rsid w:val="3B133C60"/>
    <w:rsid w:val="3B1D688D"/>
    <w:rsid w:val="3B2B7465"/>
    <w:rsid w:val="3B365BA1"/>
    <w:rsid w:val="3B3763D1"/>
    <w:rsid w:val="3B41771A"/>
    <w:rsid w:val="3B5241A1"/>
    <w:rsid w:val="3B5F6EA5"/>
    <w:rsid w:val="3B72426C"/>
    <w:rsid w:val="3B7346FF"/>
    <w:rsid w:val="3B7E2BA1"/>
    <w:rsid w:val="3B8406BA"/>
    <w:rsid w:val="3B8672EF"/>
    <w:rsid w:val="3B90705F"/>
    <w:rsid w:val="3B913AA8"/>
    <w:rsid w:val="3B9308FD"/>
    <w:rsid w:val="3B985F13"/>
    <w:rsid w:val="3B9C1A36"/>
    <w:rsid w:val="3B9F3746"/>
    <w:rsid w:val="3BB577F9"/>
    <w:rsid w:val="3BB84807"/>
    <w:rsid w:val="3BBA6883"/>
    <w:rsid w:val="3BBB7E54"/>
    <w:rsid w:val="3BBD1E80"/>
    <w:rsid w:val="3BC66F24"/>
    <w:rsid w:val="3BD01B51"/>
    <w:rsid w:val="3BD36BA6"/>
    <w:rsid w:val="3BD57167"/>
    <w:rsid w:val="3BD86C58"/>
    <w:rsid w:val="3BDF06B7"/>
    <w:rsid w:val="3BEB6954"/>
    <w:rsid w:val="3BEC4ABF"/>
    <w:rsid w:val="3BED123F"/>
    <w:rsid w:val="3BF03FA1"/>
    <w:rsid w:val="3BF80E06"/>
    <w:rsid w:val="3BFA097C"/>
    <w:rsid w:val="3BFA6B5D"/>
    <w:rsid w:val="3BFB5D9F"/>
    <w:rsid w:val="3C055B26"/>
    <w:rsid w:val="3C0A51CB"/>
    <w:rsid w:val="3C0D4B53"/>
    <w:rsid w:val="3C103098"/>
    <w:rsid w:val="3C2123AD"/>
    <w:rsid w:val="3C237ED3"/>
    <w:rsid w:val="3C272976"/>
    <w:rsid w:val="3C2D6471"/>
    <w:rsid w:val="3C2F6E1E"/>
    <w:rsid w:val="3C30439E"/>
    <w:rsid w:val="3C340332"/>
    <w:rsid w:val="3C3B487A"/>
    <w:rsid w:val="3C3F2833"/>
    <w:rsid w:val="3C406CD7"/>
    <w:rsid w:val="3C463BC1"/>
    <w:rsid w:val="3C4663C4"/>
    <w:rsid w:val="3C4F64BA"/>
    <w:rsid w:val="3C5207B8"/>
    <w:rsid w:val="3C5B518D"/>
    <w:rsid w:val="3C601127"/>
    <w:rsid w:val="3C6308F8"/>
    <w:rsid w:val="3C6635A5"/>
    <w:rsid w:val="3C746980"/>
    <w:rsid w:val="3C8446EA"/>
    <w:rsid w:val="3C8B637F"/>
    <w:rsid w:val="3C94492D"/>
    <w:rsid w:val="3C9B067D"/>
    <w:rsid w:val="3CA3113C"/>
    <w:rsid w:val="3CB60D47"/>
    <w:rsid w:val="3CBA7049"/>
    <w:rsid w:val="3CC22DEC"/>
    <w:rsid w:val="3CD022C6"/>
    <w:rsid w:val="3CD92C87"/>
    <w:rsid w:val="3CDA245A"/>
    <w:rsid w:val="3CDE3DFA"/>
    <w:rsid w:val="3CE522BB"/>
    <w:rsid w:val="3CEF4F56"/>
    <w:rsid w:val="3D110C09"/>
    <w:rsid w:val="3D1C4EFB"/>
    <w:rsid w:val="3D1E06B7"/>
    <w:rsid w:val="3D256054"/>
    <w:rsid w:val="3D275FD4"/>
    <w:rsid w:val="3D287784"/>
    <w:rsid w:val="3D337001"/>
    <w:rsid w:val="3D3B0486"/>
    <w:rsid w:val="3D3F6F8E"/>
    <w:rsid w:val="3D42082D"/>
    <w:rsid w:val="3D4817DC"/>
    <w:rsid w:val="3D4A76E1"/>
    <w:rsid w:val="3D5440E9"/>
    <w:rsid w:val="3D5777E0"/>
    <w:rsid w:val="3D5D233E"/>
    <w:rsid w:val="3D600CB3"/>
    <w:rsid w:val="3D65276D"/>
    <w:rsid w:val="3D6F7148"/>
    <w:rsid w:val="3D70539A"/>
    <w:rsid w:val="3D714C6E"/>
    <w:rsid w:val="3D7D72CD"/>
    <w:rsid w:val="3D7F55DD"/>
    <w:rsid w:val="3D89020A"/>
    <w:rsid w:val="3D8B21D4"/>
    <w:rsid w:val="3D98669F"/>
    <w:rsid w:val="3DA155A0"/>
    <w:rsid w:val="3DA212CB"/>
    <w:rsid w:val="3DA276B6"/>
    <w:rsid w:val="3DA354D9"/>
    <w:rsid w:val="3DA440D7"/>
    <w:rsid w:val="3DA6700D"/>
    <w:rsid w:val="3DB07174"/>
    <w:rsid w:val="3DB42DAD"/>
    <w:rsid w:val="3DBF1E7D"/>
    <w:rsid w:val="3DC80F55"/>
    <w:rsid w:val="3DC96858"/>
    <w:rsid w:val="3DCF3BCD"/>
    <w:rsid w:val="3DD5344F"/>
    <w:rsid w:val="3DD85E77"/>
    <w:rsid w:val="3DDB658B"/>
    <w:rsid w:val="3DE43692"/>
    <w:rsid w:val="3DE47B36"/>
    <w:rsid w:val="3DE713D4"/>
    <w:rsid w:val="3DE74F30"/>
    <w:rsid w:val="3DED7156"/>
    <w:rsid w:val="3DF31B27"/>
    <w:rsid w:val="3DFE7643"/>
    <w:rsid w:val="3E0E070F"/>
    <w:rsid w:val="3E0F5FE9"/>
    <w:rsid w:val="3E1675C3"/>
    <w:rsid w:val="3E1F46CA"/>
    <w:rsid w:val="3E27797F"/>
    <w:rsid w:val="3E2A0897"/>
    <w:rsid w:val="3E385855"/>
    <w:rsid w:val="3E3A0B4B"/>
    <w:rsid w:val="3E3A16E2"/>
    <w:rsid w:val="3E3A7756"/>
    <w:rsid w:val="3E4037B8"/>
    <w:rsid w:val="3E404C1B"/>
    <w:rsid w:val="3E495BEB"/>
    <w:rsid w:val="3E4D1237"/>
    <w:rsid w:val="3E4E3201"/>
    <w:rsid w:val="3E573E64"/>
    <w:rsid w:val="3E595E2E"/>
    <w:rsid w:val="3E72475D"/>
    <w:rsid w:val="3E725142"/>
    <w:rsid w:val="3E895FE7"/>
    <w:rsid w:val="3E946E66"/>
    <w:rsid w:val="3E951F7E"/>
    <w:rsid w:val="3EA03A5D"/>
    <w:rsid w:val="3EA73CF9"/>
    <w:rsid w:val="3EA7685E"/>
    <w:rsid w:val="3EA90437"/>
    <w:rsid w:val="3EAA3BE2"/>
    <w:rsid w:val="3EAD1CD6"/>
    <w:rsid w:val="3EB70DA6"/>
    <w:rsid w:val="3EBC016B"/>
    <w:rsid w:val="3EBD6576"/>
    <w:rsid w:val="3EC040FF"/>
    <w:rsid w:val="3EC43D05"/>
    <w:rsid w:val="3EC7548D"/>
    <w:rsid w:val="3ECB2A96"/>
    <w:rsid w:val="3ED656D0"/>
    <w:rsid w:val="3ED951C1"/>
    <w:rsid w:val="3EDA0523"/>
    <w:rsid w:val="3EE871B2"/>
    <w:rsid w:val="3EE959C4"/>
    <w:rsid w:val="3EF313C9"/>
    <w:rsid w:val="3EFE753A"/>
    <w:rsid w:val="3F043D71"/>
    <w:rsid w:val="3F080FE0"/>
    <w:rsid w:val="3F0B21C9"/>
    <w:rsid w:val="3F125FDD"/>
    <w:rsid w:val="3F185CE9"/>
    <w:rsid w:val="3F25742B"/>
    <w:rsid w:val="3F285F3A"/>
    <w:rsid w:val="3F2E0AF4"/>
    <w:rsid w:val="3F3348D1"/>
    <w:rsid w:val="3F340649"/>
    <w:rsid w:val="3F3B5533"/>
    <w:rsid w:val="3F3C60C8"/>
    <w:rsid w:val="3F3D5750"/>
    <w:rsid w:val="3F4E1E96"/>
    <w:rsid w:val="3F4F0FDF"/>
    <w:rsid w:val="3F5D36FC"/>
    <w:rsid w:val="3F5E56C6"/>
    <w:rsid w:val="3F641DBA"/>
    <w:rsid w:val="3F6A7BC7"/>
    <w:rsid w:val="3F942E96"/>
    <w:rsid w:val="3F952863"/>
    <w:rsid w:val="3F980BD8"/>
    <w:rsid w:val="3F9905D6"/>
    <w:rsid w:val="3F9E5AC2"/>
    <w:rsid w:val="3FAB72F6"/>
    <w:rsid w:val="3FB05CC3"/>
    <w:rsid w:val="3FB229FA"/>
    <w:rsid w:val="3FB8126D"/>
    <w:rsid w:val="3FC27A03"/>
    <w:rsid w:val="3FC61AFC"/>
    <w:rsid w:val="3FC714BD"/>
    <w:rsid w:val="3FC90D91"/>
    <w:rsid w:val="3FCA2E92"/>
    <w:rsid w:val="3FD668A7"/>
    <w:rsid w:val="3FDC0668"/>
    <w:rsid w:val="3FE327A4"/>
    <w:rsid w:val="3FEF16A0"/>
    <w:rsid w:val="3FEF631E"/>
    <w:rsid w:val="3FF1653A"/>
    <w:rsid w:val="3FF43934"/>
    <w:rsid w:val="3FFF2A05"/>
    <w:rsid w:val="4010076F"/>
    <w:rsid w:val="401364B0"/>
    <w:rsid w:val="40162CEE"/>
    <w:rsid w:val="40175FA1"/>
    <w:rsid w:val="4020669D"/>
    <w:rsid w:val="402E32EA"/>
    <w:rsid w:val="4031498F"/>
    <w:rsid w:val="40491ED2"/>
    <w:rsid w:val="40492A4A"/>
    <w:rsid w:val="405014B2"/>
    <w:rsid w:val="406311E6"/>
    <w:rsid w:val="40637DA0"/>
    <w:rsid w:val="4068051B"/>
    <w:rsid w:val="406805AA"/>
    <w:rsid w:val="4068695F"/>
    <w:rsid w:val="406960D0"/>
    <w:rsid w:val="406E36E7"/>
    <w:rsid w:val="407056B1"/>
    <w:rsid w:val="40762BF0"/>
    <w:rsid w:val="407A6407"/>
    <w:rsid w:val="407C4056"/>
    <w:rsid w:val="407D392A"/>
    <w:rsid w:val="408D0011"/>
    <w:rsid w:val="4090365D"/>
    <w:rsid w:val="40913503"/>
    <w:rsid w:val="409F1AF2"/>
    <w:rsid w:val="40B05AAD"/>
    <w:rsid w:val="40C532BB"/>
    <w:rsid w:val="40C94DC1"/>
    <w:rsid w:val="40D14A10"/>
    <w:rsid w:val="40D45C40"/>
    <w:rsid w:val="40D71D36"/>
    <w:rsid w:val="40DB4774"/>
    <w:rsid w:val="40E57E4D"/>
    <w:rsid w:val="40E67721"/>
    <w:rsid w:val="40E774FA"/>
    <w:rsid w:val="40F82B79"/>
    <w:rsid w:val="40F938F8"/>
    <w:rsid w:val="40FC6F44"/>
    <w:rsid w:val="41031B51"/>
    <w:rsid w:val="41040A5E"/>
    <w:rsid w:val="41057DE0"/>
    <w:rsid w:val="41061B71"/>
    <w:rsid w:val="41150C03"/>
    <w:rsid w:val="41185E69"/>
    <w:rsid w:val="41232723"/>
    <w:rsid w:val="4125649B"/>
    <w:rsid w:val="412C1E99"/>
    <w:rsid w:val="413606A8"/>
    <w:rsid w:val="413C7D3D"/>
    <w:rsid w:val="41456B3D"/>
    <w:rsid w:val="41473DDD"/>
    <w:rsid w:val="414803DC"/>
    <w:rsid w:val="415648A7"/>
    <w:rsid w:val="41597EF3"/>
    <w:rsid w:val="41664311"/>
    <w:rsid w:val="417116E0"/>
    <w:rsid w:val="418452BE"/>
    <w:rsid w:val="41853590"/>
    <w:rsid w:val="418A27A2"/>
    <w:rsid w:val="418A4550"/>
    <w:rsid w:val="419057A5"/>
    <w:rsid w:val="419F0929"/>
    <w:rsid w:val="419F1231"/>
    <w:rsid w:val="41A53138"/>
    <w:rsid w:val="41AA0CB6"/>
    <w:rsid w:val="41B63E5C"/>
    <w:rsid w:val="41B9573A"/>
    <w:rsid w:val="41BD0482"/>
    <w:rsid w:val="41C04416"/>
    <w:rsid w:val="41C05C78"/>
    <w:rsid w:val="41C21F3C"/>
    <w:rsid w:val="41C448F1"/>
    <w:rsid w:val="41C5180D"/>
    <w:rsid w:val="41CA7043"/>
    <w:rsid w:val="41D34149"/>
    <w:rsid w:val="41D430D7"/>
    <w:rsid w:val="41D8350E"/>
    <w:rsid w:val="41DA7286"/>
    <w:rsid w:val="41DD28D2"/>
    <w:rsid w:val="41E00614"/>
    <w:rsid w:val="41F12821"/>
    <w:rsid w:val="41F540C0"/>
    <w:rsid w:val="41FB36A0"/>
    <w:rsid w:val="41FD02A1"/>
    <w:rsid w:val="4200449D"/>
    <w:rsid w:val="42042555"/>
    <w:rsid w:val="420E33D3"/>
    <w:rsid w:val="42220C2D"/>
    <w:rsid w:val="42224789"/>
    <w:rsid w:val="4226071D"/>
    <w:rsid w:val="422A3EDB"/>
    <w:rsid w:val="422E312E"/>
    <w:rsid w:val="423A3BCC"/>
    <w:rsid w:val="423B584A"/>
    <w:rsid w:val="4242307D"/>
    <w:rsid w:val="4248764D"/>
    <w:rsid w:val="424E57D2"/>
    <w:rsid w:val="42613503"/>
    <w:rsid w:val="42644B59"/>
    <w:rsid w:val="426B6130"/>
    <w:rsid w:val="426C3C56"/>
    <w:rsid w:val="426C517F"/>
    <w:rsid w:val="42725D1F"/>
    <w:rsid w:val="427D5E63"/>
    <w:rsid w:val="427F71A4"/>
    <w:rsid w:val="4288362A"/>
    <w:rsid w:val="42890CAC"/>
    <w:rsid w:val="428D254A"/>
    <w:rsid w:val="428E62FD"/>
    <w:rsid w:val="42903DE8"/>
    <w:rsid w:val="42976F25"/>
    <w:rsid w:val="42A23ABA"/>
    <w:rsid w:val="42A31D6D"/>
    <w:rsid w:val="42A41642"/>
    <w:rsid w:val="42A6756C"/>
    <w:rsid w:val="42B26C49"/>
    <w:rsid w:val="42BA66B9"/>
    <w:rsid w:val="42C121F4"/>
    <w:rsid w:val="42CA2995"/>
    <w:rsid w:val="42CD0202"/>
    <w:rsid w:val="42CD6DEA"/>
    <w:rsid w:val="42E10CDB"/>
    <w:rsid w:val="42E3660E"/>
    <w:rsid w:val="42E45EE2"/>
    <w:rsid w:val="42F56341"/>
    <w:rsid w:val="42F82423"/>
    <w:rsid w:val="42FA74B4"/>
    <w:rsid w:val="42FF0D9D"/>
    <w:rsid w:val="430343A0"/>
    <w:rsid w:val="43054CEB"/>
    <w:rsid w:val="430A51E4"/>
    <w:rsid w:val="43170066"/>
    <w:rsid w:val="431840BE"/>
    <w:rsid w:val="431C742A"/>
    <w:rsid w:val="431E235B"/>
    <w:rsid w:val="4320516C"/>
    <w:rsid w:val="43212C92"/>
    <w:rsid w:val="43244531"/>
    <w:rsid w:val="432525EE"/>
    <w:rsid w:val="43282273"/>
    <w:rsid w:val="43320C1A"/>
    <w:rsid w:val="433A6FE6"/>
    <w:rsid w:val="433B01F8"/>
    <w:rsid w:val="433C5D1E"/>
    <w:rsid w:val="434150E2"/>
    <w:rsid w:val="434338C8"/>
    <w:rsid w:val="43437C1C"/>
    <w:rsid w:val="434626F9"/>
    <w:rsid w:val="43480868"/>
    <w:rsid w:val="43482554"/>
    <w:rsid w:val="4350713C"/>
    <w:rsid w:val="43543068"/>
    <w:rsid w:val="435968D0"/>
    <w:rsid w:val="43601C4C"/>
    <w:rsid w:val="436025EC"/>
    <w:rsid w:val="436653E0"/>
    <w:rsid w:val="436D4EE6"/>
    <w:rsid w:val="43707776"/>
    <w:rsid w:val="43721740"/>
    <w:rsid w:val="43741014"/>
    <w:rsid w:val="438430B3"/>
    <w:rsid w:val="43917DF2"/>
    <w:rsid w:val="43947908"/>
    <w:rsid w:val="439711A6"/>
    <w:rsid w:val="43995E63"/>
    <w:rsid w:val="43A0005B"/>
    <w:rsid w:val="43AA0EDA"/>
    <w:rsid w:val="43AA121A"/>
    <w:rsid w:val="43AD2778"/>
    <w:rsid w:val="43AF71D5"/>
    <w:rsid w:val="43B121B6"/>
    <w:rsid w:val="43B20DD3"/>
    <w:rsid w:val="43B81849"/>
    <w:rsid w:val="43BE4E4B"/>
    <w:rsid w:val="43C4431A"/>
    <w:rsid w:val="43C5095E"/>
    <w:rsid w:val="43D67A4B"/>
    <w:rsid w:val="43DA710C"/>
    <w:rsid w:val="43E1612F"/>
    <w:rsid w:val="43E443EC"/>
    <w:rsid w:val="43E9763D"/>
    <w:rsid w:val="43E97C54"/>
    <w:rsid w:val="43EB2DF5"/>
    <w:rsid w:val="43F42155"/>
    <w:rsid w:val="43F45D3F"/>
    <w:rsid w:val="44056110"/>
    <w:rsid w:val="440A1978"/>
    <w:rsid w:val="44120D48"/>
    <w:rsid w:val="44130F3B"/>
    <w:rsid w:val="44150BB1"/>
    <w:rsid w:val="441647C1"/>
    <w:rsid w:val="44184095"/>
    <w:rsid w:val="441A6E88"/>
    <w:rsid w:val="441C3663"/>
    <w:rsid w:val="441F3676"/>
    <w:rsid w:val="442347E8"/>
    <w:rsid w:val="44301C90"/>
    <w:rsid w:val="443E6CDE"/>
    <w:rsid w:val="44426C2E"/>
    <w:rsid w:val="44513E1B"/>
    <w:rsid w:val="445D1E68"/>
    <w:rsid w:val="445F7F77"/>
    <w:rsid w:val="44643563"/>
    <w:rsid w:val="44670B79"/>
    <w:rsid w:val="4469669F"/>
    <w:rsid w:val="446E1F07"/>
    <w:rsid w:val="44716EBB"/>
    <w:rsid w:val="4473751E"/>
    <w:rsid w:val="447470B6"/>
    <w:rsid w:val="44760DBC"/>
    <w:rsid w:val="4476700E"/>
    <w:rsid w:val="44784B34"/>
    <w:rsid w:val="4484172B"/>
    <w:rsid w:val="44901E7E"/>
    <w:rsid w:val="44913578"/>
    <w:rsid w:val="44930DA6"/>
    <w:rsid w:val="4498343B"/>
    <w:rsid w:val="449F6565"/>
    <w:rsid w:val="44A01F6C"/>
    <w:rsid w:val="44A45929"/>
    <w:rsid w:val="44A66BDE"/>
    <w:rsid w:val="44A82D35"/>
    <w:rsid w:val="44B57B36"/>
    <w:rsid w:val="44B92D35"/>
    <w:rsid w:val="44B951CC"/>
    <w:rsid w:val="44C61D43"/>
    <w:rsid w:val="44C63AF1"/>
    <w:rsid w:val="44C67F95"/>
    <w:rsid w:val="44CD14E0"/>
    <w:rsid w:val="44D34460"/>
    <w:rsid w:val="44DC1567"/>
    <w:rsid w:val="44E73A68"/>
    <w:rsid w:val="44EE129A"/>
    <w:rsid w:val="44EE1E77"/>
    <w:rsid w:val="44F001AF"/>
    <w:rsid w:val="44F20B0B"/>
    <w:rsid w:val="44F24B1B"/>
    <w:rsid w:val="44F76A5B"/>
    <w:rsid w:val="44FA379B"/>
    <w:rsid w:val="4503739E"/>
    <w:rsid w:val="450A60D4"/>
    <w:rsid w:val="450E4BBE"/>
    <w:rsid w:val="45135F9D"/>
    <w:rsid w:val="451C7BB5"/>
    <w:rsid w:val="451E3EEB"/>
    <w:rsid w:val="452840C0"/>
    <w:rsid w:val="452E5F4C"/>
    <w:rsid w:val="45321187"/>
    <w:rsid w:val="453C3DB3"/>
    <w:rsid w:val="453E7B2C"/>
    <w:rsid w:val="453F0617"/>
    <w:rsid w:val="453F38A4"/>
    <w:rsid w:val="45494235"/>
    <w:rsid w:val="45513D03"/>
    <w:rsid w:val="455410FD"/>
    <w:rsid w:val="45582F6F"/>
    <w:rsid w:val="45612018"/>
    <w:rsid w:val="456220F9"/>
    <w:rsid w:val="456B4699"/>
    <w:rsid w:val="456F193E"/>
    <w:rsid w:val="45704A8F"/>
    <w:rsid w:val="4574179F"/>
    <w:rsid w:val="457572C5"/>
    <w:rsid w:val="45781253"/>
    <w:rsid w:val="45860F94"/>
    <w:rsid w:val="458946E9"/>
    <w:rsid w:val="458A2D71"/>
    <w:rsid w:val="458D25B3"/>
    <w:rsid w:val="458F0387"/>
    <w:rsid w:val="458F482B"/>
    <w:rsid w:val="45935F8C"/>
    <w:rsid w:val="459C2C46"/>
    <w:rsid w:val="45A47C0E"/>
    <w:rsid w:val="45A610AB"/>
    <w:rsid w:val="45A91930"/>
    <w:rsid w:val="45AF27D7"/>
    <w:rsid w:val="45C32106"/>
    <w:rsid w:val="45C73FC5"/>
    <w:rsid w:val="45C81AEB"/>
    <w:rsid w:val="45DC4A98"/>
    <w:rsid w:val="45DE4E6B"/>
    <w:rsid w:val="45E2495B"/>
    <w:rsid w:val="45EE77A4"/>
    <w:rsid w:val="45F35533"/>
    <w:rsid w:val="45F374F2"/>
    <w:rsid w:val="4609638B"/>
    <w:rsid w:val="461751AB"/>
    <w:rsid w:val="4618037D"/>
    <w:rsid w:val="461F622E"/>
    <w:rsid w:val="462E5DF2"/>
    <w:rsid w:val="462F1B6A"/>
    <w:rsid w:val="463469A8"/>
    <w:rsid w:val="46354F72"/>
    <w:rsid w:val="4646138E"/>
    <w:rsid w:val="46577FD6"/>
    <w:rsid w:val="46601D24"/>
    <w:rsid w:val="466727DF"/>
    <w:rsid w:val="467D3336"/>
    <w:rsid w:val="468477C0"/>
    <w:rsid w:val="46AA2F9F"/>
    <w:rsid w:val="46AF7153"/>
    <w:rsid w:val="46B02CAB"/>
    <w:rsid w:val="46B362F7"/>
    <w:rsid w:val="46B53E1D"/>
    <w:rsid w:val="46B75DE7"/>
    <w:rsid w:val="46B8390E"/>
    <w:rsid w:val="46BB038E"/>
    <w:rsid w:val="46C027C2"/>
    <w:rsid w:val="46C66E6B"/>
    <w:rsid w:val="46CB1893"/>
    <w:rsid w:val="46D813B2"/>
    <w:rsid w:val="46D955A7"/>
    <w:rsid w:val="46E86CDC"/>
    <w:rsid w:val="46ED333D"/>
    <w:rsid w:val="46ED38F4"/>
    <w:rsid w:val="46F20B12"/>
    <w:rsid w:val="46FA1423"/>
    <w:rsid w:val="46FA3F26"/>
    <w:rsid w:val="46FC3253"/>
    <w:rsid w:val="46FC37FA"/>
    <w:rsid w:val="46FF778E"/>
    <w:rsid w:val="4703102D"/>
    <w:rsid w:val="470637FB"/>
    <w:rsid w:val="470D52E1"/>
    <w:rsid w:val="47133957"/>
    <w:rsid w:val="471470AC"/>
    <w:rsid w:val="471D19C3"/>
    <w:rsid w:val="47205B64"/>
    <w:rsid w:val="4723522B"/>
    <w:rsid w:val="4724166B"/>
    <w:rsid w:val="472965B9"/>
    <w:rsid w:val="472B15B9"/>
    <w:rsid w:val="472D60AA"/>
    <w:rsid w:val="472E597E"/>
    <w:rsid w:val="47347438"/>
    <w:rsid w:val="473A16AB"/>
    <w:rsid w:val="474B29D4"/>
    <w:rsid w:val="47510C8C"/>
    <w:rsid w:val="47574ED5"/>
    <w:rsid w:val="475851FE"/>
    <w:rsid w:val="475F022D"/>
    <w:rsid w:val="475F3D89"/>
    <w:rsid w:val="47617B01"/>
    <w:rsid w:val="47685334"/>
    <w:rsid w:val="476D294A"/>
    <w:rsid w:val="47737835"/>
    <w:rsid w:val="47767A51"/>
    <w:rsid w:val="477E0A90"/>
    <w:rsid w:val="478101A3"/>
    <w:rsid w:val="47835CCA"/>
    <w:rsid w:val="47951F8B"/>
    <w:rsid w:val="47971775"/>
    <w:rsid w:val="47A07E0C"/>
    <w:rsid w:val="47A52D64"/>
    <w:rsid w:val="47B0485B"/>
    <w:rsid w:val="47B265AF"/>
    <w:rsid w:val="47B440D5"/>
    <w:rsid w:val="47C41535"/>
    <w:rsid w:val="47C63E08"/>
    <w:rsid w:val="47CA247E"/>
    <w:rsid w:val="47D26C51"/>
    <w:rsid w:val="47D40D02"/>
    <w:rsid w:val="47E0311C"/>
    <w:rsid w:val="47E04ECA"/>
    <w:rsid w:val="47E56984"/>
    <w:rsid w:val="47EA6BB8"/>
    <w:rsid w:val="47EA7AF7"/>
    <w:rsid w:val="47EF61F4"/>
    <w:rsid w:val="47F379D2"/>
    <w:rsid w:val="47F6293F"/>
    <w:rsid w:val="48013092"/>
    <w:rsid w:val="48031DBF"/>
    <w:rsid w:val="48036E0A"/>
    <w:rsid w:val="480744E8"/>
    <w:rsid w:val="48224860"/>
    <w:rsid w:val="48284490"/>
    <w:rsid w:val="482C010F"/>
    <w:rsid w:val="483376F0"/>
    <w:rsid w:val="483801B3"/>
    <w:rsid w:val="4839506A"/>
    <w:rsid w:val="4847319B"/>
    <w:rsid w:val="4847426C"/>
    <w:rsid w:val="484D62D8"/>
    <w:rsid w:val="485675BD"/>
    <w:rsid w:val="48693111"/>
    <w:rsid w:val="486A50DB"/>
    <w:rsid w:val="486A6E89"/>
    <w:rsid w:val="4870272E"/>
    <w:rsid w:val="48750DC5"/>
    <w:rsid w:val="4876582E"/>
    <w:rsid w:val="48992AAF"/>
    <w:rsid w:val="489E4A98"/>
    <w:rsid w:val="48A44149"/>
    <w:rsid w:val="48B00D40"/>
    <w:rsid w:val="48B14AB8"/>
    <w:rsid w:val="48B620CF"/>
    <w:rsid w:val="48B92424"/>
    <w:rsid w:val="48B9571B"/>
    <w:rsid w:val="48BB27EB"/>
    <w:rsid w:val="48BB76E5"/>
    <w:rsid w:val="48C247C2"/>
    <w:rsid w:val="48CA1322"/>
    <w:rsid w:val="48CA7928"/>
    <w:rsid w:val="48CC36A0"/>
    <w:rsid w:val="48CC6426"/>
    <w:rsid w:val="48CE11C6"/>
    <w:rsid w:val="48D11201"/>
    <w:rsid w:val="48EE407C"/>
    <w:rsid w:val="48F21359"/>
    <w:rsid w:val="490B241B"/>
    <w:rsid w:val="491923CC"/>
    <w:rsid w:val="49283FCE"/>
    <w:rsid w:val="49366D6C"/>
    <w:rsid w:val="493A708A"/>
    <w:rsid w:val="493C4382"/>
    <w:rsid w:val="494029CE"/>
    <w:rsid w:val="494476DB"/>
    <w:rsid w:val="49496A9F"/>
    <w:rsid w:val="49535B70"/>
    <w:rsid w:val="495B7B33"/>
    <w:rsid w:val="495C2C76"/>
    <w:rsid w:val="495D254A"/>
    <w:rsid w:val="495F4514"/>
    <w:rsid w:val="49627B61"/>
    <w:rsid w:val="49652020"/>
    <w:rsid w:val="496B171D"/>
    <w:rsid w:val="496B4C67"/>
    <w:rsid w:val="49757894"/>
    <w:rsid w:val="49836455"/>
    <w:rsid w:val="49850EE9"/>
    <w:rsid w:val="498521CD"/>
    <w:rsid w:val="49920446"/>
    <w:rsid w:val="499A0BD5"/>
    <w:rsid w:val="49A5461D"/>
    <w:rsid w:val="49A81A17"/>
    <w:rsid w:val="49AB1508"/>
    <w:rsid w:val="49B52386"/>
    <w:rsid w:val="49BD5EE9"/>
    <w:rsid w:val="49BE56DF"/>
    <w:rsid w:val="49D40A5E"/>
    <w:rsid w:val="49D46CB0"/>
    <w:rsid w:val="49D96075"/>
    <w:rsid w:val="49DB1DED"/>
    <w:rsid w:val="49DC7715"/>
    <w:rsid w:val="49DD5F79"/>
    <w:rsid w:val="49DE7B2F"/>
    <w:rsid w:val="49EA608A"/>
    <w:rsid w:val="49F55D16"/>
    <w:rsid w:val="4A023139"/>
    <w:rsid w:val="4A1349BC"/>
    <w:rsid w:val="4A162E25"/>
    <w:rsid w:val="4A1D59A5"/>
    <w:rsid w:val="4A25750C"/>
    <w:rsid w:val="4A2C3CB0"/>
    <w:rsid w:val="4A315EB1"/>
    <w:rsid w:val="4A3363AE"/>
    <w:rsid w:val="4A3A47AE"/>
    <w:rsid w:val="4A3D45CF"/>
    <w:rsid w:val="4A404346"/>
    <w:rsid w:val="4A437B1D"/>
    <w:rsid w:val="4A4756D4"/>
    <w:rsid w:val="4A4A3E2B"/>
    <w:rsid w:val="4A4D5976"/>
    <w:rsid w:val="4A4F4589"/>
    <w:rsid w:val="4A547DF1"/>
    <w:rsid w:val="4A610A1A"/>
    <w:rsid w:val="4A622179"/>
    <w:rsid w:val="4A6A13C3"/>
    <w:rsid w:val="4A6A4F1F"/>
    <w:rsid w:val="4A7144FF"/>
    <w:rsid w:val="4A761172"/>
    <w:rsid w:val="4A7638C4"/>
    <w:rsid w:val="4A7B576F"/>
    <w:rsid w:val="4A82670C"/>
    <w:rsid w:val="4A881849"/>
    <w:rsid w:val="4A895CED"/>
    <w:rsid w:val="4A8C30E7"/>
    <w:rsid w:val="4A914BA1"/>
    <w:rsid w:val="4A9D52F4"/>
    <w:rsid w:val="4AA46683"/>
    <w:rsid w:val="4AAA0937"/>
    <w:rsid w:val="4AAE0FE3"/>
    <w:rsid w:val="4AAE7501"/>
    <w:rsid w:val="4AB663B6"/>
    <w:rsid w:val="4AB77C70"/>
    <w:rsid w:val="4ABD13A6"/>
    <w:rsid w:val="4AC26D4B"/>
    <w:rsid w:val="4AD8457E"/>
    <w:rsid w:val="4AD91C8C"/>
    <w:rsid w:val="4ADB26BF"/>
    <w:rsid w:val="4AE01685"/>
    <w:rsid w:val="4AE13903"/>
    <w:rsid w:val="4AEB42B2"/>
    <w:rsid w:val="4AEC6ADB"/>
    <w:rsid w:val="4AF561A9"/>
    <w:rsid w:val="4AFB01ED"/>
    <w:rsid w:val="4B0435C5"/>
    <w:rsid w:val="4B1679B2"/>
    <w:rsid w:val="4B197B6C"/>
    <w:rsid w:val="4B1F3F5B"/>
    <w:rsid w:val="4B216D41"/>
    <w:rsid w:val="4B296B88"/>
    <w:rsid w:val="4B2B0B52"/>
    <w:rsid w:val="4B2C0529"/>
    <w:rsid w:val="4B3A2EE9"/>
    <w:rsid w:val="4B3F63AB"/>
    <w:rsid w:val="4B447E66"/>
    <w:rsid w:val="4B4C4A93"/>
    <w:rsid w:val="4B4D1F85"/>
    <w:rsid w:val="4B5005B9"/>
    <w:rsid w:val="4B667DDC"/>
    <w:rsid w:val="4B8678A9"/>
    <w:rsid w:val="4B8D5EB9"/>
    <w:rsid w:val="4B9506C1"/>
    <w:rsid w:val="4BA17066"/>
    <w:rsid w:val="4BAB3A41"/>
    <w:rsid w:val="4BAB3A60"/>
    <w:rsid w:val="4BB723E6"/>
    <w:rsid w:val="4BB7413E"/>
    <w:rsid w:val="4BB84375"/>
    <w:rsid w:val="4BBD041E"/>
    <w:rsid w:val="4BBF23FC"/>
    <w:rsid w:val="4BCB7C3F"/>
    <w:rsid w:val="4BCF3BD3"/>
    <w:rsid w:val="4BD10D32"/>
    <w:rsid w:val="4BDF193C"/>
    <w:rsid w:val="4BE17463"/>
    <w:rsid w:val="4BE331DB"/>
    <w:rsid w:val="4BF400AA"/>
    <w:rsid w:val="4BFB6776"/>
    <w:rsid w:val="4BFE6267"/>
    <w:rsid w:val="4C01497D"/>
    <w:rsid w:val="4C052456"/>
    <w:rsid w:val="4C06511B"/>
    <w:rsid w:val="4C086336"/>
    <w:rsid w:val="4C0A4C0B"/>
    <w:rsid w:val="4C0B2731"/>
    <w:rsid w:val="4C0D64AA"/>
    <w:rsid w:val="4C0E5BEC"/>
    <w:rsid w:val="4C10274B"/>
    <w:rsid w:val="4C1F5A14"/>
    <w:rsid w:val="4C2537F3"/>
    <w:rsid w:val="4C324162"/>
    <w:rsid w:val="4C341C88"/>
    <w:rsid w:val="4C365A00"/>
    <w:rsid w:val="4C4243A5"/>
    <w:rsid w:val="4C4874E2"/>
    <w:rsid w:val="4C4925A9"/>
    <w:rsid w:val="4C494BD9"/>
    <w:rsid w:val="4C4A0649"/>
    <w:rsid w:val="4C505BA4"/>
    <w:rsid w:val="4C520360"/>
    <w:rsid w:val="4C60482B"/>
    <w:rsid w:val="4C6562E6"/>
    <w:rsid w:val="4C675BBA"/>
    <w:rsid w:val="4C6D6F48"/>
    <w:rsid w:val="4C740F11"/>
    <w:rsid w:val="4C76404F"/>
    <w:rsid w:val="4C783B12"/>
    <w:rsid w:val="4C795D3B"/>
    <w:rsid w:val="4C7D1634"/>
    <w:rsid w:val="4C7E5ECA"/>
    <w:rsid w:val="4C8073A5"/>
    <w:rsid w:val="4C810E93"/>
    <w:rsid w:val="4C876AA5"/>
    <w:rsid w:val="4C8A18A8"/>
    <w:rsid w:val="4C8E043C"/>
    <w:rsid w:val="4C970EB7"/>
    <w:rsid w:val="4C982217"/>
    <w:rsid w:val="4C9E7EC9"/>
    <w:rsid w:val="4CA26BF2"/>
    <w:rsid w:val="4CA37CC7"/>
    <w:rsid w:val="4CAA1F21"/>
    <w:rsid w:val="4CAA4CDF"/>
    <w:rsid w:val="4CAA5AA7"/>
    <w:rsid w:val="4CB30DFF"/>
    <w:rsid w:val="4CBB7CB4"/>
    <w:rsid w:val="4CD6656C"/>
    <w:rsid w:val="4CD82614"/>
    <w:rsid w:val="4CD945DE"/>
    <w:rsid w:val="4CDD5AA3"/>
    <w:rsid w:val="4CE0771A"/>
    <w:rsid w:val="4CE251D5"/>
    <w:rsid w:val="4CE62AA9"/>
    <w:rsid w:val="4CE94821"/>
    <w:rsid w:val="4CF5766A"/>
    <w:rsid w:val="4D0553D3"/>
    <w:rsid w:val="4D07719E"/>
    <w:rsid w:val="4D0E00FB"/>
    <w:rsid w:val="4D176606"/>
    <w:rsid w:val="4D1A28D5"/>
    <w:rsid w:val="4D2770F7"/>
    <w:rsid w:val="4D2C6E03"/>
    <w:rsid w:val="4D317B44"/>
    <w:rsid w:val="4D331D0A"/>
    <w:rsid w:val="4D3904CD"/>
    <w:rsid w:val="4D3F08E5"/>
    <w:rsid w:val="4D4D1254"/>
    <w:rsid w:val="4D4E0B28"/>
    <w:rsid w:val="4D4E28D6"/>
    <w:rsid w:val="4D6025B0"/>
    <w:rsid w:val="4D6C7200"/>
    <w:rsid w:val="4D754EEB"/>
    <w:rsid w:val="4D7D199E"/>
    <w:rsid w:val="4D834C75"/>
    <w:rsid w:val="4D891E34"/>
    <w:rsid w:val="4D9C1893"/>
    <w:rsid w:val="4DA82F27"/>
    <w:rsid w:val="4DA8648A"/>
    <w:rsid w:val="4DB74E3F"/>
    <w:rsid w:val="4DBA3F1E"/>
    <w:rsid w:val="4DBD2312"/>
    <w:rsid w:val="4DC25072"/>
    <w:rsid w:val="4DD0778F"/>
    <w:rsid w:val="4DD56D3A"/>
    <w:rsid w:val="4DDF5C24"/>
    <w:rsid w:val="4DEB281B"/>
    <w:rsid w:val="4DEC4FB0"/>
    <w:rsid w:val="4DF81CF1"/>
    <w:rsid w:val="4DFC4A28"/>
    <w:rsid w:val="4DFC67D6"/>
    <w:rsid w:val="4E037B64"/>
    <w:rsid w:val="4E0655E0"/>
    <w:rsid w:val="4E075D8A"/>
    <w:rsid w:val="4E0B6A19"/>
    <w:rsid w:val="4E197388"/>
    <w:rsid w:val="4E1E499E"/>
    <w:rsid w:val="4E20116C"/>
    <w:rsid w:val="4E2438EC"/>
    <w:rsid w:val="4E243DBE"/>
    <w:rsid w:val="4E2B0E69"/>
    <w:rsid w:val="4E2B1EB6"/>
    <w:rsid w:val="4E30647F"/>
    <w:rsid w:val="4E345F70"/>
    <w:rsid w:val="4E395334"/>
    <w:rsid w:val="4E3D219E"/>
    <w:rsid w:val="4E451F2B"/>
    <w:rsid w:val="4E4B7C6A"/>
    <w:rsid w:val="4E524648"/>
    <w:rsid w:val="4E5721CF"/>
    <w:rsid w:val="4E5B34FC"/>
    <w:rsid w:val="4E5C7531"/>
    <w:rsid w:val="4E5E5A9B"/>
    <w:rsid w:val="4E5F3559"/>
    <w:rsid w:val="4E63316B"/>
    <w:rsid w:val="4E726A98"/>
    <w:rsid w:val="4E730148"/>
    <w:rsid w:val="4E8E2A2B"/>
    <w:rsid w:val="4E8F31A6"/>
    <w:rsid w:val="4E8F706D"/>
    <w:rsid w:val="4E9664FC"/>
    <w:rsid w:val="4E9F06A8"/>
    <w:rsid w:val="4EA330F5"/>
    <w:rsid w:val="4EA60C58"/>
    <w:rsid w:val="4EAD5D22"/>
    <w:rsid w:val="4EB726FD"/>
    <w:rsid w:val="4EBB3F9B"/>
    <w:rsid w:val="4EC00FAD"/>
    <w:rsid w:val="4EC54E1A"/>
    <w:rsid w:val="4EC56BC8"/>
    <w:rsid w:val="4EC64312"/>
    <w:rsid w:val="4ED84B4D"/>
    <w:rsid w:val="4EDD241D"/>
    <w:rsid w:val="4EE14D9C"/>
    <w:rsid w:val="4EE554BC"/>
    <w:rsid w:val="4EEC23A6"/>
    <w:rsid w:val="4EEF1E97"/>
    <w:rsid w:val="4EFB1481"/>
    <w:rsid w:val="4EFC6035"/>
    <w:rsid w:val="4F0001D1"/>
    <w:rsid w:val="4F0439A2"/>
    <w:rsid w:val="4F0639B2"/>
    <w:rsid w:val="4F0A4E28"/>
    <w:rsid w:val="4F0C2A48"/>
    <w:rsid w:val="4F12268E"/>
    <w:rsid w:val="4F133DD7"/>
    <w:rsid w:val="4F135B85"/>
    <w:rsid w:val="4F157929"/>
    <w:rsid w:val="4F2002A2"/>
    <w:rsid w:val="4F2064F4"/>
    <w:rsid w:val="4F223D61"/>
    <w:rsid w:val="4F365D17"/>
    <w:rsid w:val="4F381A8F"/>
    <w:rsid w:val="4F400944"/>
    <w:rsid w:val="4F4B79F8"/>
    <w:rsid w:val="4F50502B"/>
    <w:rsid w:val="4F534765"/>
    <w:rsid w:val="4F585C8E"/>
    <w:rsid w:val="4F5D6EEF"/>
    <w:rsid w:val="4F6C34E7"/>
    <w:rsid w:val="4F781E8C"/>
    <w:rsid w:val="4F7852AD"/>
    <w:rsid w:val="4F8627FB"/>
    <w:rsid w:val="4F8C67CB"/>
    <w:rsid w:val="4F8F038B"/>
    <w:rsid w:val="4F952A3E"/>
    <w:rsid w:val="4F9843DC"/>
    <w:rsid w:val="4F9B0FDE"/>
    <w:rsid w:val="4F9B375B"/>
    <w:rsid w:val="4F9F1B0F"/>
    <w:rsid w:val="4FA42F11"/>
    <w:rsid w:val="4FA46C65"/>
    <w:rsid w:val="4FA53567"/>
    <w:rsid w:val="4FAC11AE"/>
    <w:rsid w:val="4FBA06F6"/>
    <w:rsid w:val="4FC62A8C"/>
    <w:rsid w:val="4FCB2904"/>
    <w:rsid w:val="4FD105F2"/>
    <w:rsid w:val="4FD35314"/>
    <w:rsid w:val="4FD572DE"/>
    <w:rsid w:val="4FDC68BF"/>
    <w:rsid w:val="4FE20F0D"/>
    <w:rsid w:val="4FE51552"/>
    <w:rsid w:val="4FE614EB"/>
    <w:rsid w:val="4FE829F3"/>
    <w:rsid w:val="4FEF5079"/>
    <w:rsid w:val="4FF82FCD"/>
    <w:rsid w:val="4FF84D7B"/>
    <w:rsid w:val="4FFC0517"/>
    <w:rsid w:val="4FFD05E3"/>
    <w:rsid w:val="500876B4"/>
    <w:rsid w:val="500E459E"/>
    <w:rsid w:val="501819C0"/>
    <w:rsid w:val="50196558"/>
    <w:rsid w:val="501A5D70"/>
    <w:rsid w:val="501A73E7"/>
    <w:rsid w:val="501E0C85"/>
    <w:rsid w:val="502142D2"/>
    <w:rsid w:val="5023004A"/>
    <w:rsid w:val="502853BB"/>
    <w:rsid w:val="502C4817"/>
    <w:rsid w:val="5032028D"/>
    <w:rsid w:val="50395ABF"/>
    <w:rsid w:val="50451771"/>
    <w:rsid w:val="504C0EAE"/>
    <w:rsid w:val="50504C4B"/>
    <w:rsid w:val="50505EE5"/>
    <w:rsid w:val="5055041F"/>
    <w:rsid w:val="50593A6B"/>
    <w:rsid w:val="505D206E"/>
    <w:rsid w:val="505D3942"/>
    <w:rsid w:val="505E72D4"/>
    <w:rsid w:val="5066262C"/>
    <w:rsid w:val="506D7517"/>
    <w:rsid w:val="50720FD1"/>
    <w:rsid w:val="5072616E"/>
    <w:rsid w:val="50732884"/>
    <w:rsid w:val="50733AC5"/>
    <w:rsid w:val="507E1724"/>
    <w:rsid w:val="507F724A"/>
    <w:rsid w:val="5086682B"/>
    <w:rsid w:val="508825A3"/>
    <w:rsid w:val="508B5BEF"/>
    <w:rsid w:val="508D557C"/>
    <w:rsid w:val="508E21FC"/>
    <w:rsid w:val="508E27D5"/>
    <w:rsid w:val="50923421"/>
    <w:rsid w:val="509B4084"/>
    <w:rsid w:val="509C6E7C"/>
    <w:rsid w:val="50A07547"/>
    <w:rsid w:val="50A13664"/>
    <w:rsid w:val="50A76ECD"/>
    <w:rsid w:val="50A867A1"/>
    <w:rsid w:val="50B43398"/>
    <w:rsid w:val="50B67110"/>
    <w:rsid w:val="50C0576D"/>
    <w:rsid w:val="50C329EA"/>
    <w:rsid w:val="50C50019"/>
    <w:rsid w:val="50C51101"/>
    <w:rsid w:val="50C93A2E"/>
    <w:rsid w:val="50CE26AB"/>
    <w:rsid w:val="50D41344"/>
    <w:rsid w:val="50D61560"/>
    <w:rsid w:val="50D6408D"/>
    <w:rsid w:val="50D642AA"/>
    <w:rsid w:val="50D7574D"/>
    <w:rsid w:val="50D852D8"/>
    <w:rsid w:val="50DF3FA4"/>
    <w:rsid w:val="50E6650D"/>
    <w:rsid w:val="50EE1EB6"/>
    <w:rsid w:val="50F10148"/>
    <w:rsid w:val="50F40BD4"/>
    <w:rsid w:val="50F45D12"/>
    <w:rsid w:val="50F814D6"/>
    <w:rsid w:val="50F86C49"/>
    <w:rsid w:val="50FB1236"/>
    <w:rsid w:val="50FB4B23"/>
    <w:rsid w:val="50FD6AED"/>
    <w:rsid w:val="50FE2865"/>
    <w:rsid w:val="5104544F"/>
    <w:rsid w:val="51053BF3"/>
    <w:rsid w:val="510E0CFA"/>
    <w:rsid w:val="510F5F8C"/>
    <w:rsid w:val="5115006A"/>
    <w:rsid w:val="511F1AFD"/>
    <w:rsid w:val="51267224"/>
    <w:rsid w:val="51281690"/>
    <w:rsid w:val="512F6EC2"/>
    <w:rsid w:val="51310C8D"/>
    <w:rsid w:val="5133250E"/>
    <w:rsid w:val="51347BD0"/>
    <w:rsid w:val="513719A2"/>
    <w:rsid w:val="51452242"/>
    <w:rsid w:val="51454E23"/>
    <w:rsid w:val="515661FD"/>
    <w:rsid w:val="5162104E"/>
    <w:rsid w:val="516528E4"/>
    <w:rsid w:val="516C1CB5"/>
    <w:rsid w:val="516F72BF"/>
    <w:rsid w:val="51752B27"/>
    <w:rsid w:val="517B7B75"/>
    <w:rsid w:val="51870AAC"/>
    <w:rsid w:val="518A708A"/>
    <w:rsid w:val="519760EE"/>
    <w:rsid w:val="51986815"/>
    <w:rsid w:val="519A0C31"/>
    <w:rsid w:val="519F4057"/>
    <w:rsid w:val="51A11136"/>
    <w:rsid w:val="51A451BA"/>
    <w:rsid w:val="51A60F32"/>
    <w:rsid w:val="51A82CE3"/>
    <w:rsid w:val="51AC406F"/>
    <w:rsid w:val="51B17B1B"/>
    <w:rsid w:val="51B30B0C"/>
    <w:rsid w:val="51B80C66"/>
    <w:rsid w:val="51BC69A8"/>
    <w:rsid w:val="51C24979"/>
    <w:rsid w:val="51CE5E98"/>
    <w:rsid w:val="51D35A9F"/>
    <w:rsid w:val="51D838B4"/>
    <w:rsid w:val="51E47CAD"/>
    <w:rsid w:val="51E82739"/>
    <w:rsid w:val="51EF0D82"/>
    <w:rsid w:val="51F13F77"/>
    <w:rsid w:val="51F3261D"/>
    <w:rsid w:val="51FF3797"/>
    <w:rsid w:val="520A0E78"/>
    <w:rsid w:val="520C1195"/>
    <w:rsid w:val="521045FE"/>
    <w:rsid w:val="521249C0"/>
    <w:rsid w:val="52171E30"/>
    <w:rsid w:val="521C465F"/>
    <w:rsid w:val="5222098A"/>
    <w:rsid w:val="522B0BF1"/>
    <w:rsid w:val="522E0F28"/>
    <w:rsid w:val="5237602E"/>
    <w:rsid w:val="523D7A9D"/>
    <w:rsid w:val="5248023B"/>
    <w:rsid w:val="526144F7"/>
    <w:rsid w:val="52635075"/>
    <w:rsid w:val="5268268C"/>
    <w:rsid w:val="526861E8"/>
    <w:rsid w:val="526C4D99"/>
    <w:rsid w:val="52733BCA"/>
    <w:rsid w:val="527821A3"/>
    <w:rsid w:val="5289407A"/>
    <w:rsid w:val="528A3034"/>
    <w:rsid w:val="528C45CC"/>
    <w:rsid w:val="528F7C18"/>
    <w:rsid w:val="52A3456C"/>
    <w:rsid w:val="52AD009F"/>
    <w:rsid w:val="52AF02BB"/>
    <w:rsid w:val="52B14B11"/>
    <w:rsid w:val="52B35CF8"/>
    <w:rsid w:val="52B3751A"/>
    <w:rsid w:val="52B72CCB"/>
    <w:rsid w:val="52C11D9C"/>
    <w:rsid w:val="52CD24EF"/>
    <w:rsid w:val="52D41ACF"/>
    <w:rsid w:val="52E224E5"/>
    <w:rsid w:val="52E62FC8"/>
    <w:rsid w:val="52ED0DE3"/>
    <w:rsid w:val="52F263F9"/>
    <w:rsid w:val="52F42171"/>
    <w:rsid w:val="530F4280"/>
    <w:rsid w:val="53177C0E"/>
    <w:rsid w:val="53191B55"/>
    <w:rsid w:val="531B7F02"/>
    <w:rsid w:val="532A5B93"/>
    <w:rsid w:val="533E519B"/>
    <w:rsid w:val="5352058D"/>
    <w:rsid w:val="535B23B4"/>
    <w:rsid w:val="53620E89"/>
    <w:rsid w:val="536A54A7"/>
    <w:rsid w:val="536E3CD2"/>
    <w:rsid w:val="536E5A80"/>
    <w:rsid w:val="536F5F7E"/>
    <w:rsid w:val="53735C7F"/>
    <w:rsid w:val="53746E0E"/>
    <w:rsid w:val="537D2167"/>
    <w:rsid w:val="53874D93"/>
    <w:rsid w:val="538A03E0"/>
    <w:rsid w:val="538A1445"/>
    <w:rsid w:val="538A5CD0"/>
    <w:rsid w:val="538C5F06"/>
    <w:rsid w:val="53924CA9"/>
    <w:rsid w:val="53937294"/>
    <w:rsid w:val="53981900"/>
    <w:rsid w:val="53A039CC"/>
    <w:rsid w:val="53A1505A"/>
    <w:rsid w:val="53A56C24"/>
    <w:rsid w:val="53A72F35"/>
    <w:rsid w:val="53A852FB"/>
    <w:rsid w:val="53AF7E46"/>
    <w:rsid w:val="53B12EB6"/>
    <w:rsid w:val="53B536AF"/>
    <w:rsid w:val="53B84F4D"/>
    <w:rsid w:val="53C03E02"/>
    <w:rsid w:val="53C47D96"/>
    <w:rsid w:val="53C5766A"/>
    <w:rsid w:val="53C96418"/>
    <w:rsid w:val="53CA4C80"/>
    <w:rsid w:val="53CF7193"/>
    <w:rsid w:val="53D004E8"/>
    <w:rsid w:val="53E2021C"/>
    <w:rsid w:val="53E31309"/>
    <w:rsid w:val="53E34E9A"/>
    <w:rsid w:val="53E52EA6"/>
    <w:rsid w:val="53EC109A"/>
    <w:rsid w:val="53F65A75"/>
    <w:rsid w:val="54063E08"/>
    <w:rsid w:val="54085ED4"/>
    <w:rsid w:val="541335BF"/>
    <w:rsid w:val="541A3860"/>
    <w:rsid w:val="541E0598"/>
    <w:rsid w:val="541F1074"/>
    <w:rsid w:val="541F321E"/>
    <w:rsid w:val="54240834"/>
    <w:rsid w:val="54241494"/>
    <w:rsid w:val="54245510"/>
    <w:rsid w:val="5426635A"/>
    <w:rsid w:val="542801FF"/>
    <w:rsid w:val="543437E8"/>
    <w:rsid w:val="54353ABD"/>
    <w:rsid w:val="543B24DA"/>
    <w:rsid w:val="543C3810"/>
    <w:rsid w:val="543F741C"/>
    <w:rsid w:val="54420CBA"/>
    <w:rsid w:val="54436F0C"/>
    <w:rsid w:val="54473780"/>
    <w:rsid w:val="544762D1"/>
    <w:rsid w:val="54535594"/>
    <w:rsid w:val="5457189A"/>
    <w:rsid w:val="5470715A"/>
    <w:rsid w:val="547D75C0"/>
    <w:rsid w:val="548E3F00"/>
    <w:rsid w:val="548E7815"/>
    <w:rsid w:val="5494449B"/>
    <w:rsid w:val="5495528E"/>
    <w:rsid w:val="54992125"/>
    <w:rsid w:val="5499345F"/>
    <w:rsid w:val="549B52D9"/>
    <w:rsid w:val="54A331B9"/>
    <w:rsid w:val="54A92AE8"/>
    <w:rsid w:val="54AC06E3"/>
    <w:rsid w:val="54AF6350"/>
    <w:rsid w:val="54B51A49"/>
    <w:rsid w:val="54B576DE"/>
    <w:rsid w:val="54BA2D72"/>
    <w:rsid w:val="54BA4CF5"/>
    <w:rsid w:val="54BF230B"/>
    <w:rsid w:val="54C87412"/>
    <w:rsid w:val="54CA318A"/>
    <w:rsid w:val="54CC2418"/>
    <w:rsid w:val="54D96D77"/>
    <w:rsid w:val="54E3249D"/>
    <w:rsid w:val="54E3424B"/>
    <w:rsid w:val="54E57FC4"/>
    <w:rsid w:val="54F55D2D"/>
    <w:rsid w:val="54F73313"/>
    <w:rsid w:val="54F80955"/>
    <w:rsid w:val="54F93A6F"/>
    <w:rsid w:val="550003BB"/>
    <w:rsid w:val="550C528D"/>
    <w:rsid w:val="55214D74"/>
    <w:rsid w:val="553A23D4"/>
    <w:rsid w:val="554A7FBB"/>
    <w:rsid w:val="554C4CEA"/>
    <w:rsid w:val="555170A7"/>
    <w:rsid w:val="55531D9F"/>
    <w:rsid w:val="555962BC"/>
    <w:rsid w:val="556F3D31"/>
    <w:rsid w:val="55750332"/>
    <w:rsid w:val="55782BE6"/>
    <w:rsid w:val="557E3F74"/>
    <w:rsid w:val="5587536D"/>
    <w:rsid w:val="558F536E"/>
    <w:rsid w:val="55936B63"/>
    <w:rsid w:val="559B174B"/>
    <w:rsid w:val="559F4616"/>
    <w:rsid w:val="55A0213D"/>
    <w:rsid w:val="55A75279"/>
    <w:rsid w:val="55A94C13"/>
    <w:rsid w:val="55AA2FBB"/>
    <w:rsid w:val="55C376B5"/>
    <w:rsid w:val="55C45E2B"/>
    <w:rsid w:val="55CA3427"/>
    <w:rsid w:val="55CC6F60"/>
    <w:rsid w:val="55CD091A"/>
    <w:rsid w:val="55CE0CF4"/>
    <w:rsid w:val="55CE6CAA"/>
    <w:rsid w:val="55D43B94"/>
    <w:rsid w:val="55D50038"/>
    <w:rsid w:val="55DD36BA"/>
    <w:rsid w:val="55EE10FA"/>
    <w:rsid w:val="56020028"/>
    <w:rsid w:val="560B27D6"/>
    <w:rsid w:val="560E354A"/>
    <w:rsid w:val="5612303A"/>
    <w:rsid w:val="561C2651"/>
    <w:rsid w:val="561F43C7"/>
    <w:rsid w:val="561F5331"/>
    <w:rsid w:val="562468CA"/>
    <w:rsid w:val="562D6CED"/>
    <w:rsid w:val="562E7748"/>
    <w:rsid w:val="563A2544"/>
    <w:rsid w:val="563B4050"/>
    <w:rsid w:val="56494337"/>
    <w:rsid w:val="564E1B99"/>
    <w:rsid w:val="56505911"/>
    <w:rsid w:val="56510DF0"/>
    <w:rsid w:val="565E03C9"/>
    <w:rsid w:val="56630E61"/>
    <w:rsid w:val="566774FD"/>
    <w:rsid w:val="566A1EFA"/>
    <w:rsid w:val="567333AD"/>
    <w:rsid w:val="56753E2C"/>
    <w:rsid w:val="567A1253"/>
    <w:rsid w:val="567D0F92"/>
    <w:rsid w:val="568D26C1"/>
    <w:rsid w:val="569F3DD3"/>
    <w:rsid w:val="56A25A40"/>
    <w:rsid w:val="56AF13F7"/>
    <w:rsid w:val="56B22A9C"/>
    <w:rsid w:val="56B51C18"/>
    <w:rsid w:val="56B95A31"/>
    <w:rsid w:val="56BA05D6"/>
    <w:rsid w:val="56BC2AB7"/>
    <w:rsid w:val="56BC2FA6"/>
    <w:rsid w:val="56C5219E"/>
    <w:rsid w:val="56CB31E9"/>
    <w:rsid w:val="56DC0F52"/>
    <w:rsid w:val="56E16569"/>
    <w:rsid w:val="56E747FB"/>
    <w:rsid w:val="56EF716B"/>
    <w:rsid w:val="56F0350D"/>
    <w:rsid w:val="56F72230"/>
    <w:rsid w:val="56FC4EE9"/>
    <w:rsid w:val="57014E5D"/>
    <w:rsid w:val="570425DE"/>
    <w:rsid w:val="570A3D11"/>
    <w:rsid w:val="570B7A8A"/>
    <w:rsid w:val="57106E4E"/>
    <w:rsid w:val="57144B90"/>
    <w:rsid w:val="571543D9"/>
    <w:rsid w:val="57184900"/>
    <w:rsid w:val="57193F55"/>
    <w:rsid w:val="57234DD3"/>
    <w:rsid w:val="57323268"/>
    <w:rsid w:val="57415259"/>
    <w:rsid w:val="57431CF6"/>
    <w:rsid w:val="57465412"/>
    <w:rsid w:val="574E5C21"/>
    <w:rsid w:val="575724C8"/>
    <w:rsid w:val="5758598D"/>
    <w:rsid w:val="57623B4D"/>
    <w:rsid w:val="576C0528"/>
    <w:rsid w:val="5770468E"/>
    <w:rsid w:val="57854C6F"/>
    <w:rsid w:val="57885CB1"/>
    <w:rsid w:val="57923D07"/>
    <w:rsid w:val="57947A7F"/>
    <w:rsid w:val="579932E7"/>
    <w:rsid w:val="57A46195"/>
    <w:rsid w:val="57A71560"/>
    <w:rsid w:val="57AA1051"/>
    <w:rsid w:val="57AF2B0B"/>
    <w:rsid w:val="57B63E99"/>
    <w:rsid w:val="57B72A76"/>
    <w:rsid w:val="57BB1651"/>
    <w:rsid w:val="57BB500C"/>
    <w:rsid w:val="57C3426C"/>
    <w:rsid w:val="57CA7C01"/>
    <w:rsid w:val="57CD4D3F"/>
    <w:rsid w:val="57CE1F93"/>
    <w:rsid w:val="57CE44B8"/>
    <w:rsid w:val="57DA7B88"/>
    <w:rsid w:val="57E17F0A"/>
    <w:rsid w:val="57E91B79"/>
    <w:rsid w:val="57F10A2D"/>
    <w:rsid w:val="57F56770"/>
    <w:rsid w:val="57FD5624"/>
    <w:rsid w:val="57FF6859"/>
    <w:rsid w:val="580158B9"/>
    <w:rsid w:val="58030761"/>
    <w:rsid w:val="5806518D"/>
    <w:rsid w:val="581806B0"/>
    <w:rsid w:val="581A7F84"/>
    <w:rsid w:val="581B5AAA"/>
    <w:rsid w:val="581C61DE"/>
    <w:rsid w:val="581F559B"/>
    <w:rsid w:val="58226E39"/>
    <w:rsid w:val="582708F3"/>
    <w:rsid w:val="58331046"/>
    <w:rsid w:val="58415EB1"/>
    <w:rsid w:val="584414A5"/>
    <w:rsid w:val="58490869"/>
    <w:rsid w:val="585A4825"/>
    <w:rsid w:val="586210F2"/>
    <w:rsid w:val="586F1371"/>
    <w:rsid w:val="58727DC0"/>
    <w:rsid w:val="5881442B"/>
    <w:rsid w:val="588743D1"/>
    <w:rsid w:val="5887701A"/>
    <w:rsid w:val="588E68B0"/>
    <w:rsid w:val="58951D01"/>
    <w:rsid w:val="589A7317"/>
    <w:rsid w:val="589D7E56"/>
    <w:rsid w:val="58A106A5"/>
    <w:rsid w:val="58A65CBC"/>
    <w:rsid w:val="58A84BAB"/>
    <w:rsid w:val="58AB6E2E"/>
    <w:rsid w:val="58AD704A"/>
    <w:rsid w:val="58AF3E33"/>
    <w:rsid w:val="58B57CAD"/>
    <w:rsid w:val="58C77603"/>
    <w:rsid w:val="58D77C23"/>
    <w:rsid w:val="58DB5F3F"/>
    <w:rsid w:val="58E40592"/>
    <w:rsid w:val="58E86407"/>
    <w:rsid w:val="58E95BA9"/>
    <w:rsid w:val="58ED24C0"/>
    <w:rsid w:val="58F6578D"/>
    <w:rsid w:val="58F76517"/>
    <w:rsid w:val="58FB519C"/>
    <w:rsid w:val="58FD3402"/>
    <w:rsid w:val="590C5A15"/>
    <w:rsid w:val="590F13E3"/>
    <w:rsid w:val="591E3AA4"/>
    <w:rsid w:val="591E47C2"/>
    <w:rsid w:val="592A069B"/>
    <w:rsid w:val="592A4DCC"/>
    <w:rsid w:val="592F7A5F"/>
    <w:rsid w:val="593908DE"/>
    <w:rsid w:val="593A6404"/>
    <w:rsid w:val="593B28A8"/>
    <w:rsid w:val="59462FFB"/>
    <w:rsid w:val="594822FE"/>
    <w:rsid w:val="594F1EAF"/>
    <w:rsid w:val="595C45CC"/>
    <w:rsid w:val="59605E6B"/>
    <w:rsid w:val="59644B84"/>
    <w:rsid w:val="5964605D"/>
    <w:rsid w:val="59653481"/>
    <w:rsid w:val="59687E6D"/>
    <w:rsid w:val="596D4A2C"/>
    <w:rsid w:val="596E0020"/>
    <w:rsid w:val="597146EF"/>
    <w:rsid w:val="59745DBA"/>
    <w:rsid w:val="597816FE"/>
    <w:rsid w:val="597D46D3"/>
    <w:rsid w:val="5980475F"/>
    <w:rsid w:val="59914276"/>
    <w:rsid w:val="59973856"/>
    <w:rsid w:val="599C2C1B"/>
    <w:rsid w:val="59A0095D"/>
    <w:rsid w:val="59AF294E"/>
    <w:rsid w:val="59B166C6"/>
    <w:rsid w:val="59B2243E"/>
    <w:rsid w:val="59BB12F3"/>
    <w:rsid w:val="59C0439F"/>
    <w:rsid w:val="59C04B5B"/>
    <w:rsid w:val="59C744F3"/>
    <w:rsid w:val="59CC52AE"/>
    <w:rsid w:val="59CE5FE7"/>
    <w:rsid w:val="59CF4D9E"/>
    <w:rsid w:val="59DC369A"/>
    <w:rsid w:val="59EB721C"/>
    <w:rsid w:val="59EE6BEB"/>
    <w:rsid w:val="59EF71EF"/>
    <w:rsid w:val="59F667CF"/>
    <w:rsid w:val="59F91E1B"/>
    <w:rsid w:val="5A00764E"/>
    <w:rsid w:val="5A0A4028"/>
    <w:rsid w:val="5A0C70E4"/>
    <w:rsid w:val="5A0D3318"/>
    <w:rsid w:val="5A153CB5"/>
    <w:rsid w:val="5A16167F"/>
    <w:rsid w:val="5A1824A5"/>
    <w:rsid w:val="5A2055FA"/>
    <w:rsid w:val="5A2362B2"/>
    <w:rsid w:val="5A2918DF"/>
    <w:rsid w:val="5A2C0443"/>
    <w:rsid w:val="5A3C31EA"/>
    <w:rsid w:val="5A407A4A"/>
    <w:rsid w:val="5A4412E8"/>
    <w:rsid w:val="5A487063"/>
    <w:rsid w:val="5A4C578F"/>
    <w:rsid w:val="5A5B4884"/>
    <w:rsid w:val="5A5D3366"/>
    <w:rsid w:val="5A61633E"/>
    <w:rsid w:val="5A6903F1"/>
    <w:rsid w:val="5A6F60AF"/>
    <w:rsid w:val="5A726AEF"/>
    <w:rsid w:val="5A783518"/>
    <w:rsid w:val="5A785436"/>
    <w:rsid w:val="5A9009D2"/>
    <w:rsid w:val="5A9014AA"/>
    <w:rsid w:val="5A902780"/>
    <w:rsid w:val="5A90452E"/>
    <w:rsid w:val="5A9164F8"/>
    <w:rsid w:val="5A9C7487"/>
    <w:rsid w:val="5A9D30EE"/>
    <w:rsid w:val="5A9F29C3"/>
    <w:rsid w:val="5A9F5E78"/>
    <w:rsid w:val="5AAC7EA8"/>
    <w:rsid w:val="5AB176D3"/>
    <w:rsid w:val="5AB3021C"/>
    <w:rsid w:val="5AB638E3"/>
    <w:rsid w:val="5ABA77FD"/>
    <w:rsid w:val="5ABE2233"/>
    <w:rsid w:val="5AC10B8B"/>
    <w:rsid w:val="5AC24903"/>
    <w:rsid w:val="5AC734F6"/>
    <w:rsid w:val="5AD308BE"/>
    <w:rsid w:val="5ADC0993"/>
    <w:rsid w:val="5AE02F22"/>
    <w:rsid w:val="5AE14D89"/>
    <w:rsid w:val="5AE42ACB"/>
    <w:rsid w:val="5AF51CF5"/>
    <w:rsid w:val="5AF56A87"/>
    <w:rsid w:val="5AFB5709"/>
    <w:rsid w:val="5AFD2B2E"/>
    <w:rsid w:val="5AFF7905"/>
    <w:rsid w:val="5B01367D"/>
    <w:rsid w:val="5B174C4F"/>
    <w:rsid w:val="5B1A029B"/>
    <w:rsid w:val="5B1D1191"/>
    <w:rsid w:val="5B1E7D8B"/>
    <w:rsid w:val="5B286E5C"/>
    <w:rsid w:val="5B2B24A8"/>
    <w:rsid w:val="5B2C005D"/>
    <w:rsid w:val="5B3D4A0E"/>
    <w:rsid w:val="5B510C47"/>
    <w:rsid w:val="5B57329D"/>
    <w:rsid w:val="5B5E287E"/>
    <w:rsid w:val="5B647768"/>
    <w:rsid w:val="5B6854AA"/>
    <w:rsid w:val="5B69690F"/>
    <w:rsid w:val="5B6A7475"/>
    <w:rsid w:val="5B6B06F2"/>
    <w:rsid w:val="5B6B21F0"/>
    <w:rsid w:val="5B716904"/>
    <w:rsid w:val="5B721680"/>
    <w:rsid w:val="5B726329"/>
    <w:rsid w:val="5B735827"/>
    <w:rsid w:val="5B78391F"/>
    <w:rsid w:val="5B834092"/>
    <w:rsid w:val="5B921C6F"/>
    <w:rsid w:val="5B977B3E"/>
    <w:rsid w:val="5B9D4D20"/>
    <w:rsid w:val="5B9E711E"/>
    <w:rsid w:val="5BA8072A"/>
    <w:rsid w:val="5BB10BFF"/>
    <w:rsid w:val="5BB14D3E"/>
    <w:rsid w:val="5BB87138"/>
    <w:rsid w:val="5BC00E43"/>
    <w:rsid w:val="5BC326E1"/>
    <w:rsid w:val="5BC6762F"/>
    <w:rsid w:val="5BCA0480"/>
    <w:rsid w:val="5BD20B76"/>
    <w:rsid w:val="5BD40D92"/>
    <w:rsid w:val="5BD90156"/>
    <w:rsid w:val="5BDB760C"/>
    <w:rsid w:val="5BDE751B"/>
    <w:rsid w:val="5BDF5D95"/>
    <w:rsid w:val="5BE37977"/>
    <w:rsid w:val="5BE56AFB"/>
    <w:rsid w:val="5BEC1C38"/>
    <w:rsid w:val="5BEC60DC"/>
    <w:rsid w:val="5BF136F2"/>
    <w:rsid w:val="5BFE7528"/>
    <w:rsid w:val="5C02145B"/>
    <w:rsid w:val="5C1B251D"/>
    <w:rsid w:val="5C1E53D2"/>
    <w:rsid w:val="5C205134"/>
    <w:rsid w:val="5C227ED5"/>
    <w:rsid w:val="5C231806"/>
    <w:rsid w:val="5C2515ED"/>
    <w:rsid w:val="5C25339C"/>
    <w:rsid w:val="5C34709A"/>
    <w:rsid w:val="5C347FAF"/>
    <w:rsid w:val="5C390BF5"/>
    <w:rsid w:val="5C3D2493"/>
    <w:rsid w:val="5C41597A"/>
    <w:rsid w:val="5C480E38"/>
    <w:rsid w:val="5C4B1054"/>
    <w:rsid w:val="5C4E644E"/>
    <w:rsid w:val="5C553C81"/>
    <w:rsid w:val="5C555466"/>
    <w:rsid w:val="5C581F2A"/>
    <w:rsid w:val="5C5872CD"/>
    <w:rsid w:val="5C614DFE"/>
    <w:rsid w:val="5C720816"/>
    <w:rsid w:val="5C78796F"/>
    <w:rsid w:val="5C7B2FBB"/>
    <w:rsid w:val="5C961BA3"/>
    <w:rsid w:val="5C9D2F32"/>
    <w:rsid w:val="5C9D73D6"/>
    <w:rsid w:val="5CA800DD"/>
    <w:rsid w:val="5CA943D8"/>
    <w:rsid w:val="5CAE3391"/>
    <w:rsid w:val="5CB41780"/>
    <w:rsid w:val="5CBA2D62"/>
    <w:rsid w:val="5CBD1826"/>
    <w:rsid w:val="5CC22998"/>
    <w:rsid w:val="5CC91F79"/>
    <w:rsid w:val="5CCB7A9F"/>
    <w:rsid w:val="5CD03307"/>
    <w:rsid w:val="5CD77A21"/>
    <w:rsid w:val="5CDA3A05"/>
    <w:rsid w:val="5CDC2775"/>
    <w:rsid w:val="5CDC33AD"/>
    <w:rsid w:val="5CDD3C76"/>
    <w:rsid w:val="5CE40B61"/>
    <w:rsid w:val="5CEB6393"/>
    <w:rsid w:val="5CEC3CAD"/>
    <w:rsid w:val="5CF86BF7"/>
    <w:rsid w:val="5CF978A3"/>
    <w:rsid w:val="5CFA4828"/>
    <w:rsid w:val="5CFE60C6"/>
    <w:rsid w:val="5CFF5122"/>
    <w:rsid w:val="5D000084"/>
    <w:rsid w:val="5D1D4073"/>
    <w:rsid w:val="5D1E0517"/>
    <w:rsid w:val="5D2418A5"/>
    <w:rsid w:val="5D245401"/>
    <w:rsid w:val="5D296EBB"/>
    <w:rsid w:val="5D304854"/>
    <w:rsid w:val="5D325D70"/>
    <w:rsid w:val="5D363438"/>
    <w:rsid w:val="5D363F93"/>
    <w:rsid w:val="5D384686"/>
    <w:rsid w:val="5D46181B"/>
    <w:rsid w:val="5D475B2E"/>
    <w:rsid w:val="5D527792"/>
    <w:rsid w:val="5D5F0A58"/>
    <w:rsid w:val="5D6821FC"/>
    <w:rsid w:val="5D6E329D"/>
    <w:rsid w:val="5D775872"/>
    <w:rsid w:val="5D7C348F"/>
    <w:rsid w:val="5D7D7A47"/>
    <w:rsid w:val="5D7F0C2C"/>
    <w:rsid w:val="5D88539A"/>
    <w:rsid w:val="5D891708"/>
    <w:rsid w:val="5D8A795A"/>
    <w:rsid w:val="5D8A7FBC"/>
    <w:rsid w:val="5D8B1942"/>
    <w:rsid w:val="5D921008"/>
    <w:rsid w:val="5D964551"/>
    <w:rsid w:val="5D9F2CDA"/>
    <w:rsid w:val="5DA324A6"/>
    <w:rsid w:val="5DAC57B4"/>
    <w:rsid w:val="5DAE3180"/>
    <w:rsid w:val="5DB21F90"/>
    <w:rsid w:val="5DB378D1"/>
    <w:rsid w:val="5DB42C29"/>
    <w:rsid w:val="5DB76838"/>
    <w:rsid w:val="5DB93D9B"/>
    <w:rsid w:val="5DC10EA2"/>
    <w:rsid w:val="5DC86499"/>
    <w:rsid w:val="5DCA244C"/>
    <w:rsid w:val="5DCB1D21"/>
    <w:rsid w:val="5DD669D2"/>
    <w:rsid w:val="5DD961EC"/>
    <w:rsid w:val="5DE30E18"/>
    <w:rsid w:val="5DE364EB"/>
    <w:rsid w:val="5DE519D3"/>
    <w:rsid w:val="5DF553E0"/>
    <w:rsid w:val="5DF666E3"/>
    <w:rsid w:val="5DF9688E"/>
    <w:rsid w:val="5DFD3E0D"/>
    <w:rsid w:val="5E03770C"/>
    <w:rsid w:val="5E0C02C8"/>
    <w:rsid w:val="5E1450E3"/>
    <w:rsid w:val="5E167440"/>
    <w:rsid w:val="5E2467F1"/>
    <w:rsid w:val="5E2D757E"/>
    <w:rsid w:val="5E331DA0"/>
    <w:rsid w:val="5E361890"/>
    <w:rsid w:val="5E437B09"/>
    <w:rsid w:val="5E475F20"/>
    <w:rsid w:val="5E4F4700"/>
    <w:rsid w:val="5E6463FD"/>
    <w:rsid w:val="5E6721C8"/>
    <w:rsid w:val="5E6920B2"/>
    <w:rsid w:val="5E6C20CB"/>
    <w:rsid w:val="5E8239E4"/>
    <w:rsid w:val="5E8545C5"/>
    <w:rsid w:val="5E8A35D2"/>
    <w:rsid w:val="5E8B5FDB"/>
    <w:rsid w:val="5E8E347A"/>
    <w:rsid w:val="5E9063D5"/>
    <w:rsid w:val="5E977D01"/>
    <w:rsid w:val="5EA63292"/>
    <w:rsid w:val="5EAB02E4"/>
    <w:rsid w:val="5EAF3C05"/>
    <w:rsid w:val="5EAF6EFE"/>
    <w:rsid w:val="5EB804F7"/>
    <w:rsid w:val="5EB84053"/>
    <w:rsid w:val="5EBD382E"/>
    <w:rsid w:val="5EC32705"/>
    <w:rsid w:val="5ECB647C"/>
    <w:rsid w:val="5ECE010D"/>
    <w:rsid w:val="5EE65064"/>
    <w:rsid w:val="5EF05EE3"/>
    <w:rsid w:val="5EF3152F"/>
    <w:rsid w:val="5EFA1672"/>
    <w:rsid w:val="5EFD0600"/>
    <w:rsid w:val="5F0279C4"/>
    <w:rsid w:val="5F0576A5"/>
    <w:rsid w:val="5F100333"/>
    <w:rsid w:val="5F1119B5"/>
    <w:rsid w:val="5F117C07"/>
    <w:rsid w:val="5F192375"/>
    <w:rsid w:val="5F1A2B43"/>
    <w:rsid w:val="5F1D035A"/>
    <w:rsid w:val="5F1D2BA2"/>
    <w:rsid w:val="5F20765C"/>
    <w:rsid w:val="5F337B7D"/>
    <w:rsid w:val="5F3457F2"/>
    <w:rsid w:val="5F3758C0"/>
    <w:rsid w:val="5F3A1477"/>
    <w:rsid w:val="5F404FA8"/>
    <w:rsid w:val="5F4C59E7"/>
    <w:rsid w:val="5F4D2839"/>
    <w:rsid w:val="5F4D50E3"/>
    <w:rsid w:val="5F571ABE"/>
    <w:rsid w:val="5F5A335C"/>
    <w:rsid w:val="5F681F1D"/>
    <w:rsid w:val="5F6A2F75"/>
    <w:rsid w:val="5F6E0BB6"/>
    <w:rsid w:val="5F702B80"/>
    <w:rsid w:val="5F750196"/>
    <w:rsid w:val="5F7D4849"/>
    <w:rsid w:val="5F89047C"/>
    <w:rsid w:val="5F917744"/>
    <w:rsid w:val="5F927999"/>
    <w:rsid w:val="5F9739D9"/>
    <w:rsid w:val="5F9E593F"/>
    <w:rsid w:val="5FA82319"/>
    <w:rsid w:val="5FAA42E4"/>
    <w:rsid w:val="5FAD6AC2"/>
    <w:rsid w:val="5FB213EA"/>
    <w:rsid w:val="5FB641C3"/>
    <w:rsid w:val="5FB837BB"/>
    <w:rsid w:val="5FD249A7"/>
    <w:rsid w:val="5FD650D9"/>
    <w:rsid w:val="5FD72B7F"/>
    <w:rsid w:val="5FDC1FC3"/>
    <w:rsid w:val="5FDC4DF8"/>
    <w:rsid w:val="5FE04CE6"/>
    <w:rsid w:val="5FE80968"/>
    <w:rsid w:val="5FE817F3"/>
    <w:rsid w:val="5FED2422"/>
    <w:rsid w:val="5FFE462F"/>
    <w:rsid w:val="60040639"/>
    <w:rsid w:val="60042684"/>
    <w:rsid w:val="6008725C"/>
    <w:rsid w:val="600D6620"/>
    <w:rsid w:val="6010496B"/>
    <w:rsid w:val="60116111"/>
    <w:rsid w:val="601B6F8F"/>
    <w:rsid w:val="60231772"/>
    <w:rsid w:val="603C21EC"/>
    <w:rsid w:val="604069F6"/>
    <w:rsid w:val="604A1623"/>
    <w:rsid w:val="60591866"/>
    <w:rsid w:val="60634492"/>
    <w:rsid w:val="606607F6"/>
    <w:rsid w:val="60674E36"/>
    <w:rsid w:val="60786190"/>
    <w:rsid w:val="607B17DC"/>
    <w:rsid w:val="608449DB"/>
    <w:rsid w:val="60883EF9"/>
    <w:rsid w:val="608B696E"/>
    <w:rsid w:val="609016BC"/>
    <w:rsid w:val="60911000"/>
    <w:rsid w:val="609603C4"/>
    <w:rsid w:val="609F793F"/>
    <w:rsid w:val="60A249A8"/>
    <w:rsid w:val="60AF76D8"/>
    <w:rsid w:val="60B116A2"/>
    <w:rsid w:val="60B151FE"/>
    <w:rsid w:val="60B8658C"/>
    <w:rsid w:val="60BE791B"/>
    <w:rsid w:val="60BF310A"/>
    <w:rsid w:val="60CA4511"/>
    <w:rsid w:val="60CC405A"/>
    <w:rsid w:val="60D25994"/>
    <w:rsid w:val="60D3786A"/>
    <w:rsid w:val="60D60260"/>
    <w:rsid w:val="60DB04CD"/>
    <w:rsid w:val="60DF620F"/>
    <w:rsid w:val="60E05AE3"/>
    <w:rsid w:val="60E530F9"/>
    <w:rsid w:val="60E5591C"/>
    <w:rsid w:val="60E9443C"/>
    <w:rsid w:val="60EA6962"/>
    <w:rsid w:val="60F35816"/>
    <w:rsid w:val="60F63558"/>
    <w:rsid w:val="611241D6"/>
    <w:rsid w:val="611A2DA3"/>
    <w:rsid w:val="611A4731"/>
    <w:rsid w:val="611B6B1B"/>
    <w:rsid w:val="6126799A"/>
    <w:rsid w:val="612763E8"/>
    <w:rsid w:val="6129748A"/>
    <w:rsid w:val="612E5F61"/>
    <w:rsid w:val="61364D25"/>
    <w:rsid w:val="6138147B"/>
    <w:rsid w:val="613E32FA"/>
    <w:rsid w:val="613F6CAD"/>
    <w:rsid w:val="614147D4"/>
    <w:rsid w:val="61471C84"/>
    <w:rsid w:val="61532759"/>
    <w:rsid w:val="6153325C"/>
    <w:rsid w:val="615547CC"/>
    <w:rsid w:val="61554FE4"/>
    <w:rsid w:val="616D381B"/>
    <w:rsid w:val="61835350"/>
    <w:rsid w:val="6186668A"/>
    <w:rsid w:val="61880654"/>
    <w:rsid w:val="61891CD7"/>
    <w:rsid w:val="619C7C5C"/>
    <w:rsid w:val="61A11716"/>
    <w:rsid w:val="61B272D8"/>
    <w:rsid w:val="61B50D1E"/>
    <w:rsid w:val="61DA0A0B"/>
    <w:rsid w:val="61E16F91"/>
    <w:rsid w:val="61E215D8"/>
    <w:rsid w:val="61F23D20"/>
    <w:rsid w:val="620440FF"/>
    <w:rsid w:val="62065DE7"/>
    <w:rsid w:val="620746AB"/>
    <w:rsid w:val="620B2363"/>
    <w:rsid w:val="620E48D6"/>
    <w:rsid w:val="62105B23"/>
    <w:rsid w:val="621719D8"/>
    <w:rsid w:val="621B3775"/>
    <w:rsid w:val="621E2D67"/>
    <w:rsid w:val="622814F0"/>
    <w:rsid w:val="62311264"/>
    <w:rsid w:val="6232236E"/>
    <w:rsid w:val="62364782"/>
    <w:rsid w:val="623D7206"/>
    <w:rsid w:val="623E36DF"/>
    <w:rsid w:val="62470129"/>
    <w:rsid w:val="624D4635"/>
    <w:rsid w:val="62570027"/>
    <w:rsid w:val="62595396"/>
    <w:rsid w:val="625E0BAD"/>
    <w:rsid w:val="625E7607"/>
    <w:rsid w:val="62606EDB"/>
    <w:rsid w:val="62691311"/>
    <w:rsid w:val="626A3993"/>
    <w:rsid w:val="626F68DB"/>
    <w:rsid w:val="627762B4"/>
    <w:rsid w:val="62797F9D"/>
    <w:rsid w:val="627B15F9"/>
    <w:rsid w:val="628014A4"/>
    <w:rsid w:val="62854B94"/>
    <w:rsid w:val="628A3F58"/>
    <w:rsid w:val="629372B1"/>
    <w:rsid w:val="6299063F"/>
    <w:rsid w:val="629E17B2"/>
    <w:rsid w:val="62A7266F"/>
    <w:rsid w:val="62A72D5C"/>
    <w:rsid w:val="62AC0373"/>
    <w:rsid w:val="62AF1C11"/>
    <w:rsid w:val="62B31701"/>
    <w:rsid w:val="62B334AF"/>
    <w:rsid w:val="62BC7E8A"/>
    <w:rsid w:val="62C456BC"/>
    <w:rsid w:val="62C51434"/>
    <w:rsid w:val="62CC27C3"/>
    <w:rsid w:val="62CE653B"/>
    <w:rsid w:val="62D5709D"/>
    <w:rsid w:val="62E0626E"/>
    <w:rsid w:val="62EE0215"/>
    <w:rsid w:val="62F12229"/>
    <w:rsid w:val="62F31AFE"/>
    <w:rsid w:val="62F67840"/>
    <w:rsid w:val="630C1567"/>
    <w:rsid w:val="630C2BBF"/>
    <w:rsid w:val="631A5C20"/>
    <w:rsid w:val="6320666B"/>
    <w:rsid w:val="63247F09"/>
    <w:rsid w:val="632B50AB"/>
    <w:rsid w:val="632C14B3"/>
    <w:rsid w:val="632D1829"/>
    <w:rsid w:val="633748AF"/>
    <w:rsid w:val="633B34A5"/>
    <w:rsid w:val="633D6D13"/>
    <w:rsid w:val="634F3DC0"/>
    <w:rsid w:val="63534C92"/>
    <w:rsid w:val="63635CA8"/>
    <w:rsid w:val="63707F69"/>
    <w:rsid w:val="637114CE"/>
    <w:rsid w:val="63822E81"/>
    <w:rsid w:val="6382653C"/>
    <w:rsid w:val="63856EF3"/>
    <w:rsid w:val="63870498"/>
    <w:rsid w:val="6389146D"/>
    <w:rsid w:val="638B7F88"/>
    <w:rsid w:val="6390299C"/>
    <w:rsid w:val="63936E3D"/>
    <w:rsid w:val="6394356A"/>
    <w:rsid w:val="639A01CB"/>
    <w:rsid w:val="63A06E67"/>
    <w:rsid w:val="63A50B2C"/>
    <w:rsid w:val="63A64DC2"/>
    <w:rsid w:val="63C276F4"/>
    <w:rsid w:val="63C60FC0"/>
    <w:rsid w:val="63C61B2C"/>
    <w:rsid w:val="63CE111E"/>
    <w:rsid w:val="63CE6E28"/>
    <w:rsid w:val="63D40BE9"/>
    <w:rsid w:val="63D74F7B"/>
    <w:rsid w:val="63DB2653"/>
    <w:rsid w:val="63DF01FC"/>
    <w:rsid w:val="63DF5E99"/>
    <w:rsid w:val="63E4785C"/>
    <w:rsid w:val="63E61662"/>
    <w:rsid w:val="63E7150A"/>
    <w:rsid w:val="63E87188"/>
    <w:rsid w:val="63E94CAF"/>
    <w:rsid w:val="63FC2C34"/>
    <w:rsid w:val="63FE4BFE"/>
    <w:rsid w:val="63FF0C51"/>
    <w:rsid w:val="640D0195"/>
    <w:rsid w:val="640D6BEF"/>
    <w:rsid w:val="640F0BB9"/>
    <w:rsid w:val="64102431"/>
    <w:rsid w:val="641165E8"/>
    <w:rsid w:val="641D01A1"/>
    <w:rsid w:val="6421636E"/>
    <w:rsid w:val="64240FFE"/>
    <w:rsid w:val="6425727E"/>
    <w:rsid w:val="642B3519"/>
    <w:rsid w:val="64310F58"/>
    <w:rsid w:val="643C74D4"/>
    <w:rsid w:val="644347B1"/>
    <w:rsid w:val="6445034E"/>
    <w:rsid w:val="644D2A57"/>
    <w:rsid w:val="64526CF8"/>
    <w:rsid w:val="64555B0D"/>
    <w:rsid w:val="64560388"/>
    <w:rsid w:val="645B239C"/>
    <w:rsid w:val="64634A61"/>
    <w:rsid w:val="646709F5"/>
    <w:rsid w:val="64673665"/>
    <w:rsid w:val="64677052"/>
    <w:rsid w:val="646A5DEF"/>
    <w:rsid w:val="646B1B68"/>
    <w:rsid w:val="64722EF6"/>
    <w:rsid w:val="64737986"/>
    <w:rsid w:val="64740A1C"/>
    <w:rsid w:val="647924D6"/>
    <w:rsid w:val="64852C29"/>
    <w:rsid w:val="648570CD"/>
    <w:rsid w:val="648F2152"/>
    <w:rsid w:val="648F237D"/>
    <w:rsid w:val="649135DC"/>
    <w:rsid w:val="649C0A86"/>
    <w:rsid w:val="64A05CB5"/>
    <w:rsid w:val="64A31301"/>
    <w:rsid w:val="64A5243A"/>
    <w:rsid w:val="64A841D3"/>
    <w:rsid w:val="64BD5954"/>
    <w:rsid w:val="64BF68B6"/>
    <w:rsid w:val="64C179D9"/>
    <w:rsid w:val="64C33752"/>
    <w:rsid w:val="64D21BE7"/>
    <w:rsid w:val="64D771FD"/>
    <w:rsid w:val="64E35BA2"/>
    <w:rsid w:val="64E84C2E"/>
    <w:rsid w:val="64EA5182"/>
    <w:rsid w:val="64ED4731"/>
    <w:rsid w:val="64F42CCE"/>
    <w:rsid w:val="64F44AB2"/>
    <w:rsid w:val="64F531DE"/>
    <w:rsid w:val="64F733FB"/>
    <w:rsid w:val="64FB113D"/>
    <w:rsid w:val="64FD4EB5"/>
    <w:rsid w:val="650733EF"/>
    <w:rsid w:val="6507404E"/>
    <w:rsid w:val="65077AE2"/>
    <w:rsid w:val="650C50F9"/>
    <w:rsid w:val="65136487"/>
    <w:rsid w:val="65162ED1"/>
    <w:rsid w:val="652107A0"/>
    <w:rsid w:val="65211EF7"/>
    <w:rsid w:val="65297A59"/>
    <w:rsid w:val="652A4A44"/>
    <w:rsid w:val="652C12F7"/>
    <w:rsid w:val="652D1B5C"/>
    <w:rsid w:val="65313A7A"/>
    <w:rsid w:val="65360497"/>
    <w:rsid w:val="65373578"/>
    <w:rsid w:val="65402FF4"/>
    <w:rsid w:val="65422306"/>
    <w:rsid w:val="654274FD"/>
    <w:rsid w:val="65532D27"/>
    <w:rsid w:val="65534E25"/>
    <w:rsid w:val="655A5E64"/>
    <w:rsid w:val="655D5954"/>
    <w:rsid w:val="65622F6B"/>
    <w:rsid w:val="65627732"/>
    <w:rsid w:val="65660504"/>
    <w:rsid w:val="656C5B97"/>
    <w:rsid w:val="657038D9"/>
    <w:rsid w:val="65797D27"/>
    <w:rsid w:val="658B7808"/>
    <w:rsid w:val="65906B10"/>
    <w:rsid w:val="65953340"/>
    <w:rsid w:val="65956E9C"/>
    <w:rsid w:val="65974D84"/>
    <w:rsid w:val="6598698C"/>
    <w:rsid w:val="65A02026"/>
    <w:rsid w:val="65A05841"/>
    <w:rsid w:val="65A53CF5"/>
    <w:rsid w:val="65A74B3C"/>
    <w:rsid w:val="65A9749A"/>
    <w:rsid w:val="65AB4911"/>
    <w:rsid w:val="65AC2438"/>
    <w:rsid w:val="65B0017A"/>
    <w:rsid w:val="65B30255"/>
    <w:rsid w:val="65C463EC"/>
    <w:rsid w:val="65C633A0"/>
    <w:rsid w:val="65D008FC"/>
    <w:rsid w:val="65D57BE0"/>
    <w:rsid w:val="65D813BD"/>
    <w:rsid w:val="65D95FF8"/>
    <w:rsid w:val="65DB0562"/>
    <w:rsid w:val="65E240AB"/>
    <w:rsid w:val="65E9396A"/>
    <w:rsid w:val="65EE0CA2"/>
    <w:rsid w:val="65F362B8"/>
    <w:rsid w:val="65F46C17"/>
    <w:rsid w:val="66065235"/>
    <w:rsid w:val="660B53B0"/>
    <w:rsid w:val="66112C08"/>
    <w:rsid w:val="66151A51"/>
    <w:rsid w:val="6615622F"/>
    <w:rsid w:val="661C43A8"/>
    <w:rsid w:val="661E3335"/>
    <w:rsid w:val="661E36B4"/>
    <w:rsid w:val="66246472"/>
    <w:rsid w:val="662D3578"/>
    <w:rsid w:val="6639016F"/>
    <w:rsid w:val="663A7A43"/>
    <w:rsid w:val="66482160"/>
    <w:rsid w:val="664A412A"/>
    <w:rsid w:val="6659611C"/>
    <w:rsid w:val="665E1984"/>
    <w:rsid w:val="6661509A"/>
    <w:rsid w:val="666351EC"/>
    <w:rsid w:val="66656C7C"/>
    <w:rsid w:val="6669634B"/>
    <w:rsid w:val="666B40A1"/>
    <w:rsid w:val="6675499A"/>
    <w:rsid w:val="66801FDF"/>
    <w:rsid w:val="66855163"/>
    <w:rsid w:val="6687756C"/>
    <w:rsid w:val="668C2375"/>
    <w:rsid w:val="668F4233"/>
    <w:rsid w:val="66996E60"/>
    <w:rsid w:val="669B6F25"/>
    <w:rsid w:val="669E6224"/>
    <w:rsid w:val="66BE2423"/>
    <w:rsid w:val="66C67529"/>
    <w:rsid w:val="66C84031"/>
    <w:rsid w:val="66CE03A6"/>
    <w:rsid w:val="66D439F4"/>
    <w:rsid w:val="66D5397C"/>
    <w:rsid w:val="66D96E19"/>
    <w:rsid w:val="66E3632D"/>
    <w:rsid w:val="66E83943"/>
    <w:rsid w:val="66ED0F5A"/>
    <w:rsid w:val="66F76DF2"/>
    <w:rsid w:val="66FB71D3"/>
    <w:rsid w:val="670329EE"/>
    <w:rsid w:val="67137B52"/>
    <w:rsid w:val="6716400D"/>
    <w:rsid w:val="671A2E5B"/>
    <w:rsid w:val="671C6156"/>
    <w:rsid w:val="671D539B"/>
    <w:rsid w:val="671F124A"/>
    <w:rsid w:val="672C166B"/>
    <w:rsid w:val="672C55DE"/>
    <w:rsid w:val="672C67DA"/>
    <w:rsid w:val="672D1356"/>
    <w:rsid w:val="67401435"/>
    <w:rsid w:val="67492634"/>
    <w:rsid w:val="675039C2"/>
    <w:rsid w:val="67527027"/>
    <w:rsid w:val="675719D6"/>
    <w:rsid w:val="675863D3"/>
    <w:rsid w:val="6759039D"/>
    <w:rsid w:val="675A65EF"/>
    <w:rsid w:val="67661634"/>
    <w:rsid w:val="67674117"/>
    <w:rsid w:val="67713939"/>
    <w:rsid w:val="677543ED"/>
    <w:rsid w:val="67760684"/>
    <w:rsid w:val="677671A1"/>
    <w:rsid w:val="67787B9A"/>
    <w:rsid w:val="677A33C6"/>
    <w:rsid w:val="678278F4"/>
    <w:rsid w:val="678637E0"/>
    <w:rsid w:val="67890C82"/>
    <w:rsid w:val="67941A94"/>
    <w:rsid w:val="679D472E"/>
    <w:rsid w:val="679F4002"/>
    <w:rsid w:val="67A005AE"/>
    <w:rsid w:val="67A022E2"/>
    <w:rsid w:val="67A05FCC"/>
    <w:rsid w:val="67AE6291"/>
    <w:rsid w:val="67B47573"/>
    <w:rsid w:val="67B71160"/>
    <w:rsid w:val="67BB4BB4"/>
    <w:rsid w:val="67BD7FBB"/>
    <w:rsid w:val="67C1110B"/>
    <w:rsid w:val="67CA636D"/>
    <w:rsid w:val="67D02934"/>
    <w:rsid w:val="67D76144"/>
    <w:rsid w:val="67DB0DB2"/>
    <w:rsid w:val="67DB3A95"/>
    <w:rsid w:val="67DC530F"/>
    <w:rsid w:val="67DF4D46"/>
    <w:rsid w:val="67E05C16"/>
    <w:rsid w:val="67E1286C"/>
    <w:rsid w:val="67E61C31"/>
    <w:rsid w:val="67EB36EB"/>
    <w:rsid w:val="67ED7463"/>
    <w:rsid w:val="67F51E74"/>
    <w:rsid w:val="68075DBC"/>
    <w:rsid w:val="680E2F36"/>
    <w:rsid w:val="681E586F"/>
    <w:rsid w:val="681F3395"/>
    <w:rsid w:val="681F6961"/>
    <w:rsid w:val="68295FC1"/>
    <w:rsid w:val="682E182A"/>
    <w:rsid w:val="683010FE"/>
    <w:rsid w:val="68306E63"/>
    <w:rsid w:val="6837248C"/>
    <w:rsid w:val="683C5CF5"/>
    <w:rsid w:val="683F7593"/>
    <w:rsid w:val="68432C8D"/>
    <w:rsid w:val="684873FA"/>
    <w:rsid w:val="684A4454"/>
    <w:rsid w:val="684B5074"/>
    <w:rsid w:val="6850354E"/>
    <w:rsid w:val="68610A2F"/>
    <w:rsid w:val="686D5EAE"/>
    <w:rsid w:val="68785402"/>
    <w:rsid w:val="687A4A6F"/>
    <w:rsid w:val="68805514"/>
    <w:rsid w:val="68863414"/>
    <w:rsid w:val="688C58C9"/>
    <w:rsid w:val="688D4BAA"/>
    <w:rsid w:val="68A13C2D"/>
    <w:rsid w:val="68A62C5A"/>
    <w:rsid w:val="68B04D43"/>
    <w:rsid w:val="68B06706"/>
    <w:rsid w:val="68B43ADD"/>
    <w:rsid w:val="68B735CD"/>
    <w:rsid w:val="68BE2BAE"/>
    <w:rsid w:val="68C63810"/>
    <w:rsid w:val="68CA3301"/>
    <w:rsid w:val="68CF1801"/>
    <w:rsid w:val="68E86082"/>
    <w:rsid w:val="69036813"/>
    <w:rsid w:val="690620FC"/>
    <w:rsid w:val="690B22F7"/>
    <w:rsid w:val="690C1B6B"/>
    <w:rsid w:val="691722BE"/>
    <w:rsid w:val="69173C68"/>
    <w:rsid w:val="69196036"/>
    <w:rsid w:val="691E53FA"/>
    <w:rsid w:val="691E5BA6"/>
    <w:rsid w:val="691F10FF"/>
    <w:rsid w:val="692844CB"/>
    <w:rsid w:val="692A0243"/>
    <w:rsid w:val="69316E2F"/>
    <w:rsid w:val="69321F89"/>
    <w:rsid w:val="694E2071"/>
    <w:rsid w:val="6951757E"/>
    <w:rsid w:val="6958204C"/>
    <w:rsid w:val="695908B0"/>
    <w:rsid w:val="69672B32"/>
    <w:rsid w:val="69675B47"/>
    <w:rsid w:val="69693908"/>
    <w:rsid w:val="696F3EA8"/>
    <w:rsid w:val="69735746"/>
    <w:rsid w:val="69765236"/>
    <w:rsid w:val="69766163"/>
    <w:rsid w:val="697A3B33"/>
    <w:rsid w:val="69823BDB"/>
    <w:rsid w:val="69926FF3"/>
    <w:rsid w:val="69951A33"/>
    <w:rsid w:val="699700FA"/>
    <w:rsid w:val="699833FF"/>
    <w:rsid w:val="69A3071B"/>
    <w:rsid w:val="69A914C7"/>
    <w:rsid w:val="69B028D9"/>
    <w:rsid w:val="69B55AF0"/>
    <w:rsid w:val="69B875FD"/>
    <w:rsid w:val="69BB70ED"/>
    <w:rsid w:val="69BF1B99"/>
    <w:rsid w:val="69C01C85"/>
    <w:rsid w:val="69C2047C"/>
    <w:rsid w:val="69C735C3"/>
    <w:rsid w:val="69D16911"/>
    <w:rsid w:val="69D32689"/>
    <w:rsid w:val="69D44760"/>
    <w:rsid w:val="69D6000C"/>
    <w:rsid w:val="69DA1D9A"/>
    <w:rsid w:val="69DE6F54"/>
    <w:rsid w:val="69E00A03"/>
    <w:rsid w:val="69F745A2"/>
    <w:rsid w:val="6A0175E4"/>
    <w:rsid w:val="6A096427"/>
    <w:rsid w:val="6A104686"/>
    <w:rsid w:val="6A12710A"/>
    <w:rsid w:val="6A2475B2"/>
    <w:rsid w:val="6A2F2C84"/>
    <w:rsid w:val="6A31115D"/>
    <w:rsid w:val="6A377DC1"/>
    <w:rsid w:val="6A3A44B6"/>
    <w:rsid w:val="6A3F1ACC"/>
    <w:rsid w:val="6A4175F2"/>
    <w:rsid w:val="6A445335"/>
    <w:rsid w:val="6A470981"/>
    <w:rsid w:val="6A4B6CE2"/>
    <w:rsid w:val="6A51789C"/>
    <w:rsid w:val="6A520EC7"/>
    <w:rsid w:val="6A6432E1"/>
    <w:rsid w:val="6A6A2956"/>
    <w:rsid w:val="6A815C41"/>
    <w:rsid w:val="6A8650F7"/>
    <w:rsid w:val="6A924E5D"/>
    <w:rsid w:val="6A9A6D03"/>
    <w:rsid w:val="6AA62BCC"/>
    <w:rsid w:val="6AA74F45"/>
    <w:rsid w:val="6AA76478"/>
    <w:rsid w:val="6AAD6A36"/>
    <w:rsid w:val="6AB0311C"/>
    <w:rsid w:val="6AB06526"/>
    <w:rsid w:val="6AB32CFC"/>
    <w:rsid w:val="6AB44268"/>
    <w:rsid w:val="6AB57FE0"/>
    <w:rsid w:val="6ABC136F"/>
    <w:rsid w:val="6ABC311D"/>
    <w:rsid w:val="6ABE50E7"/>
    <w:rsid w:val="6AC16985"/>
    <w:rsid w:val="6ACD0E86"/>
    <w:rsid w:val="6ACF1017"/>
    <w:rsid w:val="6ADE12E5"/>
    <w:rsid w:val="6AE30BAE"/>
    <w:rsid w:val="6AF87E20"/>
    <w:rsid w:val="6B0845B4"/>
    <w:rsid w:val="6B0B7D53"/>
    <w:rsid w:val="6B105217"/>
    <w:rsid w:val="6B147755"/>
    <w:rsid w:val="6B1503B3"/>
    <w:rsid w:val="6B1D005F"/>
    <w:rsid w:val="6B26275B"/>
    <w:rsid w:val="6B2C1D72"/>
    <w:rsid w:val="6B2F1B41"/>
    <w:rsid w:val="6B322639"/>
    <w:rsid w:val="6B341CC1"/>
    <w:rsid w:val="6B361121"/>
    <w:rsid w:val="6B3709F5"/>
    <w:rsid w:val="6B3727A3"/>
    <w:rsid w:val="6B383D1A"/>
    <w:rsid w:val="6B3848DA"/>
    <w:rsid w:val="6B3D01C7"/>
    <w:rsid w:val="6B451364"/>
    <w:rsid w:val="6B580B85"/>
    <w:rsid w:val="6B5C045C"/>
    <w:rsid w:val="6B6B2B17"/>
    <w:rsid w:val="6B7112A5"/>
    <w:rsid w:val="6B793570"/>
    <w:rsid w:val="6B855C05"/>
    <w:rsid w:val="6B882FFF"/>
    <w:rsid w:val="6B8D659C"/>
    <w:rsid w:val="6B8F25DF"/>
    <w:rsid w:val="6BA0659B"/>
    <w:rsid w:val="6BA37879"/>
    <w:rsid w:val="6BA918F3"/>
    <w:rsid w:val="6BB42046"/>
    <w:rsid w:val="6BBD714D"/>
    <w:rsid w:val="6BC223BF"/>
    <w:rsid w:val="6BC404DB"/>
    <w:rsid w:val="6BE40B7D"/>
    <w:rsid w:val="6BE66F85"/>
    <w:rsid w:val="6BE84243"/>
    <w:rsid w:val="6C054650"/>
    <w:rsid w:val="6C0703C8"/>
    <w:rsid w:val="6C0B3613"/>
    <w:rsid w:val="6C0B435C"/>
    <w:rsid w:val="6C0B610A"/>
    <w:rsid w:val="6C0F54CE"/>
    <w:rsid w:val="6C1548D8"/>
    <w:rsid w:val="6C1C74D4"/>
    <w:rsid w:val="6C223454"/>
    <w:rsid w:val="6C2246DA"/>
    <w:rsid w:val="6C24541E"/>
    <w:rsid w:val="6C2947E2"/>
    <w:rsid w:val="6C2B67AC"/>
    <w:rsid w:val="6C2F1309"/>
    <w:rsid w:val="6C383D9C"/>
    <w:rsid w:val="6C44786E"/>
    <w:rsid w:val="6C453508"/>
    <w:rsid w:val="6C565452"/>
    <w:rsid w:val="6C5922CC"/>
    <w:rsid w:val="6C5A499B"/>
    <w:rsid w:val="6C5D4F1A"/>
    <w:rsid w:val="6C615D2A"/>
    <w:rsid w:val="6C636C38"/>
    <w:rsid w:val="6C6677E4"/>
    <w:rsid w:val="6C705F6D"/>
    <w:rsid w:val="6C71691C"/>
    <w:rsid w:val="6C73587F"/>
    <w:rsid w:val="6C77379F"/>
    <w:rsid w:val="6C7C2B64"/>
    <w:rsid w:val="6C877C64"/>
    <w:rsid w:val="6C8E0AE9"/>
    <w:rsid w:val="6C960A99"/>
    <w:rsid w:val="6C977D6E"/>
    <w:rsid w:val="6C9854C4"/>
    <w:rsid w:val="6C9D3917"/>
    <w:rsid w:val="6CAB51F7"/>
    <w:rsid w:val="6CAC159C"/>
    <w:rsid w:val="6CB23439"/>
    <w:rsid w:val="6CB30B15"/>
    <w:rsid w:val="6CB467A2"/>
    <w:rsid w:val="6CBA368C"/>
    <w:rsid w:val="6CBE13CE"/>
    <w:rsid w:val="6CCE6190"/>
    <w:rsid w:val="6CD84EDD"/>
    <w:rsid w:val="6CDA5ADC"/>
    <w:rsid w:val="6CDF186C"/>
    <w:rsid w:val="6CE4167D"/>
    <w:rsid w:val="6CEB5F3B"/>
    <w:rsid w:val="6CED272F"/>
    <w:rsid w:val="6CEE4233"/>
    <w:rsid w:val="6CF43042"/>
    <w:rsid w:val="6CF7043C"/>
    <w:rsid w:val="6CF748E0"/>
    <w:rsid w:val="6CF941B4"/>
    <w:rsid w:val="6D0A2DB0"/>
    <w:rsid w:val="6D147240"/>
    <w:rsid w:val="6D1E1E6D"/>
    <w:rsid w:val="6D231231"/>
    <w:rsid w:val="6D236B90"/>
    <w:rsid w:val="6D257FA0"/>
    <w:rsid w:val="6D2F6F15"/>
    <w:rsid w:val="6D3C22F3"/>
    <w:rsid w:val="6D413DAD"/>
    <w:rsid w:val="6D465762"/>
    <w:rsid w:val="6D4C3D11"/>
    <w:rsid w:val="6D4D2752"/>
    <w:rsid w:val="6D5102A9"/>
    <w:rsid w:val="6D5533B5"/>
    <w:rsid w:val="6D5802E7"/>
    <w:rsid w:val="6D613B66"/>
    <w:rsid w:val="6D694D8C"/>
    <w:rsid w:val="6D6D6950"/>
    <w:rsid w:val="6D733012"/>
    <w:rsid w:val="6D735DBB"/>
    <w:rsid w:val="6D7E290C"/>
    <w:rsid w:val="6D806684"/>
    <w:rsid w:val="6D835A09"/>
    <w:rsid w:val="6D8617C0"/>
    <w:rsid w:val="6D875C64"/>
    <w:rsid w:val="6D8F6475"/>
    <w:rsid w:val="6D920165"/>
    <w:rsid w:val="6D942015"/>
    <w:rsid w:val="6D9D7236"/>
    <w:rsid w:val="6D9E4D5C"/>
    <w:rsid w:val="6DB00619"/>
    <w:rsid w:val="6DB34098"/>
    <w:rsid w:val="6DB545B6"/>
    <w:rsid w:val="6DB86E0B"/>
    <w:rsid w:val="6DBA62BA"/>
    <w:rsid w:val="6DBB1D5C"/>
    <w:rsid w:val="6DC17AF6"/>
    <w:rsid w:val="6DC36570"/>
    <w:rsid w:val="6DC522E8"/>
    <w:rsid w:val="6DD32C57"/>
    <w:rsid w:val="6DD90222"/>
    <w:rsid w:val="6DDB7D5E"/>
    <w:rsid w:val="6DE02FB4"/>
    <w:rsid w:val="6DE44E65"/>
    <w:rsid w:val="6DE50BDD"/>
    <w:rsid w:val="6DF66946"/>
    <w:rsid w:val="6DF8446C"/>
    <w:rsid w:val="6DFE7277"/>
    <w:rsid w:val="6E0711D6"/>
    <w:rsid w:val="6E0E1EE1"/>
    <w:rsid w:val="6E0F7A08"/>
    <w:rsid w:val="6E116FE6"/>
    <w:rsid w:val="6E1A0886"/>
    <w:rsid w:val="6E1C534A"/>
    <w:rsid w:val="6E1D2124"/>
    <w:rsid w:val="6E1F19CB"/>
    <w:rsid w:val="6E250FD9"/>
    <w:rsid w:val="6E2A4841"/>
    <w:rsid w:val="6E381523"/>
    <w:rsid w:val="6E387DE1"/>
    <w:rsid w:val="6E3A6C72"/>
    <w:rsid w:val="6E421B8B"/>
    <w:rsid w:val="6E4D2864"/>
    <w:rsid w:val="6E5042A8"/>
    <w:rsid w:val="6E514CED"/>
    <w:rsid w:val="6E5936D1"/>
    <w:rsid w:val="6E5B2C4D"/>
    <w:rsid w:val="6E600263"/>
    <w:rsid w:val="6E617962"/>
    <w:rsid w:val="6E630726"/>
    <w:rsid w:val="6E6632C4"/>
    <w:rsid w:val="6E7220B1"/>
    <w:rsid w:val="6E7C41A8"/>
    <w:rsid w:val="6E8126B3"/>
    <w:rsid w:val="6E820CA0"/>
    <w:rsid w:val="6E8B5615"/>
    <w:rsid w:val="6E9C573F"/>
    <w:rsid w:val="6EAB3BD4"/>
    <w:rsid w:val="6EAC4A51"/>
    <w:rsid w:val="6EAD6D18"/>
    <w:rsid w:val="6EAF02C1"/>
    <w:rsid w:val="6EB563D5"/>
    <w:rsid w:val="6EBB3F5A"/>
    <w:rsid w:val="6EC72090"/>
    <w:rsid w:val="6ECB5AAA"/>
    <w:rsid w:val="6ED92677"/>
    <w:rsid w:val="6EE40AD0"/>
    <w:rsid w:val="6EEB6775"/>
    <w:rsid w:val="6EF8049C"/>
    <w:rsid w:val="6F0303A2"/>
    <w:rsid w:val="6F045092"/>
    <w:rsid w:val="6F1352D6"/>
    <w:rsid w:val="6F15104E"/>
    <w:rsid w:val="6F152DFC"/>
    <w:rsid w:val="6F1619C6"/>
    <w:rsid w:val="6F1E0E23"/>
    <w:rsid w:val="6F225983"/>
    <w:rsid w:val="6F26325B"/>
    <w:rsid w:val="6F2C2862"/>
    <w:rsid w:val="6F2D1B76"/>
    <w:rsid w:val="6F3040D9"/>
    <w:rsid w:val="6F363561"/>
    <w:rsid w:val="6F3C2A7E"/>
    <w:rsid w:val="6F3F16FE"/>
    <w:rsid w:val="6F4B4DDF"/>
    <w:rsid w:val="6F4C63D0"/>
    <w:rsid w:val="6F5A4CB2"/>
    <w:rsid w:val="6F614293"/>
    <w:rsid w:val="6F71097A"/>
    <w:rsid w:val="6F733C5D"/>
    <w:rsid w:val="6F7420A2"/>
    <w:rsid w:val="6F773AB6"/>
    <w:rsid w:val="6F7B55F4"/>
    <w:rsid w:val="6F800BBD"/>
    <w:rsid w:val="6F8364DE"/>
    <w:rsid w:val="6F854425"/>
    <w:rsid w:val="6F861647"/>
    <w:rsid w:val="6F9C52CB"/>
    <w:rsid w:val="6FA83C70"/>
    <w:rsid w:val="6FB46AB9"/>
    <w:rsid w:val="6FB9613B"/>
    <w:rsid w:val="6FBA02A0"/>
    <w:rsid w:val="6FBA38B6"/>
    <w:rsid w:val="6FC7059A"/>
    <w:rsid w:val="6FCB4A4F"/>
    <w:rsid w:val="6FD159D2"/>
    <w:rsid w:val="6FD32DAF"/>
    <w:rsid w:val="6FD375F5"/>
    <w:rsid w:val="6FDC1B6B"/>
    <w:rsid w:val="6FDD600F"/>
    <w:rsid w:val="6FE91140"/>
    <w:rsid w:val="6FEA4288"/>
    <w:rsid w:val="6FF375E1"/>
    <w:rsid w:val="6FFB0243"/>
    <w:rsid w:val="6FFB72C9"/>
    <w:rsid w:val="6FFC5590"/>
    <w:rsid w:val="6FFF2342"/>
    <w:rsid w:val="70020339"/>
    <w:rsid w:val="700A492A"/>
    <w:rsid w:val="70117A67"/>
    <w:rsid w:val="70160AFA"/>
    <w:rsid w:val="701721F7"/>
    <w:rsid w:val="701B08E6"/>
    <w:rsid w:val="70240407"/>
    <w:rsid w:val="702568F1"/>
    <w:rsid w:val="70294D1B"/>
    <w:rsid w:val="703025E3"/>
    <w:rsid w:val="70422ED3"/>
    <w:rsid w:val="70457711"/>
    <w:rsid w:val="704C6CF1"/>
    <w:rsid w:val="704D72E9"/>
    <w:rsid w:val="7053007F"/>
    <w:rsid w:val="70531E2E"/>
    <w:rsid w:val="70553DF8"/>
    <w:rsid w:val="70622071"/>
    <w:rsid w:val="7064228D"/>
    <w:rsid w:val="70673123"/>
    <w:rsid w:val="70673B2B"/>
    <w:rsid w:val="706D1DD0"/>
    <w:rsid w:val="707D334E"/>
    <w:rsid w:val="707F0E75"/>
    <w:rsid w:val="70812E3F"/>
    <w:rsid w:val="70856B87"/>
    <w:rsid w:val="70891CF3"/>
    <w:rsid w:val="70974410"/>
    <w:rsid w:val="709F32C5"/>
    <w:rsid w:val="70A00F60"/>
    <w:rsid w:val="70A22DB5"/>
    <w:rsid w:val="70AC7790"/>
    <w:rsid w:val="70B10C5A"/>
    <w:rsid w:val="70B76E18"/>
    <w:rsid w:val="70CE125D"/>
    <w:rsid w:val="70D02392"/>
    <w:rsid w:val="70D527EE"/>
    <w:rsid w:val="70E04684"/>
    <w:rsid w:val="70FF1FB5"/>
    <w:rsid w:val="710802F3"/>
    <w:rsid w:val="710C118E"/>
    <w:rsid w:val="71107D1F"/>
    <w:rsid w:val="71107EFC"/>
    <w:rsid w:val="711F4406"/>
    <w:rsid w:val="712437CA"/>
    <w:rsid w:val="71333A0D"/>
    <w:rsid w:val="713D045F"/>
    <w:rsid w:val="714300F4"/>
    <w:rsid w:val="71494FDF"/>
    <w:rsid w:val="71551BD5"/>
    <w:rsid w:val="715776FB"/>
    <w:rsid w:val="715A71EC"/>
    <w:rsid w:val="715B5300"/>
    <w:rsid w:val="71653049"/>
    <w:rsid w:val="71764003"/>
    <w:rsid w:val="71770F3C"/>
    <w:rsid w:val="71810C1C"/>
    <w:rsid w:val="718D75C1"/>
    <w:rsid w:val="718F05F4"/>
    <w:rsid w:val="719533EC"/>
    <w:rsid w:val="719C5A56"/>
    <w:rsid w:val="71A020E8"/>
    <w:rsid w:val="71A87F57"/>
    <w:rsid w:val="71AD326D"/>
    <w:rsid w:val="71B132B0"/>
    <w:rsid w:val="71B13613"/>
    <w:rsid w:val="71B205B3"/>
    <w:rsid w:val="71B55F95"/>
    <w:rsid w:val="71C07997"/>
    <w:rsid w:val="71C87F80"/>
    <w:rsid w:val="71CC00E9"/>
    <w:rsid w:val="71CD751C"/>
    <w:rsid w:val="71D13EC7"/>
    <w:rsid w:val="71D1452F"/>
    <w:rsid w:val="71D2060A"/>
    <w:rsid w:val="71D27F8A"/>
    <w:rsid w:val="71E35433"/>
    <w:rsid w:val="71E371E1"/>
    <w:rsid w:val="71E73175"/>
    <w:rsid w:val="71ED62B2"/>
    <w:rsid w:val="71F14AF3"/>
    <w:rsid w:val="71F238C8"/>
    <w:rsid w:val="71F56A69"/>
    <w:rsid w:val="71FC52E9"/>
    <w:rsid w:val="71FE38F7"/>
    <w:rsid w:val="720535FB"/>
    <w:rsid w:val="720A1ED5"/>
    <w:rsid w:val="721101F2"/>
    <w:rsid w:val="72111FA0"/>
    <w:rsid w:val="721147C0"/>
    <w:rsid w:val="72121874"/>
    <w:rsid w:val="721849C8"/>
    <w:rsid w:val="721D0945"/>
    <w:rsid w:val="721D1DD2"/>
    <w:rsid w:val="72200435"/>
    <w:rsid w:val="7223339C"/>
    <w:rsid w:val="722577FA"/>
    <w:rsid w:val="7229553C"/>
    <w:rsid w:val="722F2426"/>
    <w:rsid w:val="72345C8F"/>
    <w:rsid w:val="723E2D20"/>
    <w:rsid w:val="724834E8"/>
    <w:rsid w:val="72553024"/>
    <w:rsid w:val="72612F19"/>
    <w:rsid w:val="72697ED9"/>
    <w:rsid w:val="726C367A"/>
    <w:rsid w:val="726C47CA"/>
    <w:rsid w:val="72702B37"/>
    <w:rsid w:val="7271164B"/>
    <w:rsid w:val="727644F9"/>
    <w:rsid w:val="72767E61"/>
    <w:rsid w:val="72806273"/>
    <w:rsid w:val="728564EA"/>
    <w:rsid w:val="728F3335"/>
    <w:rsid w:val="729055BB"/>
    <w:rsid w:val="7295497F"/>
    <w:rsid w:val="729A6EF8"/>
    <w:rsid w:val="72AC3A77"/>
    <w:rsid w:val="72B8066E"/>
    <w:rsid w:val="72BA2638"/>
    <w:rsid w:val="72BF1DF3"/>
    <w:rsid w:val="72C214EC"/>
    <w:rsid w:val="72CE7E91"/>
    <w:rsid w:val="72E2393D"/>
    <w:rsid w:val="72EA74BB"/>
    <w:rsid w:val="730833A3"/>
    <w:rsid w:val="73122968"/>
    <w:rsid w:val="731338C4"/>
    <w:rsid w:val="73173B18"/>
    <w:rsid w:val="731D4975"/>
    <w:rsid w:val="731F5D5E"/>
    <w:rsid w:val="732A7AA2"/>
    <w:rsid w:val="732D2E0A"/>
    <w:rsid w:val="73303EEF"/>
    <w:rsid w:val="733536BE"/>
    <w:rsid w:val="733C129F"/>
    <w:rsid w:val="733C304D"/>
    <w:rsid w:val="733F6699"/>
    <w:rsid w:val="734252D3"/>
    <w:rsid w:val="73463ECB"/>
    <w:rsid w:val="73522870"/>
    <w:rsid w:val="735A75C8"/>
    <w:rsid w:val="7363682B"/>
    <w:rsid w:val="73685BF0"/>
    <w:rsid w:val="736965E7"/>
    <w:rsid w:val="736A5E0C"/>
    <w:rsid w:val="737451AF"/>
    <w:rsid w:val="7378779D"/>
    <w:rsid w:val="73797DFD"/>
    <w:rsid w:val="737B4B62"/>
    <w:rsid w:val="737F435D"/>
    <w:rsid w:val="738D5656"/>
    <w:rsid w:val="739C3AEB"/>
    <w:rsid w:val="739E75E1"/>
    <w:rsid w:val="73A62249"/>
    <w:rsid w:val="73A82490"/>
    <w:rsid w:val="73A84601"/>
    <w:rsid w:val="73AA7753"/>
    <w:rsid w:val="73AE7A09"/>
    <w:rsid w:val="73AF28C1"/>
    <w:rsid w:val="73B21561"/>
    <w:rsid w:val="73B40A19"/>
    <w:rsid w:val="73B40BF9"/>
    <w:rsid w:val="73BA21C4"/>
    <w:rsid w:val="73C51AD5"/>
    <w:rsid w:val="73CF3EC1"/>
    <w:rsid w:val="73DA21D9"/>
    <w:rsid w:val="73E33F6B"/>
    <w:rsid w:val="73ED07EB"/>
    <w:rsid w:val="73F07C75"/>
    <w:rsid w:val="73F2195D"/>
    <w:rsid w:val="73F41B79"/>
    <w:rsid w:val="73FD362A"/>
    <w:rsid w:val="73FE5CD7"/>
    <w:rsid w:val="7400407A"/>
    <w:rsid w:val="7404165D"/>
    <w:rsid w:val="740874E9"/>
    <w:rsid w:val="740C6EC3"/>
    <w:rsid w:val="741E793C"/>
    <w:rsid w:val="742A03D0"/>
    <w:rsid w:val="74320189"/>
    <w:rsid w:val="743711B3"/>
    <w:rsid w:val="74373E4B"/>
    <w:rsid w:val="7439758C"/>
    <w:rsid w:val="743C07A0"/>
    <w:rsid w:val="743E4BA3"/>
    <w:rsid w:val="74472D15"/>
    <w:rsid w:val="7447614D"/>
    <w:rsid w:val="744A3547"/>
    <w:rsid w:val="744E01A1"/>
    <w:rsid w:val="744F6DB0"/>
    <w:rsid w:val="74534AF2"/>
    <w:rsid w:val="74571A2D"/>
    <w:rsid w:val="745B3564"/>
    <w:rsid w:val="745E3944"/>
    <w:rsid w:val="745F2179"/>
    <w:rsid w:val="746740F9"/>
    <w:rsid w:val="746810AB"/>
    <w:rsid w:val="746A5998"/>
    <w:rsid w:val="746B43D6"/>
    <w:rsid w:val="746E79C9"/>
    <w:rsid w:val="747B2D9D"/>
    <w:rsid w:val="748051BB"/>
    <w:rsid w:val="748120E1"/>
    <w:rsid w:val="748266FB"/>
    <w:rsid w:val="748C590E"/>
    <w:rsid w:val="748D65F7"/>
    <w:rsid w:val="749269D3"/>
    <w:rsid w:val="74A0585D"/>
    <w:rsid w:val="74A159D4"/>
    <w:rsid w:val="74A51DF2"/>
    <w:rsid w:val="74A964C0"/>
    <w:rsid w:val="74AB772E"/>
    <w:rsid w:val="74B3733F"/>
    <w:rsid w:val="74B7510B"/>
    <w:rsid w:val="74B86703"/>
    <w:rsid w:val="74BD7F01"/>
    <w:rsid w:val="74BF1D27"/>
    <w:rsid w:val="74C27582"/>
    <w:rsid w:val="74DA0D6F"/>
    <w:rsid w:val="74E90FB2"/>
    <w:rsid w:val="74F00593"/>
    <w:rsid w:val="74F17E67"/>
    <w:rsid w:val="74FA1000"/>
    <w:rsid w:val="74FC30EB"/>
    <w:rsid w:val="74FD680C"/>
    <w:rsid w:val="75061B64"/>
    <w:rsid w:val="750951B1"/>
    <w:rsid w:val="750B0F29"/>
    <w:rsid w:val="7513602F"/>
    <w:rsid w:val="75181898"/>
    <w:rsid w:val="751B4A79"/>
    <w:rsid w:val="751C3136"/>
    <w:rsid w:val="75287D2D"/>
    <w:rsid w:val="752913AF"/>
    <w:rsid w:val="75306BE1"/>
    <w:rsid w:val="75357D54"/>
    <w:rsid w:val="753A7A60"/>
    <w:rsid w:val="754053F6"/>
    <w:rsid w:val="75446A02"/>
    <w:rsid w:val="754E0E15"/>
    <w:rsid w:val="755503F6"/>
    <w:rsid w:val="75581C94"/>
    <w:rsid w:val="755A3C5E"/>
    <w:rsid w:val="755A5A0C"/>
    <w:rsid w:val="75670EBC"/>
    <w:rsid w:val="75693EA1"/>
    <w:rsid w:val="756D762F"/>
    <w:rsid w:val="757545F4"/>
    <w:rsid w:val="757A422E"/>
    <w:rsid w:val="75890382"/>
    <w:rsid w:val="758B206A"/>
    <w:rsid w:val="758D22CA"/>
    <w:rsid w:val="75907680"/>
    <w:rsid w:val="759233F8"/>
    <w:rsid w:val="759929D8"/>
    <w:rsid w:val="759C4277"/>
    <w:rsid w:val="75A153E9"/>
    <w:rsid w:val="75A31161"/>
    <w:rsid w:val="75A3435E"/>
    <w:rsid w:val="75AB4B6F"/>
    <w:rsid w:val="75B01AD0"/>
    <w:rsid w:val="75B570E6"/>
    <w:rsid w:val="75B67753"/>
    <w:rsid w:val="75BE243F"/>
    <w:rsid w:val="75C31803"/>
    <w:rsid w:val="75C53AE9"/>
    <w:rsid w:val="75C77B03"/>
    <w:rsid w:val="75D63564"/>
    <w:rsid w:val="75E87ABF"/>
    <w:rsid w:val="75ED4816"/>
    <w:rsid w:val="75F25C45"/>
    <w:rsid w:val="75F61BD9"/>
    <w:rsid w:val="75F628F1"/>
    <w:rsid w:val="75F75951"/>
    <w:rsid w:val="760333D7"/>
    <w:rsid w:val="760B42C6"/>
    <w:rsid w:val="761262E7"/>
    <w:rsid w:val="7614205F"/>
    <w:rsid w:val="76146D29"/>
    <w:rsid w:val="761D18D1"/>
    <w:rsid w:val="76257DC8"/>
    <w:rsid w:val="7630676D"/>
    <w:rsid w:val="7635099D"/>
    <w:rsid w:val="76391AC6"/>
    <w:rsid w:val="763A57CD"/>
    <w:rsid w:val="76435882"/>
    <w:rsid w:val="76474029"/>
    <w:rsid w:val="766308F1"/>
    <w:rsid w:val="766905FD"/>
    <w:rsid w:val="766F7295"/>
    <w:rsid w:val="7671300D"/>
    <w:rsid w:val="76742AFE"/>
    <w:rsid w:val="76760624"/>
    <w:rsid w:val="767B34F7"/>
    <w:rsid w:val="767F7401"/>
    <w:rsid w:val="768418C9"/>
    <w:rsid w:val="76984EC0"/>
    <w:rsid w:val="76A258BD"/>
    <w:rsid w:val="76A553AD"/>
    <w:rsid w:val="76A71125"/>
    <w:rsid w:val="76A77224"/>
    <w:rsid w:val="76AA5987"/>
    <w:rsid w:val="76B13D52"/>
    <w:rsid w:val="76CC6DCF"/>
    <w:rsid w:val="76D250B9"/>
    <w:rsid w:val="76D637B8"/>
    <w:rsid w:val="76DD68F5"/>
    <w:rsid w:val="76DE4B6E"/>
    <w:rsid w:val="76E25CB9"/>
    <w:rsid w:val="76E65CFC"/>
    <w:rsid w:val="76EA1012"/>
    <w:rsid w:val="76EA2DC0"/>
    <w:rsid w:val="76EC08E6"/>
    <w:rsid w:val="76EC4D8A"/>
    <w:rsid w:val="76F8372F"/>
    <w:rsid w:val="77053C2F"/>
    <w:rsid w:val="77122878"/>
    <w:rsid w:val="77161D85"/>
    <w:rsid w:val="772207AC"/>
    <w:rsid w:val="772A3918"/>
    <w:rsid w:val="772C33D8"/>
    <w:rsid w:val="773724A9"/>
    <w:rsid w:val="77372DFB"/>
    <w:rsid w:val="77387FCF"/>
    <w:rsid w:val="774150D6"/>
    <w:rsid w:val="77415633"/>
    <w:rsid w:val="77423386"/>
    <w:rsid w:val="77470212"/>
    <w:rsid w:val="774E15A1"/>
    <w:rsid w:val="77521091"/>
    <w:rsid w:val="775766A7"/>
    <w:rsid w:val="775A6479"/>
    <w:rsid w:val="775A7F45"/>
    <w:rsid w:val="7760037C"/>
    <w:rsid w:val="77601ABD"/>
    <w:rsid w:val="776071DB"/>
    <w:rsid w:val="77626DFA"/>
    <w:rsid w:val="776768B8"/>
    <w:rsid w:val="776E579F"/>
    <w:rsid w:val="777059BB"/>
    <w:rsid w:val="77762421"/>
    <w:rsid w:val="77811976"/>
    <w:rsid w:val="77822286"/>
    <w:rsid w:val="778E33FA"/>
    <w:rsid w:val="779B7F76"/>
    <w:rsid w:val="779C67B0"/>
    <w:rsid w:val="77A20EA6"/>
    <w:rsid w:val="77AB2769"/>
    <w:rsid w:val="77B27D81"/>
    <w:rsid w:val="77B55C6E"/>
    <w:rsid w:val="77B56B1F"/>
    <w:rsid w:val="77B67A3B"/>
    <w:rsid w:val="77BA09E4"/>
    <w:rsid w:val="77BA4E88"/>
    <w:rsid w:val="77BC0D32"/>
    <w:rsid w:val="77BF249E"/>
    <w:rsid w:val="77C11D73"/>
    <w:rsid w:val="77C27899"/>
    <w:rsid w:val="77C33D3D"/>
    <w:rsid w:val="77C74EAF"/>
    <w:rsid w:val="77D73344"/>
    <w:rsid w:val="77DD3719"/>
    <w:rsid w:val="77DF044B"/>
    <w:rsid w:val="77E15873"/>
    <w:rsid w:val="77E870CC"/>
    <w:rsid w:val="77E912C9"/>
    <w:rsid w:val="77EB6DF0"/>
    <w:rsid w:val="77FE796C"/>
    <w:rsid w:val="780659D7"/>
    <w:rsid w:val="780C15E4"/>
    <w:rsid w:val="780F09F4"/>
    <w:rsid w:val="78167E11"/>
    <w:rsid w:val="782B18E2"/>
    <w:rsid w:val="78300CA6"/>
    <w:rsid w:val="783918FE"/>
    <w:rsid w:val="783C3AEF"/>
    <w:rsid w:val="7840713B"/>
    <w:rsid w:val="7849177F"/>
    <w:rsid w:val="784A5D53"/>
    <w:rsid w:val="785E75C1"/>
    <w:rsid w:val="7860158C"/>
    <w:rsid w:val="78607B20"/>
    <w:rsid w:val="78634D4E"/>
    <w:rsid w:val="78654DF4"/>
    <w:rsid w:val="786A52CE"/>
    <w:rsid w:val="786F5C73"/>
    <w:rsid w:val="787B0173"/>
    <w:rsid w:val="787E1A12"/>
    <w:rsid w:val="78964FAD"/>
    <w:rsid w:val="78A56B0B"/>
    <w:rsid w:val="78A90480"/>
    <w:rsid w:val="78AA291C"/>
    <w:rsid w:val="78AC47D1"/>
    <w:rsid w:val="78AC6557"/>
    <w:rsid w:val="78B255D8"/>
    <w:rsid w:val="78B34839"/>
    <w:rsid w:val="78B36A8C"/>
    <w:rsid w:val="78B6564F"/>
    <w:rsid w:val="78BB6A7D"/>
    <w:rsid w:val="78BE7880"/>
    <w:rsid w:val="78C0027C"/>
    <w:rsid w:val="78C7785D"/>
    <w:rsid w:val="78D62BB8"/>
    <w:rsid w:val="78D67AA0"/>
    <w:rsid w:val="78D87374"/>
    <w:rsid w:val="78DF2D27"/>
    <w:rsid w:val="78E21FA1"/>
    <w:rsid w:val="78E536D5"/>
    <w:rsid w:val="78E72B68"/>
    <w:rsid w:val="78F47F26"/>
    <w:rsid w:val="78F55B7B"/>
    <w:rsid w:val="79017C72"/>
    <w:rsid w:val="790A599B"/>
    <w:rsid w:val="79144124"/>
    <w:rsid w:val="79292E6A"/>
    <w:rsid w:val="793022CB"/>
    <w:rsid w:val="793332B7"/>
    <w:rsid w:val="79415B65"/>
    <w:rsid w:val="7944575E"/>
    <w:rsid w:val="794643C4"/>
    <w:rsid w:val="794738BD"/>
    <w:rsid w:val="79537342"/>
    <w:rsid w:val="795D1F6F"/>
    <w:rsid w:val="795F45B5"/>
    <w:rsid w:val="796B01E8"/>
    <w:rsid w:val="797057FE"/>
    <w:rsid w:val="7972545C"/>
    <w:rsid w:val="7979653B"/>
    <w:rsid w:val="798B6F10"/>
    <w:rsid w:val="798E037A"/>
    <w:rsid w:val="799A0ACD"/>
    <w:rsid w:val="799D3D5D"/>
    <w:rsid w:val="79A731EA"/>
    <w:rsid w:val="79AB19B4"/>
    <w:rsid w:val="79AD6A52"/>
    <w:rsid w:val="79B06543"/>
    <w:rsid w:val="79C04384"/>
    <w:rsid w:val="79C30024"/>
    <w:rsid w:val="79CC4DBC"/>
    <w:rsid w:val="79CD11EC"/>
    <w:rsid w:val="79D044EF"/>
    <w:rsid w:val="79D078B1"/>
    <w:rsid w:val="79D12015"/>
    <w:rsid w:val="79D53210"/>
    <w:rsid w:val="79DC7338"/>
    <w:rsid w:val="79E8409E"/>
    <w:rsid w:val="79E85CDC"/>
    <w:rsid w:val="79ED6E4F"/>
    <w:rsid w:val="79F71A7C"/>
    <w:rsid w:val="79F933AC"/>
    <w:rsid w:val="7A066163"/>
    <w:rsid w:val="7A0E5481"/>
    <w:rsid w:val="7A110D53"/>
    <w:rsid w:val="7A1A1C0E"/>
    <w:rsid w:val="7A1F7224"/>
    <w:rsid w:val="7A246147"/>
    <w:rsid w:val="7A266805"/>
    <w:rsid w:val="7A2D1941"/>
    <w:rsid w:val="7A2F70C8"/>
    <w:rsid w:val="7A364017"/>
    <w:rsid w:val="7A3F3423"/>
    <w:rsid w:val="7A427685"/>
    <w:rsid w:val="7A4339D0"/>
    <w:rsid w:val="7A462A03"/>
    <w:rsid w:val="7A4E467C"/>
    <w:rsid w:val="7A5275FA"/>
    <w:rsid w:val="7A6B6017"/>
    <w:rsid w:val="7A737492"/>
    <w:rsid w:val="7A745707"/>
    <w:rsid w:val="7A751BAF"/>
    <w:rsid w:val="7A7C01D3"/>
    <w:rsid w:val="7A8265E1"/>
    <w:rsid w:val="7A8316F8"/>
    <w:rsid w:val="7A866BA8"/>
    <w:rsid w:val="7A89335E"/>
    <w:rsid w:val="7AAC4033"/>
    <w:rsid w:val="7AB3493C"/>
    <w:rsid w:val="7AC51B7A"/>
    <w:rsid w:val="7ACA1F6C"/>
    <w:rsid w:val="7ACC2F08"/>
    <w:rsid w:val="7AD61FD9"/>
    <w:rsid w:val="7AE00329"/>
    <w:rsid w:val="7AE00762"/>
    <w:rsid w:val="7AE70D64"/>
    <w:rsid w:val="7AE83ABA"/>
    <w:rsid w:val="7AEA338E"/>
    <w:rsid w:val="7AEF309B"/>
    <w:rsid w:val="7AF025F3"/>
    <w:rsid w:val="7AFD57B8"/>
    <w:rsid w:val="7AFE508C"/>
    <w:rsid w:val="7AFF2AEA"/>
    <w:rsid w:val="7B033ECF"/>
    <w:rsid w:val="7B0C59FB"/>
    <w:rsid w:val="7B0F0886"/>
    <w:rsid w:val="7B1276D7"/>
    <w:rsid w:val="7B132D5F"/>
    <w:rsid w:val="7B1E128A"/>
    <w:rsid w:val="7B1E4B28"/>
    <w:rsid w:val="7B2014A6"/>
    <w:rsid w:val="7B264EA2"/>
    <w:rsid w:val="7B2C39A7"/>
    <w:rsid w:val="7B3F5E27"/>
    <w:rsid w:val="7B450F0D"/>
    <w:rsid w:val="7B4A207F"/>
    <w:rsid w:val="7B511DD7"/>
    <w:rsid w:val="7B51340D"/>
    <w:rsid w:val="7B580C40"/>
    <w:rsid w:val="7B671128"/>
    <w:rsid w:val="7B672C31"/>
    <w:rsid w:val="7B686D42"/>
    <w:rsid w:val="7B690757"/>
    <w:rsid w:val="7B6B0973"/>
    <w:rsid w:val="7B7554BD"/>
    <w:rsid w:val="7B7610C6"/>
    <w:rsid w:val="7B841746"/>
    <w:rsid w:val="7B841A35"/>
    <w:rsid w:val="7B851309"/>
    <w:rsid w:val="7B8B5094"/>
    <w:rsid w:val="7B937ECA"/>
    <w:rsid w:val="7B976652"/>
    <w:rsid w:val="7B9A4A9E"/>
    <w:rsid w:val="7BA06D64"/>
    <w:rsid w:val="7BA34EC4"/>
    <w:rsid w:val="7BA368AC"/>
    <w:rsid w:val="7BB0282A"/>
    <w:rsid w:val="7BB56FDB"/>
    <w:rsid w:val="7BB82F7F"/>
    <w:rsid w:val="7BBB2819"/>
    <w:rsid w:val="7BC6310D"/>
    <w:rsid w:val="7BCC0CE6"/>
    <w:rsid w:val="7BD007D6"/>
    <w:rsid w:val="7BD1454E"/>
    <w:rsid w:val="7BD22797"/>
    <w:rsid w:val="7BE40725"/>
    <w:rsid w:val="7BE67FFA"/>
    <w:rsid w:val="7BE93B15"/>
    <w:rsid w:val="7BEA21EF"/>
    <w:rsid w:val="7BEC1388"/>
    <w:rsid w:val="7BED7F97"/>
    <w:rsid w:val="7BFE0DB3"/>
    <w:rsid w:val="7BFF2E69"/>
    <w:rsid w:val="7C0D22DA"/>
    <w:rsid w:val="7C10161B"/>
    <w:rsid w:val="7C142DB9"/>
    <w:rsid w:val="7C1903CF"/>
    <w:rsid w:val="7C1A7CA3"/>
    <w:rsid w:val="7C330F03"/>
    <w:rsid w:val="7C38637B"/>
    <w:rsid w:val="7C39281F"/>
    <w:rsid w:val="7C3C1278"/>
    <w:rsid w:val="7C5C75AD"/>
    <w:rsid w:val="7C613B24"/>
    <w:rsid w:val="7C6512A0"/>
    <w:rsid w:val="7C684EB3"/>
    <w:rsid w:val="7C686C61"/>
    <w:rsid w:val="7C6C5AC7"/>
    <w:rsid w:val="7C741AA9"/>
    <w:rsid w:val="7C795A0F"/>
    <w:rsid w:val="7C83739B"/>
    <w:rsid w:val="7C855A65"/>
    <w:rsid w:val="7C9B5288"/>
    <w:rsid w:val="7C9E5B84"/>
    <w:rsid w:val="7CAD6984"/>
    <w:rsid w:val="7CB2129F"/>
    <w:rsid w:val="7CB71996"/>
    <w:rsid w:val="7CBC18A7"/>
    <w:rsid w:val="7CC24F7F"/>
    <w:rsid w:val="7CC6544B"/>
    <w:rsid w:val="7CCF49B2"/>
    <w:rsid w:val="7CD7278F"/>
    <w:rsid w:val="7CDF5BDE"/>
    <w:rsid w:val="7CE2043D"/>
    <w:rsid w:val="7CE275B9"/>
    <w:rsid w:val="7CF6267A"/>
    <w:rsid w:val="7CF70083"/>
    <w:rsid w:val="7CFE04D7"/>
    <w:rsid w:val="7D0239FF"/>
    <w:rsid w:val="7D0746CC"/>
    <w:rsid w:val="7D0821F2"/>
    <w:rsid w:val="7D1519D9"/>
    <w:rsid w:val="7D230DDA"/>
    <w:rsid w:val="7D276B1C"/>
    <w:rsid w:val="7D2A03BA"/>
    <w:rsid w:val="7D2C7C8E"/>
    <w:rsid w:val="7D2F777E"/>
    <w:rsid w:val="7D34296B"/>
    <w:rsid w:val="7D3E4DCA"/>
    <w:rsid w:val="7D3E7A94"/>
    <w:rsid w:val="7D423956"/>
    <w:rsid w:val="7D425704"/>
    <w:rsid w:val="7D466226"/>
    <w:rsid w:val="7D4A0A5C"/>
    <w:rsid w:val="7D4B192B"/>
    <w:rsid w:val="7D4C6582"/>
    <w:rsid w:val="7D4E40A8"/>
    <w:rsid w:val="7D4E77B7"/>
    <w:rsid w:val="7D5E40CD"/>
    <w:rsid w:val="7D606B95"/>
    <w:rsid w:val="7D6733BC"/>
    <w:rsid w:val="7D6869EF"/>
    <w:rsid w:val="7D6C2781"/>
    <w:rsid w:val="7D6E474B"/>
    <w:rsid w:val="7D747887"/>
    <w:rsid w:val="7D7F0706"/>
    <w:rsid w:val="7D8049EC"/>
    <w:rsid w:val="7D817139"/>
    <w:rsid w:val="7D847ACA"/>
    <w:rsid w:val="7D87580C"/>
    <w:rsid w:val="7D902913"/>
    <w:rsid w:val="7D910439"/>
    <w:rsid w:val="7D9677FD"/>
    <w:rsid w:val="7DA03BE5"/>
    <w:rsid w:val="7DA306F7"/>
    <w:rsid w:val="7DA95783"/>
    <w:rsid w:val="7DB83C18"/>
    <w:rsid w:val="7DC4436B"/>
    <w:rsid w:val="7DC57B72"/>
    <w:rsid w:val="7DCA27DD"/>
    <w:rsid w:val="7DCD56F2"/>
    <w:rsid w:val="7DD529DC"/>
    <w:rsid w:val="7DD52A07"/>
    <w:rsid w:val="7DDA593C"/>
    <w:rsid w:val="7DDE3EE3"/>
    <w:rsid w:val="7DE0510C"/>
    <w:rsid w:val="7DE254A3"/>
    <w:rsid w:val="7DE3624F"/>
    <w:rsid w:val="7DE60785"/>
    <w:rsid w:val="7DE642E1"/>
    <w:rsid w:val="7DEB0E20"/>
    <w:rsid w:val="7DED7EAA"/>
    <w:rsid w:val="7E0155BF"/>
    <w:rsid w:val="7E074257"/>
    <w:rsid w:val="7E126E05"/>
    <w:rsid w:val="7E24305B"/>
    <w:rsid w:val="7E372D8F"/>
    <w:rsid w:val="7E386B07"/>
    <w:rsid w:val="7E4239DF"/>
    <w:rsid w:val="7E490D14"/>
    <w:rsid w:val="7E561825"/>
    <w:rsid w:val="7E576F8D"/>
    <w:rsid w:val="7E590F57"/>
    <w:rsid w:val="7E5E5134"/>
    <w:rsid w:val="7E6D733B"/>
    <w:rsid w:val="7E755116"/>
    <w:rsid w:val="7E795155"/>
    <w:rsid w:val="7E7C115E"/>
    <w:rsid w:val="7E7F0292"/>
    <w:rsid w:val="7E7F0A31"/>
    <w:rsid w:val="7E9334B2"/>
    <w:rsid w:val="7E9417C7"/>
    <w:rsid w:val="7E971A7F"/>
    <w:rsid w:val="7EA36676"/>
    <w:rsid w:val="7EAD4DFF"/>
    <w:rsid w:val="7EAF501B"/>
    <w:rsid w:val="7EB234A3"/>
    <w:rsid w:val="7EB663A9"/>
    <w:rsid w:val="7EBA751C"/>
    <w:rsid w:val="7EC036FA"/>
    <w:rsid w:val="7EC65EC0"/>
    <w:rsid w:val="7ECF60B0"/>
    <w:rsid w:val="7ED44A81"/>
    <w:rsid w:val="7EDE320A"/>
    <w:rsid w:val="7EE07DCE"/>
    <w:rsid w:val="7EE10F4C"/>
    <w:rsid w:val="7EE22F44"/>
    <w:rsid w:val="7EE52395"/>
    <w:rsid w:val="7EEC135F"/>
    <w:rsid w:val="7EF16182"/>
    <w:rsid w:val="7EF26CB5"/>
    <w:rsid w:val="7EFA3546"/>
    <w:rsid w:val="7EFB0260"/>
    <w:rsid w:val="7EFE1AFE"/>
    <w:rsid w:val="7F001CE7"/>
    <w:rsid w:val="7F005876"/>
    <w:rsid w:val="7F016EF9"/>
    <w:rsid w:val="7F08018B"/>
    <w:rsid w:val="7F0C421B"/>
    <w:rsid w:val="7F141322"/>
    <w:rsid w:val="7F17671C"/>
    <w:rsid w:val="7F1B620C"/>
    <w:rsid w:val="7F1D01D6"/>
    <w:rsid w:val="7F1E7AAB"/>
    <w:rsid w:val="7F1F1A06"/>
    <w:rsid w:val="7F2350C1"/>
    <w:rsid w:val="7F277C05"/>
    <w:rsid w:val="7F4A6AF1"/>
    <w:rsid w:val="7F4E570E"/>
    <w:rsid w:val="7F606DDB"/>
    <w:rsid w:val="7F686F78"/>
    <w:rsid w:val="7F6C2F0C"/>
    <w:rsid w:val="7F6D458E"/>
    <w:rsid w:val="7F736048"/>
    <w:rsid w:val="7F8042C1"/>
    <w:rsid w:val="7F88755C"/>
    <w:rsid w:val="7F8F6BFA"/>
    <w:rsid w:val="7F983D01"/>
    <w:rsid w:val="7F9B734D"/>
    <w:rsid w:val="7F9D45D1"/>
    <w:rsid w:val="7FA2692E"/>
    <w:rsid w:val="7FAB3A34"/>
    <w:rsid w:val="7FBE4DEA"/>
    <w:rsid w:val="7FC35AEC"/>
    <w:rsid w:val="7FC423E0"/>
    <w:rsid w:val="7FCD0361"/>
    <w:rsid w:val="7FCF160C"/>
    <w:rsid w:val="7FD91FF5"/>
    <w:rsid w:val="7FE24F7C"/>
    <w:rsid w:val="7FE47E50"/>
    <w:rsid w:val="7FE9455C"/>
    <w:rsid w:val="7FED08D2"/>
    <w:rsid w:val="7FF1407D"/>
    <w:rsid w:val="7FF505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qFormat="1"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iPriority="99"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qFormat="1" w:unhideWhenUsed="0" w:uiPriority="99"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1"/>
    <w:next w:val="1"/>
    <w:qFormat/>
    <w:locked/>
    <w:uiPriority w:val="0"/>
    <w:pPr>
      <w:keepNext/>
      <w:spacing w:line="360" w:lineRule="auto"/>
      <w:outlineLvl w:val="1"/>
    </w:pPr>
    <w:rPr>
      <w:sz w:val="28"/>
    </w:rPr>
  </w:style>
  <w:style w:type="paragraph" w:styleId="4">
    <w:name w:val="heading 3"/>
    <w:basedOn w:val="1"/>
    <w:next w:val="1"/>
    <w:qFormat/>
    <w:locked/>
    <w:uiPriority w:val="0"/>
    <w:pPr>
      <w:keepNext/>
      <w:keepLines/>
      <w:spacing w:before="260" w:after="260" w:line="413" w:lineRule="auto"/>
      <w:outlineLvl w:val="2"/>
    </w:pPr>
    <w:rPr>
      <w:b/>
      <w:sz w:val="32"/>
    </w:rPr>
  </w:style>
  <w:style w:type="paragraph" w:styleId="5">
    <w:name w:val="heading 4"/>
    <w:basedOn w:val="1"/>
    <w:next w:val="1"/>
    <w:qFormat/>
    <w:locked/>
    <w:uiPriority w:val="0"/>
    <w:pPr>
      <w:keepNext/>
      <w:keepLines/>
      <w:spacing w:before="280" w:after="290" w:line="372" w:lineRule="auto"/>
      <w:outlineLvl w:val="3"/>
    </w:pPr>
    <w:rPr>
      <w:rFonts w:ascii="Arial" w:hAnsi="Arial" w:eastAsia="黑体"/>
      <w:b/>
      <w:sz w:val="28"/>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locked/>
    <w:uiPriority w:val="99"/>
    <w:pPr>
      <w:ind w:firstLine="420"/>
    </w:pPr>
    <w:rPr>
      <w:sz w:val="24"/>
      <w:szCs w:val="20"/>
    </w:rPr>
  </w:style>
  <w:style w:type="paragraph" w:styleId="7">
    <w:name w:val="caption"/>
    <w:basedOn w:val="1"/>
    <w:next w:val="1"/>
    <w:qFormat/>
    <w:locked/>
    <w:uiPriority w:val="35"/>
    <w:rPr>
      <w:rFonts w:ascii="Arial" w:hAnsi="Arial" w:eastAsia="黑体"/>
      <w:sz w:val="20"/>
    </w:rPr>
  </w:style>
  <w:style w:type="paragraph" w:styleId="8">
    <w:name w:val="annotation text"/>
    <w:basedOn w:val="1"/>
    <w:link w:val="37"/>
    <w:semiHidden/>
    <w:qFormat/>
    <w:uiPriority w:val="0"/>
    <w:pPr>
      <w:jc w:val="left"/>
    </w:pPr>
    <w:rPr>
      <w:kern w:val="0"/>
      <w:sz w:val="24"/>
      <w:szCs w:val="20"/>
    </w:rPr>
  </w:style>
  <w:style w:type="paragraph" w:styleId="9">
    <w:name w:val="Body Text"/>
    <w:basedOn w:val="1"/>
    <w:link w:val="38"/>
    <w:qFormat/>
    <w:uiPriority w:val="0"/>
    <w:pPr>
      <w:widowControl/>
      <w:snapToGrid w:val="0"/>
      <w:spacing w:before="60" w:after="160" w:line="259" w:lineRule="auto"/>
      <w:ind w:right="113"/>
    </w:pPr>
    <w:rPr>
      <w:kern w:val="0"/>
      <w:sz w:val="18"/>
      <w:szCs w:val="20"/>
    </w:rPr>
  </w:style>
  <w:style w:type="paragraph" w:styleId="10">
    <w:name w:val="Body Text Indent"/>
    <w:basedOn w:val="1"/>
    <w:link w:val="35"/>
    <w:qFormat/>
    <w:uiPriority w:val="0"/>
    <w:pPr>
      <w:spacing w:after="120"/>
      <w:ind w:left="420" w:leftChars="200"/>
    </w:pPr>
    <w:rPr>
      <w:kern w:val="0"/>
      <w:sz w:val="24"/>
      <w:szCs w:val="20"/>
    </w:rPr>
  </w:style>
  <w:style w:type="paragraph" w:styleId="11">
    <w:name w:val="Block Text"/>
    <w:basedOn w:val="1"/>
    <w:qFormat/>
    <w:locked/>
    <w:uiPriority w:val="0"/>
    <w:pPr>
      <w:autoSpaceDE w:val="0"/>
      <w:autoSpaceDN w:val="0"/>
      <w:adjustRightInd w:val="0"/>
      <w:spacing w:line="480" w:lineRule="auto"/>
      <w:ind w:left="57" w:right="57" w:firstLine="570"/>
    </w:pPr>
    <w:rPr>
      <w:rFonts w:hint="eastAsia" w:ascii="仿宋_GB2312" w:hAnsi="宋体" w:eastAsia="仿宋_GB2312"/>
      <w:b/>
      <w:color w:val="000000"/>
      <w:kern w:val="0"/>
      <w:sz w:val="28"/>
      <w:szCs w:val="20"/>
    </w:rPr>
  </w:style>
  <w:style w:type="paragraph" w:styleId="12">
    <w:name w:val="Plain Text"/>
    <w:basedOn w:val="1"/>
    <w:qFormat/>
    <w:locked/>
    <w:uiPriority w:val="0"/>
    <w:rPr>
      <w:rFonts w:ascii="宋体" w:hAnsi="Courier New" w:cs="Courier New"/>
      <w:szCs w:val="21"/>
    </w:rPr>
  </w:style>
  <w:style w:type="paragraph" w:styleId="13">
    <w:name w:val="Date"/>
    <w:basedOn w:val="1"/>
    <w:next w:val="1"/>
    <w:link w:val="39"/>
    <w:qFormat/>
    <w:uiPriority w:val="0"/>
    <w:pPr>
      <w:ind w:left="100" w:leftChars="2500"/>
    </w:pPr>
    <w:rPr>
      <w:kern w:val="0"/>
      <w:sz w:val="24"/>
      <w:szCs w:val="20"/>
    </w:rPr>
  </w:style>
  <w:style w:type="paragraph" w:styleId="14">
    <w:name w:val="Body Text Indent 2"/>
    <w:basedOn w:val="1"/>
    <w:link w:val="40"/>
    <w:qFormat/>
    <w:locked/>
    <w:uiPriority w:val="0"/>
    <w:pPr>
      <w:spacing w:after="120" w:line="480" w:lineRule="auto"/>
      <w:ind w:left="420" w:leftChars="200"/>
    </w:pPr>
  </w:style>
  <w:style w:type="paragraph" w:styleId="15">
    <w:name w:val="Balloon Text"/>
    <w:basedOn w:val="1"/>
    <w:link w:val="41"/>
    <w:semiHidden/>
    <w:qFormat/>
    <w:uiPriority w:val="0"/>
    <w:rPr>
      <w:kern w:val="0"/>
      <w:sz w:val="18"/>
      <w:szCs w:val="20"/>
    </w:rPr>
  </w:style>
  <w:style w:type="paragraph" w:styleId="16">
    <w:name w:val="footer"/>
    <w:basedOn w:val="1"/>
    <w:link w:val="42"/>
    <w:qFormat/>
    <w:uiPriority w:val="99"/>
    <w:pPr>
      <w:tabs>
        <w:tab w:val="center" w:pos="4153"/>
        <w:tab w:val="right" w:pos="8306"/>
      </w:tabs>
      <w:snapToGrid w:val="0"/>
      <w:jc w:val="left"/>
    </w:pPr>
    <w:rPr>
      <w:kern w:val="0"/>
      <w:sz w:val="18"/>
      <w:szCs w:val="20"/>
    </w:rPr>
  </w:style>
  <w:style w:type="paragraph" w:styleId="17">
    <w:name w:val="header"/>
    <w:basedOn w:val="1"/>
    <w:next w:val="18"/>
    <w:link w:val="36"/>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8">
    <w:name w:val="样式5"/>
    <w:basedOn w:val="6"/>
    <w:qFormat/>
    <w:uiPriority w:val="0"/>
    <w:pPr>
      <w:spacing w:before="120" w:after="120" w:line="400" w:lineRule="exact"/>
      <w:ind w:firstLine="480"/>
    </w:pPr>
    <w:rPr>
      <w:iCs/>
    </w:rPr>
  </w:style>
  <w:style w:type="paragraph" w:styleId="19">
    <w:name w:val="List"/>
    <w:basedOn w:val="1"/>
    <w:unhideWhenUsed/>
    <w:qFormat/>
    <w:locked/>
    <w:uiPriority w:val="99"/>
    <w:pPr>
      <w:spacing w:before="60" w:after="240" w:line="240" w:lineRule="atLeast"/>
      <w:ind w:left="360" w:hanging="360"/>
      <w:textAlignment w:val="baseline"/>
    </w:pPr>
    <w:rPr>
      <w:b/>
      <w:spacing w:val="20"/>
      <w:kern w:val="0"/>
      <w:sz w:val="28"/>
      <w:szCs w:val="20"/>
    </w:rPr>
  </w:style>
  <w:style w:type="paragraph" w:styleId="20">
    <w:name w:val="toc 6"/>
    <w:basedOn w:val="1"/>
    <w:next w:val="1"/>
    <w:qFormat/>
    <w:locked/>
    <w:uiPriority w:val="0"/>
    <w:pPr>
      <w:ind w:left="1050"/>
      <w:jc w:val="left"/>
    </w:pPr>
    <w:rPr>
      <w:sz w:val="18"/>
      <w:szCs w:val="18"/>
    </w:rPr>
  </w:style>
  <w:style w:type="paragraph" w:styleId="21">
    <w:name w:val="Body Text Indent 3"/>
    <w:basedOn w:val="1"/>
    <w:qFormat/>
    <w:locked/>
    <w:uiPriority w:val="0"/>
    <w:pPr>
      <w:spacing w:line="360" w:lineRule="auto"/>
      <w:ind w:firstLine="480" w:firstLineChars="200"/>
    </w:pPr>
    <w:rPr>
      <w:sz w:val="24"/>
    </w:rPr>
  </w:style>
  <w:style w:type="paragraph" w:styleId="22">
    <w:name w:val="table of figures"/>
    <w:basedOn w:val="1"/>
    <w:next w:val="1"/>
    <w:qFormat/>
    <w:locked/>
    <w:uiPriority w:val="0"/>
    <w:pPr>
      <w:ind w:left="200" w:leftChars="200"/>
    </w:pPr>
    <w:rPr>
      <w:rFonts w:eastAsia="华文宋体"/>
      <w:sz w:val="27"/>
      <w:szCs w:val="20"/>
    </w:rPr>
  </w:style>
  <w:style w:type="paragraph" w:styleId="23">
    <w:name w:val="Normal (Web)"/>
    <w:basedOn w:val="1"/>
    <w:link w:val="43"/>
    <w:qFormat/>
    <w:uiPriority w:val="0"/>
    <w:pPr>
      <w:widowControl/>
      <w:spacing w:before="100" w:beforeAutospacing="1" w:after="100" w:afterAutospacing="1"/>
      <w:jc w:val="left"/>
    </w:pPr>
    <w:rPr>
      <w:rFonts w:ascii="宋体" w:hAnsi="宋体"/>
      <w:kern w:val="0"/>
      <w:sz w:val="24"/>
      <w:szCs w:val="20"/>
    </w:rPr>
  </w:style>
  <w:style w:type="paragraph" w:styleId="24">
    <w:name w:val="annotation subject"/>
    <w:basedOn w:val="8"/>
    <w:next w:val="8"/>
    <w:link w:val="44"/>
    <w:semiHidden/>
    <w:qFormat/>
    <w:uiPriority w:val="0"/>
    <w:rPr>
      <w:b/>
    </w:rPr>
  </w:style>
  <w:style w:type="paragraph" w:styleId="25">
    <w:name w:val="Body Text First Indent 2"/>
    <w:basedOn w:val="10"/>
    <w:next w:val="1"/>
    <w:qFormat/>
    <w:locked/>
    <w:uiPriority w:val="99"/>
    <w:pPr>
      <w:ind w:firstLine="420" w:firstLineChars="200"/>
    </w:pPr>
  </w:style>
  <w:style w:type="table" w:styleId="27">
    <w:name w:val="Table Grid"/>
    <w:basedOn w:val="2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page number"/>
    <w:qFormat/>
    <w:locked/>
    <w:uiPriority w:val="0"/>
  </w:style>
  <w:style w:type="character" w:styleId="30">
    <w:name w:val="annotation reference"/>
    <w:semiHidden/>
    <w:qFormat/>
    <w:uiPriority w:val="0"/>
    <w:rPr>
      <w:sz w:val="21"/>
    </w:rPr>
  </w:style>
  <w:style w:type="paragraph" w:customStyle="1" w:styleId="31">
    <w:name w:val="表头"/>
    <w:basedOn w:val="19"/>
    <w:next w:val="1"/>
    <w:qFormat/>
    <w:uiPriority w:val="0"/>
    <w:pPr>
      <w:tabs>
        <w:tab w:val="left" w:pos="280"/>
      </w:tabs>
      <w:adjustRightInd w:val="0"/>
      <w:spacing w:before="80" w:after="80"/>
    </w:pPr>
    <w:rPr>
      <w:rFonts w:ascii="仿宋_GB2312" w:eastAsia="仿宋_GB2312"/>
      <w:sz w:val="24"/>
    </w:rPr>
  </w:style>
  <w:style w:type="paragraph" w:customStyle="1" w:styleId="32">
    <w:name w:val="正文首行缩进2"/>
    <w:basedOn w:val="14"/>
    <w:next w:val="1"/>
    <w:qFormat/>
    <w:uiPriority w:val="0"/>
    <w:pPr>
      <w:widowControl/>
      <w:spacing w:before="120" w:after="0" w:line="360" w:lineRule="auto"/>
      <w:ind w:left="0" w:leftChars="0" w:firstLine="527"/>
      <w:jc w:val="center"/>
    </w:pPr>
    <w:rPr>
      <w:rFonts w:ascii="宋体" w:hAnsi="宋体"/>
      <w:color w:val="000000"/>
      <w:kern w:val="0"/>
      <w:sz w:val="24"/>
      <w:szCs w:val="20"/>
      <w:lang w:bidi="en-US"/>
    </w:rPr>
  </w:style>
  <w:style w:type="paragraph" w:customStyle="1" w:styleId="33">
    <w:name w:val="表格"/>
    <w:basedOn w:val="1"/>
    <w:next w:val="1"/>
    <w:link w:val="47"/>
    <w:qFormat/>
    <w:uiPriority w:val="0"/>
    <w:pPr>
      <w:adjustRightInd w:val="0"/>
      <w:snapToGrid w:val="0"/>
      <w:spacing w:beforeLines="10" w:afterLines="10" w:line="259" w:lineRule="auto"/>
      <w:jc w:val="center"/>
    </w:pPr>
    <w:rPr>
      <w:rFonts w:ascii="宋体"/>
      <w:kern w:val="0"/>
      <w:szCs w:val="20"/>
    </w:rPr>
  </w:style>
  <w:style w:type="paragraph" w:customStyle="1" w:styleId="34">
    <w:name w:val="样式3"/>
    <w:basedOn w:val="19"/>
    <w:qFormat/>
    <w:uiPriority w:val="0"/>
    <w:pPr>
      <w:keepNext/>
      <w:spacing w:after="60" w:line="600" w:lineRule="exact"/>
      <w:ind w:right="-193" w:firstLine="624"/>
      <w:jc w:val="center"/>
    </w:pPr>
    <w:rPr>
      <w:spacing w:val="10"/>
    </w:rPr>
  </w:style>
  <w:style w:type="character" w:customStyle="1" w:styleId="35">
    <w:name w:val="正文文本缩进 Char"/>
    <w:link w:val="10"/>
    <w:semiHidden/>
    <w:qFormat/>
    <w:locked/>
    <w:uiPriority w:val="0"/>
    <w:rPr>
      <w:rFonts w:ascii="Times New Roman" w:hAnsi="Times New Roman" w:eastAsia="宋体"/>
      <w:sz w:val="24"/>
    </w:rPr>
  </w:style>
  <w:style w:type="character" w:customStyle="1" w:styleId="36">
    <w:name w:val="页眉 Char"/>
    <w:link w:val="17"/>
    <w:qFormat/>
    <w:locked/>
    <w:uiPriority w:val="0"/>
    <w:rPr>
      <w:sz w:val="18"/>
    </w:rPr>
  </w:style>
  <w:style w:type="character" w:customStyle="1" w:styleId="37">
    <w:name w:val="批注文字 Char"/>
    <w:link w:val="8"/>
    <w:qFormat/>
    <w:locked/>
    <w:uiPriority w:val="0"/>
    <w:rPr>
      <w:rFonts w:ascii="Times New Roman" w:hAnsi="Times New Roman" w:eastAsia="宋体"/>
      <w:sz w:val="24"/>
    </w:rPr>
  </w:style>
  <w:style w:type="character" w:customStyle="1" w:styleId="38">
    <w:name w:val="正文文本 Char"/>
    <w:link w:val="9"/>
    <w:qFormat/>
    <w:locked/>
    <w:uiPriority w:val="0"/>
    <w:rPr>
      <w:sz w:val="18"/>
    </w:rPr>
  </w:style>
  <w:style w:type="character" w:customStyle="1" w:styleId="39">
    <w:name w:val="日期 Char"/>
    <w:link w:val="13"/>
    <w:qFormat/>
    <w:locked/>
    <w:uiPriority w:val="0"/>
    <w:rPr>
      <w:rFonts w:ascii="Times New Roman" w:hAnsi="Times New Roman" w:eastAsia="宋体"/>
      <w:sz w:val="24"/>
    </w:rPr>
  </w:style>
  <w:style w:type="character" w:customStyle="1" w:styleId="40">
    <w:name w:val="正文文本缩进 2 Char"/>
    <w:link w:val="14"/>
    <w:qFormat/>
    <w:uiPriority w:val="0"/>
    <w:rPr>
      <w:kern w:val="2"/>
      <w:sz w:val="21"/>
      <w:szCs w:val="24"/>
    </w:rPr>
  </w:style>
  <w:style w:type="character" w:customStyle="1" w:styleId="41">
    <w:name w:val="批注框文本 Char"/>
    <w:link w:val="15"/>
    <w:semiHidden/>
    <w:qFormat/>
    <w:locked/>
    <w:uiPriority w:val="0"/>
    <w:rPr>
      <w:rFonts w:ascii="Times New Roman" w:hAnsi="Times New Roman" w:eastAsia="宋体"/>
      <w:sz w:val="18"/>
    </w:rPr>
  </w:style>
  <w:style w:type="character" w:customStyle="1" w:styleId="42">
    <w:name w:val="页脚 Char"/>
    <w:link w:val="16"/>
    <w:qFormat/>
    <w:locked/>
    <w:uiPriority w:val="99"/>
    <w:rPr>
      <w:sz w:val="18"/>
    </w:rPr>
  </w:style>
  <w:style w:type="character" w:customStyle="1" w:styleId="43">
    <w:name w:val="普通(网站) Char"/>
    <w:link w:val="23"/>
    <w:qFormat/>
    <w:locked/>
    <w:uiPriority w:val="0"/>
    <w:rPr>
      <w:rFonts w:ascii="宋体" w:hAnsi="宋体" w:eastAsia="宋体"/>
      <w:sz w:val="24"/>
    </w:rPr>
  </w:style>
  <w:style w:type="character" w:customStyle="1" w:styleId="44">
    <w:name w:val="批注主题 Char"/>
    <w:link w:val="24"/>
    <w:semiHidden/>
    <w:qFormat/>
    <w:locked/>
    <w:uiPriority w:val="0"/>
    <w:rPr>
      <w:rFonts w:ascii="Times New Roman" w:hAnsi="Times New Roman" w:eastAsia="宋体"/>
      <w:b/>
      <w:kern w:val="2"/>
      <w:sz w:val="24"/>
    </w:rPr>
  </w:style>
  <w:style w:type="paragraph" w:customStyle="1" w:styleId="45">
    <w:name w:val="Default"/>
    <w:basedOn w:val="46"/>
    <w:next w:val="25"/>
    <w:qFormat/>
    <w:uiPriority w:val="0"/>
    <w:pPr>
      <w:autoSpaceDE w:val="0"/>
      <w:autoSpaceDN w:val="0"/>
      <w:adjustRightInd w:val="0"/>
    </w:pPr>
    <w:rPr>
      <w:rFonts w:ascii="宋体" w:hAnsi="Calibri" w:cs="宋体"/>
      <w:sz w:val="24"/>
    </w:rPr>
  </w:style>
  <w:style w:type="paragraph" w:customStyle="1" w:styleId="46">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character" w:customStyle="1" w:styleId="47">
    <w:name w:val="表格 Char"/>
    <w:link w:val="33"/>
    <w:qFormat/>
    <w:locked/>
    <w:uiPriority w:val="0"/>
    <w:rPr>
      <w:rFonts w:ascii="宋体"/>
      <w:sz w:val="21"/>
    </w:rPr>
  </w:style>
  <w:style w:type="paragraph" w:customStyle="1" w:styleId="48">
    <w:name w:val="纯文本1"/>
    <w:basedOn w:val="1"/>
    <w:qFormat/>
    <w:uiPriority w:val="99"/>
    <w:pPr>
      <w:autoSpaceDE w:val="0"/>
      <w:autoSpaceDN w:val="0"/>
      <w:adjustRightInd w:val="0"/>
      <w:textAlignment w:val="baseline"/>
    </w:pPr>
    <w:rPr>
      <w:rFonts w:ascii="宋体"/>
      <w:szCs w:val="20"/>
    </w:rPr>
  </w:style>
  <w:style w:type="paragraph" w:customStyle="1" w:styleId="49">
    <w:name w:val="UserStyle_0"/>
    <w:qFormat/>
    <w:uiPriority w:val="0"/>
    <w:pPr>
      <w:textAlignment w:val="baseline"/>
    </w:pPr>
    <w:rPr>
      <w:rFonts w:ascii="宋体" w:hAnsi="Calibri" w:eastAsia="宋体" w:cs="Times New Roman"/>
      <w:color w:val="000000"/>
      <w:sz w:val="24"/>
      <w:szCs w:val="24"/>
      <w:lang w:val="en-US" w:eastAsia="zh-CN" w:bidi="ar-SA"/>
    </w:rPr>
  </w:style>
  <w:style w:type="character" w:customStyle="1" w:styleId="50">
    <w:name w:val="正文文本 Char Char"/>
    <w:qFormat/>
    <w:uiPriority w:val="0"/>
    <w:rPr>
      <w:rFonts w:ascii="宋体" w:eastAsia="宋体"/>
      <w:sz w:val="28"/>
      <w:lang w:val="en-US" w:eastAsia="zh-CN" w:bidi="ar-SA"/>
    </w:rPr>
  </w:style>
  <w:style w:type="character" w:customStyle="1" w:styleId="51">
    <w:name w:val="font01"/>
    <w:qFormat/>
    <w:uiPriority w:val="0"/>
    <w:rPr>
      <w:rFonts w:hint="eastAsia" w:ascii="宋体" w:hAnsi="宋体" w:eastAsia="宋体" w:cs="宋体"/>
      <w:color w:val="000000"/>
      <w:sz w:val="22"/>
      <w:szCs w:val="22"/>
      <w:u w:val="none"/>
      <w:vertAlign w:val="subscript"/>
    </w:rPr>
  </w:style>
  <w:style w:type="character" w:customStyle="1" w:styleId="52">
    <w:name w:val="页脚 字符"/>
    <w:qFormat/>
    <w:uiPriority w:val="99"/>
  </w:style>
  <w:style w:type="character" w:customStyle="1" w:styleId="53">
    <w:name w:val="font21"/>
    <w:qFormat/>
    <w:uiPriority w:val="0"/>
    <w:rPr>
      <w:rFonts w:hint="eastAsia" w:ascii="宋体" w:hAnsi="宋体" w:eastAsia="宋体" w:cs="宋体"/>
      <w:color w:val="000000"/>
      <w:sz w:val="22"/>
      <w:szCs w:val="22"/>
      <w:u w:val="none"/>
    </w:rPr>
  </w:style>
  <w:style w:type="character" w:customStyle="1" w:styleId="54">
    <w:name w:val="font11"/>
    <w:qFormat/>
    <w:uiPriority w:val="0"/>
    <w:rPr>
      <w:rFonts w:hint="eastAsia" w:ascii="宋体" w:hAnsi="宋体" w:eastAsia="宋体" w:cs="宋体"/>
      <w:color w:val="000000"/>
      <w:sz w:val="22"/>
      <w:szCs w:val="22"/>
      <w:u w:val="none"/>
    </w:rPr>
  </w:style>
  <w:style w:type="character" w:customStyle="1" w:styleId="55">
    <w:name w:val="日期 字符"/>
    <w:semiHidden/>
    <w:qFormat/>
    <w:uiPriority w:val="0"/>
    <w:rPr>
      <w:rFonts w:ascii="Times New Roman" w:hAnsi="Times New Roman" w:eastAsia="宋体"/>
      <w:sz w:val="24"/>
    </w:rPr>
  </w:style>
  <w:style w:type="character" w:customStyle="1" w:styleId="56">
    <w:name w:val="正文文本 字符1"/>
    <w:semiHidden/>
    <w:qFormat/>
    <w:uiPriority w:val="0"/>
    <w:rPr>
      <w:rFonts w:ascii="Times New Roman" w:hAnsi="Times New Roman" w:eastAsia="宋体"/>
      <w:sz w:val="24"/>
    </w:rPr>
  </w:style>
  <w:style w:type="character" w:customStyle="1" w:styleId="57">
    <w:name w:val="批注文字 字符1"/>
    <w:semiHidden/>
    <w:qFormat/>
    <w:uiPriority w:val="0"/>
    <w:rPr>
      <w:rFonts w:ascii="Times New Roman" w:hAnsi="Times New Roman" w:eastAsia="宋体"/>
      <w:sz w:val="24"/>
    </w:rPr>
  </w:style>
  <w:style w:type="paragraph" w:customStyle="1" w:styleId="58">
    <w:name w:val="妇幼正文"/>
    <w:basedOn w:val="1"/>
    <w:qFormat/>
    <w:uiPriority w:val="0"/>
    <w:pPr>
      <w:adjustRightInd w:val="0"/>
      <w:spacing w:line="360" w:lineRule="auto"/>
      <w:ind w:firstLine="480" w:firstLineChars="200"/>
    </w:pPr>
    <w:rPr>
      <w:color w:val="000000"/>
      <w:kern w:val="0"/>
      <w:sz w:val="24"/>
    </w:rPr>
  </w:style>
  <w:style w:type="paragraph" w:customStyle="1" w:styleId="59">
    <w:name w:val="表格文字"/>
    <w:basedOn w:val="1"/>
    <w:qFormat/>
    <w:uiPriority w:val="0"/>
    <w:pPr>
      <w:autoSpaceDE w:val="0"/>
      <w:autoSpaceDN w:val="0"/>
      <w:adjustRightInd w:val="0"/>
      <w:snapToGrid w:val="0"/>
      <w:spacing w:beforeLines="20" w:afterLines="20"/>
      <w:jc w:val="center"/>
    </w:pPr>
    <w:rPr>
      <w:rFonts w:ascii="宋体" w:hAnsi="宋体" w:cs="宋体"/>
    </w:rPr>
  </w:style>
  <w:style w:type="paragraph" w:customStyle="1" w:styleId="60">
    <w:name w:val="22222"/>
    <w:basedOn w:val="1"/>
    <w:qFormat/>
    <w:uiPriority w:val="0"/>
    <w:pPr>
      <w:spacing w:line="480" w:lineRule="exact"/>
      <w:ind w:firstLine="480" w:firstLineChars="200"/>
    </w:pPr>
    <w:rPr>
      <w:rFonts w:hAnsi="宋体"/>
      <w:sz w:val="24"/>
    </w:rPr>
  </w:style>
  <w:style w:type="paragraph" w:customStyle="1" w:styleId="61">
    <w:name w:val="_Style 60"/>
    <w:unhideWhenUsed/>
    <w:qFormat/>
    <w:uiPriority w:val="99"/>
    <w:rPr>
      <w:rFonts w:ascii="Times New Roman" w:hAnsi="Times New Roman" w:eastAsia="宋体" w:cs="Times New Roman"/>
      <w:kern w:val="2"/>
      <w:sz w:val="21"/>
      <w:szCs w:val="24"/>
      <w:lang w:val="en-US" w:eastAsia="zh-CN" w:bidi="ar-SA"/>
    </w:rPr>
  </w:style>
  <w:style w:type="paragraph" w:customStyle="1" w:styleId="62">
    <w:name w:val="正文01"/>
    <w:basedOn w:val="1"/>
    <w:qFormat/>
    <w:uiPriority w:val="0"/>
    <w:pPr>
      <w:spacing w:before="60" w:line="460" w:lineRule="exact"/>
      <w:ind w:firstLine="200" w:firstLineChars="200"/>
    </w:pPr>
    <w:rPr>
      <w:sz w:val="24"/>
    </w:rPr>
  </w:style>
  <w:style w:type="paragraph" w:customStyle="1" w:styleId="63">
    <w:name w:val="表标题"/>
    <w:basedOn w:val="1"/>
    <w:qFormat/>
    <w:uiPriority w:val="0"/>
    <w:pPr>
      <w:widowControl/>
      <w:snapToGrid w:val="0"/>
      <w:spacing w:before="120" w:afterLines="50"/>
      <w:ind w:firstLine="482"/>
      <w:jc w:val="center"/>
    </w:pPr>
    <w:rPr>
      <w:rFonts w:ascii="黑体" w:hAnsi="Gloucester MT Extra Condensed" w:eastAsia="黑体"/>
      <w:bCs/>
      <w:szCs w:val="21"/>
    </w:rPr>
  </w:style>
  <w:style w:type="paragraph" w:customStyle="1" w:styleId="64">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5">
    <w:name w:val="惠泽正文"/>
    <w:basedOn w:val="1"/>
    <w:qFormat/>
    <w:uiPriority w:val="0"/>
    <w:pPr>
      <w:spacing w:line="480" w:lineRule="exact"/>
      <w:ind w:firstLine="480" w:firstLineChars="200"/>
    </w:pPr>
    <w:rPr>
      <w:rFonts w:hAnsi="宋体" w:cs="宋体"/>
      <w:sz w:val="24"/>
      <w:szCs w:val="20"/>
    </w:rPr>
  </w:style>
  <w:style w:type="paragraph" w:customStyle="1" w:styleId="66">
    <w:name w:val="惠泽表格"/>
    <w:basedOn w:val="1"/>
    <w:qFormat/>
    <w:uiPriority w:val="0"/>
    <w:pPr>
      <w:spacing w:line="480" w:lineRule="exact"/>
      <w:jc w:val="center"/>
    </w:pPr>
    <w:rPr>
      <w:rFonts w:ascii="黑体" w:hAnsi="黑体" w:eastAsia="黑体" w:cs="宋体"/>
      <w:sz w:val="24"/>
      <w:szCs w:val="20"/>
    </w:rPr>
  </w:style>
  <w:style w:type="paragraph" w:customStyle="1" w:styleId="67">
    <w:name w:val="biaotou"/>
    <w:basedOn w:val="9"/>
    <w:qFormat/>
    <w:uiPriority w:val="99"/>
    <w:pPr>
      <w:spacing w:after="0" w:line="460" w:lineRule="exact"/>
      <w:jc w:val="center"/>
    </w:pPr>
    <w:rPr>
      <w:rFonts w:ascii="黑体" w:hAnsi="黑体" w:eastAsia="黑体" w:cs="宋体"/>
      <w:sz w:val="24"/>
    </w:rPr>
  </w:style>
  <w:style w:type="paragraph" w:customStyle="1" w:styleId="68">
    <w:name w:val="样式 首行缩进:  2 字符"/>
    <w:basedOn w:val="1"/>
    <w:qFormat/>
    <w:uiPriority w:val="0"/>
    <w:pPr>
      <w:snapToGrid w:val="0"/>
      <w:spacing w:line="360" w:lineRule="auto"/>
      <w:ind w:firstLine="200" w:firstLineChars="200"/>
    </w:pPr>
    <w:rPr>
      <w:rFonts w:ascii="宋体" w:cs="宋体"/>
      <w:sz w:val="28"/>
      <w:szCs w:val="20"/>
    </w:rPr>
  </w:style>
  <w:style w:type="paragraph" w:customStyle="1" w:styleId="69">
    <w:name w:val="中文"/>
    <w:basedOn w:val="1"/>
    <w:qFormat/>
    <w:uiPriority w:val="0"/>
    <w:pPr>
      <w:widowControl/>
      <w:spacing w:line="360" w:lineRule="auto"/>
      <w:ind w:firstLine="200" w:firstLineChars="200"/>
    </w:pPr>
    <w:rPr>
      <w:rFonts w:cs="宋体"/>
      <w:kern w:val="0"/>
      <w:sz w:val="24"/>
      <w:lang w:eastAsia="en-US"/>
    </w:rPr>
  </w:style>
  <w:style w:type="paragraph" w:customStyle="1" w:styleId="70">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1">
    <w:name w:val="标准段落"/>
    <w:basedOn w:val="1"/>
    <w:next w:val="1"/>
    <w:qFormat/>
    <w:uiPriority w:val="0"/>
    <w:pPr>
      <w:spacing w:line="360" w:lineRule="auto"/>
      <w:ind w:firstLine="480" w:firstLineChars="200"/>
    </w:pPr>
    <w:rPr>
      <w:kern w:val="0"/>
      <w:sz w:val="24"/>
    </w:rPr>
  </w:style>
  <w:style w:type="paragraph" w:customStyle="1" w:styleId="72">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3">
    <w:name w:val="报告表正文"/>
    <w:basedOn w:val="1"/>
    <w:qFormat/>
    <w:uiPriority w:val="99"/>
    <w:pPr>
      <w:adjustRightInd w:val="0"/>
      <w:spacing w:line="312" w:lineRule="auto"/>
      <w:ind w:left="113" w:right="113" w:firstLine="482"/>
      <w:jc w:val="left"/>
      <w:textAlignment w:val="baseline"/>
    </w:pPr>
    <w:rPr>
      <w:kern w:val="0"/>
      <w:sz w:val="24"/>
    </w:rPr>
  </w:style>
  <w:style w:type="paragraph" w:customStyle="1" w:styleId="74">
    <w:name w:val="正文格式"/>
    <w:basedOn w:val="75"/>
    <w:qFormat/>
    <w:uiPriority w:val="0"/>
    <w:pPr>
      <w:ind w:firstLine="480"/>
    </w:pPr>
  </w:style>
  <w:style w:type="paragraph" w:customStyle="1" w:styleId="75">
    <w:name w:val="样式 (符号) 宋体 小四 首行缩进:  0.95 厘米 行距: 1.5 倍行距"/>
    <w:basedOn w:val="1"/>
    <w:qFormat/>
    <w:uiPriority w:val="0"/>
    <w:pPr>
      <w:spacing w:line="360" w:lineRule="auto"/>
      <w:ind w:firstLine="200" w:firstLineChars="200"/>
    </w:pPr>
    <w:rPr>
      <w:rFonts w:hAnsi="宋体"/>
      <w:sz w:val="24"/>
      <w:szCs w:val="20"/>
    </w:rPr>
  </w:style>
  <w:style w:type="paragraph" w:customStyle="1" w:styleId="76">
    <w:name w:val="样式 标题 1一级标题 + 段前: 0.5 行 段后: 0.5 行"/>
    <w:basedOn w:val="3"/>
    <w:qFormat/>
    <w:uiPriority w:val="99"/>
    <w:pPr>
      <w:spacing w:line="320" w:lineRule="exact"/>
      <w:outlineLvl w:val="9"/>
    </w:pPr>
    <w:rPr>
      <w:spacing w:val="-6"/>
      <w:sz w:val="21"/>
      <w:szCs w:val="21"/>
    </w:rPr>
  </w:style>
  <w:style w:type="paragraph" w:customStyle="1" w:styleId="77">
    <w:name w:val="至科表头"/>
    <w:basedOn w:val="1"/>
    <w:qFormat/>
    <w:uiPriority w:val="0"/>
    <w:pPr>
      <w:jc w:val="center"/>
    </w:pPr>
    <w:rPr>
      <w:rFonts w:ascii="宋体" w:hAnsi="宋体" w:cs="宋体"/>
      <w:b/>
      <w:bCs/>
      <w:szCs w:val="21"/>
    </w:rPr>
  </w:style>
  <w:style w:type="paragraph" w:customStyle="1" w:styleId="78">
    <w:name w:val="至科正文"/>
    <w:basedOn w:val="1"/>
    <w:qFormat/>
    <w:uiPriority w:val="0"/>
    <w:pPr>
      <w:spacing w:line="360" w:lineRule="auto"/>
      <w:ind w:firstLine="720" w:firstLineChars="200"/>
      <w:jc w:val="left"/>
    </w:pPr>
    <w:rPr>
      <w:rFonts w:ascii="宋体" w:hAnsi="宋体" w:cs="宋体"/>
      <w:bCs/>
      <w:sz w:val="24"/>
      <w:szCs w:val="21"/>
    </w:rPr>
  </w:style>
  <w:style w:type="paragraph" w:customStyle="1" w:styleId="79">
    <w:name w:val="Char"/>
    <w:basedOn w:val="1"/>
    <w:qFormat/>
    <w:uiPriority w:val="0"/>
  </w:style>
  <w:style w:type="paragraph" w:customStyle="1" w:styleId="80">
    <w:name w:val="报告正文"/>
    <w:basedOn w:val="1"/>
    <w:qFormat/>
    <w:uiPriority w:val="0"/>
    <w:pPr>
      <w:adjustRightInd w:val="0"/>
      <w:snapToGrid w:val="0"/>
      <w:spacing w:line="360" w:lineRule="auto"/>
      <w:ind w:firstLine="720" w:firstLineChars="200"/>
    </w:pPr>
    <w:rPr>
      <w:sz w:val="24"/>
    </w:rPr>
  </w:style>
  <w:style w:type="character" w:customStyle="1" w:styleId="81">
    <w:name w:val="样式 宋体"/>
    <w:qFormat/>
    <w:uiPriority w:val="0"/>
    <w:rPr>
      <w:rFonts w:ascii="Times New Roman" w:hAnsi="Times New Roman" w:eastAsia="宋体"/>
      <w:sz w:val="24"/>
      <w:vertAlign w:val="baseline"/>
    </w:rPr>
  </w:style>
  <w:style w:type="paragraph" w:customStyle="1" w:styleId="82">
    <w:name w:val="样式4"/>
    <w:basedOn w:val="83"/>
    <w:qFormat/>
    <w:uiPriority w:val="0"/>
    <w:pPr>
      <w:tabs>
        <w:tab w:val="right" w:leader="dot" w:pos="8607"/>
        <w:tab w:val="right" w:leader="dot" w:pos="8891"/>
      </w:tabs>
      <w:spacing w:line="240" w:lineRule="auto"/>
      <w:ind w:firstLine="0"/>
      <w:jc w:val="center"/>
    </w:pPr>
  </w:style>
  <w:style w:type="paragraph" w:customStyle="1" w:styleId="83">
    <w:name w:val="样式1"/>
    <w:basedOn w:val="6"/>
    <w:next w:val="1"/>
    <w:unhideWhenUsed/>
    <w:qFormat/>
    <w:uiPriority w:val="0"/>
    <w:pPr>
      <w:spacing w:line="360" w:lineRule="exact"/>
    </w:pPr>
  </w:style>
  <w:style w:type="paragraph" w:customStyle="1" w:styleId="84">
    <w:name w:val="威嘉生物 表格"/>
    <w:basedOn w:val="1"/>
    <w:qFormat/>
    <w:uiPriority w:val="0"/>
    <w:pPr>
      <w:jc w:val="center"/>
    </w:pPr>
    <w:rPr>
      <w:rFonts w:hint="eastAsia"/>
      <w:b/>
    </w:rPr>
  </w:style>
  <w:style w:type="paragraph" w:customStyle="1" w:styleId="85">
    <w:name w:val="正文文字"/>
    <w:basedOn w:val="1"/>
    <w:qFormat/>
    <w:uiPriority w:val="0"/>
    <w:pPr>
      <w:spacing w:line="360" w:lineRule="auto"/>
      <w:ind w:firstLine="880" w:firstLineChars="200"/>
    </w:pPr>
    <w:rPr>
      <w:rFonts w:hint="eastAsia"/>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emf"/><Relationship Id="rId11" Type="http://schemas.openxmlformats.org/officeDocument/2006/relationships/oleObject" Target="embeddings/oleObject1.bin"/><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U1ODMzMjA0MzM3IiwKCSJHcm91cElkIiA6ICI3NzIyMzcxMjMiLAoJIkltYWdlIiA6ICJpVkJPUncwS0dnb0FBQUFOU1VoRVVnQUFCTW9BQUFPcUNBWUFBQUJ0b0xudEFBQUFBWE5TUjBJQXJzNGM2UUFBSUFCSlJFRlVlSnpzM1h1Y1RmWCt4L0gzV252UEJUUHVaZHdscEhLWjRlanljM1RYUmFXT09pcVJVeVNKSkYyT1VwR2tVSEZLTHQwa0l2ZFRjanU2U0tpRXdSaHlIZE5nR0pjWlpwakwzdnY3KzJQTWJzYnNZUnZEbmhtdjUrUFJvMWxyZmRkM2ZmYk9ySFBXMjNkOXZ4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zSUIvQTA2MUJ6cXhubU9SQUFBQUFFbEZUa1N1UW1DQyIsCgkiVGhlbWUiIDogIiIsCgkiVHlwZSIgOiAiZmxvdyIsCgkiVXNlcklkIiA6ICIiLAoJIlZlcnNpb24iIDogIjcwIgp9Cg=="/>
    </extobj>
    <extobj name="ECB019B1-382A-4266-B25C-5B523AA43C14-2">
      <extobjdata type="ECB019B1-382A-4266-B25C-5B523AA43C14" data="ewoJIkZpbGVJZCIgOiAiMzU1ODM5NDQzMDAzIiwKCSJHcm91cElkIiA6ICI3NzIyMzcxMjMiLAoJIkltYWdlIiA6ICJpVkJPUncwS0dnb0FBQUFOU1VoRVVnQUFCWjBBQUFJQ0NBWUFBQUNrM21NckFBQUFBWE5TUjBJQXJzNGM2UUFBSUFCSlJFRlVlSnpzM1htWUhXV1pNTzducmRQTFNYY0NEWVFRQlNVd3dVQ0RXVVZjNEFOUlFXWlFSUFRIb2pqS3p3M2NQeGhSTktnRHJzT0lNTUZCWmdnREtpZ291Q0FHY1VBRlJUWURBUUtZbUdFSkJKQWxRTzlMMWZkSHVuczZhNTlPT2puZDVMNnZxNi9yMUZ2MVZqMm4rcW0zNmp4ZFhTY0N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55</Pages>
  <Words>14815</Words>
  <Characters>15803</Characters>
  <Lines>255</Lines>
  <Paragraphs>71</Paragraphs>
  <TotalTime>0</TotalTime>
  <ScaleCrop>false</ScaleCrop>
  <LinksUpToDate>false</LinksUpToDate>
  <CharactersWithSpaces>15909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2022-08-22T02:26:00Z</dcterms:created>
  <dc:creator>lhj</dc:creator>
  <cp:lastModifiedBy>富贵</cp:lastModifiedBy>
  <cp:lastPrinted>2024-01-18T02:29:00Z</cp:lastPrinted>
  <dcterms:modified xsi:type="dcterms:W3CDTF">2025-04-14T03:55:02Z</dcterms:modified>
  <dc:title>附件2</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D280F85BA5AA4576940658F2EA7AF3BA_13</vt:lpwstr>
  </property>
  <property fmtid="{D5CDD505-2E9C-101B-9397-08002B2CF9AE}" pid="4" name="KSOTemplateDocerSaveRecord">
    <vt:lpwstr>eyJoZGlkIjoiMjY5YmZlOTk4NGVjNDM3MDZlMmM5MmY3YTY1NzI1NWYiLCJ1c2VySWQiOiI2OTczMDAxMTgifQ==</vt:lpwstr>
  </property>
</Properties>
</file>