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B2171">
      <w:pPr>
        <w:rPr>
          <w:rFonts w:ascii="仿宋_GB2312" w:hAnsi="仿宋_GB2312" w:eastAsia="仿宋_GB2312" w:cs="仿宋_GB2312"/>
          <w:color w:val="auto"/>
          <w:sz w:val="36"/>
          <w:szCs w:val="36"/>
        </w:rPr>
      </w:pPr>
    </w:p>
    <w:p w14:paraId="721A3D10">
      <w:pPr>
        <w:rPr>
          <w:rFonts w:ascii="仿宋_GB2312" w:hAnsi="仿宋_GB2312" w:eastAsia="仿宋_GB2312" w:cs="仿宋_GB2312"/>
          <w:color w:val="auto"/>
          <w:sz w:val="36"/>
          <w:szCs w:val="36"/>
        </w:rPr>
      </w:pPr>
    </w:p>
    <w:p w14:paraId="15AA3721">
      <w:pPr>
        <w:rPr>
          <w:rFonts w:ascii="仿宋_GB2312" w:hAnsi="仿宋_GB2312" w:eastAsia="仿宋_GB2312" w:cs="仿宋_GB2312"/>
          <w:color w:val="auto"/>
          <w:sz w:val="36"/>
          <w:szCs w:val="36"/>
        </w:rPr>
      </w:pPr>
    </w:p>
    <w:p w14:paraId="0F3D62C2">
      <w:pPr>
        <w:rPr>
          <w:rFonts w:ascii="仿宋_GB2312" w:hAnsi="仿宋_GB2312" w:eastAsia="仿宋_GB2312" w:cs="仿宋_GB2312"/>
          <w:color w:val="auto"/>
          <w:sz w:val="36"/>
          <w:szCs w:val="36"/>
        </w:rPr>
      </w:pPr>
    </w:p>
    <w:p w14:paraId="3B9FFE38">
      <w:pPr>
        <w:rPr>
          <w:rFonts w:ascii="仿宋_GB2312" w:hAnsi="仿宋_GB2312" w:eastAsia="仿宋_GB2312" w:cs="仿宋_GB2312"/>
          <w:color w:val="auto"/>
          <w:sz w:val="36"/>
          <w:szCs w:val="36"/>
        </w:rPr>
      </w:pPr>
    </w:p>
    <w:p w14:paraId="104DFBC7">
      <w:pPr>
        <w:adjustRightInd w:val="0"/>
        <w:snapToGrid w:val="0"/>
        <w:jc w:val="center"/>
        <w:outlineLvl w:val="0"/>
        <w:rPr>
          <w:rFonts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08EADEBA">
      <w:pPr>
        <w:adjustRightInd w:val="0"/>
        <w:snapToGrid w:val="0"/>
        <w:spacing w:before="192" w:beforeLines="80"/>
        <w:jc w:val="center"/>
        <w:rPr>
          <w:rFonts w:ascii="楷体_GB2312" w:eastAsia="楷体_GB2312"/>
          <w:bCs/>
          <w:color w:val="auto"/>
          <w:sz w:val="48"/>
          <w:szCs w:val="48"/>
        </w:rPr>
      </w:pPr>
      <w:r>
        <w:rPr>
          <w:rFonts w:hint="eastAsia" w:ascii="楷体_GB2312" w:eastAsia="楷体_GB2312"/>
          <w:bCs/>
          <w:color w:val="auto"/>
          <w:sz w:val="48"/>
          <w:szCs w:val="48"/>
        </w:rPr>
        <w:t>（污染影响类）</w:t>
      </w:r>
    </w:p>
    <w:p w14:paraId="1C2A7847">
      <w:pPr>
        <w:adjustRightInd w:val="0"/>
        <w:snapToGrid w:val="0"/>
        <w:spacing w:line="288" w:lineRule="auto"/>
        <w:jc w:val="center"/>
        <w:rPr>
          <w:rFonts w:ascii="华文仿宋" w:hAnsi="华文仿宋" w:eastAsia="华文仿宋" w:cs="华文仿宋"/>
          <w:color w:val="auto"/>
          <w:kern w:val="44"/>
          <w:sz w:val="44"/>
          <w:szCs w:val="44"/>
        </w:rPr>
      </w:pPr>
    </w:p>
    <w:p w14:paraId="203B7B2B">
      <w:pPr>
        <w:jc w:val="center"/>
        <w:rPr>
          <w:rFonts w:eastAsia="仿宋"/>
          <w:color w:val="auto"/>
          <w:sz w:val="52"/>
          <w:szCs w:val="52"/>
        </w:rPr>
      </w:pPr>
    </w:p>
    <w:p w14:paraId="3720DC15">
      <w:pPr>
        <w:ind w:firstLine="1040"/>
        <w:rPr>
          <w:rFonts w:eastAsia="仿宋"/>
          <w:color w:val="auto"/>
          <w:sz w:val="44"/>
          <w:szCs w:val="44"/>
        </w:rPr>
      </w:pPr>
    </w:p>
    <w:p w14:paraId="2B35A89E">
      <w:pPr>
        <w:ind w:firstLine="1040"/>
        <w:rPr>
          <w:rFonts w:eastAsia="仿宋"/>
          <w:color w:val="auto"/>
          <w:sz w:val="44"/>
          <w:szCs w:val="44"/>
        </w:rPr>
      </w:pPr>
    </w:p>
    <w:p w14:paraId="3C1A8D82">
      <w:pPr>
        <w:pStyle w:val="9"/>
        <w:rPr>
          <w:rFonts w:eastAsia="仿宋"/>
          <w:color w:val="auto"/>
          <w:sz w:val="44"/>
          <w:szCs w:val="44"/>
        </w:rPr>
      </w:pPr>
    </w:p>
    <w:p w14:paraId="1773BBEB">
      <w:pPr>
        <w:pStyle w:val="9"/>
        <w:rPr>
          <w:rFonts w:eastAsia="仿宋"/>
          <w:color w:val="auto"/>
          <w:sz w:val="44"/>
          <w:szCs w:val="44"/>
        </w:rPr>
      </w:pPr>
    </w:p>
    <w:p w14:paraId="601EB4F3">
      <w:pPr>
        <w:pStyle w:val="9"/>
        <w:rPr>
          <w:rFonts w:eastAsia="仿宋"/>
          <w:color w:val="auto"/>
          <w:sz w:val="44"/>
          <w:szCs w:val="44"/>
        </w:rPr>
      </w:pPr>
    </w:p>
    <w:p w14:paraId="0093F313">
      <w:pPr>
        <w:pStyle w:val="9"/>
        <w:rPr>
          <w:rFonts w:eastAsia="仿宋"/>
          <w:color w:val="auto"/>
          <w:sz w:val="44"/>
          <w:szCs w:val="44"/>
        </w:rPr>
      </w:pPr>
    </w:p>
    <w:tbl>
      <w:tblPr>
        <w:tblStyle w:val="27"/>
        <w:tblpPr w:leftFromText="180" w:rightFromText="180" w:vertAnchor="text" w:horzAnchor="page" w:tblpX="1492" w:tblpY="473"/>
        <w:tblOverlap w:val="never"/>
        <w:tblW w:w="0" w:type="auto"/>
        <w:tblInd w:w="0" w:type="dxa"/>
        <w:tblLayout w:type="autofit"/>
        <w:tblCellMar>
          <w:top w:w="0" w:type="dxa"/>
          <w:left w:w="108" w:type="dxa"/>
          <w:bottom w:w="0" w:type="dxa"/>
          <w:right w:w="108" w:type="dxa"/>
        </w:tblCellMar>
      </w:tblPr>
      <w:tblGrid>
        <w:gridCol w:w="3158"/>
        <w:gridCol w:w="5902"/>
      </w:tblGrid>
      <w:tr w14:paraId="6A527554">
        <w:tblPrEx>
          <w:tblCellMar>
            <w:top w:w="0" w:type="dxa"/>
            <w:left w:w="108" w:type="dxa"/>
            <w:bottom w:w="0" w:type="dxa"/>
            <w:right w:w="108" w:type="dxa"/>
          </w:tblCellMar>
        </w:tblPrEx>
        <w:tc>
          <w:tcPr>
            <w:tcW w:w="3158" w:type="dxa"/>
          </w:tcPr>
          <w:p w14:paraId="56744510">
            <w:pPr>
              <w:pStyle w:val="9"/>
              <w:ind w:left="0" w:leftChars="0" w:right="0" w:rightChars="0"/>
              <w:jc w:val="left"/>
              <w:rPr>
                <w:rFonts w:eastAsia="仿宋"/>
                <w:color w:val="auto"/>
                <w:sz w:val="44"/>
                <w:szCs w:val="44"/>
              </w:rPr>
            </w:pPr>
            <w:r>
              <w:rPr>
                <w:rFonts w:hint="eastAsia" w:ascii="仿宋_GB2312" w:eastAsia="仿宋_GB2312"/>
                <w:color w:val="auto"/>
                <w:sz w:val="36"/>
                <w:szCs w:val="36"/>
              </w:rPr>
              <w:t>项  目  名  称：</w:t>
            </w:r>
          </w:p>
        </w:tc>
        <w:tc>
          <w:tcPr>
            <w:tcW w:w="5902" w:type="dxa"/>
          </w:tcPr>
          <w:p w14:paraId="07C1F9D6">
            <w:pPr>
              <w:pStyle w:val="9"/>
              <w:ind w:left="0" w:leftChars="0" w:right="0" w:rightChars="0"/>
              <w:rPr>
                <w:rFonts w:eastAsia="仿宋"/>
                <w:color w:val="auto"/>
                <w:sz w:val="36"/>
                <w:szCs w:val="36"/>
              </w:rPr>
            </w:pPr>
            <w:r>
              <w:rPr>
                <w:rFonts w:hint="eastAsia" w:ascii="仿宋_GB2312" w:eastAsia="仿宋_GB2312"/>
                <w:color w:val="auto"/>
                <w:sz w:val="36"/>
                <w:szCs w:val="36"/>
                <w:u w:val="single"/>
                <w:lang w:val="en-US" w:eastAsia="zh-CN"/>
              </w:rPr>
              <w:t>陕西弘伟生态环保产业园装修垃圾资源化利用项目</w:t>
            </w:r>
            <w:r>
              <w:rPr>
                <w:rFonts w:hint="eastAsia" w:ascii="仿宋_GB2312" w:eastAsia="仿宋_GB2312"/>
                <w:color w:val="auto"/>
                <w:sz w:val="36"/>
                <w:szCs w:val="36"/>
                <w:u w:val="single"/>
              </w:rPr>
              <w:t xml:space="preserve">      </w:t>
            </w:r>
          </w:p>
        </w:tc>
      </w:tr>
      <w:tr w14:paraId="7D43C500">
        <w:tblPrEx>
          <w:tblCellMar>
            <w:top w:w="0" w:type="dxa"/>
            <w:left w:w="108" w:type="dxa"/>
            <w:bottom w:w="0" w:type="dxa"/>
            <w:right w:w="108" w:type="dxa"/>
          </w:tblCellMar>
        </w:tblPrEx>
        <w:tc>
          <w:tcPr>
            <w:tcW w:w="3158" w:type="dxa"/>
          </w:tcPr>
          <w:p w14:paraId="767F21B7">
            <w:pPr>
              <w:pStyle w:val="9"/>
              <w:ind w:left="0" w:leftChars="0" w:right="0" w:rightChars="0"/>
              <w:jc w:val="left"/>
              <w:rPr>
                <w:rFonts w:eastAsia="仿宋"/>
                <w:color w:val="auto"/>
                <w:sz w:val="44"/>
                <w:szCs w:val="44"/>
              </w:rPr>
            </w:pPr>
            <w:r>
              <w:rPr>
                <w:rFonts w:hint="eastAsia" w:ascii="仿宋_GB2312" w:eastAsia="仿宋_GB2312"/>
                <w:color w:val="auto"/>
                <w:sz w:val="36"/>
                <w:szCs w:val="36"/>
              </w:rPr>
              <w:t>建设单位（盖章）：</w:t>
            </w:r>
          </w:p>
        </w:tc>
        <w:tc>
          <w:tcPr>
            <w:tcW w:w="5902" w:type="dxa"/>
          </w:tcPr>
          <w:p w14:paraId="3F246572">
            <w:pPr>
              <w:pStyle w:val="9"/>
              <w:ind w:left="0" w:leftChars="0" w:right="0" w:rightChars="0"/>
              <w:rPr>
                <w:rFonts w:eastAsia="仿宋"/>
                <w:color w:val="auto"/>
                <w:sz w:val="36"/>
                <w:szCs w:val="36"/>
              </w:rPr>
            </w:pPr>
            <w:r>
              <w:rPr>
                <w:rFonts w:hint="eastAsia" w:ascii="仿宋_GB2312" w:eastAsia="仿宋_GB2312"/>
                <w:color w:val="auto"/>
                <w:sz w:val="36"/>
                <w:szCs w:val="36"/>
                <w:u w:val="single"/>
                <w:lang w:val="en-US" w:eastAsia="zh-CN"/>
              </w:rPr>
              <w:t>陕西弘伟生态环保有限公司</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rPr>
              <w:t xml:space="preserve">   </w:t>
            </w:r>
          </w:p>
        </w:tc>
      </w:tr>
      <w:tr w14:paraId="407E17B4">
        <w:tblPrEx>
          <w:tblCellMar>
            <w:top w:w="0" w:type="dxa"/>
            <w:left w:w="108" w:type="dxa"/>
            <w:bottom w:w="0" w:type="dxa"/>
            <w:right w:w="108" w:type="dxa"/>
          </w:tblCellMar>
        </w:tblPrEx>
        <w:tc>
          <w:tcPr>
            <w:tcW w:w="3158" w:type="dxa"/>
          </w:tcPr>
          <w:p w14:paraId="6667FBF8">
            <w:pPr>
              <w:pStyle w:val="9"/>
              <w:ind w:left="0" w:leftChars="0" w:right="0" w:rightChars="0"/>
              <w:jc w:val="left"/>
              <w:rPr>
                <w:rFonts w:eastAsia="仿宋"/>
                <w:color w:val="auto"/>
                <w:sz w:val="44"/>
                <w:szCs w:val="44"/>
              </w:rPr>
            </w:pPr>
            <w:r>
              <w:rPr>
                <w:rFonts w:hint="eastAsia" w:ascii="仿宋_GB2312" w:eastAsia="仿宋_GB2312"/>
                <w:color w:val="auto"/>
                <w:sz w:val="36"/>
                <w:szCs w:val="36"/>
              </w:rPr>
              <w:t>编  制  日  期：</w:t>
            </w:r>
          </w:p>
        </w:tc>
        <w:tc>
          <w:tcPr>
            <w:tcW w:w="5902" w:type="dxa"/>
          </w:tcPr>
          <w:p w14:paraId="4A204F8C">
            <w:pPr>
              <w:pStyle w:val="9"/>
              <w:ind w:left="0" w:leftChars="0" w:right="0" w:rightChars="0"/>
              <w:rPr>
                <w:rFonts w:eastAsia="仿宋"/>
                <w:color w:val="auto"/>
                <w:sz w:val="36"/>
                <w:szCs w:val="36"/>
              </w:rPr>
            </w:pP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202</w:t>
            </w:r>
            <w:r>
              <w:rPr>
                <w:rFonts w:hint="eastAsia" w:ascii="仿宋_GB2312" w:eastAsia="仿宋_GB2312"/>
                <w:color w:val="auto"/>
                <w:sz w:val="36"/>
                <w:szCs w:val="36"/>
                <w:u w:val="single"/>
                <w:lang w:val="en-US" w:eastAsia="zh-CN"/>
              </w:rPr>
              <w:t>5</w:t>
            </w:r>
            <w:r>
              <w:rPr>
                <w:rFonts w:hint="eastAsia" w:ascii="仿宋_GB2312" w:eastAsia="仿宋_GB2312"/>
                <w:color w:val="auto"/>
                <w:sz w:val="36"/>
                <w:szCs w:val="36"/>
                <w:u w:val="single"/>
              </w:rPr>
              <w:t>年</w:t>
            </w:r>
            <w:r>
              <w:rPr>
                <w:rFonts w:hint="eastAsia" w:ascii="仿宋_GB2312" w:eastAsia="仿宋_GB2312"/>
                <w:color w:val="auto"/>
                <w:sz w:val="36"/>
                <w:szCs w:val="36"/>
                <w:u w:val="single"/>
                <w:lang w:val="en-US" w:eastAsia="zh-CN"/>
              </w:rPr>
              <w:t>5</w:t>
            </w:r>
            <w:r>
              <w:rPr>
                <w:rFonts w:hint="eastAsia" w:ascii="仿宋_GB2312" w:eastAsia="仿宋_GB2312"/>
                <w:color w:val="auto"/>
                <w:sz w:val="36"/>
                <w:szCs w:val="36"/>
                <w:u w:val="single"/>
              </w:rPr>
              <w:t xml:space="preserve">月           </w:t>
            </w:r>
          </w:p>
        </w:tc>
      </w:tr>
    </w:tbl>
    <w:p w14:paraId="786054A5">
      <w:pPr>
        <w:pStyle w:val="9"/>
        <w:rPr>
          <w:rFonts w:eastAsia="仿宋"/>
          <w:color w:val="auto"/>
          <w:sz w:val="44"/>
          <w:szCs w:val="44"/>
        </w:rPr>
      </w:pPr>
    </w:p>
    <w:p w14:paraId="5DF469B7">
      <w:pPr>
        <w:adjustRightInd w:val="0"/>
        <w:snapToGrid w:val="0"/>
        <w:spacing w:line="288" w:lineRule="auto"/>
        <w:ind w:firstLine="1040"/>
        <w:rPr>
          <w:rFonts w:ascii="仿宋_GB2312" w:eastAsia="仿宋_GB2312"/>
          <w:color w:val="auto"/>
          <w:sz w:val="36"/>
          <w:szCs w:val="36"/>
          <w:u w:val="single"/>
        </w:rPr>
      </w:pPr>
      <w:bookmarkStart w:id="0" w:name="_Hlk57884087"/>
    </w:p>
    <w:p w14:paraId="695577FF">
      <w:pPr>
        <w:adjustRightInd w:val="0"/>
        <w:snapToGrid w:val="0"/>
        <w:spacing w:line="288" w:lineRule="auto"/>
        <w:ind w:firstLine="1040"/>
        <w:rPr>
          <w:rFonts w:ascii="仿宋_GB2312" w:eastAsia="仿宋_GB2312"/>
          <w:color w:val="auto"/>
          <w:sz w:val="36"/>
          <w:szCs w:val="36"/>
        </w:rPr>
      </w:pPr>
    </w:p>
    <w:bookmarkEnd w:id="0"/>
    <w:p w14:paraId="6A116E2F">
      <w:pPr>
        <w:adjustRightInd w:val="0"/>
        <w:snapToGrid w:val="0"/>
        <w:spacing w:line="288" w:lineRule="auto"/>
        <w:jc w:val="center"/>
        <w:outlineLvl w:val="0"/>
        <w:rPr>
          <w:rFonts w:ascii="楷体_GB2312" w:eastAsia="楷体_GB2312"/>
          <w:color w:val="auto"/>
          <w:sz w:val="36"/>
          <w:szCs w:val="36"/>
        </w:rPr>
      </w:pPr>
      <w:r>
        <w:rPr>
          <w:rFonts w:hint="eastAsia" w:ascii="楷体_GB2312" w:eastAsia="楷体_GB2312"/>
          <w:color w:val="auto"/>
          <w:sz w:val="36"/>
          <w:szCs w:val="36"/>
        </w:rPr>
        <w:t>中华人民共和国生态环境部制</w:t>
      </w:r>
    </w:p>
    <w:p w14:paraId="716E3E36">
      <w:pPr>
        <w:adjustRightInd w:val="0"/>
        <w:snapToGrid w:val="0"/>
        <w:spacing w:line="288" w:lineRule="auto"/>
        <w:ind w:firstLine="1040"/>
        <w:rPr>
          <w:rFonts w:ascii="仿宋_GB2312" w:eastAsia="仿宋_GB2312"/>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135CF50">
      <w:pPr>
        <w:pStyle w:val="7"/>
        <w:rPr>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7668DF46">
      <w:pPr>
        <w:pStyle w:val="7"/>
        <w:rPr>
          <w:color w:val="auto"/>
        </w:rPr>
      </w:pPr>
    </w:p>
    <w:p w14:paraId="2E849F70">
      <w:pPr>
        <w:pStyle w:val="24"/>
        <w:spacing w:before="0" w:beforeAutospacing="0" w:after="0" w:afterAutospacing="0" w:line="360" w:lineRule="auto"/>
        <w:jc w:val="center"/>
        <w:outlineLvl w:val="0"/>
        <w:rPr>
          <w:rFonts w:cs="宋体"/>
          <w:b/>
          <w:bCs/>
          <w:snapToGrid w:val="0"/>
          <w:color w:val="auto"/>
          <w:sz w:val="30"/>
          <w:szCs w:val="30"/>
        </w:rPr>
      </w:pPr>
      <w:r>
        <w:rPr>
          <w:rFonts w:hint="eastAsia" w:cs="宋体"/>
          <w:b/>
          <w:bCs/>
          <w:snapToGrid w:val="0"/>
          <w:color w:val="auto"/>
          <w:sz w:val="30"/>
          <w:szCs w:val="30"/>
        </w:rPr>
        <w:t>一、建设项目基本情况</w:t>
      </w:r>
    </w:p>
    <w:tbl>
      <w:tblPr>
        <w:tblStyle w:val="27"/>
        <w:tblW w:w="88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54"/>
        <w:gridCol w:w="1804"/>
        <w:gridCol w:w="2330"/>
        <w:gridCol w:w="3185"/>
      </w:tblGrid>
      <w:tr w14:paraId="06FFF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C882945">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7316" w:type="dxa"/>
            <w:gridSpan w:val="3"/>
            <w:vAlign w:val="center"/>
          </w:tcPr>
          <w:p w14:paraId="1C276993">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陕西弘伟生态环保产业园</w:t>
            </w:r>
            <w:r>
              <w:rPr>
                <w:rFonts w:hint="eastAsia" w:cs="Times New Roman"/>
                <w:color w:val="auto"/>
                <w:sz w:val="24"/>
                <w:lang w:eastAsia="zh-CN"/>
              </w:rPr>
              <w:t>装修垃圾资源化利用项目</w:t>
            </w:r>
          </w:p>
        </w:tc>
      </w:tr>
      <w:tr w14:paraId="26461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25F5C155">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7316" w:type="dxa"/>
            <w:gridSpan w:val="3"/>
            <w:vAlign w:val="center"/>
          </w:tcPr>
          <w:p w14:paraId="3C6CB44C">
            <w:pPr>
              <w:adjustRightInd w:val="0"/>
              <w:snapToGrid w:val="0"/>
              <w:jc w:val="center"/>
              <w:rPr>
                <w:rFonts w:hint="eastAsia" w:ascii="Times New Roman" w:hAnsi="Times New Roman" w:eastAsia="宋体" w:cs="Times New Roman"/>
                <w:color w:val="auto"/>
                <w:sz w:val="24"/>
                <w:lang w:val="en-US" w:eastAsia="zh-CN"/>
              </w:rPr>
            </w:pPr>
            <w:r>
              <w:rPr>
                <w:rFonts w:hint="eastAsia" w:cs="Times New Roman"/>
                <w:color w:val="auto"/>
                <w:sz w:val="24"/>
                <w:lang w:val="en-US" w:eastAsia="zh-CN"/>
              </w:rPr>
              <w:t>/</w:t>
            </w:r>
          </w:p>
        </w:tc>
      </w:tr>
      <w:tr w14:paraId="1086E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0E28A0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建设单位联系人</w:t>
            </w:r>
          </w:p>
        </w:tc>
        <w:tc>
          <w:tcPr>
            <w:tcW w:w="1804" w:type="dxa"/>
            <w:vAlign w:val="center"/>
          </w:tcPr>
          <w:p w14:paraId="083BC826">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val="en-US" w:eastAsia="zh-CN"/>
              </w:rPr>
              <w:t>刘英妹</w:t>
            </w:r>
          </w:p>
        </w:tc>
        <w:tc>
          <w:tcPr>
            <w:tcW w:w="2330" w:type="dxa"/>
            <w:vAlign w:val="center"/>
          </w:tcPr>
          <w:p w14:paraId="423C802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3182" w:type="dxa"/>
            <w:vAlign w:val="center"/>
          </w:tcPr>
          <w:p w14:paraId="35DDC5D5">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15029900616</w:t>
            </w:r>
          </w:p>
        </w:tc>
      </w:tr>
      <w:tr w14:paraId="43C26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17B163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316" w:type="dxa"/>
            <w:gridSpan w:val="3"/>
            <w:vAlign w:val="center"/>
          </w:tcPr>
          <w:p w14:paraId="4CBD5399">
            <w:pPr>
              <w:adjustRightInd w:val="0"/>
              <w:snapToGrid w:val="0"/>
              <w:jc w:val="center"/>
              <w:rPr>
                <w:rFonts w:hint="default" w:ascii="Times New Roman" w:hAnsi="Times New Roman" w:eastAsia="宋体" w:cs="Times New Roman"/>
                <w:color w:val="auto"/>
                <w:sz w:val="24"/>
                <w:lang w:eastAsia="zh-CN"/>
              </w:rPr>
            </w:pPr>
            <w:r>
              <w:rPr>
                <w:rFonts w:hint="eastAsia" w:cs="Times New Roman"/>
                <w:color w:val="auto"/>
                <w:sz w:val="24"/>
                <w:lang w:eastAsia="zh-CN"/>
              </w:rPr>
              <w:t>陕西省西安市沣东新城斗门街道中奉陵园会场向西200米</w:t>
            </w:r>
          </w:p>
        </w:tc>
      </w:tr>
      <w:tr w14:paraId="50D53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6FE8BFA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316" w:type="dxa"/>
            <w:gridSpan w:val="3"/>
            <w:vAlign w:val="center"/>
          </w:tcPr>
          <w:p w14:paraId="11B57B27">
            <w:pPr>
              <w:jc w:val="center"/>
              <w:rPr>
                <w:rFonts w:hint="default" w:ascii="Times New Roman" w:hAnsi="Times New Roman" w:cs="Times New Roman"/>
                <w:color w:val="auto"/>
                <w:sz w:val="24"/>
              </w:rPr>
            </w:pPr>
            <w:r>
              <w:rPr>
                <w:rFonts w:hint="default" w:ascii="Times New Roman" w:hAnsi="Times New Roman" w:cs="Times New Roman"/>
                <w:color w:val="auto"/>
                <w:sz w:val="24"/>
              </w:rPr>
              <w:t>（东经</w:t>
            </w:r>
            <w:r>
              <w:rPr>
                <w:rFonts w:hint="default" w:ascii="Times New Roman" w:hAnsi="Times New Roman" w:cs="Times New Roman"/>
                <w:color w:val="auto"/>
                <w:sz w:val="24"/>
                <w:u w:val="single"/>
              </w:rPr>
              <w:t xml:space="preserve"> 108 </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u w:val="single"/>
                <w:lang w:val="en-US" w:eastAsia="zh-CN"/>
              </w:rPr>
              <w:t>45</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 xml:space="preserve"> </w:t>
            </w:r>
            <w:r>
              <w:rPr>
                <w:rFonts w:hint="eastAsia" w:cs="Times New Roman"/>
                <w:color w:val="auto"/>
                <w:sz w:val="24"/>
                <w:u w:val="single"/>
                <w:lang w:val="en-US" w:eastAsia="zh-CN"/>
              </w:rPr>
              <w:t>24</w:t>
            </w:r>
            <w:r>
              <w:rPr>
                <w:rFonts w:hint="default" w:ascii="Times New Roman" w:hAnsi="Times New Roman" w:cs="Times New Roman"/>
                <w:color w:val="auto"/>
                <w:sz w:val="24"/>
                <w:u w:val="single"/>
                <w:lang w:val="en-US" w:eastAsia="zh-CN"/>
              </w:rPr>
              <w:t>.37</w:t>
            </w:r>
            <w:r>
              <w:rPr>
                <w:rFonts w:hint="eastAsia" w:cs="Times New Roman"/>
                <w:color w:val="auto"/>
                <w:sz w:val="24"/>
                <w:u w:val="single"/>
                <w:lang w:val="en-US" w:eastAsia="zh-CN"/>
              </w:rPr>
              <w:t>2</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秒，北纬</w:t>
            </w:r>
            <w:r>
              <w:rPr>
                <w:rFonts w:hint="default" w:ascii="Times New Roman" w:hAnsi="Times New Roman" w:cs="Times New Roman"/>
                <w:color w:val="auto"/>
                <w:sz w:val="24"/>
                <w:u w:val="single"/>
              </w:rPr>
              <w:t xml:space="preserve"> 34 </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 xml:space="preserve"> 1</w:t>
            </w:r>
            <w:r>
              <w:rPr>
                <w:rFonts w:hint="default" w:ascii="Times New Roman" w:hAnsi="Times New Roman" w:cs="Times New Roman"/>
                <w:color w:val="auto"/>
                <w:sz w:val="24"/>
                <w:u w:val="single"/>
                <w:lang w:val="en-US" w:eastAsia="zh-CN"/>
              </w:rPr>
              <w:t>0</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 xml:space="preserve"> </w:t>
            </w:r>
            <w:r>
              <w:rPr>
                <w:rFonts w:hint="eastAsia" w:cs="Times New Roman"/>
                <w:color w:val="auto"/>
                <w:sz w:val="24"/>
                <w:u w:val="single"/>
                <w:lang w:val="en-US" w:eastAsia="zh-CN"/>
              </w:rPr>
              <w:t>55</w:t>
            </w:r>
            <w:r>
              <w:rPr>
                <w:rFonts w:hint="default" w:ascii="Times New Roman" w:hAnsi="Times New Roman" w:cs="Times New Roman"/>
                <w:color w:val="auto"/>
                <w:sz w:val="24"/>
                <w:u w:val="single"/>
                <w:lang w:val="en-US" w:eastAsia="zh-CN"/>
              </w:rPr>
              <w:t>.44</w:t>
            </w:r>
            <w:r>
              <w:rPr>
                <w:rFonts w:hint="eastAsia" w:cs="Times New Roman"/>
                <w:color w:val="auto"/>
                <w:sz w:val="24"/>
                <w:u w:val="single"/>
                <w:lang w:val="en-US" w:eastAsia="zh-CN"/>
              </w:rPr>
              <w:t>6</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秒）</w:t>
            </w:r>
          </w:p>
        </w:tc>
      </w:tr>
      <w:tr w14:paraId="06D39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54" w:type="dxa"/>
            <w:tcMar>
              <w:top w:w="16" w:type="dxa"/>
              <w:left w:w="16" w:type="dxa"/>
              <w:right w:w="16" w:type="dxa"/>
            </w:tcMar>
            <w:vAlign w:val="center"/>
          </w:tcPr>
          <w:p w14:paraId="37187EC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49B7CFE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1804" w:type="dxa"/>
            <w:vAlign w:val="center"/>
          </w:tcPr>
          <w:p w14:paraId="77CEC13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C4220非金属废料和碎屑加工处理</w:t>
            </w:r>
          </w:p>
        </w:tc>
        <w:tc>
          <w:tcPr>
            <w:tcW w:w="2330" w:type="dxa"/>
            <w:vAlign w:val="center"/>
          </w:tcPr>
          <w:p w14:paraId="587B5701">
            <w:pPr>
              <w:adjustRightInd w:val="0"/>
              <w:snapToGrid w:val="0"/>
              <w:jc w:val="center"/>
              <w:rPr>
                <w:rFonts w:hint="default" w:ascii="Times New Roman" w:hAnsi="Times New Roman" w:cs="Times New Roman"/>
                <w:color w:val="auto"/>
                <w:sz w:val="24"/>
              </w:rPr>
            </w:pPr>
            <w:bookmarkStart w:id="1" w:name="_Hlk49843745"/>
            <w:r>
              <w:rPr>
                <w:rFonts w:hint="default" w:ascii="Times New Roman" w:hAnsi="Times New Roman" w:cs="Times New Roman"/>
                <w:color w:val="auto"/>
                <w:sz w:val="24"/>
              </w:rPr>
              <w:t>建设项目</w:t>
            </w:r>
          </w:p>
          <w:p w14:paraId="011D18A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1"/>
          </w:p>
        </w:tc>
        <w:tc>
          <w:tcPr>
            <w:tcW w:w="3182" w:type="dxa"/>
            <w:vAlign w:val="center"/>
          </w:tcPr>
          <w:p w14:paraId="7E2A05DB">
            <w:pPr>
              <w:jc w:val="center"/>
              <w:rPr>
                <w:rFonts w:hint="default" w:ascii="Times New Roman" w:hAnsi="Times New Roman" w:cs="Times New Roman"/>
                <w:color w:val="auto"/>
                <w:sz w:val="24"/>
              </w:rPr>
            </w:pPr>
            <w:r>
              <w:rPr>
                <w:rFonts w:hint="default" w:ascii="Times New Roman" w:hAnsi="Times New Roman" w:cs="Times New Roman"/>
                <w:color w:val="auto"/>
                <w:sz w:val="24"/>
              </w:rPr>
              <w:t>四十七、生态保护和环境治理业-</w:t>
            </w:r>
            <w:r>
              <w:rPr>
                <w:rFonts w:hint="default" w:ascii="Times New Roman" w:hAnsi="Times New Roman" w:cs="Times New Roman"/>
                <w:color w:val="auto"/>
                <w:sz w:val="24"/>
                <w:szCs w:val="32"/>
                <w:lang w:val="en-US" w:eastAsia="zh-CN"/>
              </w:rPr>
              <w:t>103一般工业固体废物 （含污水处理污泥）、建筑施工废弃物处置及综合利用</w:t>
            </w:r>
          </w:p>
        </w:tc>
      </w:tr>
      <w:tr w14:paraId="402A36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54" w:type="dxa"/>
            <w:tcMar>
              <w:top w:w="16" w:type="dxa"/>
              <w:left w:w="16" w:type="dxa"/>
              <w:right w:w="16" w:type="dxa"/>
            </w:tcMar>
            <w:vAlign w:val="center"/>
          </w:tcPr>
          <w:p w14:paraId="7365F80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1804" w:type="dxa"/>
            <w:vAlign w:val="center"/>
          </w:tcPr>
          <w:p w14:paraId="6B7661FE">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迁建</w:t>
            </w:r>
          </w:p>
          <w:p w14:paraId="3E2F4E12">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改建</w:t>
            </w:r>
          </w:p>
          <w:p w14:paraId="4D1CF92B">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扩建</w:t>
            </w:r>
          </w:p>
          <w:p w14:paraId="42D0A042">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技术改造</w:t>
            </w:r>
          </w:p>
        </w:tc>
        <w:tc>
          <w:tcPr>
            <w:tcW w:w="2330" w:type="dxa"/>
            <w:vAlign w:val="center"/>
          </w:tcPr>
          <w:p w14:paraId="02086E8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001DD39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3182" w:type="dxa"/>
            <w:vAlign w:val="center"/>
          </w:tcPr>
          <w:p w14:paraId="0CCB5188">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首次申报项目</w:t>
            </w:r>
          </w:p>
          <w:p w14:paraId="67487BC1">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不予批准后再次申报项目</w:t>
            </w:r>
          </w:p>
          <w:p w14:paraId="49938049">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超五年重新审核项目</w:t>
            </w:r>
          </w:p>
          <w:p w14:paraId="1E812C72">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重大变动重新报批项目</w:t>
            </w:r>
          </w:p>
        </w:tc>
      </w:tr>
      <w:tr w14:paraId="1535D0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59" w:hRule="atLeast"/>
          <w:jc w:val="center"/>
        </w:trPr>
        <w:tc>
          <w:tcPr>
            <w:tcW w:w="1554" w:type="dxa"/>
            <w:tcMar>
              <w:top w:w="16" w:type="dxa"/>
              <w:left w:w="16" w:type="dxa"/>
              <w:right w:w="16" w:type="dxa"/>
            </w:tcMar>
            <w:vAlign w:val="center"/>
          </w:tcPr>
          <w:p w14:paraId="3FF06BB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1804" w:type="dxa"/>
            <w:vAlign w:val="center"/>
          </w:tcPr>
          <w:p w14:paraId="4C5C62BD">
            <w:pPr>
              <w:adjustRightInd w:val="0"/>
              <w:snapToGrid w:val="0"/>
              <w:jc w:val="center"/>
              <w:rPr>
                <w:rFonts w:hint="eastAsia" w:ascii="Times New Roman" w:hAnsi="Times New Roman" w:eastAsia="宋体" w:cs="Times New Roman"/>
                <w:color w:val="auto"/>
                <w:sz w:val="24"/>
                <w:lang w:eastAsia="zh-CN"/>
              </w:rPr>
            </w:pPr>
            <w:r>
              <w:rPr>
                <w:rFonts w:hint="eastAsia" w:cs="Times New Roman"/>
                <w:color w:val="auto"/>
                <w:sz w:val="24"/>
                <w:lang w:val="en-US" w:eastAsia="zh-CN"/>
              </w:rPr>
              <w:t>/</w:t>
            </w:r>
          </w:p>
        </w:tc>
        <w:tc>
          <w:tcPr>
            <w:tcW w:w="2330" w:type="dxa"/>
            <w:vAlign w:val="center"/>
          </w:tcPr>
          <w:p w14:paraId="1D8DB5F1">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w:t>
            </w:r>
          </w:p>
          <w:p w14:paraId="23C0CE01">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备案）文号（选填）</w:t>
            </w:r>
          </w:p>
        </w:tc>
        <w:tc>
          <w:tcPr>
            <w:tcW w:w="3182" w:type="dxa"/>
            <w:vAlign w:val="center"/>
          </w:tcPr>
          <w:p w14:paraId="359A26E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14:paraId="7778C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76CBE2BF">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总投资（万元）</w:t>
            </w:r>
          </w:p>
        </w:tc>
        <w:tc>
          <w:tcPr>
            <w:tcW w:w="1804" w:type="dxa"/>
            <w:vAlign w:val="center"/>
          </w:tcPr>
          <w:p w14:paraId="380CD402">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500</w:t>
            </w:r>
          </w:p>
        </w:tc>
        <w:tc>
          <w:tcPr>
            <w:tcW w:w="2330" w:type="dxa"/>
            <w:tcMar>
              <w:top w:w="16" w:type="dxa"/>
              <w:left w:w="16" w:type="dxa"/>
              <w:right w:w="16" w:type="dxa"/>
            </w:tcMar>
            <w:vAlign w:val="center"/>
          </w:tcPr>
          <w:p w14:paraId="1171693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环保投资（万元）</w:t>
            </w:r>
          </w:p>
        </w:tc>
        <w:tc>
          <w:tcPr>
            <w:tcW w:w="3182" w:type="dxa"/>
            <w:vAlign w:val="center"/>
          </w:tcPr>
          <w:p w14:paraId="7DBA6D01">
            <w:pPr>
              <w:adjustRightInd w:val="0"/>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15</w:t>
            </w:r>
          </w:p>
        </w:tc>
      </w:tr>
      <w:tr w14:paraId="3BB36D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628AF821">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1804" w:type="dxa"/>
            <w:vAlign w:val="center"/>
          </w:tcPr>
          <w:p w14:paraId="5B42305E">
            <w:pPr>
              <w:adjustRightInd w:val="0"/>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3</w:t>
            </w:r>
          </w:p>
        </w:tc>
        <w:tc>
          <w:tcPr>
            <w:tcW w:w="2330" w:type="dxa"/>
            <w:tcMar>
              <w:top w:w="16" w:type="dxa"/>
              <w:left w:w="16" w:type="dxa"/>
              <w:right w:w="16" w:type="dxa"/>
            </w:tcMar>
            <w:vAlign w:val="center"/>
          </w:tcPr>
          <w:p w14:paraId="24BFDEF3">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施工工期</w:t>
            </w:r>
          </w:p>
        </w:tc>
        <w:tc>
          <w:tcPr>
            <w:tcW w:w="3182" w:type="dxa"/>
            <w:vAlign w:val="center"/>
          </w:tcPr>
          <w:p w14:paraId="0978AC8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1个月</w:t>
            </w:r>
          </w:p>
        </w:tc>
      </w:tr>
      <w:tr w14:paraId="693D5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07" w:hRule="atLeast"/>
          <w:jc w:val="center"/>
        </w:trPr>
        <w:tc>
          <w:tcPr>
            <w:tcW w:w="1554" w:type="dxa"/>
            <w:tcMar>
              <w:top w:w="16" w:type="dxa"/>
              <w:left w:w="16" w:type="dxa"/>
              <w:right w:w="16" w:type="dxa"/>
            </w:tcMar>
            <w:vAlign w:val="center"/>
          </w:tcPr>
          <w:p w14:paraId="4BA4038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1804" w:type="dxa"/>
            <w:vAlign w:val="center"/>
          </w:tcPr>
          <w:p w14:paraId="2A78D838">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否</w:t>
            </w:r>
          </w:p>
          <w:p w14:paraId="10D67E2D">
            <w:pPr>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是</w:t>
            </w:r>
          </w:p>
        </w:tc>
        <w:tc>
          <w:tcPr>
            <w:tcW w:w="2330" w:type="dxa"/>
            <w:tcMar>
              <w:top w:w="16" w:type="dxa"/>
              <w:left w:w="16" w:type="dxa"/>
              <w:right w:w="16" w:type="dxa"/>
            </w:tcMar>
            <w:vAlign w:val="center"/>
          </w:tcPr>
          <w:p w14:paraId="09ECAA6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pacing w:val="-6"/>
                <w:sz w:val="24"/>
              </w:rPr>
              <w:t>用地面积（m</w:t>
            </w:r>
            <w:r>
              <w:rPr>
                <w:rFonts w:hint="default" w:ascii="Times New Roman" w:hAnsi="Times New Roman" w:cs="Times New Roman"/>
                <w:color w:val="auto"/>
                <w:spacing w:val="-6"/>
                <w:sz w:val="24"/>
                <w:vertAlign w:val="superscript"/>
              </w:rPr>
              <w:t>2</w:t>
            </w:r>
            <w:r>
              <w:rPr>
                <w:rFonts w:hint="default" w:ascii="Times New Roman" w:hAnsi="Times New Roman" w:cs="Times New Roman"/>
                <w:color w:val="auto"/>
                <w:spacing w:val="-6"/>
                <w:sz w:val="24"/>
              </w:rPr>
              <w:t>）</w:t>
            </w:r>
          </w:p>
        </w:tc>
        <w:tc>
          <w:tcPr>
            <w:tcW w:w="3182" w:type="dxa"/>
            <w:vAlign w:val="center"/>
          </w:tcPr>
          <w:p w14:paraId="2D001241">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0</w:t>
            </w:r>
            <w:r>
              <w:rPr>
                <w:rFonts w:hint="default" w:ascii="Times New Roman" w:hAnsi="Times New Roman" w:cs="Times New Roman"/>
                <w:color w:val="auto"/>
                <w:sz w:val="24"/>
              </w:rPr>
              <w:t>（不新增用地）</w:t>
            </w:r>
          </w:p>
        </w:tc>
      </w:tr>
      <w:tr w14:paraId="1CE4A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7ADDE28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7316" w:type="dxa"/>
            <w:gridSpan w:val="3"/>
            <w:vAlign w:val="center"/>
          </w:tcPr>
          <w:p w14:paraId="618B90A9">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0" w:firstLineChars="200"/>
              <w:jc w:val="lef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根据《建设项目环境影响报告表编制技术指南（污染影响类）（试行）》表1设置原则，</w:t>
            </w:r>
            <w:r>
              <w:rPr>
                <w:rFonts w:hint="default" w:ascii="Times New Roman" w:hAnsi="Times New Roman" w:cs="Times New Roman"/>
                <w:color w:val="auto"/>
                <w:kern w:val="0"/>
                <w:sz w:val="24"/>
                <w:szCs w:val="24"/>
                <w:highlight w:val="none"/>
              </w:rPr>
              <w:t>本项目设置环境风险专项评价具体判定情况见下</w:t>
            </w:r>
            <w:r>
              <w:rPr>
                <w:rFonts w:hint="default" w:ascii="Times New Roman" w:hAnsi="Times New Roman" w:cs="Times New Roman"/>
                <w:color w:val="auto"/>
                <w:kern w:val="0"/>
                <w:sz w:val="24"/>
                <w:szCs w:val="24"/>
                <w:highlight w:val="none"/>
                <w:lang w:val="en-US" w:eastAsia="zh-CN"/>
              </w:rPr>
              <w:t>表1-1。</w:t>
            </w:r>
          </w:p>
          <w:p w14:paraId="07465018">
            <w:pPr>
              <w:pStyle w:val="88"/>
              <w:bidi w:val="0"/>
              <w:rPr>
                <w:rFonts w:hint="eastAsia"/>
                <w:color w:val="auto"/>
                <w:sz w:val="24"/>
                <w:szCs w:val="21"/>
                <w:highlight w:val="none"/>
                <w:lang w:val="en-US" w:eastAsia="zh-CN"/>
              </w:rPr>
            </w:pPr>
            <w:r>
              <w:rPr>
                <w:rFonts w:hint="eastAsia"/>
                <w:color w:val="auto"/>
                <w:sz w:val="24"/>
                <w:szCs w:val="21"/>
                <w:highlight w:val="none"/>
                <w:lang w:val="en-US" w:eastAsia="zh-CN"/>
              </w:rPr>
              <w:t>表1-1 专项评价判定情况表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2650"/>
              <w:gridCol w:w="2015"/>
              <w:gridCol w:w="1299"/>
            </w:tblGrid>
            <w:tr w14:paraId="2BF77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2B4B498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b/>
                      <w:bCs/>
                      <w:color w:val="auto"/>
                      <w:highlight w:val="none"/>
                      <w:lang w:val="en-US" w:eastAsia="zh-CN"/>
                    </w:rPr>
                  </w:pPr>
                  <w:r>
                    <w:rPr>
                      <w:rFonts w:hint="eastAsia"/>
                      <w:b/>
                      <w:bCs/>
                      <w:color w:val="auto"/>
                      <w:highlight w:val="none"/>
                      <w:lang w:val="en-US" w:eastAsia="zh-CN"/>
                    </w:rPr>
                    <w:t>专项评价类别</w:t>
                  </w:r>
                </w:p>
              </w:tc>
              <w:tc>
                <w:tcPr>
                  <w:tcW w:w="1865" w:type="pct"/>
                  <w:tcBorders>
                    <w:tl2br w:val="nil"/>
                    <w:tr2bl w:val="nil"/>
                  </w:tcBorders>
                  <w:noWrap w:val="0"/>
                  <w:vAlign w:val="center"/>
                </w:tcPr>
                <w:p w14:paraId="586AEF5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编制技术指南中要求</w:t>
                  </w:r>
                </w:p>
              </w:tc>
              <w:tc>
                <w:tcPr>
                  <w:tcW w:w="1418" w:type="pct"/>
                  <w:tcBorders>
                    <w:tl2br w:val="nil"/>
                    <w:tr2bl w:val="nil"/>
                  </w:tcBorders>
                  <w:noWrap w:val="0"/>
                  <w:vAlign w:val="center"/>
                </w:tcPr>
                <w:p w14:paraId="623F1D5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本项目情况</w:t>
                  </w:r>
                </w:p>
              </w:tc>
              <w:tc>
                <w:tcPr>
                  <w:tcW w:w="914" w:type="pct"/>
                  <w:tcBorders>
                    <w:tl2br w:val="nil"/>
                    <w:tr2bl w:val="nil"/>
                  </w:tcBorders>
                  <w:noWrap w:val="0"/>
                  <w:vAlign w:val="center"/>
                </w:tcPr>
                <w:p w14:paraId="6A2064A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是否设置专项评价</w:t>
                  </w:r>
                </w:p>
              </w:tc>
            </w:tr>
            <w:tr w14:paraId="605821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7D5AA8D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大气</w:t>
                  </w:r>
                </w:p>
              </w:tc>
              <w:tc>
                <w:tcPr>
                  <w:tcW w:w="1865" w:type="pct"/>
                  <w:tcBorders>
                    <w:tl2br w:val="nil"/>
                    <w:tr2bl w:val="nil"/>
                  </w:tcBorders>
                  <w:noWrap w:val="0"/>
                  <w:vAlign w:val="center"/>
                </w:tcPr>
                <w:p w14:paraId="6101316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排放废气含有毒有害污染物、二噁英、苯并[a]芘、氰化物、氯气且厂界外500米范围内有环境空气保护目标的建设项目</w:t>
                  </w:r>
                </w:p>
              </w:tc>
              <w:tc>
                <w:tcPr>
                  <w:tcW w:w="1418" w:type="pct"/>
                  <w:tcBorders>
                    <w:tl2br w:val="nil"/>
                    <w:tr2bl w:val="nil"/>
                  </w:tcBorders>
                  <w:noWrap w:val="0"/>
                  <w:vAlign w:val="center"/>
                </w:tcPr>
                <w:p w14:paraId="2BFEC54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本项目运行过程中排放的废气中不含有毒有害污染物、二噁英、苯并芘、氰化物、氯气</w:t>
                  </w:r>
                </w:p>
              </w:tc>
              <w:tc>
                <w:tcPr>
                  <w:tcW w:w="914" w:type="pct"/>
                  <w:tcBorders>
                    <w:tl2br w:val="nil"/>
                    <w:tr2bl w:val="nil"/>
                  </w:tcBorders>
                  <w:noWrap w:val="0"/>
                  <w:vAlign w:val="center"/>
                </w:tcPr>
                <w:p w14:paraId="64D5E20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307EF5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5807E56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地表水</w:t>
                  </w:r>
                </w:p>
              </w:tc>
              <w:tc>
                <w:tcPr>
                  <w:tcW w:w="1865" w:type="pct"/>
                  <w:tcBorders>
                    <w:tl2br w:val="nil"/>
                    <w:tr2bl w:val="nil"/>
                  </w:tcBorders>
                  <w:noWrap w:val="0"/>
                  <w:vAlign w:val="center"/>
                </w:tcPr>
                <w:p w14:paraId="6B1E93C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新增工业废水直排建设项目（槽罐车外送污水处理厂的除外）；新增废水直排的污水集中处理厂</w:t>
                  </w:r>
                </w:p>
              </w:tc>
              <w:tc>
                <w:tcPr>
                  <w:tcW w:w="1418" w:type="pct"/>
                  <w:tcBorders>
                    <w:tl2br w:val="nil"/>
                    <w:tr2bl w:val="nil"/>
                  </w:tcBorders>
                  <w:noWrap w:val="0"/>
                  <w:vAlign w:val="center"/>
                </w:tcPr>
                <w:p w14:paraId="16E4785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b w:val="0"/>
                      <w:bCs/>
                      <w:color w:val="auto"/>
                      <w:sz w:val="21"/>
                      <w:szCs w:val="21"/>
                      <w:highlight w:val="none"/>
                      <w:lang w:eastAsia="zh-CN"/>
                    </w:rPr>
                    <w:t>本项目</w:t>
                  </w:r>
                  <w:r>
                    <w:rPr>
                      <w:rFonts w:hint="eastAsia" w:ascii="Times New Roman" w:hAnsi="Times New Roman" w:cs="Times New Roman"/>
                      <w:b w:val="0"/>
                      <w:bCs/>
                      <w:color w:val="auto"/>
                      <w:sz w:val="21"/>
                      <w:szCs w:val="21"/>
                      <w:highlight w:val="none"/>
                      <w:lang w:val="en-US" w:eastAsia="zh-CN"/>
                    </w:rPr>
                    <w:t>不涉及工业废水直排</w:t>
                  </w:r>
                </w:p>
              </w:tc>
              <w:tc>
                <w:tcPr>
                  <w:tcW w:w="914" w:type="pct"/>
                  <w:tcBorders>
                    <w:tl2br w:val="nil"/>
                    <w:tr2bl w:val="nil"/>
                  </w:tcBorders>
                  <w:noWrap w:val="0"/>
                  <w:vAlign w:val="center"/>
                </w:tcPr>
                <w:p w14:paraId="5A42B76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74414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05FEACB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环境风险</w:t>
                  </w:r>
                </w:p>
              </w:tc>
              <w:tc>
                <w:tcPr>
                  <w:tcW w:w="1865" w:type="pct"/>
                  <w:tcBorders>
                    <w:tl2br w:val="nil"/>
                    <w:tr2bl w:val="nil"/>
                  </w:tcBorders>
                  <w:noWrap w:val="0"/>
                  <w:vAlign w:val="center"/>
                </w:tcPr>
                <w:p w14:paraId="15D9062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有毒有害和易燃易爆危险物质存储量超过临界量的建设项目</w:t>
                  </w:r>
                </w:p>
              </w:tc>
              <w:tc>
                <w:tcPr>
                  <w:tcW w:w="1418" w:type="pct"/>
                  <w:tcBorders>
                    <w:tl2br w:val="nil"/>
                    <w:tr2bl w:val="nil"/>
                  </w:tcBorders>
                  <w:noWrap w:val="0"/>
                  <w:vAlign w:val="center"/>
                </w:tcPr>
                <w:p w14:paraId="326DEB6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eastAsia="zh-CN"/>
                    </w:rPr>
                    <w:t>本项目储存易燃易爆危险物质存储量</w:t>
                  </w:r>
                  <w:r>
                    <w:rPr>
                      <w:rFonts w:hint="default" w:ascii="Times New Roman" w:hAnsi="Times New Roman" w:eastAsia="宋体" w:cs="Times New Roman"/>
                      <w:b w:val="0"/>
                      <w:bCs/>
                      <w:color w:val="auto"/>
                      <w:sz w:val="21"/>
                      <w:szCs w:val="21"/>
                      <w:highlight w:val="none"/>
                      <w:lang w:val="en-US" w:eastAsia="zh-CN"/>
                    </w:rPr>
                    <w:t>未超过临界量</w:t>
                  </w:r>
                  <w:r>
                    <w:rPr>
                      <w:rFonts w:hint="eastAsia" w:cs="Times New Roman"/>
                      <w:b w:val="0"/>
                      <w:bCs/>
                      <w:color w:val="auto"/>
                      <w:sz w:val="21"/>
                      <w:szCs w:val="21"/>
                      <w:highlight w:val="none"/>
                      <w:lang w:val="en-US" w:eastAsia="zh-CN"/>
                    </w:rPr>
                    <w:t>，本项目无</w:t>
                  </w:r>
                  <w:r>
                    <w:rPr>
                      <w:rFonts w:hint="default" w:ascii="Times New Roman" w:hAnsi="Times New Roman" w:eastAsia="宋体" w:cs="Times New Roman"/>
                      <w:b w:val="0"/>
                      <w:bCs/>
                      <w:color w:val="auto"/>
                      <w:sz w:val="21"/>
                      <w:szCs w:val="21"/>
                      <w:highlight w:val="none"/>
                      <w:lang w:eastAsia="zh-CN"/>
                    </w:rPr>
                    <w:t>有毒有害</w:t>
                  </w:r>
                  <w:r>
                    <w:rPr>
                      <w:rFonts w:hint="eastAsia" w:cs="Times New Roman"/>
                      <w:b w:val="0"/>
                      <w:bCs/>
                      <w:color w:val="auto"/>
                      <w:sz w:val="21"/>
                      <w:szCs w:val="21"/>
                      <w:highlight w:val="none"/>
                      <w:lang w:val="en-US" w:eastAsia="zh-CN"/>
                    </w:rPr>
                    <w:t>物质储存</w:t>
                  </w:r>
                </w:p>
              </w:tc>
              <w:tc>
                <w:tcPr>
                  <w:tcW w:w="914" w:type="pct"/>
                  <w:tcBorders>
                    <w:tl2br w:val="nil"/>
                    <w:tr2bl w:val="nil"/>
                  </w:tcBorders>
                  <w:noWrap w:val="0"/>
                  <w:vAlign w:val="center"/>
                </w:tcPr>
                <w:p w14:paraId="2EB869C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2191A2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09A2C18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生态</w:t>
                  </w:r>
                </w:p>
              </w:tc>
              <w:tc>
                <w:tcPr>
                  <w:tcW w:w="1865" w:type="pct"/>
                  <w:tcBorders>
                    <w:tl2br w:val="nil"/>
                    <w:tr2bl w:val="nil"/>
                  </w:tcBorders>
                  <w:noWrap w:val="0"/>
                  <w:vAlign w:val="center"/>
                </w:tcPr>
                <w:p w14:paraId="45626F8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取水口下游500米范围内有重要水生生物的自然产卵场、索饵场、越冬场和洄游通道的新增河道取水的污染类建设项目</w:t>
                  </w:r>
                </w:p>
              </w:tc>
              <w:tc>
                <w:tcPr>
                  <w:tcW w:w="1418" w:type="pct"/>
                  <w:tcBorders>
                    <w:tl2br w:val="nil"/>
                    <w:tr2bl w:val="nil"/>
                  </w:tcBorders>
                  <w:noWrap w:val="0"/>
                  <w:vAlign w:val="center"/>
                </w:tcPr>
                <w:p w14:paraId="423FFCE5">
                  <w:pPr>
                    <w:pStyle w:val="6"/>
                    <w:spacing w:line="240" w:lineRule="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本项目为装修垃圾资源化利用项目，不涉及取水口。</w:t>
                  </w:r>
                </w:p>
              </w:tc>
              <w:tc>
                <w:tcPr>
                  <w:tcW w:w="914" w:type="pct"/>
                  <w:tcBorders>
                    <w:tl2br w:val="nil"/>
                    <w:tr2bl w:val="nil"/>
                  </w:tcBorders>
                  <w:noWrap w:val="0"/>
                  <w:vAlign w:val="center"/>
                </w:tcPr>
                <w:p w14:paraId="53CFDB1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r w14:paraId="3EA25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4626445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海洋</w:t>
                  </w:r>
                </w:p>
              </w:tc>
              <w:tc>
                <w:tcPr>
                  <w:tcW w:w="1865" w:type="pct"/>
                  <w:tcBorders>
                    <w:tl2br w:val="nil"/>
                    <w:tr2bl w:val="nil"/>
                  </w:tcBorders>
                  <w:noWrap w:val="0"/>
                  <w:vAlign w:val="center"/>
                </w:tcPr>
                <w:p w14:paraId="1449935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直接向海排放污染物的海洋工程建设项目</w:t>
                  </w:r>
                </w:p>
              </w:tc>
              <w:tc>
                <w:tcPr>
                  <w:tcW w:w="1418" w:type="pct"/>
                  <w:tcBorders>
                    <w:tl2br w:val="nil"/>
                    <w:tr2bl w:val="nil"/>
                  </w:tcBorders>
                  <w:noWrap w:val="0"/>
                  <w:vAlign w:val="center"/>
                </w:tcPr>
                <w:p w14:paraId="0FF52A5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eastAsia="zh-CN"/>
                    </w:rPr>
                    <w:t>项目不属于海洋工程</w:t>
                  </w:r>
                </w:p>
              </w:tc>
              <w:tc>
                <w:tcPr>
                  <w:tcW w:w="914" w:type="pct"/>
                  <w:tcBorders>
                    <w:tl2br w:val="nil"/>
                    <w:tr2bl w:val="nil"/>
                  </w:tcBorders>
                  <w:noWrap w:val="0"/>
                  <w:vAlign w:val="center"/>
                </w:tcPr>
                <w:p w14:paraId="0FF5F7B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否</w:t>
                  </w:r>
                </w:p>
              </w:tc>
            </w:tr>
          </w:tbl>
          <w:p w14:paraId="030AF79C">
            <w:pPr>
              <w:autoSpaceDE w:val="0"/>
              <w:autoSpaceDN w:val="0"/>
              <w:adjustRightInd w:val="0"/>
              <w:snapToGrid w:val="0"/>
              <w:jc w:val="center"/>
              <w:rPr>
                <w:rFonts w:hint="default" w:ascii="Times New Roman" w:hAnsi="Times New Roman" w:cs="Times New Roman"/>
                <w:color w:val="auto"/>
                <w:kern w:val="0"/>
                <w:sz w:val="24"/>
              </w:rPr>
            </w:pPr>
          </w:p>
        </w:tc>
      </w:tr>
      <w:tr w14:paraId="22D01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539EE79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规划情况</w:t>
            </w:r>
          </w:p>
        </w:tc>
        <w:tc>
          <w:tcPr>
            <w:tcW w:w="7316" w:type="dxa"/>
            <w:gridSpan w:val="3"/>
            <w:vAlign w:val="center"/>
          </w:tcPr>
          <w:p w14:paraId="00CD4745">
            <w:pPr>
              <w:autoSpaceDE w:val="0"/>
              <w:autoSpaceDN w:val="0"/>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规划名称：《西咸新区—沣东新城分区规划（2010-2020）》</w:t>
            </w:r>
          </w:p>
          <w:p w14:paraId="08FF5782">
            <w:pPr>
              <w:autoSpaceDE w:val="0"/>
              <w:autoSpaceDN w:val="0"/>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审查机关：陕西省人民政府；</w:t>
            </w:r>
          </w:p>
          <w:p w14:paraId="5F40E0DA">
            <w:pPr>
              <w:autoSpaceDE w:val="0"/>
              <w:autoSpaceDN w:val="0"/>
              <w:adjustRightInd w:val="0"/>
              <w:snapToGrid w:val="0"/>
              <w:spacing w:line="360" w:lineRule="auto"/>
              <w:rPr>
                <w:rFonts w:hint="default" w:ascii="Times New Roman" w:hAnsi="Times New Roman" w:cs="Times New Roman"/>
                <w:color w:val="auto"/>
              </w:rPr>
            </w:pPr>
            <w:r>
              <w:rPr>
                <w:rFonts w:hint="default" w:ascii="Times New Roman" w:hAnsi="Times New Roman" w:cs="Times New Roman"/>
                <w:color w:val="auto"/>
                <w:sz w:val="24"/>
              </w:rPr>
              <w:t>审查文件名称及文号：陕西省人民政府关于《西咸新区总体规划》的批复（陕政函（2011）110号）。</w:t>
            </w:r>
          </w:p>
        </w:tc>
      </w:tr>
      <w:tr w14:paraId="5F272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1" w:hRule="atLeast"/>
          <w:jc w:val="center"/>
        </w:trPr>
        <w:tc>
          <w:tcPr>
            <w:tcW w:w="1554" w:type="dxa"/>
            <w:vAlign w:val="center"/>
          </w:tcPr>
          <w:p w14:paraId="48114723">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规划环境影响评价情况</w:t>
            </w:r>
          </w:p>
        </w:tc>
        <w:tc>
          <w:tcPr>
            <w:tcW w:w="7316" w:type="dxa"/>
            <w:gridSpan w:val="3"/>
            <w:vAlign w:val="center"/>
          </w:tcPr>
          <w:p w14:paraId="0CF31EBE">
            <w:pPr>
              <w:autoSpaceDE w:val="0"/>
              <w:autoSpaceDN w:val="0"/>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规划环评文件名称：《西咸新区—沣东新城分区规划（2010-2020）环境影响报告书》；</w:t>
            </w:r>
          </w:p>
          <w:p w14:paraId="1B99FB08">
            <w:pPr>
              <w:autoSpaceDE w:val="0"/>
              <w:autoSpaceDN w:val="0"/>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审批机关：西安市生态环境局</w:t>
            </w:r>
          </w:p>
          <w:p w14:paraId="27A30CAF">
            <w:pPr>
              <w:autoSpaceDE w:val="0"/>
              <w:autoSpaceDN w:val="0"/>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审批文件名称及文号：西安市环境保护局关于《西咸新区—沣东新城分区规划（2010-2020）环境影响报告书的审查意见》，市环函〔2014〕20号。</w:t>
            </w:r>
          </w:p>
        </w:tc>
      </w:tr>
      <w:tr w14:paraId="53153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63893B8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规划及规划环境影响评价符合性分析</w:t>
            </w:r>
          </w:p>
        </w:tc>
        <w:tc>
          <w:tcPr>
            <w:tcW w:w="7316" w:type="dxa"/>
            <w:gridSpan w:val="3"/>
            <w:vAlign w:val="center"/>
          </w:tcPr>
          <w:p w14:paraId="0434517C">
            <w:pPr>
              <w:autoSpaceDE w:val="0"/>
              <w:autoSpaceDN w:val="0"/>
              <w:adjustRightInd w:val="0"/>
              <w:snapToGrid w:val="0"/>
              <w:jc w:val="center"/>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表1-</w:t>
            </w:r>
            <w:r>
              <w:rPr>
                <w:rFonts w:hint="eastAsia" w:cs="Times New Roman"/>
                <w:b/>
                <w:bCs/>
                <w:color w:val="auto"/>
                <w:kern w:val="0"/>
                <w:sz w:val="24"/>
                <w:lang w:val="en-US" w:eastAsia="zh-CN"/>
              </w:rPr>
              <w:t>2</w:t>
            </w:r>
            <w:r>
              <w:rPr>
                <w:rFonts w:hint="default" w:ascii="Times New Roman" w:hAnsi="Times New Roman" w:cs="Times New Roman"/>
                <w:b/>
                <w:bCs/>
                <w:color w:val="auto"/>
                <w:kern w:val="0"/>
                <w:sz w:val="24"/>
              </w:rPr>
              <w:t xml:space="preserve">  项目与相关规划及规划环评符合性分析</w:t>
            </w:r>
          </w:p>
          <w:tbl>
            <w:tblPr>
              <w:tblStyle w:val="2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770"/>
              <w:gridCol w:w="3113"/>
              <w:gridCol w:w="2550"/>
              <w:gridCol w:w="669"/>
            </w:tblGrid>
            <w:tr w14:paraId="0507AFE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2733" w:type="pct"/>
                  <w:gridSpan w:val="2"/>
                  <w:vAlign w:val="center"/>
                </w:tcPr>
                <w:p w14:paraId="7EC5CA99">
                  <w:pPr>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分析判定内容</w:t>
                  </w:r>
                </w:p>
              </w:tc>
              <w:tc>
                <w:tcPr>
                  <w:tcW w:w="1795" w:type="pct"/>
                  <w:vAlign w:val="center"/>
                </w:tcPr>
                <w:p w14:paraId="68368872">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本项目情况</w:t>
                  </w:r>
                </w:p>
              </w:tc>
              <w:tc>
                <w:tcPr>
                  <w:tcW w:w="470" w:type="pct"/>
                  <w:vAlign w:val="center"/>
                </w:tcPr>
                <w:p w14:paraId="2F41AEC4">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判定</w:t>
                  </w:r>
                </w:p>
                <w:p w14:paraId="68EE4D79">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结论</w:t>
                  </w:r>
                </w:p>
              </w:tc>
            </w:tr>
            <w:tr w14:paraId="4CEAC6B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688" w:hRule="atLeast"/>
                <w:jc w:val="center"/>
              </w:trPr>
              <w:tc>
                <w:tcPr>
                  <w:tcW w:w="542" w:type="pct"/>
                  <w:vAlign w:val="center"/>
                </w:tcPr>
                <w:p w14:paraId="78D08215">
                  <w:pPr>
                    <w:autoSpaceDE w:val="0"/>
                    <w:autoSpaceDN w:val="0"/>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《西咸新区—沣东新城分区规划（2010-2020）》</w:t>
                  </w:r>
                </w:p>
              </w:tc>
              <w:tc>
                <w:tcPr>
                  <w:tcW w:w="2191" w:type="pct"/>
                  <w:vAlign w:val="center"/>
                </w:tcPr>
                <w:p w14:paraId="65163E4E">
                  <w:pPr>
                    <w:rPr>
                      <w:rFonts w:hint="default" w:ascii="Times New Roman" w:hAnsi="Times New Roman" w:cs="Times New Roman" w:eastAsiaTheme="minorEastAsia"/>
                      <w:b/>
                      <w:bCs/>
                      <w:color w:val="auto"/>
                      <w:szCs w:val="21"/>
                    </w:rPr>
                  </w:pPr>
                  <w:r>
                    <w:rPr>
                      <w:rFonts w:hint="default" w:ascii="Times New Roman" w:hAnsi="Times New Roman" w:cs="Times New Roman" w:eastAsiaTheme="minorEastAsia"/>
                      <w:color w:val="auto"/>
                      <w:kern w:val="21"/>
                      <w:szCs w:val="21"/>
                    </w:rPr>
                    <w:t>沣东新城的定位为西部地区统筹科技资源示范基地，高新技术研发和会展中心，大西安未来将建设成为具有东方人文特色的生态化国际新城。规划形成“两带、七板块”的空间格局，两带：周秦汉历史文化景观带、洋河景观风貌带，七板块：洋河田园都市板块、六村堡现代产业板块、三桥商贸综合产业板块、阿房宫人文旅游板块、科技统筹示范板块、镐京田园都市板块、昆明池生态休闲板块。</w:t>
                  </w:r>
                </w:p>
              </w:tc>
              <w:tc>
                <w:tcPr>
                  <w:tcW w:w="1795" w:type="pct"/>
                  <w:vAlign w:val="center"/>
                </w:tcPr>
                <w:p w14:paraId="64997617">
                  <w:pPr>
                    <w:widowControl/>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kern w:val="21"/>
                      <w:szCs w:val="21"/>
                    </w:rPr>
                    <w:t>本项目位于</w:t>
                  </w:r>
                  <w:r>
                    <w:rPr>
                      <w:rFonts w:hint="eastAsia" w:cs="Times New Roman" w:eastAsiaTheme="minorEastAsia"/>
                      <w:color w:val="auto"/>
                      <w:kern w:val="21"/>
                      <w:szCs w:val="21"/>
                      <w:lang w:eastAsia="zh-CN"/>
                    </w:rPr>
                    <w:t>陕西省西安市沣东新城斗门街道中奉陵园会场向西200米</w:t>
                  </w:r>
                  <w:r>
                    <w:rPr>
                      <w:rFonts w:hint="default" w:ascii="Times New Roman" w:hAnsi="Times New Roman" w:cs="Times New Roman" w:eastAsiaTheme="minorEastAsia"/>
                      <w:color w:val="auto"/>
                      <w:kern w:val="21"/>
                      <w:szCs w:val="21"/>
                    </w:rPr>
                    <w:t>，位于规划范围内昆明池生态休闲板块。</w:t>
                  </w:r>
                  <w:r>
                    <w:rPr>
                      <w:rFonts w:hint="default" w:ascii="Times New Roman" w:hAnsi="Times New Roman" w:cs="Times New Roman" w:eastAsiaTheme="minorEastAsia"/>
                      <w:color w:val="auto"/>
                      <w:szCs w:val="21"/>
                    </w:rPr>
                    <w:t>本项目规划用地性质为</w:t>
                  </w:r>
                  <w:r>
                    <w:rPr>
                      <w:rFonts w:hint="eastAsia" w:cs="Times New Roman" w:eastAsiaTheme="minorEastAsia"/>
                      <w:color w:val="auto"/>
                      <w:szCs w:val="21"/>
                      <w:lang w:val="en-US" w:eastAsia="zh-CN"/>
                    </w:rPr>
                    <w:t>商业服务设施</w:t>
                  </w:r>
                  <w:r>
                    <w:rPr>
                      <w:rFonts w:hint="default" w:ascii="Times New Roman" w:hAnsi="Times New Roman" w:cs="Times New Roman" w:eastAsiaTheme="minorEastAsia"/>
                      <w:color w:val="auto"/>
                      <w:szCs w:val="21"/>
                    </w:rPr>
                    <w:t>用地，</w:t>
                  </w:r>
                  <w:r>
                    <w:rPr>
                      <w:rFonts w:hint="default" w:ascii="Times New Roman" w:hAnsi="Times New Roman" w:cs="Times New Roman" w:eastAsiaTheme="minorEastAsia"/>
                      <w:color w:val="auto"/>
                      <w:szCs w:val="21"/>
                      <w:lang w:val="en-US" w:eastAsia="zh-CN"/>
                    </w:rPr>
                    <w:t>企业已做出搬迁承诺（见附件</w:t>
                  </w:r>
                  <w:r>
                    <w:rPr>
                      <w:rFonts w:hint="eastAsia" w:cs="Times New Roman" w:eastAsiaTheme="minorEastAsia"/>
                      <w:color w:val="auto"/>
                      <w:szCs w:val="21"/>
                      <w:lang w:val="en-US" w:eastAsia="zh-CN"/>
                    </w:rPr>
                    <w:t>11</w:t>
                  </w:r>
                  <w:r>
                    <w:rPr>
                      <w:rFonts w:hint="default" w:ascii="Times New Roman" w:hAnsi="Times New Roman" w:cs="Times New Roman" w:eastAsiaTheme="minorEastAsia"/>
                      <w:color w:val="auto"/>
                      <w:szCs w:val="21"/>
                      <w:lang w:val="en-US" w:eastAsia="zh-CN"/>
                    </w:rPr>
                    <w:t>），如果政府实施拆迁，本项目应配合政府进行无条件搬离。</w:t>
                  </w:r>
                </w:p>
              </w:tc>
              <w:tc>
                <w:tcPr>
                  <w:tcW w:w="470" w:type="pct"/>
                  <w:vAlign w:val="center"/>
                </w:tcPr>
                <w:p w14:paraId="5CAD8994">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bCs/>
                      <w:color w:val="auto"/>
                      <w:szCs w:val="21"/>
                    </w:rPr>
                    <w:t>符合</w:t>
                  </w:r>
                </w:p>
              </w:tc>
            </w:tr>
            <w:tr w14:paraId="5C5CB6C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542" w:type="pct"/>
                  <w:vMerge w:val="restart"/>
                  <w:vAlign w:val="center"/>
                </w:tcPr>
                <w:p w14:paraId="3AEBCCB3">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《西咸新区－沣东新城分区规划（2010-2020）环境影响报告书》及审查意见</w:t>
                  </w:r>
                </w:p>
              </w:tc>
              <w:tc>
                <w:tcPr>
                  <w:tcW w:w="2191" w:type="pct"/>
                  <w:vAlign w:val="center"/>
                </w:tcPr>
                <w:p w14:paraId="40213ED0">
                  <w:pPr>
                    <w:adjustRightInd w:val="0"/>
                    <w:snapToGrid w:val="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1.推广清洁能源使用，建立可持续能源体系结构。鼓励使用天然气、风能、太阳能、地热能、生物质能等能源。大力发展城市集中供热，全面普及居民生活燃气，实现“以气代煤”、“以电代煤”。2.大气环境保护对策和措施：严格产业准入制度，控制企业污染排放。设置新城产业准入大气环境标准，对排污量大的行业进行限制，防止对新城产生影响。</w:t>
                  </w:r>
                </w:p>
              </w:tc>
              <w:tc>
                <w:tcPr>
                  <w:tcW w:w="1795" w:type="pct"/>
                  <w:vAlign w:val="center"/>
                </w:tcPr>
                <w:p w14:paraId="3690502F">
                  <w:pPr>
                    <w:widowControl/>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1.本项目运营期所用能源主要为电能，属于清洁能源。</w:t>
                  </w:r>
                </w:p>
                <w:p w14:paraId="623EB4F7">
                  <w:pPr>
                    <w:widowControl/>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2.本项目运营期</w:t>
                  </w:r>
                  <w:r>
                    <w:rPr>
                      <w:rFonts w:hint="default" w:ascii="Times New Roman" w:hAnsi="Times New Roman" w:cs="Times New Roman" w:eastAsiaTheme="minorEastAsia"/>
                      <w:color w:val="auto"/>
                      <w:szCs w:val="21"/>
                      <w:lang w:val="en-US" w:eastAsia="zh-CN"/>
                    </w:rPr>
                    <w:t>颗粒物</w:t>
                  </w:r>
                  <w:r>
                    <w:rPr>
                      <w:rFonts w:hint="default" w:ascii="Times New Roman" w:hAnsi="Times New Roman" w:cs="Times New Roman" w:eastAsiaTheme="minorEastAsia"/>
                      <w:color w:val="auto"/>
                      <w:szCs w:val="21"/>
                    </w:rPr>
                    <w:t>排放执行《大气污染物综合排放标准》（GB16297-1996）表2</w:t>
                  </w:r>
                  <w:r>
                    <w:rPr>
                      <w:rFonts w:hint="default" w:ascii="Times New Roman" w:hAnsi="Times New Roman" w:cs="Times New Roman" w:eastAsiaTheme="minorEastAsia"/>
                      <w:color w:val="auto"/>
                      <w:szCs w:val="21"/>
                      <w:lang w:val="en-US" w:eastAsia="zh-CN"/>
                    </w:rPr>
                    <w:t>二级排放标准及</w:t>
                  </w:r>
                  <w:r>
                    <w:rPr>
                      <w:rFonts w:hint="default" w:ascii="Times New Roman" w:hAnsi="Times New Roman" w:cs="Times New Roman" w:eastAsiaTheme="minorEastAsia"/>
                      <w:color w:val="auto"/>
                      <w:szCs w:val="21"/>
                    </w:rPr>
                    <w:t>无组织排放监控浓度限值，污染物排放均能达到国家控制标准。</w:t>
                  </w:r>
                </w:p>
              </w:tc>
              <w:tc>
                <w:tcPr>
                  <w:tcW w:w="470" w:type="pct"/>
                  <w:vAlign w:val="center"/>
                </w:tcPr>
                <w:p w14:paraId="61EE8266">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符合</w:t>
                  </w:r>
                </w:p>
              </w:tc>
            </w:tr>
            <w:tr w14:paraId="01DD6F0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90" w:hRule="atLeast"/>
                <w:jc w:val="center"/>
              </w:trPr>
              <w:tc>
                <w:tcPr>
                  <w:tcW w:w="542" w:type="pct"/>
                  <w:vMerge w:val="continue"/>
                  <w:vAlign w:val="center"/>
                </w:tcPr>
                <w:p w14:paraId="508B4C4F">
                  <w:pPr>
                    <w:adjustRightInd w:val="0"/>
                    <w:snapToGrid w:val="0"/>
                    <w:jc w:val="center"/>
                    <w:rPr>
                      <w:rFonts w:hint="default" w:ascii="Times New Roman" w:hAnsi="Times New Roman" w:cs="Times New Roman" w:eastAsiaTheme="minorEastAsia"/>
                      <w:color w:val="auto"/>
                      <w:szCs w:val="21"/>
                    </w:rPr>
                  </w:pPr>
                </w:p>
              </w:tc>
              <w:tc>
                <w:tcPr>
                  <w:tcW w:w="2191" w:type="pct"/>
                  <w:vAlign w:val="center"/>
                </w:tcPr>
                <w:p w14:paraId="306E279C">
                  <w:pPr>
                    <w:wordWrap w:val="0"/>
                    <w:adjustRightInd w:val="0"/>
                    <w:snapToGrid w:val="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1.实行污水集中处理，生产废水和生活污水必须经处理达到污水处理厂接纳标准后汇入污水管道，排入污水处理厂集中处理。</w:t>
                  </w:r>
                </w:p>
                <w:p w14:paraId="781812CC">
                  <w:pPr>
                    <w:wordWrap w:val="0"/>
                    <w:adjustRightInd w:val="0"/>
                    <w:snapToGrid w:val="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2.水环境保护对策和措施：严格环境准入制度，防治企业污染排放。在规划建设中，要设置相应的环保准入门槛，限制造纸、化工、食品饮料加工、皮革、电镀等高耗水、重污染行业进入。</w:t>
                  </w:r>
                </w:p>
              </w:tc>
              <w:tc>
                <w:tcPr>
                  <w:tcW w:w="1795" w:type="pct"/>
                  <w:vAlign w:val="center"/>
                </w:tcPr>
                <w:p w14:paraId="5A669246">
                  <w:pPr>
                    <w:adjustRightInd w:val="0"/>
                    <w:snapToGrid w:val="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1.本项目</w:t>
                  </w:r>
                  <w:r>
                    <w:rPr>
                      <w:rFonts w:hint="default" w:ascii="Times New Roman" w:hAnsi="Times New Roman" w:cs="Times New Roman" w:eastAsiaTheme="minorEastAsia"/>
                      <w:color w:val="auto"/>
                      <w:szCs w:val="21"/>
                      <w:lang w:val="en-US" w:eastAsia="zh-CN"/>
                    </w:rPr>
                    <w:t>无废水外排</w:t>
                  </w:r>
                  <w:r>
                    <w:rPr>
                      <w:rFonts w:hint="default" w:ascii="Times New Roman" w:hAnsi="Times New Roman" w:cs="Times New Roman" w:eastAsiaTheme="minorEastAsia"/>
                      <w:color w:val="auto"/>
                      <w:szCs w:val="21"/>
                    </w:rPr>
                    <w:t>。</w:t>
                  </w:r>
                </w:p>
                <w:p w14:paraId="6987E25C">
                  <w:pPr>
                    <w:adjustRightInd w:val="0"/>
                    <w:snapToGrid w:val="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2.本项目属于生态保护和环境治理业</w:t>
                  </w:r>
                  <w:r>
                    <w:rPr>
                      <w:rFonts w:hint="default" w:ascii="Times New Roman" w:hAnsi="Times New Roman" w:cs="Times New Roman" w:eastAsiaTheme="minorEastAsia"/>
                      <w:color w:val="auto"/>
                      <w:kern w:val="21"/>
                      <w:szCs w:val="21"/>
                    </w:rPr>
                    <w:t>，不属于</w:t>
                  </w:r>
                  <w:r>
                    <w:rPr>
                      <w:rFonts w:hint="default" w:ascii="Times New Roman" w:hAnsi="Times New Roman" w:cs="Times New Roman" w:eastAsiaTheme="minorEastAsia"/>
                      <w:color w:val="auto"/>
                      <w:szCs w:val="21"/>
                    </w:rPr>
                    <w:t>造纸、化工、食品饮料加工、皮革、电镀等高耗水、重污染行业。</w:t>
                  </w:r>
                </w:p>
              </w:tc>
              <w:tc>
                <w:tcPr>
                  <w:tcW w:w="470" w:type="pct"/>
                  <w:vAlign w:val="center"/>
                </w:tcPr>
                <w:p w14:paraId="37F0A0ED">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符合</w:t>
                  </w:r>
                </w:p>
              </w:tc>
            </w:tr>
            <w:tr w14:paraId="004C625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542" w:type="pct"/>
                  <w:vMerge w:val="continue"/>
                  <w:vAlign w:val="center"/>
                </w:tcPr>
                <w:p w14:paraId="04ED1293">
                  <w:pPr>
                    <w:adjustRightInd w:val="0"/>
                    <w:snapToGrid w:val="0"/>
                    <w:jc w:val="center"/>
                    <w:rPr>
                      <w:rFonts w:hint="default" w:ascii="Times New Roman" w:hAnsi="Times New Roman" w:cs="Times New Roman" w:eastAsiaTheme="minorEastAsia"/>
                      <w:color w:val="auto"/>
                      <w:szCs w:val="21"/>
                    </w:rPr>
                  </w:pPr>
                </w:p>
              </w:tc>
              <w:tc>
                <w:tcPr>
                  <w:tcW w:w="2191" w:type="pct"/>
                  <w:vAlign w:val="center"/>
                </w:tcPr>
                <w:p w14:paraId="634BD405">
                  <w:pPr>
                    <w:adjustRightInd w:val="0"/>
                    <w:snapToGrid w:val="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795" w:type="pct"/>
                  <w:vAlign w:val="center"/>
                </w:tcPr>
                <w:p w14:paraId="62C5B23B">
                  <w:pP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本项目选用低噪声设备，运营期定期对生产设备进行检查维护，保证设备正常运转，封闭厂房隔声，安装基座减振以此来降低项目生产过程噪声对周边环境的影响。</w:t>
                  </w:r>
                </w:p>
              </w:tc>
              <w:tc>
                <w:tcPr>
                  <w:tcW w:w="470" w:type="pct"/>
                  <w:vAlign w:val="center"/>
                </w:tcPr>
                <w:p w14:paraId="2A356422">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符合</w:t>
                  </w:r>
                </w:p>
              </w:tc>
            </w:tr>
            <w:tr w14:paraId="7C87C84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542" w:type="pct"/>
                  <w:vMerge w:val="continue"/>
                  <w:vAlign w:val="center"/>
                </w:tcPr>
                <w:p w14:paraId="2EA2838D">
                  <w:pPr>
                    <w:adjustRightInd w:val="0"/>
                    <w:snapToGrid w:val="0"/>
                    <w:jc w:val="center"/>
                    <w:rPr>
                      <w:rFonts w:hint="default" w:ascii="Times New Roman" w:hAnsi="Times New Roman" w:cs="Times New Roman" w:eastAsiaTheme="minorEastAsia"/>
                      <w:color w:val="auto"/>
                      <w:szCs w:val="21"/>
                    </w:rPr>
                  </w:pPr>
                </w:p>
              </w:tc>
              <w:tc>
                <w:tcPr>
                  <w:tcW w:w="2191" w:type="pct"/>
                  <w:vAlign w:val="center"/>
                </w:tcPr>
                <w:p w14:paraId="4A112551">
                  <w:pPr>
                    <w:pStyle w:val="77"/>
                    <w:kinsoku w:val="0"/>
                    <w:overflowPunct w:val="0"/>
                    <w:jc w:val="both"/>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795" w:type="pct"/>
                  <w:vAlign w:val="center"/>
                </w:tcPr>
                <w:p w14:paraId="0A34A2ED">
                  <w:pPr>
                    <w:pStyle w:val="77"/>
                    <w:kinsoku w:val="0"/>
                    <w:overflowPunct w:val="0"/>
                    <w:jc w:val="both"/>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本项目产生的</w:t>
                  </w:r>
                  <w:r>
                    <w:rPr>
                      <w:rFonts w:hint="default" w:ascii="Times New Roman" w:hAnsi="Times New Roman" w:cs="Times New Roman"/>
                      <w:color w:val="auto"/>
                      <w:kern w:val="2"/>
                      <w:sz w:val="21"/>
                      <w:szCs w:val="21"/>
                    </w:rPr>
                    <w:t>除尘器收集的粉尘，收集后回用于生产</w:t>
                  </w:r>
                  <w:r>
                    <w:rPr>
                      <w:rFonts w:hint="default" w:ascii="Times New Roman" w:hAnsi="Times New Roman" w:cs="Times New Roman" w:eastAsiaTheme="minorEastAsia"/>
                      <w:color w:val="auto"/>
                      <w:sz w:val="21"/>
                      <w:szCs w:val="21"/>
                    </w:rPr>
                    <w:t>；危险废物定期交由</w:t>
                  </w:r>
                  <w:r>
                    <w:rPr>
                      <w:rFonts w:hint="default" w:ascii="Times New Roman" w:hAnsi="Times New Roman" w:cs="Times New Roman" w:eastAsiaTheme="minorEastAsia"/>
                      <w:color w:val="auto"/>
                      <w:sz w:val="21"/>
                      <w:szCs w:val="21"/>
                      <w:lang w:val="en-US" w:eastAsia="zh-CN"/>
                    </w:rPr>
                    <w:t>有资质单位处置</w:t>
                  </w:r>
                  <w:r>
                    <w:rPr>
                      <w:rFonts w:hint="default" w:ascii="Times New Roman" w:hAnsi="Times New Roman" w:cs="Times New Roman" w:eastAsiaTheme="minorEastAsia"/>
                      <w:color w:val="auto"/>
                      <w:sz w:val="21"/>
                      <w:szCs w:val="21"/>
                    </w:rPr>
                    <w:t>。</w:t>
                  </w:r>
                </w:p>
              </w:tc>
              <w:tc>
                <w:tcPr>
                  <w:tcW w:w="470" w:type="pct"/>
                  <w:vAlign w:val="center"/>
                </w:tcPr>
                <w:p w14:paraId="2817FB32">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符合</w:t>
                  </w:r>
                </w:p>
              </w:tc>
            </w:tr>
            <w:tr w14:paraId="4198CB7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542" w:type="pct"/>
                  <w:vMerge w:val="continue"/>
                  <w:vAlign w:val="center"/>
                </w:tcPr>
                <w:p w14:paraId="555AAA29">
                  <w:pPr>
                    <w:adjustRightInd w:val="0"/>
                    <w:snapToGrid w:val="0"/>
                    <w:jc w:val="center"/>
                    <w:rPr>
                      <w:rFonts w:hint="default" w:ascii="Times New Roman" w:hAnsi="Times New Roman" w:cs="Times New Roman" w:eastAsiaTheme="minorEastAsia"/>
                      <w:color w:val="auto"/>
                      <w:szCs w:val="21"/>
                    </w:rPr>
                  </w:pPr>
                </w:p>
              </w:tc>
              <w:tc>
                <w:tcPr>
                  <w:tcW w:w="2191" w:type="pct"/>
                  <w:vAlign w:val="center"/>
                </w:tcPr>
                <w:p w14:paraId="5ECAD437">
                  <w:pPr>
                    <w:pStyle w:val="77"/>
                    <w:kinsoku w:val="0"/>
                    <w:overflowPunct w:val="0"/>
                    <w:jc w:val="both"/>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沣东新城管理部门应结合本区域总体发展方向、定位；产业发展类型和行业限制；规划区域环境功能和环境保护目标提出：入区企业清洁生产必须达到国内先进水平、严禁“三高一低”企业入区、由总量指标限制企业类型和规模、污染物排放指标等工业企业的准入条件。</w:t>
                  </w:r>
                </w:p>
              </w:tc>
              <w:tc>
                <w:tcPr>
                  <w:tcW w:w="1795" w:type="pct"/>
                  <w:vAlign w:val="center"/>
                </w:tcPr>
                <w:p w14:paraId="7A8DD561">
                  <w:pPr>
                    <w:pStyle w:val="77"/>
                    <w:kinsoku w:val="0"/>
                    <w:overflowPunct w:val="0"/>
                    <w:jc w:val="both"/>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本项目属于生态保护和环境治理业，不属于“三高一低”企业。</w:t>
                  </w:r>
                </w:p>
              </w:tc>
              <w:tc>
                <w:tcPr>
                  <w:tcW w:w="470" w:type="pct"/>
                  <w:vAlign w:val="center"/>
                </w:tcPr>
                <w:p w14:paraId="27FCF729">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符合</w:t>
                  </w:r>
                </w:p>
              </w:tc>
            </w:tr>
          </w:tbl>
          <w:p w14:paraId="4E487C89">
            <w:pPr>
              <w:autoSpaceDE w:val="0"/>
              <w:autoSpaceDN w:val="0"/>
              <w:adjustRightInd w:val="0"/>
              <w:snapToGrid w:val="0"/>
              <w:jc w:val="center"/>
              <w:rPr>
                <w:rFonts w:hint="default" w:ascii="Times New Roman" w:hAnsi="Times New Roman" w:cs="Times New Roman"/>
                <w:color w:val="auto"/>
                <w:sz w:val="24"/>
              </w:rPr>
            </w:pPr>
          </w:p>
        </w:tc>
      </w:tr>
      <w:tr w14:paraId="33113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1551" w:type="dxa"/>
            <w:vAlign w:val="center"/>
          </w:tcPr>
          <w:p w14:paraId="5D49284C">
            <w:pPr>
              <w:pStyle w:val="7"/>
              <w:jc w:val="center"/>
              <w:rPr>
                <w:rFonts w:hint="default" w:ascii="Times New Roman" w:hAnsi="Times New Roman" w:cs="Times New Roman"/>
                <w:color w:val="auto"/>
              </w:rPr>
            </w:pPr>
            <w:r>
              <w:rPr>
                <w:rFonts w:hint="default" w:ascii="Times New Roman" w:hAnsi="Times New Roman" w:cs="Times New Roman"/>
                <w:color w:val="auto"/>
                <w:sz w:val="24"/>
                <w:szCs w:val="24"/>
              </w:rPr>
              <w:t>其他符合性分析</w:t>
            </w:r>
          </w:p>
        </w:tc>
        <w:tc>
          <w:tcPr>
            <w:tcW w:w="7319" w:type="dxa"/>
            <w:gridSpan w:val="3"/>
          </w:tcPr>
          <w:p w14:paraId="5BF9D2E2">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1、“三线一单”符合性分析</w:t>
            </w:r>
          </w:p>
          <w:p w14:paraId="430310D9">
            <w:pPr>
              <w:pStyle w:val="35"/>
              <w:spacing w:line="360" w:lineRule="auto"/>
              <w:ind w:firstLine="480" w:firstLineChars="200"/>
              <w:rPr>
                <w:rFonts w:hint="default" w:ascii="Times New Roman" w:hAnsi="Times New Roman" w:cs="Times New Roman"/>
                <w:color w:val="auto"/>
              </w:rPr>
            </w:pPr>
            <w:r>
              <w:rPr>
                <w:rFonts w:hint="default" w:ascii="Times New Roman" w:hAnsi="Times New Roman" w:eastAsia="宋体" w:cs="Times New Roman"/>
                <w:color w:val="auto"/>
                <w:sz w:val="24"/>
                <w:szCs w:val="24"/>
              </w:rPr>
              <w:t>根据西安市人民政府《关于印发“三线一单”生态环境分区管控方案的通知》（市政发〔2021〕22号）</w:t>
            </w:r>
            <w:r>
              <w:rPr>
                <w:rFonts w:hint="default" w:ascii="Times New Roman" w:hAnsi="Times New Roman" w:eastAsia="宋体" w:cs="Times New Roman"/>
                <w:color w:val="auto"/>
                <w:sz w:val="24"/>
                <w:szCs w:val="24"/>
                <w:lang w:val="en-US" w:eastAsia="zh-CN"/>
              </w:rPr>
              <w:t>和《2023年西安市生态环境分区管控调整方案》</w:t>
            </w:r>
            <w:r>
              <w:rPr>
                <w:rFonts w:hint="default" w:ascii="Times New Roman" w:hAnsi="Times New Roman" w:eastAsia="宋体" w:cs="Times New Roman"/>
                <w:color w:val="auto"/>
                <w:sz w:val="24"/>
                <w:szCs w:val="24"/>
              </w:rPr>
              <w:t>，项目空间冲突图见图1-1，与环境管控单元符合性分析表见表1-</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。生态环境管控单元对照分析报告详见附件</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14:paraId="2A5676E0">
            <w:pPr>
              <w:spacing w:line="360" w:lineRule="auto"/>
              <w:jc w:val="center"/>
              <w:rPr>
                <w:rFonts w:hint="default" w:ascii="Times New Roman" w:hAnsi="Times New Roman" w:cs="Times New Roman"/>
                <w:color w:val="auto"/>
              </w:rPr>
            </w:pPr>
            <w:r>
              <w:rPr>
                <w:color w:val="auto"/>
              </w:rPr>
              <w:drawing>
                <wp:inline distT="0" distB="0" distL="114300" distR="114300">
                  <wp:extent cx="2623185" cy="4392930"/>
                  <wp:effectExtent l="0" t="0" r="5715" b="762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8"/>
                          <a:stretch>
                            <a:fillRect/>
                          </a:stretch>
                        </pic:blipFill>
                        <pic:spPr>
                          <a:xfrm>
                            <a:off x="0" y="0"/>
                            <a:ext cx="2623185" cy="4392930"/>
                          </a:xfrm>
                          <a:prstGeom prst="rect">
                            <a:avLst/>
                          </a:prstGeom>
                          <a:noFill/>
                          <a:ln>
                            <a:noFill/>
                          </a:ln>
                        </pic:spPr>
                      </pic:pic>
                    </a:graphicData>
                  </a:graphic>
                </wp:inline>
              </w:drawing>
            </w:r>
          </w:p>
          <w:p w14:paraId="2FD18D71">
            <w:pPr>
              <w:spacing w:line="360" w:lineRule="auto"/>
              <w:ind w:firstLine="482" w:firstLineChars="200"/>
              <w:jc w:val="center"/>
              <w:rPr>
                <w:rFonts w:hint="default" w:ascii="Times New Roman" w:hAnsi="Times New Roman" w:cs="Times New Roman"/>
                <w:color w:val="auto"/>
                <w:kern w:val="0"/>
              </w:rPr>
            </w:pPr>
            <w:r>
              <w:rPr>
                <w:rFonts w:hint="default" w:ascii="Times New Roman" w:hAnsi="Times New Roman" w:cs="Times New Roman"/>
                <w:b/>
                <w:bCs/>
                <w:color w:val="auto"/>
                <w:sz w:val="24"/>
              </w:rPr>
              <w:t>图1-1  本项目与环境管控单元对照分析示意图</w:t>
            </w:r>
          </w:p>
        </w:tc>
      </w:tr>
    </w:tbl>
    <w:p w14:paraId="59330ACF">
      <w:pPr>
        <w:pStyle w:val="14"/>
        <w:ind w:firstLine="560"/>
        <w:rPr>
          <w:color w:val="auto"/>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7"/>
        <w:tblW w:w="4832" w:type="pct"/>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293"/>
      </w:tblGrid>
      <w:tr w14:paraId="7337E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9" w:hRule="atLeast"/>
        </w:trPr>
        <w:tc>
          <w:tcPr>
            <w:tcW w:w="341" w:type="pct"/>
          </w:tcPr>
          <w:p w14:paraId="2BBFE0F8">
            <w:pPr>
              <w:rPr>
                <w:color w:val="auto"/>
              </w:rPr>
            </w:pPr>
          </w:p>
        </w:tc>
        <w:tc>
          <w:tcPr>
            <w:tcW w:w="4658" w:type="pct"/>
          </w:tcPr>
          <w:p w14:paraId="30774EDA">
            <w:pPr>
              <w:jc w:val="center"/>
              <w:rPr>
                <w:b/>
                <w:color w:val="auto"/>
                <w:kern w:val="0"/>
                <w:sz w:val="24"/>
                <w:szCs w:val="24"/>
              </w:rPr>
            </w:pPr>
            <w:r>
              <w:rPr>
                <w:rFonts w:hint="eastAsia"/>
                <w:b/>
                <w:bCs/>
                <w:color w:val="auto"/>
                <w:sz w:val="24"/>
                <w:szCs w:val="24"/>
              </w:rPr>
              <w:t>表1-</w:t>
            </w:r>
            <w:r>
              <w:rPr>
                <w:rFonts w:hint="eastAsia"/>
                <w:b/>
                <w:bCs/>
                <w:color w:val="auto"/>
                <w:sz w:val="24"/>
                <w:szCs w:val="24"/>
                <w:lang w:val="en-US" w:eastAsia="zh-CN"/>
              </w:rPr>
              <w:t>3</w:t>
            </w:r>
            <w:r>
              <w:rPr>
                <w:rFonts w:hint="eastAsia"/>
                <w:b/>
                <w:bCs/>
                <w:color w:val="auto"/>
                <w:sz w:val="24"/>
                <w:szCs w:val="24"/>
              </w:rPr>
              <w:t xml:space="preserve">  项目与所在</w:t>
            </w:r>
            <w:r>
              <w:rPr>
                <w:rFonts w:hint="eastAsia"/>
                <w:b/>
                <w:color w:val="auto"/>
                <w:kern w:val="0"/>
                <w:sz w:val="24"/>
                <w:szCs w:val="24"/>
              </w:rPr>
              <w:t>的环境管控单元</w:t>
            </w:r>
            <w:r>
              <w:rPr>
                <w:rFonts w:hint="eastAsia"/>
                <w:b/>
                <w:color w:val="auto"/>
                <w:kern w:val="0"/>
                <w:sz w:val="24"/>
                <w:szCs w:val="24"/>
                <w:lang w:val="en-US" w:eastAsia="zh-CN"/>
              </w:rPr>
              <w:t>管控要求</w:t>
            </w:r>
            <w:r>
              <w:rPr>
                <w:rFonts w:hint="eastAsia"/>
                <w:b/>
                <w:color w:val="auto"/>
                <w:kern w:val="0"/>
                <w:sz w:val="24"/>
                <w:szCs w:val="24"/>
              </w:rPr>
              <w:t>符合性分析</w:t>
            </w:r>
          </w:p>
          <w:tbl>
            <w:tblPr>
              <w:tblStyle w:val="27"/>
              <w:tblW w:w="497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9"/>
              <w:gridCol w:w="586"/>
              <w:gridCol w:w="1029"/>
              <w:gridCol w:w="878"/>
              <w:gridCol w:w="729"/>
              <w:gridCol w:w="3828"/>
              <w:gridCol w:w="1082"/>
              <w:gridCol w:w="2176"/>
              <w:gridCol w:w="428"/>
            </w:tblGrid>
            <w:tr w14:paraId="3F8A2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77" w:type="pct"/>
                  <w:vAlign w:val="center"/>
                </w:tcPr>
                <w:p w14:paraId="2AA024B6">
                  <w:pPr>
                    <w:adjustRightInd w:val="0"/>
                    <w:snapToGrid w:val="0"/>
                    <w:rPr>
                      <w:b/>
                      <w:bCs/>
                      <w:color w:val="auto"/>
                      <w:szCs w:val="21"/>
                    </w:rPr>
                  </w:pPr>
                  <w:r>
                    <w:rPr>
                      <w:b/>
                      <w:bCs/>
                      <w:color w:val="auto"/>
                      <w:szCs w:val="21"/>
                    </w:rPr>
                    <w:t>序号</w:t>
                  </w:r>
                </w:p>
              </w:tc>
              <w:tc>
                <w:tcPr>
                  <w:tcW w:w="353" w:type="pct"/>
                  <w:vAlign w:val="center"/>
                </w:tcPr>
                <w:p w14:paraId="3DDA65C7">
                  <w:pPr>
                    <w:adjustRightInd w:val="0"/>
                    <w:snapToGrid w:val="0"/>
                    <w:jc w:val="center"/>
                    <w:rPr>
                      <w:b/>
                      <w:bCs/>
                      <w:color w:val="auto"/>
                      <w:szCs w:val="21"/>
                    </w:rPr>
                  </w:pPr>
                  <w:r>
                    <w:rPr>
                      <w:b/>
                      <w:bCs/>
                      <w:color w:val="auto"/>
                      <w:szCs w:val="21"/>
                    </w:rPr>
                    <w:t>市（区）</w:t>
                  </w:r>
                </w:p>
              </w:tc>
              <w:tc>
                <w:tcPr>
                  <w:tcW w:w="244" w:type="pct"/>
                  <w:vAlign w:val="center"/>
                </w:tcPr>
                <w:p w14:paraId="1646676D">
                  <w:pPr>
                    <w:adjustRightInd w:val="0"/>
                    <w:snapToGrid w:val="0"/>
                    <w:jc w:val="center"/>
                    <w:rPr>
                      <w:b/>
                      <w:bCs/>
                      <w:color w:val="auto"/>
                      <w:szCs w:val="21"/>
                    </w:rPr>
                  </w:pPr>
                  <w:r>
                    <w:rPr>
                      <w:b/>
                      <w:bCs/>
                      <w:color w:val="auto"/>
                      <w:szCs w:val="21"/>
                    </w:rPr>
                    <w:t>区县</w:t>
                  </w:r>
                </w:p>
              </w:tc>
              <w:tc>
                <w:tcPr>
                  <w:tcW w:w="428" w:type="pct"/>
                  <w:vAlign w:val="center"/>
                </w:tcPr>
                <w:p w14:paraId="15F8901E">
                  <w:pPr>
                    <w:adjustRightInd w:val="0"/>
                    <w:snapToGrid w:val="0"/>
                    <w:jc w:val="center"/>
                    <w:rPr>
                      <w:b/>
                      <w:bCs/>
                      <w:color w:val="auto"/>
                      <w:szCs w:val="21"/>
                    </w:rPr>
                  </w:pPr>
                  <w:r>
                    <w:rPr>
                      <w:b/>
                      <w:bCs/>
                      <w:color w:val="auto"/>
                      <w:szCs w:val="21"/>
                    </w:rPr>
                    <w:t>环境管控单元名称</w:t>
                  </w:r>
                </w:p>
              </w:tc>
              <w:tc>
                <w:tcPr>
                  <w:tcW w:w="365" w:type="pct"/>
                  <w:vAlign w:val="center"/>
                </w:tcPr>
                <w:p w14:paraId="795BD9A0">
                  <w:pPr>
                    <w:adjustRightInd w:val="0"/>
                    <w:snapToGrid w:val="0"/>
                    <w:jc w:val="center"/>
                    <w:rPr>
                      <w:b/>
                      <w:bCs/>
                      <w:color w:val="auto"/>
                      <w:szCs w:val="21"/>
                    </w:rPr>
                  </w:pPr>
                  <w:r>
                    <w:rPr>
                      <w:b/>
                      <w:bCs/>
                      <w:color w:val="auto"/>
                      <w:szCs w:val="21"/>
                    </w:rPr>
                    <w:t>单元要</w:t>
                  </w:r>
                </w:p>
                <w:p w14:paraId="3DF030A1">
                  <w:pPr>
                    <w:adjustRightInd w:val="0"/>
                    <w:snapToGrid w:val="0"/>
                    <w:jc w:val="center"/>
                    <w:rPr>
                      <w:b/>
                      <w:bCs/>
                      <w:color w:val="auto"/>
                      <w:szCs w:val="21"/>
                    </w:rPr>
                  </w:pPr>
                  <w:r>
                    <w:rPr>
                      <w:b/>
                      <w:bCs/>
                      <w:color w:val="auto"/>
                      <w:szCs w:val="21"/>
                    </w:rPr>
                    <w:t>素属性</w:t>
                  </w:r>
                </w:p>
              </w:tc>
              <w:tc>
                <w:tcPr>
                  <w:tcW w:w="303" w:type="pct"/>
                  <w:vAlign w:val="center"/>
                </w:tcPr>
                <w:p w14:paraId="2CE6C8D1">
                  <w:pPr>
                    <w:adjustRightInd w:val="0"/>
                    <w:snapToGrid w:val="0"/>
                    <w:jc w:val="center"/>
                    <w:rPr>
                      <w:b/>
                      <w:bCs/>
                      <w:color w:val="auto"/>
                      <w:szCs w:val="21"/>
                    </w:rPr>
                  </w:pPr>
                  <w:r>
                    <w:rPr>
                      <w:b/>
                      <w:bCs/>
                      <w:color w:val="auto"/>
                      <w:szCs w:val="21"/>
                    </w:rPr>
                    <w:t>管控要求分类</w:t>
                  </w:r>
                </w:p>
              </w:tc>
              <w:tc>
                <w:tcPr>
                  <w:tcW w:w="1592" w:type="pct"/>
                  <w:vAlign w:val="center"/>
                </w:tcPr>
                <w:p w14:paraId="1138F5F1">
                  <w:pPr>
                    <w:adjustRightInd w:val="0"/>
                    <w:snapToGrid w:val="0"/>
                    <w:jc w:val="center"/>
                    <w:rPr>
                      <w:b/>
                      <w:bCs/>
                      <w:color w:val="auto"/>
                      <w:szCs w:val="21"/>
                    </w:rPr>
                  </w:pPr>
                  <w:r>
                    <w:rPr>
                      <w:b/>
                      <w:bCs/>
                      <w:color w:val="auto"/>
                      <w:szCs w:val="21"/>
                    </w:rPr>
                    <w:t>管控要求</w:t>
                  </w:r>
                </w:p>
              </w:tc>
              <w:tc>
                <w:tcPr>
                  <w:tcW w:w="450" w:type="pct"/>
                  <w:vAlign w:val="center"/>
                </w:tcPr>
                <w:p w14:paraId="041B3E71">
                  <w:pPr>
                    <w:adjustRightInd w:val="0"/>
                    <w:snapToGrid w:val="0"/>
                    <w:jc w:val="center"/>
                    <w:rPr>
                      <w:b/>
                      <w:bCs/>
                      <w:color w:val="auto"/>
                      <w:szCs w:val="21"/>
                    </w:rPr>
                  </w:pPr>
                  <w:r>
                    <w:rPr>
                      <w:b/>
                      <w:bCs/>
                      <w:color w:val="auto"/>
                      <w:szCs w:val="21"/>
                    </w:rPr>
                    <w:t>面积/长度</w:t>
                  </w:r>
                </w:p>
                <w:p w14:paraId="79047872">
                  <w:pPr>
                    <w:adjustRightInd w:val="0"/>
                    <w:snapToGrid w:val="0"/>
                    <w:jc w:val="center"/>
                    <w:rPr>
                      <w:b/>
                      <w:bCs/>
                      <w:color w:val="auto"/>
                      <w:szCs w:val="21"/>
                    </w:rPr>
                  </w:pPr>
                  <w:r>
                    <w:rPr>
                      <w:b/>
                      <w:bCs/>
                      <w:color w:val="auto"/>
                      <w:szCs w:val="21"/>
                    </w:rPr>
                    <w:t>(平方米/米)</w:t>
                  </w:r>
                </w:p>
              </w:tc>
              <w:tc>
                <w:tcPr>
                  <w:tcW w:w="905" w:type="pct"/>
                  <w:vAlign w:val="center"/>
                </w:tcPr>
                <w:p w14:paraId="137DD66C">
                  <w:pPr>
                    <w:adjustRightInd w:val="0"/>
                    <w:snapToGrid w:val="0"/>
                    <w:jc w:val="center"/>
                    <w:rPr>
                      <w:b/>
                      <w:bCs/>
                      <w:color w:val="auto"/>
                      <w:szCs w:val="21"/>
                    </w:rPr>
                  </w:pPr>
                  <w:r>
                    <w:rPr>
                      <w:b/>
                      <w:bCs/>
                      <w:color w:val="auto"/>
                      <w:szCs w:val="21"/>
                    </w:rPr>
                    <w:t>本项目情况</w:t>
                  </w:r>
                </w:p>
              </w:tc>
              <w:tc>
                <w:tcPr>
                  <w:tcW w:w="178" w:type="pct"/>
                  <w:vAlign w:val="center"/>
                </w:tcPr>
                <w:p w14:paraId="7CAD276D">
                  <w:pPr>
                    <w:adjustRightInd w:val="0"/>
                    <w:snapToGrid w:val="0"/>
                    <w:rPr>
                      <w:b/>
                      <w:bCs/>
                      <w:color w:val="auto"/>
                      <w:szCs w:val="21"/>
                    </w:rPr>
                  </w:pPr>
                  <w:r>
                    <w:rPr>
                      <w:b/>
                      <w:bCs/>
                      <w:color w:val="auto"/>
                      <w:szCs w:val="21"/>
                    </w:rPr>
                    <w:t>符合性</w:t>
                  </w:r>
                </w:p>
              </w:tc>
            </w:tr>
            <w:tr w14:paraId="0181F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7" w:type="pct"/>
                  <w:vMerge w:val="restart"/>
                  <w:vAlign w:val="center"/>
                </w:tcPr>
                <w:p w14:paraId="2C7A5E7E">
                  <w:pPr>
                    <w:adjustRightInd w:val="0"/>
                    <w:snapToGrid w:val="0"/>
                    <w:rPr>
                      <w:color w:val="auto"/>
                      <w:szCs w:val="21"/>
                    </w:rPr>
                  </w:pPr>
                  <w:r>
                    <w:rPr>
                      <w:color w:val="auto"/>
                      <w:szCs w:val="21"/>
                    </w:rPr>
                    <w:t>1</w:t>
                  </w:r>
                </w:p>
              </w:tc>
              <w:tc>
                <w:tcPr>
                  <w:tcW w:w="353" w:type="pct"/>
                  <w:vMerge w:val="restart"/>
                  <w:vAlign w:val="center"/>
                </w:tcPr>
                <w:p w14:paraId="50EDE719">
                  <w:pPr>
                    <w:widowControl/>
                    <w:adjustRightInd w:val="0"/>
                    <w:snapToGrid w:val="0"/>
                    <w:jc w:val="left"/>
                    <w:rPr>
                      <w:color w:val="auto"/>
                      <w:szCs w:val="21"/>
                    </w:rPr>
                  </w:pPr>
                  <w:r>
                    <w:rPr>
                      <w:rFonts w:hint="eastAsia"/>
                      <w:color w:val="auto"/>
                      <w:szCs w:val="21"/>
                    </w:rPr>
                    <w:t>西安市</w:t>
                  </w:r>
                </w:p>
              </w:tc>
              <w:tc>
                <w:tcPr>
                  <w:tcW w:w="244" w:type="pct"/>
                  <w:vMerge w:val="restart"/>
                  <w:vAlign w:val="center"/>
                </w:tcPr>
                <w:p w14:paraId="7496CD28">
                  <w:pPr>
                    <w:adjustRightInd w:val="0"/>
                    <w:snapToGrid w:val="0"/>
                    <w:rPr>
                      <w:color w:val="auto"/>
                      <w:szCs w:val="21"/>
                    </w:rPr>
                  </w:pPr>
                  <w:r>
                    <w:rPr>
                      <w:rFonts w:hint="eastAsia"/>
                      <w:color w:val="auto"/>
                      <w:szCs w:val="21"/>
                      <w:lang w:val="en-US" w:eastAsia="zh-CN"/>
                    </w:rPr>
                    <w:t>长安</w:t>
                  </w:r>
                  <w:r>
                    <w:rPr>
                      <w:rFonts w:hint="eastAsia"/>
                      <w:color w:val="auto"/>
                      <w:szCs w:val="21"/>
                    </w:rPr>
                    <w:t>区</w:t>
                  </w:r>
                </w:p>
              </w:tc>
              <w:tc>
                <w:tcPr>
                  <w:tcW w:w="428" w:type="pct"/>
                  <w:vMerge w:val="restart"/>
                  <w:vAlign w:val="center"/>
                </w:tcPr>
                <w:p w14:paraId="3C8043C0">
                  <w:pPr>
                    <w:widowControl/>
                    <w:adjustRightInd w:val="0"/>
                    <w:snapToGrid w:val="0"/>
                    <w:jc w:val="left"/>
                    <w:rPr>
                      <w:color w:val="auto"/>
                      <w:szCs w:val="21"/>
                    </w:rPr>
                  </w:pPr>
                  <w:r>
                    <w:rPr>
                      <w:color w:val="auto"/>
                      <w:szCs w:val="21"/>
                      <w:lang w:bidi="ar"/>
                    </w:rPr>
                    <w:t>陕西省</w:t>
                  </w:r>
                  <w:r>
                    <w:rPr>
                      <w:rFonts w:hint="eastAsia"/>
                      <w:color w:val="auto"/>
                      <w:szCs w:val="21"/>
                      <w:lang w:bidi="ar"/>
                    </w:rPr>
                    <w:t>西安市</w:t>
                  </w:r>
                  <w:r>
                    <w:rPr>
                      <w:rFonts w:hint="eastAsia"/>
                      <w:color w:val="auto"/>
                      <w:szCs w:val="21"/>
                      <w:lang w:val="en-US" w:eastAsia="zh-CN" w:bidi="ar"/>
                    </w:rPr>
                    <w:t>长安</w:t>
                  </w:r>
                  <w:r>
                    <w:rPr>
                      <w:rFonts w:hint="eastAsia"/>
                      <w:color w:val="auto"/>
                      <w:szCs w:val="21"/>
                      <w:lang w:bidi="ar"/>
                    </w:rPr>
                    <w:t>区</w:t>
                  </w:r>
                  <w:r>
                    <w:rPr>
                      <w:color w:val="auto"/>
                      <w:szCs w:val="21"/>
                      <w:lang w:bidi="ar"/>
                    </w:rPr>
                    <w:t>重点管控单元</w:t>
                  </w:r>
                </w:p>
                <w:p w14:paraId="11819114">
                  <w:pPr>
                    <w:adjustRightInd w:val="0"/>
                    <w:snapToGrid w:val="0"/>
                    <w:rPr>
                      <w:rFonts w:hint="eastAsia" w:eastAsia="宋体"/>
                      <w:color w:val="auto"/>
                      <w:szCs w:val="21"/>
                      <w:lang w:eastAsia="zh-CN"/>
                    </w:rPr>
                  </w:pPr>
                  <w:r>
                    <w:rPr>
                      <w:rFonts w:hint="eastAsia"/>
                      <w:color w:val="auto"/>
                      <w:szCs w:val="21"/>
                      <w:lang w:val="en-US" w:eastAsia="zh-CN" w:bidi="ar"/>
                    </w:rPr>
                    <w:t>4</w:t>
                  </w:r>
                </w:p>
              </w:tc>
              <w:tc>
                <w:tcPr>
                  <w:tcW w:w="365" w:type="pct"/>
                  <w:vMerge w:val="restart"/>
                  <w:vAlign w:val="center"/>
                </w:tcPr>
                <w:p w14:paraId="42374A90">
                  <w:pPr>
                    <w:adjustRightInd w:val="0"/>
                    <w:snapToGrid w:val="0"/>
                    <w:rPr>
                      <w:color w:val="auto"/>
                      <w:szCs w:val="21"/>
                    </w:rPr>
                  </w:pPr>
                  <w:r>
                    <w:rPr>
                      <w:color w:val="auto"/>
                      <w:szCs w:val="21"/>
                    </w:rPr>
                    <w:t>大气环境受体敏感重点管控区、水环境城镇生活污染重点管控区、高污染燃料禁燃区</w:t>
                  </w:r>
                </w:p>
              </w:tc>
              <w:tc>
                <w:tcPr>
                  <w:tcW w:w="303" w:type="pct"/>
                  <w:vAlign w:val="center"/>
                </w:tcPr>
                <w:p w14:paraId="4B3DCE72">
                  <w:pPr>
                    <w:adjustRightInd w:val="0"/>
                    <w:snapToGrid w:val="0"/>
                    <w:rPr>
                      <w:color w:val="auto"/>
                      <w:szCs w:val="21"/>
                    </w:rPr>
                  </w:pPr>
                  <w:r>
                    <w:rPr>
                      <w:color w:val="auto"/>
                      <w:szCs w:val="21"/>
                    </w:rPr>
                    <w:t>空间布局约束</w:t>
                  </w:r>
                </w:p>
              </w:tc>
              <w:tc>
                <w:tcPr>
                  <w:tcW w:w="1592" w:type="pct"/>
                  <w:vAlign w:val="center"/>
                </w:tcPr>
                <w:p w14:paraId="04653FE5">
                  <w:pPr>
                    <w:adjustRightInd w:val="0"/>
                    <w:snapToGrid w:val="0"/>
                    <w:rPr>
                      <w:color w:val="auto"/>
                      <w:szCs w:val="21"/>
                    </w:rPr>
                  </w:pPr>
                  <w:r>
                    <w:rPr>
                      <w:color w:val="auto"/>
                      <w:szCs w:val="21"/>
                    </w:rPr>
                    <w:t>大气环境布局敏感重点管控区：</w:t>
                  </w:r>
                </w:p>
                <w:p w14:paraId="205BD415">
                  <w:pPr>
                    <w:numPr>
                      <w:ilvl w:val="0"/>
                      <w:numId w:val="2"/>
                    </w:numPr>
                    <w:adjustRightInd w:val="0"/>
                    <w:snapToGrid w:val="0"/>
                    <w:rPr>
                      <w:color w:val="auto"/>
                      <w:szCs w:val="21"/>
                    </w:rPr>
                  </w:pPr>
                  <w:r>
                    <w:rPr>
                      <w:color w:val="auto"/>
                      <w:szCs w:val="21"/>
                    </w:rPr>
                    <w:t>严格控制新增《陕西省“两高”项目管理暂行目录》行业项目（民生等项目除外，后续对“两高”范围国家如有新规定的，从其规定）。</w:t>
                  </w:r>
                  <w:r>
                    <w:rPr>
                      <w:rFonts w:hint="eastAsia"/>
                      <w:color w:val="auto"/>
                    </w:rPr>
                    <w:t xml:space="preserve">2. 严禁新增钢铁、焦化、水泥熟料、平板玻璃、电解铝、氧化铝、煤化工产能。3. </w:t>
                  </w:r>
                  <w:r>
                    <w:rPr>
                      <w:color w:val="auto"/>
                      <w:szCs w:val="21"/>
                    </w:rPr>
                    <w:t>推动重污染企业搬迁入园或依法关闭。</w:t>
                  </w:r>
                </w:p>
              </w:tc>
              <w:tc>
                <w:tcPr>
                  <w:tcW w:w="450" w:type="pct"/>
                  <w:vMerge w:val="restart"/>
                  <w:vAlign w:val="center"/>
                </w:tcPr>
                <w:p w14:paraId="256673CD">
                  <w:pPr>
                    <w:adjustRightInd w:val="0"/>
                    <w:snapToGrid w:val="0"/>
                    <w:jc w:val="center"/>
                    <w:rPr>
                      <w:color w:val="auto"/>
                      <w:szCs w:val="21"/>
                    </w:rPr>
                  </w:pPr>
                  <w:r>
                    <w:rPr>
                      <w:rFonts w:hint="eastAsia"/>
                      <w:color w:val="auto"/>
                      <w:szCs w:val="21"/>
                      <w:lang w:val="en-US" w:eastAsia="zh-CN"/>
                    </w:rPr>
                    <w:t>79760</w:t>
                  </w:r>
                </w:p>
              </w:tc>
              <w:tc>
                <w:tcPr>
                  <w:tcW w:w="905" w:type="pct"/>
                  <w:vAlign w:val="center"/>
                </w:tcPr>
                <w:p w14:paraId="52A318A9">
                  <w:pPr>
                    <w:adjustRightInd w:val="0"/>
                    <w:snapToGrid w:val="0"/>
                    <w:rPr>
                      <w:color w:val="auto"/>
                      <w:szCs w:val="21"/>
                    </w:rPr>
                  </w:pPr>
                  <w:r>
                    <w:rPr>
                      <w:color w:val="auto"/>
                      <w:szCs w:val="21"/>
                    </w:rPr>
                    <w:t>大气环境布局敏感重点管控区：</w:t>
                  </w:r>
                </w:p>
                <w:p w14:paraId="2A0E28A2">
                  <w:pPr>
                    <w:numPr>
                      <w:ilvl w:val="0"/>
                      <w:numId w:val="3"/>
                    </w:numPr>
                    <w:adjustRightInd w:val="0"/>
                    <w:snapToGrid w:val="0"/>
                    <w:rPr>
                      <w:color w:val="auto"/>
                      <w:szCs w:val="21"/>
                    </w:rPr>
                  </w:pPr>
                  <w:r>
                    <w:rPr>
                      <w:color w:val="auto"/>
                      <w:szCs w:val="21"/>
                    </w:rPr>
                    <w:t>本项目属于</w:t>
                  </w:r>
                  <w:r>
                    <w:rPr>
                      <w:rFonts w:hint="eastAsia" w:eastAsiaTheme="minorEastAsia"/>
                      <w:color w:val="auto"/>
                      <w:szCs w:val="21"/>
                    </w:rPr>
                    <w:t>生态保护和环境治理业</w:t>
                  </w:r>
                  <w:r>
                    <w:rPr>
                      <w:color w:val="auto"/>
                      <w:szCs w:val="21"/>
                    </w:rPr>
                    <w:t>，不属于“两高”行业</w:t>
                  </w:r>
                  <w:r>
                    <w:rPr>
                      <w:rFonts w:hint="eastAsia"/>
                      <w:color w:val="auto"/>
                      <w:szCs w:val="21"/>
                    </w:rPr>
                    <w:t>；</w:t>
                  </w:r>
                </w:p>
                <w:p w14:paraId="31D224AD">
                  <w:pPr>
                    <w:numPr>
                      <w:ilvl w:val="0"/>
                      <w:numId w:val="3"/>
                    </w:numPr>
                    <w:adjustRightInd w:val="0"/>
                    <w:snapToGrid w:val="0"/>
                    <w:rPr>
                      <w:color w:val="auto"/>
                      <w:szCs w:val="21"/>
                    </w:rPr>
                  </w:pPr>
                  <w:r>
                    <w:rPr>
                      <w:rFonts w:hint="eastAsia"/>
                      <w:color w:val="auto"/>
                      <w:szCs w:val="21"/>
                    </w:rPr>
                    <w:t>本项目属于</w:t>
                  </w:r>
                  <w:r>
                    <w:rPr>
                      <w:rFonts w:hint="eastAsia" w:eastAsiaTheme="minorEastAsia"/>
                      <w:color w:val="auto"/>
                      <w:szCs w:val="21"/>
                    </w:rPr>
                    <w:t>生态保护和环境治理业</w:t>
                  </w:r>
                  <w:r>
                    <w:rPr>
                      <w:color w:val="auto"/>
                      <w:szCs w:val="21"/>
                    </w:rPr>
                    <w:t>，</w:t>
                  </w:r>
                  <w:r>
                    <w:rPr>
                      <w:rFonts w:hint="eastAsia"/>
                      <w:color w:val="auto"/>
                      <w:szCs w:val="21"/>
                    </w:rPr>
                    <w:t>不新增</w:t>
                  </w:r>
                  <w:r>
                    <w:rPr>
                      <w:rFonts w:hint="eastAsia"/>
                      <w:color w:val="auto"/>
                    </w:rPr>
                    <w:t xml:space="preserve">钢铁、焦化、水泥熟料、平板玻璃、电解铝、氧化铝、煤化工产能；3. </w:t>
                  </w:r>
                  <w:r>
                    <w:rPr>
                      <w:rFonts w:hint="eastAsia"/>
                      <w:color w:val="auto"/>
                      <w:szCs w:val="21"/>
                    </w:rPr>
                    <w:t>本项目不属于重污染企业。</w:t>
                  </w:r>
                </w:p>
              </w:tc>
              <w:tc>
                <w:tcPr>
                  <w:tcW w:w="178" w:type="pct"/>
                  <w:vAlign w:val="center"/>
                </w:tcPr>
                <w:p w14:paraId="5C709804">
                  <w:pPr>
                    <w:adjustRightInd w:val="0"/>
                    <w:snapToGrid w:val="0"/>
                    <w:rPr>
                      <w:color w:val="auto"/>
                      <w:szCs w:val="21"/>
                    </w:rPr>
                  </w:pPr>
                  <w:r>
                    <w:rPr>
                      <w:color w:val="auto"/>
                      <w:szCs w:val="21"/>
                    </w:rPr>
                    <w:t>符合</w:t>
                  </w:r>
                </w:p>
              </w:tc>
            </w:tr>
            <w:tr w14:paraId="6AF98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77" w:type="pct"/>
                  <w:vMerge w:val="continue"/>
                  <w:vAlign w:val="center"/>
                </w:tcPr>
                <w:p w14:paraId="0AFE8A4A">
                  <w:pPr>
                    <w:adjustRightInd w:val="0"/>
                    <w:snapToGrid w:val="0"/>
                    <w:rPr>
                      <w:color w:val="auto"/>
                      <w:szCs w:val="21"/>
                    </w:rPr>
                  </w:pPr>
                </w:p>
              </w:tc>
              <w:tc>
                <w:tcPr>
                  <w:tcW w:w="353" w:type="pct"/>
                  <w:vMerge w:val="continue"/>
                  <w:vAlign w:val="center"/>
                </w:tcPr>
                <w:p w14:paraId="7CF81870">
                  <w:pPr>
                    <w:adjustRightInd w:val="0"/>
                    <w:snapToGrid w:val="0"/>
                    <w:rPr>
                      <w:color w:val="auto"/>
                      <w:szCs w:val="21"/>
                    </w:rPr>
                  </w:pPr>
                </w:p>
              </w:tc>
              <w:tc>
                <w:tcPr>
                  <w:tcW w:w="244" w:type="pct"/>
                  <w:vMerge w:val="continue"/>
                  <w:vAlign w:val="center"/>
                </w:tcPr>
                <w:p w14:paraId="1FC7943B">
                  <w:pPr>
                    <w:adjustRightInd w:val="0"/>
                    <w:snapToGrid w:val="0"/>
                    <w:rPr>
                      <w:color w:val="auto"/>
                      <w:szCs w:val="21"/>
                    </w:rPr>
                  </w:pPr>
                </w:p>
              </w:tc>
              <w:tc>
                <w:tcPr>
                  <w:tcW w:w="428" w:type="pct"/>
                  <w:vMerge w:val="continue"/>
                  <w:vAlign w:val="center"/>
                </w:tcPr>
                <w:p w14:paraId="5924650F">
                  <w:pPr>
                    <w:adjustRightInd w:val="0"/>
                    <w:snapToGrid w:val="0"/>
                    <w:rPr>
                      <w:color w:val="auto"/>
                      <w:szCs w:val="21"/>
                    </w:rPr>
                  </w:pPr>
                </w:p>
              </w:tc>
              <w:tc>
                <w:tcPr>
                  <w:tcW w:w="365" w:type="pct"/>
                  <w:vMerge w:val="continue"/>
                  <w:vAlign w:val="center"/>
                </w:tcPr>
                <w:p w14:paraId="5313644E">
                  <w:pPr>
                    <w:adjustRightInd w:val="0"/>
                    <w:snapToGrid w:val="0"/>
                    <w:rPr>
                      <w:color w:val="auto"/>
                      <w:szCs w:val="21"/>
                    </w:rPr>
                  </w:pPr>
                </w:p>
              </w:tc>
              <w:tc>
                <w:tcPr>
                  <w:tcW w:w="303" w:type="pct"/>
                  <w:vAlign w:val="center"/>
                </w:tcPr>
                <w:p w14:paraId="21D8F6E7">
                  <w:pPr>
                    <w:adjustRightInd w:val="0"/>
                    <w:snapToGrid w:val="0"/>
                    <w:rPr>
                      <w:color w:val="auto"/>
                      <w:szCs w:val="21"/>
                    </w:rPr>
                  </w:pPr>
                  <w:r>
                    <w:rPr>
                      <w:color w:val="auto"/>
                      <w:szCs w:val="21"/>
                    </w:rPr>
                    <w:t>污染物排放管控</w:t>
                  </w:r>
                </w:p>
              </w:tc>
              <w:tc>
                <w:tcPr>
                  <w:tcW w:w="1592" w:type="pct"/>
                  <w:vAlign w:val="center"/>
                </w:tcPr>
                <w:p w14:paraId="06D684B8">
                  <w:pPr>
                    <w:adjustRightInd w:val="0"/>
                    <w:snapToGrid w:val="0"/>
                    <w:rPr>
                      <w:color w:val="auto"/>
                      <w:szCs w:val="21"/>
                    </w:rPr>
                  </w:pPr>
                  <w:r>
                    <w:rPr>
                      <w:color w:val="auto"/>
                      <w:szCs w:val="21"/>
                    </w:rPr>
                    <w:t>大气环境布局敏感重点管控区：</w:t>
                  </w:r>
                </w:p>
                <w:p w14:paraId="3A503E5A">
                  <w:pPr>
                    <w:numPr>
                      <w:ilvl w:val="0"/>
                      <w:numId w:val="4"/>
                    </w:numPr>
                    <w:adjustRightInd w:val="0"/>
                    <w:snapToGrid w:val="0"/>
                    <w:rPr>
                      <w:color w:val="auto"/>
                      <w:szCs w:val="21"/>
                    </w:rPr>
                  </w:pPr>
                  <w:r>
                    <w:rPr>
                      <w:color w:val="auto"/>
                      <w:szCs w:val="21"/>
                    </w:rPr>
                    <w:t>鼓励将老旧车辆和非道路移动机械替换为清洁能源车辆。推进新能源或清洁能源汽车使用。</w:t>
                  </w:r>
                </w:p>
                <w:p w14:paraId="76FCCDB7">
                  <w:pPr>
                    <w:adjustRightInd w:val="0"/>
                    <w:snapToGrid w:val="0"/>
                    <w:rPr>
                      <w:color w:val="auto"/>
                      <w:szCs w:val="21"/>
                    </w:rPr>
                  </w:pPr>
                  <w:r>
                    <w:rPr>
                      <w:color w:val="auto"/>
                      <w:szCs w:val="21"/>
                    </w:rPr>
                    <w:t>水环境城镇生活污染重点管控区：</w:t>
                  </w:r>
                </w:p>
                <w:p w14:paraId="300B4391">
                  <w:pPr>
                    <w:adjustRightInd w:val="0"/>
                    <w:snapToGrid w:val="0"/>
                    <w:rPr>
                      <w:color w:val="auto"/>
                      <w:szCs w:val="21"/>
                    </w:rPr>
                  </w:pPr>
                  <w:r>
                    <w:rPr>
                      <w:color w:val="auto"/>
                      <w:szCs w:val="21"/>
                    </w:rPr>
                    <w:t>1.加强城镇污水收集处理设施建设与提标改造。城镇生活污水处理达到《陕西省黄河流域污水综合排放标准》（DB61/224-2018）排放限值要求。</w:t>
                  </w:r>
                </w:p>
              </w:tc>
              <w:tc>
                <w:tcPr>
                  <w:tcW w:w="450" w:type="pct"/>
                  <w:vMerge w:val="continue"/>
                  <w:vAlign w:val="center"/>
                </w:tcPr>
                <w:p w14:paraId="50F0B2E1">
                  <w:pPr>
                    <w:adjustRightInd w:val="0"/>
                    <w:snapToGrid w:val="0"/>
                    <w:rPr>
                      <w:color w:val="auto"/>
                      <w:szCs w:val="21"/>
                    </w:rPr>
                  </w:pPr>
                </w:p>
              </w:tc>
              <w:tc>
                <w:tcPr>
                  <w:tcW w:w="905" w:type="pct"/>
                  <w:vAlign w:val="center"/>
                </w:tcPr>
                <w:p w14:paraId="258DDF8F">
                  <w:pPr>
                    <w:rPr>
                      <w:color w:val="auto"/>
                      <w:kern w:val="21"/>
                      <w:szCs w:val="21"/>
                    </w:rPr>
                  </w:pPr>
                  <w:r>
                    <w:rPr>
                      <w:color w:val="auto"/>
                      <w:szCs w:val="21"/>
                    </w:rPr>
                    <w:t>大气环境布局敏感重点管控区：</w:t>
                  </w:r>
                  <w:r>
                    <w:rPr>
                      <w:rFonts w:hint="eastAsia"/>
                      <w:color w:val="auto"/>
                      <w:szCs w:val="21"/>
                      <w:highlight w:val="none"/>
                    </w:rPr>
                    <w:t>1.</w:t>
                  </w:r>
                  <w:r>
                    <w:rPr>
                      <w:color w:val="auto"/>
                      <w:szCs w:val="21"/>
                      <w:highlight w:val="none"/>
                    </w:rPr>
                    <w:t>本项目</w:t>
                  </w:r>
                  <w:r>
                    <w:rPr>
                      <w:rFonts w:hint="eastAsia"/>
                      <w:color w:val="auto"/>
                      <w:szCs w:val="21"/>
                    </w:rPr>
                    <w:t>厂外</w:t>
                  </w:r>
                  <w:r>
                    <w:rPr>
                      <w:color w:val="auto"/>
                      <w:kern w:val="21"/>
                      <w:szCs w:val="21"/>
                    </w:rPr>
                    <w:t>负责原料、产品运输</w:t>
                  </w:r>
                  <w:r>
                    <w:rPr>
                      <w:rFonts w:hint="eastAsia"/>
                      <w:color w:val="auto"/>
                      <w:kern w:val="21"/>
                      <w:szCs w:val="21"/>
                    </w:rPr>
                    <w:t>的</w:t>
                  </w:r>
                  <w:r>
                    <w:rPr>
                      <w:color w:val="auto"/>
                      <w:kern w:val="21"/>
                      <w:szCs w:val="21"/>
                    </w:rPr>
                    <w:t>车辆将使用国</w:t>
                  </w:r>
                  <w:r>
                    <w:rPr>
                      <w:rFonts w:hint="eastAsia"/>
                      <w:color w:val="auto"/>
                      <w:kern w:val="21"/>
                      <w:szCs w:val="21"/>
                    </w:rPr>
                    <w:t>五</w:t>
                  </w:r>
                  <w:r>
                    <w:rPr>
                      <w:color w:val="auto"/>
                      <w:kern w:val="21"/>
                      <w:szCs w:val="21"/>
                    </w:rPr>
                    <w:t>排放标准重型载货车辆(含燃气)；</w:t>
                  </w:r>
                  <w:r>
                    <w:rPr>
                      <w:color w:val="auto"/>
                    </w:rPr>
                    <w:t>本项目</w:t>
                  </w:r>
                  <w:r>
                    <w:rPr>
                      <w:rFonts w:hint="eastAsia"/>
                      <w:color w:val="auto"/>
                      <w:lang w:val="en-US" w:eastAsia="zh-CN"/>
                    </w:rPr>
                    <w:t>施工期及</w:t>
                  </w:r>
                  <w:r>
                    <w:rPr>
                      <w:color w:val="auto"/>
                    </w:rPr>
                    <w:t>建成后厂区非道路移动机械</w:t>
                  </w:r>
                  <w:r>
                    <w:rPr>
                      <w:color w:val="auto"/>
                      <w:kern w:val="21"/>
                      <w:szCs w:val="21"/>
                    </w:rPr>
                    <w:t>使用</w:t>
                  </w:r>
                  <w:r>
                    <w:rPr>
                      <w:rFonts w:hint="eastAsia"/>
                      <w:color w:val="auto"/>
                      <w:kern w:val="21"/>
                      <w:szCs w:val="21"/>
                      <w:lang w:eastAsia="zh-CN"/>
                    </w:rPr>
                    <w:t>第四阶段</w:t>
                  </w:r>
                  <w:r>
                    <w:rPr>
                      <w:color w:val="auto"/>
                    </w:rPr>
                    <w:t>排放标准机械。</w:t>
                  </w:r>
                </w:p>
                <w:p w14:paraId="715E8BCD">
                  <w:pPr>
                    <w:rPr>
                      <w:color w:val="auto"/>
                    </w:rPr>
                  </w:pPr>
                  <w:r>
                    <w:rPr>
                      <w:color w:val="auto"/>
                      <w:szCs w:val="21"/>
                    </w:rPr>
                    <w:t>水环境城镇生活污染重点管控区：1.</w:t>
                  </w:r>
                  <w:r>
                    <w:rPr>
                      <w:rFonts w:hint="eastAsia"/>
                      <w:color w:val="auto"/>
                      <w:szCs w:val="22"/>
                    </w:rPr>
                    <w:t>本项目</w:t>
                  </w:r>
                  <w:r>
                    <w:rPr>
                      <w:rFonts w:hint="eastAsia"/>
                      <w:color w:val="auto"/>
                      <w:szCs w:val="22"/>
                      <w:lang w:val="en-US" w:eastAsia="zh-CN"/>
                    </w:rPr>
                    <w:t>不涉及污水排放</w:t>
                  </w:r>
                  <w:r>
                    <w:rPr>
                      <w:rFonts w:hint="eastAsia"/>
                      <w:color w:val="auto"/>
                      <w:szCs w:val="22"/>
                    </w:rPr>
                    <w:t>。</w:t>
                  </w:r>
                </w:p>
              </w:tc>
              <w:tc>
                <w:tcPr>
                  <w:tcW w:w="178" w:type="pct"/>
                  <w:vAlign w:val="center"/>
                </w:tcPr>
                <w:p w14:paraId="02EA7A2F">
                  <w:pPr>
                    <w:adjustRightInd w:val="0"/>
                    <w:snapToGrid w:val="0"/>
                    <w:rPr>
                      <w:color w:val="auto"/>
                      <w:szCs w:val="21"/>
                    </w:rPr>
                  </w:pPr>
                  <w:r>
                    <w:rPr>
                      <w:color w:val="auto"/>
                      <w:szCs w:val="21"/>
                    </w:rPr>
                    <w:t>符合</w:t>
                  </w:r>
                </w:p>
              </w:tc>
            </w:tr>
            <w:tr w14:paraId="7EC29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77" w:type="pct"/>
                  <w:vMerge w:val="continue"/>
                  <w:vAlign w:val="center"/>
                </w:tcPr>
                <w:p w14:paraId="06B7705A">
                  <w:pPr>
                    <w:adjustRightInd w:val="0"/>
                    <w:snapToGrid w:val="0"/>
                    <w:rPr>
                      <w:color w:val="auto"/>
                      <w:szCs w:val="21"/>
                    </w:rPr>
                  </w:pPr>
                </w:p>
              </w:tc>
              <w:tc>
                <w:tcPr>
                  <w:tcW w:w="353" w:type="pct"/>
                  <w:vMerge w:val="continue"/>
                  <w:vAlign w:val="center"/>
                </w:tcPr>
                <w:p w14:paraId="700548DE">
                  <w:pPr>
                    <w:adjustRightInd w:val="0"/>
                    <w:snapToGrid w:val="0"/>
                    <w:rPr>
                      <w:color w:val="auto"/>
                      <w:szCs w:val="21"/>
                    </w:rPr>
                  </w:pPr>
                </w:p>
              </w:tc>
              <w:tc>
                <w:tcPr>
                  <w:tcW w:w="244" w:type="pct"/>
                  <w:vMerge w:val="continue"/>
                  <w:vAlign w:val="center"/>
                </w:tcPr>
                <w:p w14:paraId="1B563D68">
                  <w:pPr>
                    <w:adjustRightInd w:val="0"/>
                    <w:snapToGrid w:val="0"/>
                    <w:rPr>
                      <w:color w:val="auto"/>
                      <w:szCs w:val="21"/>
                    </w:rPr>
                  </w:pPr>
                </w:p>
              </w:tc>
              <w:tc>
                <w:tcPr>
                  <w:tcW w:w="428" w:type="pct"/>
                  <w:vMerge w:val="continue"/>
                  <w:vAlign w:val="center"/>
                </w:tcPr>
                <w:p w14:paraId="594FFED8">
                  <w:pPr>
                    <w:adjustRightInd w:val="0"/>
                    <w:snapToGrid w:val="0"/>
                    <w:rPr>
                      <w:color w:val="auto"/>
                      <w:szCs w:val="21"/>
                    </w:rPr>
                  </w:pPr>
                </w:p>
              </w:tc>
              <w:tc>
                <w:tcPr>
                  <w:tcW w:w="365" w:type="pct"/>
                  <w:vMerge w:val="continue"/>
                  <w:vAlign w:val="center"/>
                </w:tcPr>
                <w:p w14:paraId="7C334070">
                  <w:pPr>
                    <w:adjustRightInd w:val="0"/>
                    <w:snapToGrid w:val="0"/>
                    <w:rPr>
                      <w:color w:val="auto"/>
                      <w:szCs w:val="21"/>
                    </w:rPr>
                  </w:pPr>
                </w:p>
              </w:tc>
              <w:tc>
                <w:tcPr>
                  <w:tcW w:w="303" w:type="pct"/>
                  <w:vAlign w:val="center"/>
                </w:tcPr>
                <w:p w14:paraId="1BA035A6">
                  <w:pPr>
                    <w:adjustRightInd w:val="0"/>
                    <w:snapToGrid w:val="0"/>
                    <w:rPr>
                      <w:color w:val="auto"/>
                      <w:szCs w:val="21"/>
                    </w:rPr>
                  </w:pPr>
                  <w:r>
                    <w:rPr>
                      <w:color w:val="auto"/>
                      <w:szCs w:val="21"/>
                    </w:rPr>
                    <w:t>资源开发效率要求</w:t>
                  </w:r>
                </w:p>
              </w:tc>
              <w:tc>
                <w:tcPr>
                  <w:tcW w:w="1592" w:type="pct"/>
                  <w:vAlign w:val="center"/>
                </w:tcPr>
                <w:p w14:paraId="5420EE3D">
                  <w:pPr>
                    <w:adjustRightInd w:val="0"/>
                    <w:snapToGrid w:val="0"/>
                    <w:rPr>
                      <w:color w:val="auto"/>
                      <w:szCs w:val="21"/>
                    </w:rPr>
                  </w:pPr>
                  <w:r>
                    <w:rPr>
                      <w:color w:val="auto"/>
                      <w:szCs w:val="21"/>
                    </w:rPr>
                    <w:t>高污染燃料禁燃重点管控区：</w:t>
                  </w:r>
                </w:p>
                <w:p w14:paraId="6CF44685">
                  <w:pPr>
                    <w:numPr>
                      <w:ilvl w:val="0"/>
                      <w:numId w:val="5"/>
                    </w:numPr>
                    <w:adjustRightInd w:val="0"/>
                    <w:snapToGrid w:val="0"/>
                    <w:rPr>
                      <w:color w:val="auto"/>
                      <w:szCs w:val="21"/>
                    </w:rPr>
                  </w:pPr>
                  <w:r>
                    <w:rPr>
                      <w:color w:val="auto"/>
                      <w:szCs w:val="21"/>
                    </w:rPr>
                    <w:t>禁止销售、使用高污染燃料。禁止新建、扩建燃用高污染燃料的设施。已建成的，应当在市人民政府规定的期限内停止使用或者改用天然气、页岩气、煤层气、液化石油气、干热岩、电、太阳能或者其他清洁能源。</w:t>
                  </w:r>
                </w:p>
                <w:p w14:paraId="5DC3BB6D">
                  <w:pPr>
                    <w:numPr>
                      <w:ilvl w:val="0"/>
                      <w:numId w:val="5"/>
                    </w:numPr>
                    <w:adjustRightInd w:val="0"/>
                    <w:snapToGrid w:val="0"/>
                    <w:rPr>
                      <w:color w:val="auto"/>
                      <w:szCs w:val="21"/>
                    </w:rPr>
                  </w:pPr>
                  <w:r>
                    <w:rPr>
                      <w:color w:val="auto"/>
                      <w:szCs w:val="21"/>
                    </w:rPr>
                    <w:t>禁止燃放烟花爆竹。</w:t>
                  </w:r>
                </w:p>
              </w:tc>
              <w:tc>
                <w:tcPr>
                  <w:tcW w:w="450" w:type="pct"/>
                  <w:vMerge w:val="continue"/>
                  <w:vAlign w:val="center"/>
                </w:tcPr>
                <w:p w14:paraId="6F1179D1">
                  <w:pPr>
                    <w:adjustRightInd w:val="0"/>
                    <w:snapToGrid w:val="0"/>
                    <w:rPr>
                      <w:color w:val="auto"/>
                      <w:szCs w:val="21"/>
                    </w:rPr>
                  </w:pPr>
                </w:p>
              </w:tc>
              <w:tc>
                <w:tcPr>
                  <w:tcW w:w="905" w:type="pct"/>
                  <w:vAlign w:val="center"/>
                </w:tcPr>
                <w:p w14:paraId="1ED2242F">
                  <w:pPr>
                    <w:adjustRightInd w:val="0"/>
                    <w:snapToGrid w:val="0"/>
                    <w:rPr>
                      <w:color w:val="auto"/>
                      <w:szCs w:val="21"/>
                    </w:rPr>
                  </w:pPr>
                  <w:r>
                    <w:rPr>
                      <w:color w:val="auto"/>
                      <w:szCs w:val="21"/>
                    </w:rPr>
                    <w:t>高污染燃料禁燃重点管控区：</w:t>
                  </w:r>
                  <w:r>
                    <w:rPr>
                      <w:rFonts w:hint="eastAsia"/>
                      <w:color w:val="auto"/>
                      <w:szCs w:val="21"/>
                    </w:rPr>
                    <w:t>1.本项目不涉及</w:t>
                  </w:r>
                  <w:r>
                    <w:rPr>
                      <w:color w:val="auto"/>
                      <w:szCs w:val="21"/>
                    </w:rPr>
                    <w:t>销售</w:t>
                  </w:r>
                  <w:r>
                    <w:rPr>
                      <w:rFonts w:hint="eastAsia"/>
                      <w:color w:val="auto"/>
                      <w:szCs w:val="21"/>
                    </w:rPr>
                    <w:t>及</w:t>
                  </w:r>
                  <w:r>
                    <w:rPr>
                      <w:color w:val="auto"/>
                      <w:szCs w:val="21"/>
                    </w:rPr>
                    <w:t>使用高污染燃料。</w:t>
                  </w:r>
                  <w:r>
                    <w:rPr>
                      <w:rFonts w:hint="eastAsia"/>
                      <w:color w:val="auto"/>
                      <w:szCs w:val="21"/>
                    </w:rPr>
                    <w:t>2.本项目不涉及烟花爆竹。</w:t>
                  </w:r>
                </w:p>
              </w:tc>
              <w:tc>
                <w:tcPr>
                  <w:tcW w:w="178" w:type="pct"/>
                  <w:vAlign w:val="center"/>
                </w:tcPr>
                <w:p w14:paraId="429C4E25">
                  <w:pPr>
                    <w:adjustRightInd w:val="0"/>
                    <w:snapToGrid w:val="0"/>
                    <w:rPr>
                      <w:color w:val="auto"/>
                      <w:szCs w:val="21"/>
                    </w:rPr>
                  </w:pPr>
                  <w:r>
                    <w:rPr>
                      <w:color w:val="auto"/>
                      <w:szCs w:val="21"/>
                    </w:rPr>
                    <w:t>符合</w:t>
                  </w:r>
                </w:p>
              </w:tc>
            </w:tr>
          </w:tbl>
          <w:p w14:paraId="78563735">
            <w:pPr>
              <w:autoSpaceDE w:val="0"/>
              <w:autoSpaceDN w:val="0"/>
              <w:adjustRightInd w:val="0"/>
              <w:snapToGrid w:val="0"/>
              <w:spacing w:line="360" w:lineRule="auto"/>
              <w:ind w:firstLine="482" w:firstLineChars="200"/>
              <w:jc w:val="left"/>
              <w:outlineLvl w:val="1"/>
              <w:rPr>
                <w:b/>
                <w:bCs/>
                <w:color w:val="auto"/>
                <w:sz w:val="24"/>
              </w:rPr>
            </w:pPr>
            <w:r>
              <w:rPr>
                <w:b/>
                <w:bCs/>
                <w:color w:val="auto"/>
                <w:sz w:val="24"/>
              </w:rPr>
              <w:t>2、相关生态环境保护法律法规政策、生态环境保护规划的符合性分析</w:t>
            </w:r>
          </w:p>
          <w:p w14:paraId="5DB05778">
            <w:pPr>
              <w:autoSpaceDE w:val="0"/>
              <w:autoSpaceDN w:val="0"/>
              <w:adjustRightInd w:val="0"/>
              <w:snapToGrid w:val="0"/>
              <w:jc w:val="center"/>
              <w:rPr>
                <w:b/>
                <w:bCs/>
                <w:color w:val="auto"/>
                <w:sz w:val="24"/>
              </w:rPr>
            </w:pPr>
            <w:r>
              <w:rPr>
                <w:b/>
                <w:bCs/>
                <w:color w:val="auto"/>
                <w:sz w:val="24"/>
              </w:rPr>
              <w:t>表1-</w:t>
            </w:r>
            <w:r>
              <w:rPr>
                <w:rFonts w:hint="eastAsia"/>
                <w:b/>
                <w:bCs/>
                <w:color w:val="auto"/>
                <w:sz w:val="24"/>
                <w:lang w:val="en-US" w:eastAsia="zh-CN"/>
              </w:rPr>
              <w:t>4</w:t>
            </w:r>
            <w:r>
              <w:rPr>
                <w:b/>
                <w:bCs/>
                <w:color w:val="auto"/>
                <w:sz w:val="24"/>
              </w:rPr>
              <w:t xml:space="preserve">  与相关环保政策符合性分析</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44"/>
              <w:gridCol w:w="2267"/>
              <w:gridCol w:w="4582"/>
              <w:gridCol w:w="3736"/>
              <w:gridCol w:w="748"/>
            </w:tblGrid>
            <w:tr w14:paraId="5BBE51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4" w:hRule="atLeast"/>
                <w:jc w:val="center"/>
              </w:trPr>
              <w:tc>
                <w:tcPr>
                  <w:tcW w:w="308" w:type="pct"/>
                  <w:vAlign w:val="center"/>
                </w:tcPr>
                <w:p w14:paraId="428EA4E1">
                  <w:pPr>
                    <w:jc w:val="center"/>
                    <w:rPr>
                      <w:rFonts w:eastAsiaTheme="minorEastAsia"/>
                      <w:b/>
                      <w:bCs/>
                      <w:color w:val="auto"/>
                      <w:szCs w:val="21"/>
                    </w:rPr>
                  </w:pPr>
                  <w:r>
                    <w:rPr>
                      <w:rFonts w:eastAsiaTheme="minorEastAsia"/>
                      <w:b/>
                      <w:bCs/>
                      <w:color w:val="auto"/>
                      <w:szCs w:val="21"/>
                    </w:rPr>
                    <w:t>序号</w:t>
                  </w:r>
                </w:p>
              </w:tc>
              <w:tc>
                <w:tcPr>
                  <w:tcW w:w="938" w:type="pct"/>
                  <w:vAlign w:val="center"/>
                </w:tcPr>
                <w:p w14:paraId="1E699886">
                  <w:pPr>
                    <w:jc w:val="center"/>
                    <w:rPr>
                      <w:rFonts w:eastAsiaTheme="minorEastAsia"/>
                      <w:b/>
                      <w:bCs/>
                      <w:color w:val="auto"/>
                      <w:szCs w:val="21"/>
                    </w:rPr>
                  </w:pPr>
                  <w:r>
                    <w:rPr>
                      <w:rFonts w:eastAsiaTheme="minorEastAsia"/>
                      <w:b/>
                      <w:bCs/>
                      <w:color w:val="auto"/>
                      <w:szCs w:val="21"/>
                    </w:rPr>
                    <w:t>名称</w:t>
                  </w:r>
                </w:p>
              </w:tc>
              <w:tc>
                <w:tcPr>
                  <w:tcW w:w="1896" w:type="pct"/>
                  <w:vAlign w:val="center"/>
                </w:tcPr>
                <w:p w14:paraId="688F478A">
                  <w:pPr>
                    <w:jc w:val="center"/>
                    <w:rPr>
                      <w:rFonts w:eastAsiaTheme="minorEastAsia"/>
                      <w:b/>
                      <w:bCs/>
                      <w:color w:val="auto"/>
                      <w:szCs w:val="21"/>
                    </w:rPr>
                  </w:pPr>
                  <w:r>
                    <w:rPr>
                      <w:rFonts w:eastAsiaTheme="minorEastAsia"/>
                      <w:b/>
                      <w:bCs/>
                      <w:color w:val="auto"/>
                      <w:szCs w:val="21"/>
                    </w:rPr>
                    <w:t>要求</w:t>
                  </w:r>
                </w:p>
              </w:tc>
              <w:tc>
                <w:tcPr>
                  <w:tcW w:w="1546" w:type="pct"/>
                  <w:vAlign w:val="center"/>
                </w:tcPr>
                <w:p w14:paraId="0F59168B">
                  <w:pPr>
                    <w:jc w:val="center"/>
                    <w:rPr>
                      <w:rFonts w:eastAsiaTheme="minorEastAsia"/>
                      <w:b/>
                      <w:bCs/>
                      <w:color w:val="auto"/>
                      <w:szCs w:val="21"/>
                    </w:rPr>
                  </w:pPr>
                  <w:r>
                    <w:rPr>
                      <w:rFonts w:eastAsiaTheme="minorEastAsia"/>
                      <w:b/>
                      <w:bCs/>
                      <w:color w:val="auto"/>
                      <w:szCs w:val="21"/>
                    </w:rPr>
                    <w:t>本项目情况</w:t>
                  </w:r>
                </w:p>
              </w:tc>
              <w:tc>
                <w:tcPr>
                  <w:tcW w:w="309" w:type="pct"/>
                  <w:vAlign w:val="center"/>
                </w:tcPr>
                <w:p w14:paraId="438682A2">
                  <w:pPr>
                    <w:jc w:val="center"/>
                    <w:rPr>
                      <w:rFonts w:eastAsiaTheme="minorEastAsia"/>
                      <w:b/>
                      <w:bCs/>
                      <w:color w:val="auto"/>
                      <w:szCs w:val="21"/>
                    </w:rPr>
                  </w:pPr>
                  <w:r>
                    <w:rPr>
                      <w:rFonts w:eastAsiaTheme="minorEastAsia"/>
                      <w:b/>
                      <w:bCs/>
                      <w:color w:val="auto"/>
                      <w:szCs w:val="21"/>
                    </w:rPr>
                    <w:t>符合性</w:t>
                  </w:r>
                </w:p>
              </w:tc>
            </w:tr>
            <w:tr w14:paraId="738E51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Merge w:val="restart"/>
                  <w:vAlign w:val="center"/>
                </w:tcPr>
                <w:p w14:paraId="5428B76E">
                  <w:pPr>
                    <w:jc w:val="center"/>
                    <w:rPr>
                      <w:rFonts w:eastAsiaTheme="minorEastAsia"/>
                      <w:color w:val="auto"/>
                      <w:szCs w:val="21"/>
                    </w:rPr>
                  </w:pPr>
                  <w:r>
                    <w:rPr>
                      <w:rFonts w:eastAsiaTheme="minorEastAsia"/>
                      <w:color w:val="auto"/>
                      <w:szCs w:val="21"/>
                    </w:rPr>
                    <w:t>1</w:t>
                  </w:r>
                </w:p>
              </w:tc>
              <w:tc>
                <w:tcPr>
                  <w:tcW w:w="938" w:type="pct"/>
                  <w:vMerge w:val="restart"/>
                  <w:vAlign w:val="center"/>
                </w:tcPr>
                <w:p w14:paraId="2D722FAA">
                  <w:pPr>
                    <w:jc w:val="center"/>
                    <w:rPr>
                      <w:rFonts w:eastAsiaTheme="minorEastAsia"/>
                      <w:color w:val="auto"/>
                      <w:szCs w:val="21"/>
                    </w:rPr>
                  </w:pPr>
                  <w:r>
                    <w:rPr>
                      <w:rFonts w:eastAsiaTheme="minorEastAsia"/>
                      <w:color w:val="auto"/>
                      <w:szCs w:val="21"/>
                    </w:rPr>
                    <w:t>关于印发《陕西省“十四五”生态环境保护规划》的通知（陕政办发〔2021〕25号）</w:t>
                  </w:r>
                </w:p>
              </w:tc>
              <w:tc>
                <w:tcPr>
                  <w:tcW w:w="1896" w:type="pct"/>
                  <w:vAlign w:val="center"/>
                </w:tcPr>
                <w:p w14:paraId="6D8EC862">
                  <w:pPr>
                    <w:rPr>
                      <w:rFonts w:eastAsiaTheme="minorEastAsia"/>
                      <w:color w:val="auto"/>
                      <w:szCs w:val="21"/>
                    </w:rPr>
                  </w:pPr>
                  <w:r>
                    <w:rPr>
                      <w:rFonts w:eastAsiaTheme="minorEastAsia"/>
                      <w:color w:val="auto"/>
                      <w:szCs w:val="21"/>
                    </w:rPr>
                    <w:t>促进产业结构转型升级。严格能耗、环保、质量、安全、技术等综合标准，以钢铁、煤炭、水泥、电解铝、平板玻璃等行业为重点，依法依规淘汰落后产能。以钢铁、煤炭、煤电等行业和领域为重点。</w:t>
                  </w:r>
                </w:p>
              </w:tc>
              <w:tc>
                <w:tcPr>
                  <w:tcW w:w="1546" w:type="pct"/>
                  <w:vAlign w:val="center"/>
                </w:tcPr>
                <w:p w14:paraId="36E1AA53">
                  <w:pPr>
                    <w:rPr>
                      <w:rFonts w:eastAsiaTheme="minorEastAsia"/>
                      <w:color w:val="auto"/>
                      <w:szCs w:val="21"/>
                      <w:highlight w:val="yellow"/>
                    </w:rPr>
                  </w:pPr>
                  <w:r>
                    <w:rPr>
                      <w:rFonts w:eastAsiaTheme="minorEastAsia"/>
                      <w:color w:val="auto"/>
                      <w:szCs w:val="21"/>
                    </w:rPr>
                    <w:t>本项目不属于钢铁、煤炭、水泥、电解铝、平板玻璃等重点行业，不涉及淘汰落后产能。</w:t>
                  </w:r>
                </w:p>
              </w:tc>
              <w:tc>
                <w:tcPr>
                  <w:tcW w:w="309" w:type="pct"/>
                  <w:vAlign w:val="center"/>
                </w:tcPr>
                <w:p w14:paraId="72486F30">
                  <w:pPr>
                    <w:jc w:val="center"/>
                    <w:rPr>
                      <w:rFonts w:eastAsiaTheme="minorEastAsia"/>
                      <w:color w:val="auto"/>
                      <w:szCs w:val="21"/>
                    </w:rPr>
                  </w:pPr>
                  <w:r>
                    <w:rPr>
                      <w:rFonts w:eastAsiaTheme="minorEastAsia"/>
                      <w:color w:val="auto"/>
                      <w:szCs w:val="21"/>
                    </w:rPr>
                    <w:t>相符</w:t>
                  </w:r>
                </w:p>
              </w:tc>
            </w:tr>
            <w:tr w14:paraId="31A0F1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7" w:hRule="atLeast"/>
                <w:jc w:val="center"/>
              </w:trPr>
              <w:tc>
                <w:tcPr>
                  <w:tcW w:w="308" w:type="pct"/>
                  <w:vMerge w:val="continue"/>
                  <w:vAlign w:val="center"/>
                </w:tcPr>
                <w:p w14:paraId="73DA7B0C">
                  <w:pPr>
                    <w:rPr>
                      <w:rFonts w:eastAsiaTheme="minorEastAsia"/>
                      <w:color w:val="auto"/>
                      <w:szCs w:val="21"/>
                    </w:rPr>
                  </w:pPr>
                </w:p>
              </w:tc>
              <w:tc>
                <w:tcPr>
                  <w:tcW w:w="938" w:type="pct"/>
                  <w:vMerge w:val="continue"/>
                  <w:vAlign w:val="center"/>
                </w:tcPr>
                <w:p w14:paraId="5D3F61F7">
                  <w:pPr>
                    <w:jc w:val="center"/>
                    <w:rPr>
                      <w:rFonts w:eastAsiaTheme="minorEastAsia"/>
                      <w:color w:val="auto"/>
                      <w:szCs w:val="21"/>
                    </w:rPr>
                  </w:pPr>
                </w:p>
              </w:tc>
              <w:tc>
                <w:tcPr>
                  <w:tcW w:w="1896" w:type="pct"/>
                  <w:vAlign w:val="center"/>
                </w:tcPr>
                <w:p w14:paraId="55126B5F">
                  <w:pPr>
                    <w:rPr>
                      <w:rFonts w:eastAsiaTheme="minorEastAsia"/>
                      <w:color w:val="auto"/>
                      <w:szCs w:val="21"/>
                    </w:rPr>
                  </w:pPr>
                  <w:r>
                    <w:rPr>
                      <w:rFonts w:eastAsiaTheme="minorEastAsia"/>
                      <w:color w:val="auto"/>
                      <w:szCs w:val="21"/>
                    </w:rPr>
                    <w:t>提升能源结构清洁低碳水平。加快电源结构调整和布局优化，新增用电需求主要通过新能源电力保障，减少煤电占比。</w:t>
                  </w:r>
                </w:p>
              </w:tc>
              <w:tc>
                <w:tcPr>
                  <w:tcW w:w="1546" w:type="pct"/>
                  <w:vAlign w:val="center"/>
                </w:tcPr>
                <w:p w14:paraId="00F8EEF2">
                  <w:pPr>
                    <w:rPr>
                      <w:rFonts w:eastAsiaTheme="minorEastAsia"/>
                      <w:color w:val="auto"/>
                      <w:szCs w:val="21"/>
                      <w:highlight w:val="yellow"/>
                    </w:rPr>
                  </w:pPr>
                  <w:r>
                    <w:rPr>
                      <w:rFonts w:eastAsiaTheme="minorEastAsia"/>
                      <w:color w:val="auto"/>
                      <w:szCs w:val="21"/>
                    </w:rPr>
                    <w:t>本项目运营期</w:t>
                  </w:r>
                  <w:r>
                    <w:rPr>
                      <w:rFonts w:hint="eastAsia" w:eastAsiaTheme="minorEastAsia"/>
                      <w:color w:val="auto"/>
                      <w:szCs w:val="21"/>
                      <w:lang w:val="en-US" w:eastAsia="zh-CN"/>
                    </w:rPr>
                    <w:t>生产</w:t>
                  </w:r>
                  <w:r>
                    <w:rPr>
                      <w:rFonts w:eastAsiaTheme="minorEastAsia"/>
                      <w:color w:val="auto"/>
                      <w:szCs w:val="21"/>
                    </w:rPr>
                    <w:t>所用能源主要为电能，属于清洁能源。</w:t>
                  </w:r>
                </w:p>
              </w:tc>
              <w:tc>
                <w:tcPr>
                  <w:tcW w:w="309" w:type="pct"/>
                  <w:vAlign w:val="center"/>
                </w:tcPr>
                <w:p w14:paraId="4B89BFB2">
                  <w:pPr>
                    <w:jc w:val="center"/>
                    <w:rPr>
                      <w:rFonts w:eastAsiaTheme="minorEastAsia"/>
                      <w:color w:val="auto"/>
                      <w:szCs w:val="21"/>
                    </w:rPr>
                  </w:pPr>
                  <w:r>
                    <w:rPr>
                      <w:rFonts w:eastAsiaTheme="minorEastAsia"/>
                      <w:color w:val="auto"/>
                      <w:szCs w:val="21"/>
                    </w:rPr>
                    <w:t>相符</w:t>
                  </w:r>
                </w:p>
              </w:tc>
            </w:tr>
            <w:tr w14:paraId="1D23C0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62" w:hRule="atLeast"/>
                <w:jc w:val="center"/>
              </w:trPr>
              <w:tc>
                <w:tcPr>
                  <w:tcW w:w="308" w:type="pct"/>
                  <w:vMerge w:val="continue"/>
                  <w:vAlign w:val="center"/>
                </w:tcPr>
                <w:p w14:paraId="1C394DDB">
                  <w:pPr>
                    <w:rPr>
                      <w:rFonts w:eastAsiaTheme="minorEastAsia"/>
                      <w:color w:val="auto"/>
                      <w:szCs w:val="21"/>
                    </w:rPr>
                  </w:pPr>
                </w:p>
              </w:tc>
              <w:tc>
                <w:tcPr>
                  <w:tcW w:w="938" w:type="pct"/>
                  <w:vMerge w:val="continue"/>
                  <w:vAlign w:val="center"/>
                </w:tcPr>
                <w:p w14:paraId="25501C70">
                  <w:pPr>
                    <w:jc w:val="center"/>
                    <w:rPr>
                      <w:rFonts w:eastAsiaTheme="minorEastAsia"/>
                      <w:color w:val="auto"/>
                      <w:szCs w:val="21"/>
                    </w:rPr>
                  </w:pPr>
                </w:p>
              </w:tc>
              <w:tc>
                <w:tcPr>
                  <w:tcW w:w="1896" w:type="pct"/>
                  <w:vAlign w:val="center"/>
                </w:tcPr>
                <w:p w14:paraId="60454AA9">
                  <w:pPr>
                    <w:rPr>
                      <w:rFonts w:eastAsiaTheme="minorEastAsia"/>
                      <w:color w:val="auto"/>
                      <w:szCs w:val="21"/>
                    </w:rPr>
                  </w:pPr>
                  <w:r>
                    <w:rPr>
                      <w:rFonts w:eastAsiaTheme="minorEastAsia"/>
                      <w:color w:val="auto"/>
                      <w:szCs w:val="21"/>
                    </w:rPr>
                    <w:t>完善绿色交通运输结构体系。全面实施国六排放标准，非道路移动柴油机械第四阶段排放标准，鼓励将老旧车辆和非道路移动机械替换为清洁能源车辆。</w:t>
                  </w:r>
                </w:p>
              </w:tc>
              <w:tc>
                <w:tcPr>
                  <w:tcW w:w="1546" w:type="pct"/>
                  <w:vAlign w:val="center"/>
                </w:tcPr>
                <w:p w14:paraId="44590CB8">
                  <w:pPr>
                    <w:rPr>
                      <w:rFonts w:eastAsiaTheme="minorEastAsia"/>
                      <w:color w:val="auto"/>
                      <w:szCs w:val="21"/>
                      <w:highlight w:val="yellow"/>
                    </w:rPr>
                  </w:pPr>
                  <w:r>
                    <w:rPr>
                      <w:color w:val="auto"/>
                      <w:szCs w:val="21"/>
                      <w:highlight w:val="none"/>
                    </w:rPr>
                    <w:t>本项目</w:t>
                  </w:r>
                  <w:r>
                    <w:rPr>
                      <w:rFonts w:hint="eastAsia"/>
                      <w:color w:val="auto"/>
                      <w:szCs w:val="21"/>
                    </w:rPr>
                    <w:t>厂外</w:t>
                  </w:r>
                  <w:r>
                    <w:rPr>
                      <w:color w:val="auto"/>
                      <w:kern w:val="21"/>
                      <w:szCs w:val="21"/>
                    </w:rPr>
                    <w:t>负责原料、产品运输</w:t>
                  </w:r>
                  <w:r>
                    <w:rPr>
                      <w:rFonts w:hint="eastAsia"/>
                      <w:color w:val="auto"/>
                      <w:kern w:val="21"/>
                      <w:szCs w:val="21"/>
                    </w:rPr>
                    <w:t>的</w:t>
                  </w:r>
                  <w:r>
                    <w:rPr>
                      <w:color w:val="auto"/>
                      <w:kern w:val="21"/>
                      <w:szCs w:val="21"/>
                    </w:rPr>
                    <w:t>车辆将使用国</w:t>
                  </w:r>
                  <w:r>
                    <w:rPr>
                      <w:rFonts w:hint="eastAsia"/>
                      <w:color w:val="auto"/>
                      <w:kern w:val="21"/>
                      <w:szCs w:val="21"/>
                    </w:rPr>
                    <w:t>五</w:t>
                  </w:r>
                  <w:r>
                    <w:rPr>
                      <w:color w:val="auto"/>
                      <w:kern w:val="21"/>
                      <w:szCs w:val="21"/>
                    </w:rPr>
                    <w:t>排放标准重型载货车辆(含燃气)；</w:t>
                  </w:r>
                  <w:r>
                    <w:rPr>
                      <w:color w:val="auto"/>
                    </w:rPr>
                    <w:t>本项目</w:t>
                  </w:r>
                  <w:r>
                    <w:rPr>
                      <w:rFonts w:hint="eastAsia"/>
                      <w:color w:val="auto"/>
                      <w:lang w:val="en-US" w:eastAsia="zh-CN"/>
                    </w:rPr>
                    <w:t>施工期及</w:t>
                  </w:r>
                  <w:r>
                    <w:rPr>
                      <w:color w:val="auto"/>
                    </w:rPr>
                    <w:t>建成后厂区非道路移动机械</w:t>
                  </w:r>
                  <w:r>
                    <w:rPr>
                      <w:color w:val="auto"/>
                      <w:kern w:val="21"/>
                      <w:szCs w:val="21"/>
                    </w:rPr>
                    <w:t>使用</w:t>
                  </w:r>
                  <w:r>
                    <w:rPr>
                      <w:rFonts w:hint="eastAsia"/>
                      <w:color w:val="auto"/>
                      <w:kern w:val="21"/>
                      <w:szCs w:val="21"/>
                      <w:lang w:eastAsia="zh-CN"/>
                    </w:rPr>
                    <w:t>第四阶段</w:t>
                  </w:r>
                  <w:r>
                    <w:rPr>
                      <w:color w:val="auto"/>
                    </w:rPr>
                    <w:t>排放标准机械。</w:t>
                  </w:r>
                </w:p>
              </w:tc>
              <w:tc>
                <w:tcPr>
                  <w:tcW w:w="309" w:type="pct"/>
                  <w:vAlign w:val="center"/>
                </w:tcPr>
                <w:p w14:paraId="36E2FC6B">
                  <w:pPr>
                    <w:jc w:val="center"/>
                    <w:rPr>
                      <w:rFonts w:eastAsiaTheme="minorEastAsia"/>
                      <w:color w:val="auto"/>
                      <w:szCs w:val="21"/>
                    </w:rPr>
                  </w:pPr>
                  <w:r>
                    <w:rPr>
                      <w:rFonts w:eastAsiaTheme="minorEastAsia"/>
                      <w:color w:val="auto"/>
                      <w:szCs w:val="21"/>
                    </w:rPr>
                    <w:t>相符</w:t>
                  </w:r>
                </w:p>
              </w:tc>
            </w:tr>
            <w:tr w14:paraId="387B78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308" w:type="pct"/>
                  <w:vMerge w:val="restart"/>
                  <w:vAlign w:val="center"/>
                </w:tcPr>
                <w:p w14:paraId="0B448189">
                  <w:pPr>
                    <w:jc w:val="center"/>
                    <w:rPr>
                      <w:rFonts w:eastAsiaTheme="minorEastAsia"/>
                      <w:color w:val="auto"/>
                      <w:szCs w:val="21"/>
                    </w:rPr>
                  </w:pPr>
                  <w:r>
                    <w:rPr>
                      <w:rFonts w:eastAsiaTheme="minorEastAsia"/>
                      <w:color w:val="auto"/>
                      <w:szCs w:val="21"/>
                    </w:rPr>
                    <w:t>2</w:t>
                  </w:r>
                </w:p>
              </w:tc>
              <w:tc>
                <w:tcPr>
                  <w:tcW w:w="938" w:type="pct"/>
                  <w:vMerge w:val="restart"/>
                  <w:vAlign w:val="center"/>
                </w:tcPr>
                <w:p w14:paraId="33B84552">
                  <w:pPr>
                    <w:jc w:val="center"/>
                    <w:rPr>
                      <w:rFonts w:eastAsiaTheme="minorEastAsia"/>
                      <w:color w:val="auto"/>
                      <w:szCs w:val="21"/>
                    </w:rPr>
                  </w:pPr>
                  <w:r>
                    <w:rPr>
                      <w:rFonts w:eastAsiaTheme="minorEastAsia"/>
                      <w:color w:val="auto"/>
                      <w:szCs w:val="21"/>
                    </w:rPr>
                    <w:t>《陕西省大气污染防治条例》（2019修订）</w:t>
                  </w:r>
                </w:p>
              </w:tc>
              <w:tc>
                <w:tcPr>
                  <w:tcW w:w="1896" w:type="pct"/>
                  <w:vAlign w:val="center"/>
                </w:tcPr>
                <w:p w14:paraId="16D4B6A6">
                  <w:pPr>
                    <w:rPr>
                      <w:rFonts w:eastAsiaTheme="minorEastAsia"/>
                      <w:color w:val="auto"/>
                      <w:szCs w:val="21"/>
                    </w:rPr>
                  </w:pPr>
                  <w:r>
                    <w:rPr>
                      <w:rFonts w:eastAsiaTheme="minorEastAsia"/>
                      <w:color w:val="auto"/>
                      <w:szCs w:val="21"/>
                    </w:rPr>
                    <w:t>新建、扩建、改建的建设项目，应当依法进行环境影响评价。</w:t>
                  </w:r>
                </w:p>
              </w:tc>
              <w:tc>
                <w:tcPr>
                  <w:tcW w:w="1546" w:type="pct"/>
                  <w:vAlign w:val="center"/>
                </w:tcPr>
                <w:p w14:paraId="69E28587">
                  <w:pPr>
                    <w:rPr>
                      <w:rFonts w:eastAsiaTheme="minorEastAsia"/>
                      <w:color w:val="auto"/>
                      <w:szCs w:val="21"/>
                    </w:rPr>
                  </w:pPr>
                  <w:r>
                    <w:rPr>
                      <w:rFonts w:eastAsiaTheme="minorEastAsia"/>
                      <w:color w:val="auto"/>
                      <w:szCs w:val="21"/>
                    </w:rPr>
                    <w:t>本项目为</w:t>
                  </w:r>
                  <w:r>
                    <w:rPr>
                      <w:rFonts w:hint="eastAsia" w:eastAsiaTheme="minorEastAsia"/>
                      <w:color w:val="auto"/>
                      <w:szCs w:val="21"/>
                      <w:lang w:val="en-US" w:eastAsia="zh-CN"/>
                    </w:rPr>
                    <w:t>扩建</w:t>
                  </w:r>
                  <w:r>
                    <w:rPr>
                      <w:rFonts w:eastAsiaTheme="minorEastAsia"/>
                      <w:color w:val="auto"/>
                      <w:szCs w:val="21"/>
                    </w:rPr>
                    <w:t>项目，环境影响评价工作正在进行</w:t>
                  </w:r>
                  <w:r>
                    <w:rPr>
                      <w:rFonts w:hint="eastAsia" w:eastAsiaTheme="minorEastAsia"/>
                      <w:color w:val="auto"/>
                      <w:szCs w:val="21"/>
                    </w:rPr>
                    <w:t>。</w:t>
                  </w:r>
                </w:p>
              </w:tc>
              <w:tc>
                <w:tcPr>
                  <w:tcW w:w="309" w:type="pct"/>
                  <w:vAlign w:val="center"/>
                </w:tcPr>
                <w:p w14:paraId="3905FC58">
                  <w:pPr>
                    <w:jc w:val="center"/>
                    <w:rPr>
                      <w:rFonts w:eastAsiaTheme="minorEastAsia"/>
                      <w:color w:val="auto"/>
                      <w:szCs w:val="21"/>
                    </w:rPr>
                  </w:pPr>
                  <w:r>
                    <w:rPr>
                      <w:rFonts w:eastAsiaTheme="minorEastAsia"/>
                      <w:color w:val="auto"/>
                      <w:szCs w:val="21"/>
                    </w:rPr>
                    <w:t>相符</w:t>
                  </w:r>
                </w:p>
              </w:tc>
            </w:tr>
            <w:tr w14:paraId="368437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30" w:hRule="atLeast"/>
                <w:jc w:val="center"/>
              </w:trPr>
              <w:tc>
                <w:tcPr>
                  <w:tcW w:w="308" w:type="pct"/>
                  <w:vMerge w:val="continue"/>
                  <w:vAlign w:val="center"/>
                </w:tcPr>
                <w:p w14:paraId="1D69AE0F">
                  <w:pPr>
                    <w:rPr>
                      <w:rFonts w:eastAsiaTheme="minorEastAsia"/>
                      <w:color w:val="auto"/>
                      <w:szCs w:val="21"/>
                    </w:rPr>
                  </w:pPr>
                </w:p>
              </w:tc>
              <w:tc>
                <w:tcPr>
                  <w:tcW w:w="938" w:type="pct"/>
                  <w:vMerge w:val="continue"/>
                  <w:vAlign w:val="center"/>
                </w:tcPr>
                <w:p w14:paraId="25E34605">
                  <w:pPr>
                    <w:rPr>
                      <w:rFonts w:eastAsiaTheme="minorEastAsia"/>
                      <w:color w:val="auto"/>
                      <w:szCs w:val="21"/>
                    </w:rPr>
                  </w:pPr>
                </w:p>
              </w:tc>
              <w:tc>
                <w:tcPr>
                  <w:tcW w:w="1896" w:type="pct"/>
                  <w:vAlign w:val="center"/>
                </w:tcPr>
                <w:p w14:paraId="0588C0BE">
                  <w:pPr>
                    <w:rPr>
                      <w:rFonts w:eastAsiaTheme="minorEastAsia"/>
                      <w:color w:val="auto"/>
                      <w:szCs w:val="21"/>
                    </w:rPr>
                  </w:pPr>
                  <w:r>
                    <w:rPr>
                      <w:rFonts w:eastAsiaTheme="minorEastAsia"/>
                      <w:color w:val="auto"/>
                      <w:szCs w:val="21"/>
                    </w:rPr>
                    <w:t>堆存、装卸、运输煤炭、水泥、石灰、石膏、砂土、垃圾等易产生扬尘的作业，应当采取遮盖、封闭、喷淋、围挡等措施，防止抛洒、扬尘。</w:t>
                  </w:r>
                </w:p>
              </w:tc>
              <w:tc>
                <w:tcPr>
                  <w:tcW w:w="1546" w:type="pct"/>
                  <w:vAlign w:val="center"/>
                </w:tcPr>
                <w:p w14:paraId="4AD4A00D">
                  <w:pPr>
                    <w:rPr>
                      <w:rFonts w:eastAsiaTheme="minorEastAsia"/>
                      <w:color w:val="auto"/>
                      <w:szCs w:val="21"/>
                    </w:rPr>
                  </w:pPr>
                  <w:r>
                    <w:rPr>
                      <w:rFonts w:eastAsiaTheme="minorEastAsia"/>
                      <w:color w:val="auto"/>
                      <w:szCs w:val="21"/>
                    </w:rPr>
                    <w:t>本项目</w:t>
                  </w:r>
                  <w:r>
                    <w:rPr>
                      <w:rFonts w:hint="eastAsia"/>
                      <w:color w:val="auto"/>
                      <w:sz w:val="21"/>
                      <w:szCs w:val="21"/>
                      <w:lang w:val="en-US" w:eastAsia="zh-CN"/>
                    </w:rPr>
                    <w:t>设置密闭式成品库</w:t>
                  </w:r>
                  <w:r>
                    <w:rPr>
                      <w:color w:val="auto"/>
                      <w:sz w:val="21"/>
                      <w:szCs w:val="21"/>
                    </w:rPr>
                    <w:t>，并通过喷雾抑尘，主要工段设置集气罩收集后通过除尘器处理，粉尘通过强有效的治理措施治理后达标排放</w:t>
                  </w:r>
                  <w:r>
                    <w:rPr>
                      <w:rFonts w:eastAsiaTheme="minorEastAsia"/>
                      <w:color w:val="auto"/>
                      <w:szCs w:val="21"/>
                    </w:rPr>
                    <w:t>。</w:t>
                  </w:r>
                </w:p>
              </w:tc>
              <w:tc>
                <w:tcPr>
                  <w:tcW w:w="309" w:type="pct"/>
                  <w:vAlign w:val="center"/>
                </w:tcPr>
                <w:p w14:paraId="4805EBDD">
                  <w:pPr>
                    <w:jc w:val="center"/>
                    <w:rPr>
                      <w:rFonts w:eastAsiaTheme="minorEastAsia"/>
                      <w:color w:val="auto"/>
                      <w:szCs w:val="21"/>
                    </w:rPr>
                  </w:pPr>
                  <w:r>
                    <w:rPr>
                      <w:rFonts w:eastAsiaTheme="minorEastAsia"/>
                      <w:color w:val="auto"/>
                      <w:szCs w:val="21"/>
                    </w:rPr>
                    <w:t>相符</w:t>
                  </w:r>
                </w:p>
              </w:tc>
            </w:tr>
            <w:tr w14:paraId="115E4F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97" w:hRule="atLeast"/>
                <w:jc w:val="center"/>
              </w:trPr>
              <w:tc>
                <w:tcPr>
                  <w:tcW w:w="308" w:type="pct"/>
                  <w:vAlign w:val="center"/>
                </w:tcPr>
                <w:p w14:paraId="15ABE7BA">
                  <w:pPr>
                    <w:jc w:val="center"/>
                    <w:rPr>
                      <w:rFonts w:eastAsiaTheme="minorEastAsia"/>
                      <w:color w:val="auto"/>
                      <w:szCs w:val="21"/>
                    </w:rPr>
                  </w:pPr>
                  <w:r>
                    <w:rPr>
                      <w:rFonts w:eastAsiaTheme="minorEastAsia"/>
                      <w:color w:val="auto"/>
                      <w:szCs w:val="21"/>
                    </w:rPr>
                    <w:t>3</w:t>
                  </w:r>
                </w:p>
              </w:tc>
              <w:tc>
                <w:tcPr>
                  <w:tcW w:w="938" w:type="pct"/>
                  <w:vAlign w:val="center"/>
                </w:tcPr>
                <w:p w14:paraId="1503C505">
                  <w:pPr>
                    <w:jc w:val="center"/>
                    <w:rPr>
                      <w:rFonts w:eastAsiaTheme="minorEastAsia"/>
                      <w:color w:val="auto"/>
                      <w:szCs w:val="21"/>
                    </w:rPr>
                  </w:pPr>
                  <w:r>
                    <w:rPr>
                      <w:rFonts w:eastAsiaTheme="minorEastAsia"/>
                      <w:color w:val="auto"/>
                      <w:szCs w:val="21"/>
                    </w:rPr>
                    <w:t>《陕西省大气污染治理专项行动方案（2023-2027年）》（陕发〔2023〕4号）</w:t>
                  </w:r>
                </w:p>
              </w:tc>
              <w:tc>
                <w:tcPr>
                  <w:tcW w:w="1896" w:type="pct"/>
                  <w:vAlign w:val="center"/>
                </w:tcPr>
                <w:p w14:paraId="3F24704A">
                  <w:pPr>
                    <w:rPr>
                      <w:rFonts w:eastAsiaTheme="minorEastAsia"/>
                      <w:color w:val="auto"/>
                      <w:szCs w:val="21"/>
                    </w:rPr>
                  </w:pPr>
                  <w:r>
                    <w:rPr>
                      <w:rFonts w:eastAsiaTheme="minorEastAsia"/>
                      <w:color w:val="auto"/>
                      <w:szCs w:val="21"/>
                    </w:rPr>
                    <w:t>产业发展结构调整。关中地区严禁新增钢铁、焦化、水泥熟料、平板玻璃、电解铝、氧化铝、煤化工产能，合理控制煤制油气产能规模，严控新增炼油产能。</w:t>
                  </w:r>
                </w:p>
              </w:tc>
              <w:tc>
                <w:tcPr>
                  <w:tcW w:w="1546" w:type="pct"/>
                  <w:vAlign w:val="center"/>
                </w:tcPr>
                <w:p w14:paraId="1FBE51F5">
                  <w:pPr>
                    <w:rPr>
                      <w:rFonts w:eastAsiaTheme="minorEastAsia"/>
                      <w:color w:val="auto"/>
                      <w:szCs w:val="21"/>
                      <w:highlight w:val="yellow"/>
                    </w:rPr>
                  </w:pPr>
                  <w:r>
                    <w:rPr>
                      <w:rFonts w:eastAsiaTheme="minorEastAsia"/>
                      <w:color w:val="auto"/>
                      <w:szCs w:val="21"/>
                    </w:rPr>
                    <w:t>本项目为</w:t>
                  </w:r>
                  <w:r>
                    <w:rPr>
                      <w:rFonts w:hint="eastAsia" w:eastAsiaTheme="minorEastAsia"/>
                      <w:color w:val="auto"/>
                      <w:szCs w:val="21"/>
                      <w:lang w:val="en-US" w:eastAsia="zh-CN"/>
                    </w:rPr>
                    <w:t>扩建</w:t>
                  </w:r>
                  <w:r>
                    <w:rPr>
                      <w:rFonts w:eastAsiaTheme="minorEastAsia"/>
                      <w:color w:val="auto"/>
                      <w:szCs w:val="21"/>
                    </w:rPr>
                    <w:t>项目，</w:t>
                  </w:r>
                  <w:r>
                    <w:rPr>
                      <w:rFonts w:hint="eastAsia" w:eastAsiaTheme="minorEastAsia"/>
                      <w:color w:val="auto"/>
                      <w:szCs w:val="21"/>
                      <w:lang w:val="en-US" w:eastAsia="zh-CN"/>
                    </w:rPr>
                    <w:t>属于</w:t>
                  </w:r>
                  <w:r>
                    <w:rPr>
                      <w:rFonts w:hint="eastAsia" w:eastAsiaTheme="minorEastAsia"/>
                      <w:color w:val="auto"/>
                      <w:szCs w:val="21"/>
                    </w:rPr>
                    <w:t>生态保护和环境治理业</w:t>
                  </w:r>
                  <w:r>
                    <w:rPr>
                      <w:rFonts w:hint="eastAsia" w:eastAsiaTheme="minorEastAsia"/>
                      <w:color w:val="auto"/>
                      <w:szCs w:val="21"/>
                      <w:lang w:eastAsia="zh-CN"/>
                    </w:rPr>
                    <w:t>，</w:t>
                  </w:r>
                  <w:r>
                    <w:rPr>
                      <w:rFonts w:eastAsiaTheme="minorEastAsia"/>
                      <w:color w:val="auto"/>
                      <w:szCs w:val="21"/>
                    </w:rPr>
                    <w:t>不属于钢铁、焦化、水泥熟料等上述禁止行业范围。</w:t>
                  </w:r>
                </w:p>
              </w:tc>
              <w:tc>
                <w:tcPr>
                  <w:tcW w:w="309" w:type="pct"/>
                  <w:vAlign w:val="center"/>
                </w:tcPr>
                <w:p w14:paraId="420ECC47">
                  <w:pPr>
                    <w:jc w:val="center"/>
                    <w:rPr>
                      <w:rFonts w:eastAsiaTheme="minorEastAsia"/>
                      <w:color w:val="auto"/>
                      <w:szCs w:val="21"/>
                    </w:rPr>
                  </w:pPr>
                  <w:r>
                    <w:rPr>
                      <w:rFonts w:eastAsiaTheme="minorEastAsia"/>
                      <w:color w:val="auto"/>
                      <w:szCs w:val="21"/>
                    </w:rPr>
                    <w:t>相符</w:t>
                  </w:r>
                </w:p>
              </w:tc>
            </w:tr>
            <w:tr w14:paraId="3C533E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Align w:val="center"/>
                </w:tcPr>
                <w:p w14:paraId="5C8C91E9">
                  <w:pPr>
                    <w:jc w:val="center"/>
                    <w:rPr>
                      <w:rFonts w:hint="eastAsia" w:eastAsiaTheme="minorEastAsia"/>
                      <w:color w:val="auto"/>
                      <w:szCs w:val="21"/>
                      <w:lang w:val="en-US" w:eastAsia="zh-CN"/>
                    </w:rPr>
                  </w:pPr>
                  <w:r>
                    <w:rPr>
                      <w:rFonts w:hint="eastAsia" w:eastAsiaTheme="minorEastAsia"/>
                      <w:color w:val="auto"/>
                      <w:szCs w:val="21"/>
                      <w:lang w:val="en-US" w:eastAsia="zh-CN"/>
                    </w:rPr>
                    <w:t>4</w:t>
                  </w:r>
                </w:p>
              </w:tc>
              <w:tc>
                <w:tcPr>
                  <w:tcW w:w="938" w:type="pct"/>
                  <w:vAlign w:val="center"/>
                </w:tcPr>
                <w:p w14:paraId="7641F843">
                  <w:pPr>
                    <w:rPr>
                      <w:rFonts w:eastAsiaTheme="minorEastAsia"/>
                      <w:color w:val="auto"/>
                      <w:szCs w:val="21"/>
                    </w:rPr>
                  </w:pPr>
                  <w:r>
                    <w:rPr>
                      <w:rFonts w:eastAsiaTheme="minorEastAsia"/>
                      <w:color w:val="auto"/>
                      <w:szCs w:val="21"/>
                    </w:rPr>
                    <w:t>《西安市“十四五”生态环境保护规划》</w:t>
                  </w:r>
                </w:p>
              </w:tc>
              <w:tc>
                <w:tcPr>
                  <w:tcW w:w="1896" w:type="pct"/>
                  <w:vAlign w:val="center"/>
                </w:tcPr>
                <w:p w14:paraId="576EE903">
                  <w:pPr>
                    <w:autoSpaceDE w:val="0"/>
                    <w:autoSpaceDN w:val="0"/>
                    <w:adjustRightInd w:val="0"/>
                    <w:snapToGrid w:val="0"/>
                    <w:rPr>
                      <w:rFonts w:eastAsiaTheme="minorEastAsia"/>
                      <w:color w:val="auto"/>
                      <w:kern w:val="18"/>
                      <w:szCs w:val="21"/>
                      <w:lang w:bidi="zh-CN"/>
                    </w:rPr>
                  </w:pPr>
                  <w:r>
                    <w:rPr>
                      <w:rFonts w:eastAsiaTheme="minorEastAsia"/>
                      <w:color w:val="auto"/>
                      <w:kern w:val="18"/>
                      <w:szCs w:val="21"/>
                      <w:lang w:bidi="zh-CN"/>
                    </w:rPr>
                    <w:t>加强噪声污染防治。工业企业噪声防治。加强工业噪声环境监管力度，严厉查处工业企业噪声排放超标扰民行为。</w:t>
                  </w:r>
                </w:p>
              </w:tc>
              <w:tc>
                <w:tcPr>
                  <w:tcW w:w="1546" w:type="pct"/>
                  <w:vAlign w:val="center"/>
                </w:tcPr>
                <w:p w14:paraId="62061A26">
                  <w:pPr>
                    <w:pStyle w:val="77"/>
                    <w:widowControl w:val="0"/>
                    <w:jc w:val="both"/>
                    <w:rPr>
                      <w:rFonts w:ascii="Times New Roman" w:hAnsi="Times New Roman" w:eastAsiaTheme="minorEastAsia"/>
                      <w:color w:val="auto"/>
                      <w:kern w:val="18"/>
                      <w:sz w:val="21"/>
                      <w:szCs w:val="21"/>
                      <w:lang w:bidi="zh-CN"/>
                    </w:rPr>
                  </w:pPr>
                  <w:r>
                    <w:rPr>
                      <w:rFonts w:ascii="Times New Roman" w:hAnsi="Times New Roman" w:eastAsiaTheme="minorEastAsia"/>
                      <w:color w:val="auto"/>
                      <w:kern w:val="18"/>
                      <w:sz w:val="21"/>
                      <w:szCs w:val="21"/>
                      <w:lang w:bidi="zh-CN"/>
                    </w:rPr>
                    <w:t>本项目运营期设备噪声采用基础减震、厂房隔声等措施，可达标排放。</w:t>
                  </w:r>
                </w:p>
              </w:tc>
              <w:tc>
                <w:tcPr>
                  <w:tcW w:w="309" w:type="pct"/>
                  <w:vAlign w:val="center"/>
                </w:tcPr>
                <w:p w14:paraId="0F44A5AB">
                  <w:pPr>
                    <w:jc w:val="center"/>
                    <w:rPr>
                      <w:rFonts w:eastAsiaTheme="minorEastAsia"/>
                      <w:color w:val="auto"/>
                      <w:szCs w:val="21"/>
                    </w:rPr>
                  </w:pPr>
                  <w:r>
                    <w:rPr>
                      <w:rFonts w:eastAsiaTheme="minorEastAsia"/>
                      <w:color w:val="auto"/>
                      <w:szCs w:val="21"/>
                    </w:rPr>
                    <w:t>相符</w:t>
                  </w:r>
                </w:p>
              </w:tc>
            </w:tr>
            <w:tr w14:paraId="6FFBDF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308" w:type="pct"/>
                  <w:vMerge w:val="restart"/>
                  <w:shd w:val="clear" w:color="auto" w:fill="auto"/>
                  <w:vAlign w:val="center"/>
                </w:tcPr>
                <w:p w14:paraId="18B563E6">
                  <w:pPr>
                    <w:jc w:val="center"/>
                    <w:rPr>
                      <w:rFonts w:ascii="Times New Roman" w:hAnsi="Times New Roman" w:cs="Times New Roman" w:eastAsiaTheme="minorEastAsia"/>
                      <w:color w:val="auto"/>
                      <w:kern w:val="2"/>
                      <w:sz w:val="21"/>
                      <w:szCs w:val="21"/>
                      <w:lang w:val="en-US" w:eastAsia="zh-CN" w:bidi="ar-SA"/>
                    </w:rPr>
                  </w:pPr>
                  <w:r>
                    <w:rPr>
                      <w:rFonts w:eastAsiaTheme="minorEastAsia"/>
                      <w:color w:val="auto"/>
                      <w:szCs w:val="21"/>
                    </w:rPr>
                    <w:t>5</w:t>
                  </w:r>
                </w:p>
              </w:tc>
              <w:tc>
                <w:tcPr>
                  <w:tcW w:w="938" w:type="pct"/>
                  <w:vMerge w:val="restart"/>
                  <w:shd w:val="clear" w:color="auto" w:fill="auto"/>
                  <w:vAlign w:val="center"/>
                </w:tcPr>
                <w:p w14:paraId="1D0469C1">
                  <w:pPr>
                    <w:jc w:val="center"/>
                    <w:rPr>
                      <w:rFonts w:ascii="Times New Roman" w:hAnsi="Times New Roman" w:cs="Times New Roman" w:eastAsiaTheme="minorEastAsia"/>
                      <w:color w:val="auto"/>
                      <w:kern w:val="2"/>
                      <w:sz w:val="21"/>
                      <w:szCs w:val="21"/>
                      <w:lang w:val="en-US" w:eastAsia="zh-CN" w:bidi="ar-SA"/>
                    </w:rPr>
                  </w:pPr>
                  <w:r>
                    <w:rPr>
                      <w:rFonts w:eastAsiaTheme="minorEastAsia"/>
                      <w:color w:val="auto"/>
                      <w:szCs w:val="21"/>
                    </w:rPr>
                    <w:t>《西安市大气污染治理专项行动方案（2023-2027年）》</w:t>
                  </w:r>
                </w:p>
              </w:tc>
              <w:tc>
                <w:tcPr>
                  <w:tcW w:w="1896" w:type="pct"/>
                  <w:vAlign w:val="center"/>
                </w:tcPr>
                <w:p w14:paraId="3D5D0E72">
                  <w:pPr>
                    <w:rPr>
                      <w:rFonts w:eastAsiaTheme="minorEastAsia"/>
                      <w:color w:val="auto"/>
                      <w:szCs w:val="21"/>
                    </w:rPr>
                  </w:pPr>
                  <w:r>
                    <w:rPr>
                      <w:rFonts w:eastAsiaTheme="minorEastAsia"/>
                      <w:color w:val="auto"/>
                      <w:szCs w:val="21"/>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1546" w:type="pct"/>
                  <w:vAlign w:val="center"/>
                </w:tcPr>
                <w:p w14:paraId="70F87EDD">
                  <w:pPr>
                    <w:rPr>
                      <w:rFonts w:eastAsiaTheme="minorEastAsia"/>
                      <w:color w:val="auto"/>
                      <w:szCs w:val="21"/>
                    </w:rPr>
                  </w:pPr>
                  <w:r>
                    <w:rPr>
                      <w:color w:val="auto"/>
                      <w:szCs w:val="21"/>
                      <w:highlight w:val="none"/>
                    </w:rPr>
                    <w:t>本项目</w:t>
                  </w:r>
                  <w:r>
                    <w:rPr>
                      <w:rFonts w:hint="eastAsia"/>
                      <w:color w:val="auto"/>
                      <w:szCs w:val="21"/>
                    </w:rPr>
                    <w:t>厂外</w:t>
                  </w:r>
                  <w:r>
                    <w:rPr>
                      <w:color w:val="auto"/>
                      <w:kern w:val="21"/>
                      <w:szCs w:val="21"/>
                    </w:rPr>
                    <w:t>负责原料、产品运输</w:t>
                  </w:r>
                  <w:r>
                    <w:rPr>
                      <w:rFonts w:hint="eastAsia"/>
                      <w:color w:val="auto"/>
                      <w:kern w:val="21"/>
                      <w:szCs w:val="21"/>
                    </w:rPr>
                    <w:t>的</w:t>
                  </w:r>
                  <w:r>
                    <w:rPr>
                      <w:color w:val="auto"/>
                      <w:kern w:val="21"/>
                      <w:szCs w:val="21"/>
                    </w:rPr>
                    <w:t>车辆将使用国</w:t>
                  </w:r>
                  <w:r>
                    <w:rPr>
                      <w:rFonts w:hint="eastAsia"/>
                      <w:color w:val="auto"/>
                      <w:kern w:val="21"/>
                      <w:szCs w:val="21"/>
                    </w:rPr>
                    <w:t>五</w:t>
                  </w:r>
                  <w:r>
                    <w:rPr>
                      <w:color w:val="auto"/>
                      <w:kern w:val="21"/>
                      <w:szCs w:val="21"/>
                    </w:rPr>
                    <w:t>排放标准重型载货车辆(含燃气)；</w:t>
                  </w:r>
                  <w:r>
                    <w:rPr>
                      <w:color w:val="auto"/>
                    </w:rPr>
                    <w:t>本项目</w:t>
                  </w:r>
                  <w:r>
                    <w:rPr>
                      <w:rFonts w:hint="eastAsia"/>
                      <w:color w:val="auto"/>
                      <w:lang w:val="en-US" w:eastAsia="zh-CN"/>
                    </w:rPr>
                    <w:t>施工期及</w:t>
                  </w:r>
                  <w:r>
                    <w:rPr>
                      <w:color w:val="auto"/>
                    </w:rPr>
                    <w:t>建成后厂区非道路移动机械</w:t>
                  </w:r>
                  <w:r>
                    <w:rPr>
                      <w:color w:val="auto"/>
                      <w:kern w:val="21"/>
                      <w:szCs w:val="21"/>
                    </w:rPr>
                    <w:t>使用</w:t>
                  </w:r>
                  <w:r>
                    <w:rPr>
                      <w:rFonts w:hint="eastAsia"/>
                      <w:color w:val="auto"/>
                      <w:kern w:val="21"/>
                      <w:szCs w:val="21"/>
                      <w:lang w:eastAsia="zh-CN"/>
                    </w:rPr>
                    <w:t>第四阶段</w:t>
                  </w:r>
                  <w:r>
                    <w:rPr>
                      <w:color w:val="auto"/>
                    </w:rPr>
                    <w:t>排放标准机械。</w:t>
                  </w:r>
                </w:p>
              </w:tc>
              <w:tc>
                <w:tcPr>
                  <w:tcW w:w="309" w:type="pct"/>
                  <w:vAlign w:val="center"/>
                </w:tcPr>
                <w:p w14:paraId="5B8E88CE">
                  <w:pPr>
                    <w:jc w:val="center"/>
                    <w:rPr>
                      <w:rFonts w:eastAsiaTheme="minorEastAsia"/>
                      <w:color w:val="auto"/>
                      <w:szCs w:val="21"/>
                    </w:rPr>
                  </w:pPr>
                  <w:r>
                    <w:rPr>
                      <w:rFonts w:eastAsiaTheme="minorEastAsia"/>
                      <w:color w:val="auto"/>
                      <w:szCs w:val="21"/>
                    </w:rPr>
                    <w:t>相符</w:t>
                  </w:r>
                </w:p>
              </w:tc>
            </w:tr>
            <w:tr w14:paraId="0823F4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Merge w:val="continue"/>
                  <w:vAlign w:val="center"/>
                </w:tcPr>
                <w:p w14:paraId="3C0E6A1F">
                  <w:pPr>
                    <w:rPr>
                      <w:rFonts w:eastAsiaTheme="minorEastAsia"/>
                      <w:color w:val="auto"/>
                      <w:szCs w:val="21"/>
                    </w:rPr>
                  </w:pPr>
                </w:p>
              </w:tc>
              <w:tc>
                <w:tcPr>
                  <w:tcW w:w="938" w:type="pct"/>
                  <w:vMerge w:val="continue"/>
                  <w:vAlign w:val="center"/>
                </w:tcPr>
                <w:p w14:paraId="7602D326">
                  <w:pPr>
                    <w:rPr>
                      <w:rFonts w:eastAsiaTheme="minorEastAsia"/>
                      <w:color w:val="auto"/>
                      <w:szCs w:val="21"/>
                    </w:rPr>
                  </w:pPr>
                </w:p>
              </w:tc>
              <w:tc>
                <w:tcPr>
                  <w:tcW w:w="1896" w:type="pct"/>
                  <w:vAlign w:val="center"/>
                </w:tcPr>
                <w:p w14:paraId="3534396D">
                  <w:pPr>
                    <w:rPr>
                      <w:rFonts w:eastAsiaTheme="minorEastAsia"/>
                      <w:color w:val="auto"/>
                      <w:szCs w:val="21"/>
                    </w:rPr>
                  </w:pPr>
                  <w:r>
                    <w:rPr>
                      <w:rFonts w:eastAsiaTheme="minorEastAsia"/>
                      <w:color w:val="auto"/>
                      <w:szCs w:val="21"/>
                    </w:rPr>
                    <w:t>强化非道路移动机械排放控制区管控，到2025年，不符合“双三标准”的机械禁止使用，具备条件的可更换国四及以上标准的发动机。</w:t>
                  </w:r>
                </w:p>
              </w:tc>
              <w:tc>
                <w:tcPr>
                  <w:tcW w:w="1546" w:type="pct"/>
                  <w:vAlign w:val="center"/>
                </w:tcPr>
                <w:p w14:paraId="5ECC6DB4">
                  <w:pPr>
                    <w:rPr>
                      <w:rFonts w:eastAsiaTheme="minorEastAsia"/>
                      <w:color w:val="auto"/>
                      <w:szCs w:val="21"/>
                    </w:rPr>
                  </w:pPr>
                  <w:r>
                    <w:rPr>
                      <w:color w:val="auto"/>
                    </w:rPr>
                    <w:t>本项目</w:t>
                  </w:r>
                  <w:r>
                    <w:rPr>
                      <w:rFonts w:hint="eastAsia"/>
                      <w:color w:val="auto"/>
                      <w:lang w:val="en-US" w:eastAsia="zh-CN"/>
                    </w:rPr>
                    <w:t>施工期及</w:t>
                  </w:r>
                  <w:r>
                    <w:rPr>
                      <w:color w:val="auto"/>
                    </w:rPr>
                    <w:t>建成后厂区非道路移动机械</w:t>
                  </w:r>
                  <w:r>
                    <w:rPr>
                      <w:color w:val="auto"/>
                      <w:kern w:val="21"/>
                      <w:szCs w:val="21"/>
                    </w:rPr>
                    <w:t>使用</w:t>
                  </w:r>
                  <w:r>
                    <w:rPr>
                      <w:rFonts w:hint="eastAsia"/>
                      <w:color w:val="auto"/>
                      <w:kern w:val="21"/>
                      <w:szCs w:val="21"/>
                      <w:lang w:eastAsia="zh-CN"/>
                    </w:rPr>
                    <w:t>第四阶段</w:t>
                  </w:r>
                  <w:r>
                    <w:rPr>
                      <w:color w:val="auto"/>
                    </w:rPr>
                    <w:t>排放标准机械。</w:t>
                  </w:r>
                </w:p>
              </w:tc>
              <w:tc>
                <w:tcPr>
                  <w:tcW w:w="309" w:type="pct"/>
                  <w:vAlign w:val="center"/>
                </w:tcPr>
                <w:p w14:paraId="17F38D85">
                  <w:pPr>
                    <w:jc w:val="center"/>
                    <w:rPr>
                      <w:rFonts w:eastAsiaTheme="minorEastAsia"/>
                      <w:color w:val="auto"/>
                      <w:szCs w:val="21"/>
                    </w:rPr>
                  </w:pPr>
                  <w:r>
                    <w:rPr>
                      <w:rFonts w:eastAsiaTheme="minorEastAsia"/>
                      <w:color w:val="auto"/>
                      <w:szCs w:val="21"/>
                    </w:rPr>
                    <w:t>相符</w:t>
                  </w:r>
                </w:p>
              </w:tc>
            </w:tr>
            <w:tr w14:paraId="350A25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Merge w:val="continue"/>
                  <w:vAlign w:val="center"/>
                </w:tcPr>
                <w:p w14:paraId="672152F2">
                  <w:pPr>
                    <w:rPr>
                      <w:rFonts w:eastAsiaTheme="minorEastAsia"/>
                      <w:color w:val="auto"/>
                      <w:szCs w:val="21"/>
                    </w:rPr>
                  </w:pPr>
                </w:p>
              </w:tc>
              <w:tc>
                <w:tcPr>
                  <w:tcW w:w="938" w:type="pct"/>
                  <w:vMerge w:val="continue"/>
                  <w:vAlign w:val="center"/>
                </w:tcPr>
                <w:p w14:paraId="2D3F0641">
                  <w:pPr>
                    <w:rPr>
                      <w:rFonts w:eastAsiaTheme="minorEastAsia"/>
                      <w:color w:val="auto"/>
                      <w:szCs w:val="21"/>
                    </w:rPr>
                  </w:pPr>
                </w:p>
              </w:tc>
              <w:tc>
                <w:tcPr>
                  <w:tcW w:w="1896" w:type="pct"/>
                  <w:vAlign w:val="center"/>
                </w:tcPr>
                <w:p w14:paraId="69487480">
                  <w:pPr>
                    <w:rPr>
                      <w:rFonts w:eastAsiaTheme="minorEastAsia"/>
                      <w:color w:val="auto"/>
                      <w:szCs w:val="21"/>
                    </w:rPr>
                  </w:pPr>
                  <w:r>
                    <w:rPr>
                      <w:rFonts w:eastAsiaTheme="minorEastAsia"/>
                      <w:color w:val="auto"/>
                      <w:szCs w:val="21"/>
                    </w:rPr>
                    <w:t>强化源头管控。严格落实国家和我省产业规划、产业政策、“三线一单”、规划环评等要求，深入开展我市区域空间生态环境评价工作，积极推行区域、规划环境影响评价，新</w:t>
                  </w:r>
                  <w:r>
                    <w:rPr>
                      <w:rFonts w:hint="eastAsia" w:eastAsiaTheme="minorEastAsia"/>
                      <w:color w:val="auto"/>
                      <w:szCs w:val="21"/>
                      <w:lang w:eastAsia="zh-CN"/>
                    </w:rPr>
                    <w:t>扩建</w:t>
                  </w:r>
                  <w:r>
                    <w:rPr>
                      <w:rFonts w:eastAsiaTheme="minorEastAsia"/>
                      <w:color w:val="auto"/>
                      <w:szCs w:val="21"/>
                    </w:rPr>
                    <w:t>化工、石化、建材、有色等项目的环境影响评价应满足区域和规划环评要求。</w:t>
                  </w:r>
                </w:p>
              </w:tc>
              <w:tc>
                <w:tcPr>
                  <w:tcW w:w="1546" w:type="pct"/>
                  <w:vAlign w:val="center"/>
                </w:tcPr>
                <w:p w14:paraId="6B6092A7">
                  <w:pPr>
                    <w:rPr>
                      <w:rFonts w:eastAsiaTheme="minorEastAsia"/>
                      <w:color w:val="auto"/>
                      <w:szCs w:val="21"/>
                    </w:rPr>
                  </w:pPr>
                  <w:r>
                    <w:rPr>
                      <w:rFonts w:eastAsiaTheme="minorEastAsia"/>
                      <w:color w:val="auto"/>
                      <w:szCs w:val="21"/>
                    </w:rPr>
                    <w:t>本项目为</w:t>
                  </w:r>
                  <w:r>
                    <w:rPr>
                      <w:rFonts w:hint="eastAsia" w:eastAsiaTheme="minorEastAsia"/>
                      <w:color w:val="auto"/>
                      <w:szCs w:val="21"/>
                      <w:lang w:val="en-US" w:eastAsia="zh-CN"/>
                    </w:rPr>
                    <w:t>扩建</w:t>
                  </w:r>
                  <w:r>
                    <w:rPr>
                      <w:rFonts w:eastAsiaTheme="minorEastAsia"/>
                      <w:color w:val="auto"/>
                      <w:szCs w:val="21"/>
                    </w:rPr>
                    <w:t>项目，将严格落实国家和我省产业规划、产业政策、“三线一单”、规划环评等要求，环境影响评价满足区域和规划环评要求。</w:t>
                  </w:r>
                </w:p>
              </w:tc>
              <w:tc>
                <w:tcPr>
                  <w:tcW w:w="309" w:type="pct"/>
                  <w:vAlign w:val="center"/>
                </w:tcPr>
                <w:p w14:paraId="594F6059">
                  <w:pPr>
                    <w:jc w:val="center"/>
                    <w:rPr>
                      <w:rFonts w:eastAsiaTheme="minorEastAsia"/>
                      <w:color w:val="auto"/>
                      <w:szCs w:val="21"/>
                    </w:rPr>
                  </w:pPr>
                  <w:r>
                    <w:rPr>
                      <w:rFonts w:eastAsiaTheme="minorEastAsia"/>
                      <w:color w:val="auto"/>
                      <w:szCs w:val="21"/>
                    </w:rPr>
                    <w:t>相符</w:t>
                  </w:r>
                </w:p>
              </w:tc>
            </w:tr>
            <w:tr w14:paraId="7E8C22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08" w:type="pct"/>
                  <w:vMerge w:val="restart"/>
                  <w:vAlign w:val="center"/>
                </w:tcPr>
                <w:p w14:paraId="7B5F30A2">
                  <w:pPr>
                    <w:jc w:val="center"/>
                    <w:rPr>
                      <w:rFonts w:hint="eastAsia" w:eastAsiaTheme="minorEastAsia"/>
                      <w:color w:val="auto"/>
                      <w:szCs w:val="21"/>
                      <w:lang w:val="en-US" w:eastAsia="zh-CN"/>
                    </w:rPr>
                  </w:pPr>
                  <w:r>
                    <w:rPr>
                      <w:rFonts w:hint="eastAsia" w:eastAsiaTheme="minorEastAsia"/>
                      <w:color w:val="auto"/>
                      <w:szCs w:val="21"/>
                      <w:lang w:val="en-US" w:eastAsia="zh-CN"/>
                    </w:rPr>
                    <w:t>6</w:t>
                  </w:r>
                </w:p>
              </w:tc>
              <w:tc>
                <w:tcPr>
                  <w:tcW w:w="938" w:type="pct"/>
                  <w:vMerge w:val="restart"/>
                  <w:shd w:val="clear" w:color="auto" w:fill="auto"/>
                  <w:vAlign w:val="center"/>
                </w:tcPr>
                <w:p w14:paraId="0337AB01">
                  <w:pPr>
                    <w:keepNext w:val="0"/>
                    <w:keepLines w:val="0"/>
                    <w:pageBreakBefore w:val="0"/>
                    <w:widowControl w:val="0"/>
                    <w:kinsoku/>
                    <w:wordWrap/>
                    <w:overflowPunct/>
                    <w:topLinePunct w:val="0"/>
                    <w:autoSpaceDE w:val="0"/>
                    <w:autoSpaceDN w:val="0"/>
                    <w:bidi w:val="0"/>
                    <w:adjustRightInd w:val="0"/>
                    <w:snapToGrid w:val="0"/>
                    <w:ind w:firstLine="0" w:firstLineChars="0"/>
                    <w:jc w:val="center"/>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《建筑垃圾处理技术规范》（JJ134-2009）</w:t>
                  </w:r>
                </w:p>
                <w:p w14:paraId="522030DF">
                  <w:pPr>
                    <w:rPr>
                      <w:rFonts w:eastAsiaTheme="minorEastAsia"/>
                      <w:color w:val="auto"/>
                      <w:szCs w:val="21"/>
                    </w:rPr>
                  </w:pPr>
                </w:p>
              </w:tc>
              <w:tc>
                <w:tcPr>
                  <w:tcW w:w="1896" w:type="pct"/>
                  <w:shd w:val="clear" w:color="auto" w:fill="auto"/>
                  <w:vAlign w:val="center"/>
                </w:tcPr>
                <w:p w14:paraId="51DA2554">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建筑垃圾类型中工程土渣以外的其他建筑废物处置方式应为分类并用于生产再生建筑材料、填埋</w:t>
                  </w:r>
                  <w:r>
                    <w:rPr>
                      <w:rFonts w:hint="eastAsia" w:hAnsi="宋体"/>
                      <w:color w:val="auto"/>
                      <w:kern w:val="0"/>
                      <w:sz w:val="21"/>
                      <w:szCs w:val="21"/>
                      <w:lang w:eastAsia="zh-CN"/>
                    </w:rPr>
                    <w:t>。</w:t>
                  </w:r>
                </w:p>
              </w:tc>
              <w:tc>
                <w:tcPr>
                  <w:tcW w:w="1546" w:type="pct"/>
                  <w:shd w:val="clear" w:color="auto" w:fill="auto"/>
                  <w:vAlign w:val="center"/>
                </w:tcPr>
                <w:p w14:paraId="1812BEA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本项目使用的</w:t>
                  </w:r>
                  <w:r>
                    <w:rPr>
                      <w:rFonts w:hint="eastAsia" w:hAnsi="宋体"/>
                      <w:color w:val="auto"/>
                      <w:kern w:val="0"/>
                      <w:sz w:val="21"/>
                      <w:szCs w:val="21"/>
                      <w:lang w:val="en-US" w:eastAsia="zh-CN"/>
                    </w:rPr>
                    <w:t>装修</w:t>
                  </w:r>
                  <w:r>
                    <w:rPr>
                      <w:rFonts w:hint="eastAsia" w:hAnsi="宋体"/>
                      <w:color w:val="auto"/>
                      <w:kern w:val="0"/>
                      <w:sz w:val="21"/>
                      <w:szCs w:val="21"/>
                    </w:rPr>
                    <w:t>垃圾类型为其他建筑废物，其处置方式为分类并用于生产再生建筑材料</w:t>
                  </w:r>
                </w:p>
              </w:tc>
              <w:tc>
                <w:tcPr>
                  <w:tcW w:w="309" w:type="pct"/>
                  <w:shd w:val="clear" w:color="auto" w:fill="auto"/>
                  <w:vAlign w:val="center"/>
                </w:tcPr>
                <w:p w14:paraId="7B6C036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1CD372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Merge w:val="continue"/>
                  <w:vAlign w:val="center"/>
                </w:tcPr>
                <w:p w14:paraId="1520589F">
                  <w:pPr>
                    <w:jc w:val="center"/>
                    <w:rPr>
                      <w:rFonts w:eastAsiaTheme="minorEastAsia"/>
                      <w:color w:val="auto"/>
                      <w:szCs w:val="21"/>
                    </w:rPr>
                  </w:pPr>
                </w:p>
              </w:tc>
              <w:tc>
                <w:tcPr>
                  <w:tcW w:w="938" w:type="pct"/>
                  <w:vMerge w:val="continue"/>
                  <w:vAlign w:val="center"/>
                </w:tcPr>
                <w:p w14:paraId="418BB91A">
                  <w:pPr>
                    <w:rPr>
                      <w:rFonts w:eastAsiaTheme="minorEastAsia"/>
                      <w:color w:val="auto"/>
                      <w:szCs w:val="21"/>
                    </w:rPr>
                  </w:pPr>
                </w:p>
              </w:tc>
              <w:tc>
                <w:tcPr>
                  <w:tcW w:w="1896" w:type="pct"/>
                  <w:shd w:val="clear" w:color="auto" w:fill="auto"/>
                  <w:vAlign w:val="center"/>
                </w:tcPr>
                <w:p w14:paraId="6CE6903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建筑垃圾运输应采用封闭方式，不得遗洒，不得超载</w:t>
                  </w:r>
                  <w:r>
                    <w:rPr>
                      <w:rFonts w:hint="eastAsia" w:hAnsi="宋体"/>
                      <w:color w:val="auto"/>
                      <w:kern w:val="0"/>
                      <w:sz w:val="21"/>
                      <w:szCs w:val="21"/>
                      <w:lang w:eastAsia="zh-CN"/>
                    </w:rPr>
                    <w:t>。</w:t>
                  </w:r>
                </w:p>
              </w:tc>
              <w:tc>
                <w:tcPr>
                  <w:tcW w:w="1546" w:type="pct"/>
                  <w:shd w:val="clear" w:color="auto" w:fill="auto"/>
                  <w:vAlign w:val="center"/>
                </w:tcPr>
                <w:p w14:paraId="450A012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w:t>
                  </w:r>
                  <w:r>
                    <w:rPr>
                      <w:rFonts w:hint="eastAsia" w:hAnsi="宋体"/>
                      <w:color w:val="auto"/>
                      <w:kern w:val="0"/>
                      <w:sz w:val="21"/>
                      <w:szCs w:val="21"/>
                      <w:lang w:val="en-US" w:eastAsia="zh-CN"/>
                    </w:rPr>
                    <w:t>装修</w:t>
                  </w:r>
                  <w:r>
                    <w:rPr>
                      <w:rFonts w:hint="eastAsia" w:hAnsi="宋体"/>
                      <w:color w:val="auto"/>
                      <w:kern w:val="0"/>
                      <w:sz w:val="21"/>
                      <w:szCs w:val="21"/>
                    </w:rPr>
                    <w:t>垃圾运输车辆</w:t>
                  </w:r>
                  <w:r>
                    <w:rPr>
                      <w:rFonts w:hint="eastAsia" w:hAnsi="宋体"/>
                      <w:color w:val="auto"/>
                      <w:kern w:val="0"/>
                      <w:sz w:val="21"/>
                      <w:szCs w:val="21"/>
                      <w:lang w:val="en-US" w:eastAsia="zh-CN"/>
                    </w:rPr>
                    <w:t>采用密闭车斗，不超载不超速行驶</w:t>
                  </w:r>
                  <w:r>
                    <w:rPr>
                      <w:rFonts w:hint="eastAsia" w:hAnsi="宋体"/>
                      <w:color w:val="auto"/>
                      <w:kern w:val="0"/>
                      <w:sz w:val="21"/>
                      <w:szCs w:val="21"/>
                    </w:rPr>
                    <w:t>，不存在遗洒问题，运输车辆均为标准载重。</w:t>
                  </w:r>
                </w:p>
              </w:tc>
              <w:tc>
                <w:tcPr>
                  <w:tcW w:w="309" w:type="pct"/>
                  <w:shd w:val="clear" w:color="auto" w:fill="auto"/>
                  <w:vAlign w:val="center"/>
                </w:tcPr>
                <w:p w14:paraId="4B7FA3E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07C59B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308" w:type="pct"/>
                  <w:vMerge w:val="continue"/>
                  <w:vAlign w:val="center"/>
                </w:tcPr>
                <w:p w14:paraId="7A7A28C6">
                  <w:pPr>
                    <w:jc w:val="center"/>
                    <w:rPr>
                      <w:rFonts w:eastAsiaTheme="minorEastAsia"/>
                      <w:color w:val="auto"/>
                      <w:szCs w:val="21"/>
                    </w:rPr>
                  </w:pPr>
                </w:p>
              </w:tc>
              <w:tc>
                <w:tcPr>
                  <w:tcW w:w="938" w:type="pct"/>
                  <w:vMerge w:val="continue"/>
                  <w:vAlign w:val="center"/>
                </w:tcPr>
                <w:p w14:paraId="69754D7A">
                  <w:pPr>
                    <w:rPr>
                      <w:rFonts w:eastAsiaTheme="minorEastAsia"/>
                      <w:color w:val="auto"/>
                      <w:szCs w:val="21"/>
                    </w:rPr>
                  </w:pPr>
                </w:p>
              </w:tc>
              <w:tc>
                <w:tcPr>
                  <w:tcW w:w="1896" w:type="pct"/>
                  <w:shd w:val="clear" w:color="auto" w:fill="auto"/>
                  <w:vAlign w:val="center"/>
                </w:tcPr>
                <w:p w14:paraId="3EBF54CC">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分选处理可根据需要选择在施工现场、转运调配场、填埋场或资源化处理厂进行</w:t>
                  </w:r>
                  <w:r>
                    <w:rPr>
                      <w:rFonts w:hint="eastAsia" w:hAnsi="宋体"/>
                      <w:color w:val="auto"/>
                      <w:kern w:val="0"/>
                      <w:sz w:val="21"/>
                      <w:szCs w:val="21"/>
                      <w:lang w:eastAsia="zh-CN"/>
                    </w:rPr>
                    <w:t>。</w:t>
                  </w:r>
                </w:p>
              </w:tc>
              <w:tc>
                <w:tcPr>
                  <w:tcW w:w="1546" w:type="pct"/>
                  <w:shd w:val="clear" w:color="auto" w:fill="auto"/>
                  <w:vAlign w:val="center"/>
                </w:tcPr>
                <w:p w14:paraId="4B9712ED">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本项目分选处理选择在生产车间内</w:t>
                  </w:r>
                  <w:r>
                    <w:rPr>
                      <w:rFonts w:hint="eastAsia" w:hAnsi="宋体"/>
                      <w:color w:val="auto"/>
                      <w:kern w:val="0"/>
                      <w:sz w:val="21"/>
                      <w:szCs w:val="21"/>
                      <w:lang w:eastAsia="zh-CN"/>
                    </w:rPr>
                    <w:t>（</w:t>
                  </w:r>
                  <w:r>
                    <w:rPr>
                      <w:rFonts w:hint="eastAsia" w:hAnsi="宋体"/>
                      <w:color w:val="auto"/>
                      <w:kern w:val="0"/>
                      <w:sz w:val="21"/>
                      <w:szCs w:val="21"/>
                      <w:lang w:val="en-US" w:eastAsia="zh-CN"/>
                    </w:rPr>
                    <w:t>资源化处理厂</w:t>
                  </w:r>
                  <w:r>
                    <w:rPr>
                      <w:rFonts w:hint="eastAsia" w:hAnsi="宋体"/>
                      <w:color w:val="auto"/>
                      <w:kern w:val="0"/>
                      <w:sz w:val="21"/>
                      <w:szCs w:val="21"/>
                      <w:lang w:eastAsia="zh-CN"/>
                    </w:rPr>
                    <w:t>）</w:t>
                  </w:r>
                  <w:r>
                    <w:rPr>
                      <w:rFonts w:hint="eastAsia" w:hAnsi="宋体"/>
                      <w:color w:val="auto"/>
                      <w:kern w:val="0"/>
                      <w:sz w:val="21"/>
                      <w:szCs w:val="21"/>
                    </w:rPr>
                    <w:t>进行</w:t>
                  </w:r>
                </w:p>
              </w:tc>
              <w:tc>
                <w:tcPr>
                  <w:tcW w:w="309" w:type="pct"/>
                  <w:shd w:val="clear" w:color="auto" w:fill="auto"/>
                  <w:vAlign w:val="center"/>
                </w:tcPr>
                <w:p w14:paraId="782DA90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26A4CC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Merge w:val="continue"/>
                  <w:vAlign w:val="center"/>
                </w:tcPr>
                <w:p w14:paraId="35D59E3C">
                  <w:pPr>
                    <w:jc w:val="center"/>
                    <w:rPr>
                      <w:rFonts w:eastAsiaTheme="minorEastAsia"/>
                      <w:color w:val="auto"/>
                      <w:szCs w:val="21"/>
                    </w:rPr>
                  </w:pPr>
                </w:p>
              </w:tc>
              <w:tc>
                <w:tcPr>
                  <w:tcW w:w="938" w:type="pct"/>
                  <w:vMerge w:val="continue"/>
                  <w:vAlign w:val="center"/>
                </w:tcPr>
                <w:p w14:paraId="37461C78">
                  <w:pPr>
                    <w:rPr>
                      <w:rFonts w:eastAsiaTheme="minorEastAsia"/>
                      <w:color w:val="auto"/>
                      <w:szCs w:val="21"/>
                    </w:rPr>
                  </w:pPr>
                </w:p>
              </w:tc>
              <w:tc>
                <w:tcPr>
                  <w:tcW w:w="1896" w:type="pct"/>
                  <w:shd w:val="clear" w:color="auto" w:fill="auto"/>
                  <w:vAlign w:val="center"/>
                </w:tcPr>
                <w:p w14:paraId="608C962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再生混凝土骨料质量应符合现行行业标准《普通混凝用砂、石质量及检验方法标准》JGJ52的有关规定</w:t>
                  </w:r>
                  <w:r>
                    <w:rPr>
                      <w:rFonts w:hint="eastAsia" w:hAnsi="宋体"/>
                      <w:color w:val="auto"/>
                      <w:kern w:val="0"/>
                      <w:sz w:val="21"/>
                      <w:szCs w:val="21"/>
                      <w:lang w:eastAsia="zh-CN"/>
                    </w:rPr>
                    <w:t>。</w:t>
                  </w:r>
                </w:p>
              </w:tc>
              <w:tc>
                <w:tcPr>
                  <w:tcW w:w="1546" w:type="pct"/>
                  <w:shd w:val="clear" w:color="auto" w:fill="auto"/>
                  <w:vAlign w:val="center"/>
                </w:tcPr>
                <w:p w14:paraId="7852BF8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本项目所生产的再生混凝土骨料质量符合现行行业标准《普通混凝用砂、石质量及检验方法标准》JGJ52的有关规定</w:t>
                  </w:r>
                  <w:r>
                    <w:rPr>
                      <w:rFonts w:hint="eastAsia" w:hAnsi="宋体"/>
                      <w:color w:val="auto"/>
                      <w:kern w:val="0"/>
                      <w:sz w:val="21"/>
                      <w:szCs w:val="21"/>
                      <w:lang w:eastAsia="zh-CN"/>
                    </w:rPr>
                    <w:t>。</w:t>
                  </w:r>
                </w:p>
              </w:tc>
              <w:tc>
                <w:tcPr>
                  <w:tcW w:w="309" w:type="pct"/>
                  <w:shd w:val="clear" w:color="auto" w:fill="auto"/>
                  <w:vAlign w:val="center"/>
                </w:tcPr>
                <w:p w14:paraId="1AD2D2C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271659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31FE3448">
                  <w:pPr>
                    <w:jc w:val="center"/>
                    <w:rPr>
                      <w:rFonts w:hint="eastAsia" w:eastAsiaTheme="minorEastAsia"/>
                      <w:color w:val="auto"/>
                      <w:szCs w:val="21"/>
                      <w:lang w:val="en-US" w:eastAsia="zh-CN"/>
                    </w:rPr>
                  </w:pPr>
                  <w:r>
                    <w:rPr>
                      <w:rFonts w:hint="eastAsia" w:eastAsiaTheme="minorEastAsia"/>
                      <w:color w:val="auto"/>
                      <w:szCs w:val="21"/>
                      <w:lang w:val="en-US" w:eastAsia="zh-CN"/>
                    </w:rPr>
                    <w:t>7</w:t>
                  </w:r>
                </w:p>
              </w:tc>
              <w:tc>
                <w:tcPr>
                  <w:tcW w:w="938" w:type="pct"/>
                  <w:vAlign w:val="center"/>
                </w:tcPr>
                <w:p w14:paraId="4E30E424">
                  <w:pPr>
                    <w:rPr>
                      <w:rFonts w:eastAsiaTheme="minorEastAsia"/>
                      <w:color w:val="auto"/>
                      <w:szCs w:val="21"/>
                    </w:rPr>
                  </w:pPr>
                  <w:r>
                    <w:rPr>
                      <w:rFonts w:hint="eastAsia"/>
                      <w:color w:val="auto"/>
                      <w:lang w:val="en-US" w:eastAsia="zh-CN"/>
                    </w:rPr>
                    <w:t>《西安市建筑垃圾管理条例》（2024年修订）</w:t>
                  </w:r>
                </w:p>
              </w:tc>
              <w:tc>
                <w:tcPr>
                  <w:tcW w:w="1896" w:type="pct"/>
                  <w:shd w:val="clear" w:color="auto" w:fill="auto"/>
                  <w:vAlign w:val="center"/>
                </w:tcPr>
                <w:p w14:paraId="3511837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eastAsia="zh-CN"/>
                    </w:rPr>
                  </w:pPr>
                  <w:r>
                    <w:rPr>
                      <w:rFonts w:hint="eastAsia" w:hAnsi="宋体"/>
                      <w:color w:val="auto"/>
                      <w:kern w:val="0"/>
                      <w:sz w:val="21"/>
                      <w:szCs w:val="21"/>
                    </w:rPr>
                    <w:t>建筑垃圾消纳人应当向所在区县城市管理部门申请办理《西安市建筑垃圾处置(消纳)证》</w:t>
                  </w:r>
                  <w:r>
                    <w:rPr>
                      <w:rFonts w:hint="eastAsia" w:hAnsi="宋体"/>
                      <w:color w:val="auto"/>
                      <w:kern w:val="0"/>
                      <w:sz w:val="21"/>
                      <w:szCs w:val="21"/>
                      <w:lang w:eastAsia="zh-CN"/>
                    </w:rPr>
                    <w:t>；建筑垃圾消纳场不得受纳工业垃圾、生活垃圾和有毒有害垃圾。</w:t>
                  </w:r>
                </w:p>
              </w:tc>
              <w:tc>
                <w:tcPr>
                  <w:tcW w:w="1546" w:type="pct"/>
                  <w:shd w:val="clear" w:color="auto" w:fill="auto"/>
                  <w:vAlign w:val="center"/>
                </w:tcPr>
                <w:p w14:paraId="12B11D2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本企业已办理</w:t>
                  </w:r>
                  <w:r>
                    <w:rPr>
                      <w:rFonts w:hint="eastAsia" w:hAnsi="宋体"/>
                      <w:color w:val="auto"/>
                      <w:kern w:val="0"/>
                      <w:sz w:val="21"/>
                      <w:szCs w:val="21"/>
                    </w:rPr>
                    <w:t>《西安市建筑垃圾处置(消纳)证》</w:t>
                  </w:r>
                  <w:r>
                    <w:rPr>
                      <w:rFonts w:hint="eastAsia" w:hAnsi="宋体"/>
                      <w:color w:val="auto"/>
                      <w:kern w:val="0"/>
                      <w:sz w:val="21"/>
                      <w:szCs w:val="21"/>
                      <w:lang w:eastAsia="zh-CN"/>
                    </w:rPr>
                    <w:t>（</w:t>
                  </w:r>
                  <w:r>
                    <w:rPr>
                      <w:rFonts w:hint="eastAsia" w:hAnsi="宋体"/>
                      <w:color w:val="auto"/>
                      <w:kern w:val="0"/>
                      <w:sz w:val="21"/>
                      <w:szCs w:val="21"/>
                      <w:lang w:val="en-US" w:eastAsia="zh-CN"/>
                    </w:rPr>
                    <w:t>见附件12</w:t>
                  </w:r>
                  <w:r>
                    <w:rPr>
                      <w:rFonts w:hint="eastAsia" w:hAnsi="宋体"/>
                      <w:color w:val="auto"/>
                      <w:kern w:val="0"/>
                      <w:sz w:val="21"/>
                      <w:szCs w:val="21"/>
                      <w:lang w:eastAsia="zh-CN"/>
                    </w:rPr>
                    <w:t>），</w:t>
                  </w:r>
                  <w:r>
                    <w:rPr>
                      <w:rFonts w:hint="eastAsia" w:hAnsi="宋体"/>
                      <w:color w:val="auto"/>
                      <w:kern w:val="0"/>
                      <w:sz w:val="21"/>
                      <w:szCs w:val="21"/>
                      <w:lang w:val="en-US" w:eastAsia="zh-CN"/>
                    </w:rPr>
                    <w:t>本项目完成后消纳量增加，要求重新办理</w:t>
                  </w:r>
                  <w:r>
                    <w:rPr>
                      <w:rFonts w:hint="eastAsia" w:hAnsi="宋体"/>
                      <w:color w:val="auto"/>
                      <w:kern w:val="0"/>
                      <w:sz w:val="21"/>
                      <w:szCs w:val="21"/>
                      <w:lang w:eastAsia="zh-CN"/>
                    </w:rPr>
                    <w:t>；</w:t>
                  </w:r>
                  <w:r>
                    <w:rPr>
                      <w:rFonts w:hint="eastAsia" w:hAnsi="宋体"/>
                      <w:color w:val="auto"/>
                      <w:kern w:val="0"/>
                      <w:sz w:val="21"/>
                      <w:szCs w:val="21"/>
                      <w:lang w:val="en-US" w:eastAsia="zh-CN"/>
                    </w:rPr>
                    <w:t>本项目消纳装修垃圾，不</w:t>
                  </w:r>
                  <w:r>
                    <w:rPr>
                      <w:rFonts w:hint="eastAsia" w:hAnsi="宋体"/>
                      <w:color w:val="auto"/>
                      <w:kern w:val="0"/>
                      <w:sz w:val="21"/>
                      <w:szCs w:val="21"/>
                      <w:lang w:eastAsia="zh-CN"/>
                    </w:rPr>
                    <w:t>受纳工业垃圾、生活垃圾和有毒有害垃圾。</w:t>
                  </w:r>
                </w:p>
              </w:tc>
              <w:tc>
                <w:tcPr>
                  <w:tcW w:w="309" w:type="pct"/>
                  <w:shd w:val="clear" w:color="auto" w:fill="auto"/>
                  <w:vAlign w:val="center"/>
                </w:tcPr>
                <w:p w14:paraId="6BA9528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083E72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580348F2">
                  <w:pPr>
                    <w:jc w:val="center"/>
                    <w:rPr>
                      <w:rFonts w:hint="eastAsia" w:eastAsiaTheme="minorEastAsia"/>
                      <w:color w:val="auto"/>
                      <w:szCs w:val="21"/>
                      <w:lang w:val="en-US" w:eastAsia="zh-CN"/>
                    </w:rPr>
                  </w:pPr>
                  <w:r>
                    <w:rPr>
                      <w:rFonts w:hint="eastAsia" w:eastAsiaTheme="minorEastAsia"/>
                      <w:color w:val="auto"/>
                      <w:szCs w:val="21"/>
                      <w:lang w:val="en-US" w:eastAsia="zh-CN"/>
                    </w:rPr>
                    <w:t>8</w:t>
                  </w:r>
                </w:p>
              </w:tc>
              <w:tc>
                <w:tcPr>
                  <w:tcW w:w="938" w:type="pct"/>
                  <w:vAlign w:val="center"/>
                </w:tcPr>
                <w:p w14:paraId="73F5F78D">
                  <w:pPr>
                    <w:rPr>
                      <w:rFonts w:eastAsiaTheme="minorEastAsia"/>
                      <w:color w:val="auto"/>
                      <w:szCs w:val="21"/>
                    </w:rPr>
                  </w:pPr>
                  <w:r>
                    <w:rPr>
                      <w:color w:val="auto"/>
                      <w:szCs w:val="21"/>
                      <w:highlight w:val="none"/>
                    </w:rPr>
                    <w:t>《西安市大气污染治理专项行动202</w:t>
                  </w:r>
                  <w:r>
                    <w:rPr>
                      <w:rFonts w:hint="eastAsia"/>
                      <w:color w:val="auto"/>
                      <w:szCs w:val="21"/>
                      <w:highlight w:val="none"/>
                      <w:lang w:val="en-US" w:eastAsia="zh-CN"/>
                    </w:rPr>
                    <w:t>5</w:t>
                  </w:r>
                  <w:r>
                    <w:rPr>
                      <w:color w:val="auto"/>
                      <w:szCs w:val="21"/>
                      <w:highlight w:val="none"/>
                    </w:rPr>
                    <w:t>年工作方案》</w:t>
                  </w:r>
                </w:p>
              </w:tc>
              <w:tc>
                <w:tcPr>
                  <w:tcW w:w="1896" w:type="pct"/>
                  <w:shd w:val="clear" w:color="auto" w:fill="auto"/>
                  <w:vAlign w:val="center"/>
                </w:tcPr>
                <w:p w14:paraId="14CB5AB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eastAsia="zh-CN"/>
                    </w:rPr>
                  </w:pPr>
                  <w:r>
                    <w:rPr>
                      <w:rFonts w:hint="eastAsia" w:hAnsi="宋体"/>
                      <w:color w:val="auto"/>
                      <w:kern w:val="0"/>
                      <w:sz w:val="21"/>
                      <w:szCs w:val="21"/>
                    </w:rPr>
                    <w:t>推动结构调整涉及能源消费结构调整、城市供热结构调整、产业发展结构调整及交通运输结构调整。其中，能源消费结构调整方面，大力发展新能源和清洁低碳能源，积极发展非化石能源</w:t>
                  </w:r>
                  <w:r>
                    <w:rPr>
                      <w:rFonts w:hint="eastAsia" w:hAnsi="宋体"/>
                      <w:color w:val="auto"/>
                      <w:kern w:val="0"/>
                      <w:sz w:val="21"/>
                      <w:szCs w:val="21"/>
                      <w:lang w:eastAsia="zh-CN"/>
                    </w:rPr>
                    <w:t>。</w:t>
                  </w:r>
                </w:p>
              </w:tc>
              <w:tc>
                <w:tcPr>
                  <w:tcW w:w="1546" w:type="pct"/>
                  <w:shd w:val="clear" w:color="auto" w:fill="auto"/>
                  <w:vAlign w:val="center"/>
                </w:tcPr>
                <w:p w14:paraId="2521A808">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color w:val="auto"/>
                      <w:kern w:val="0"/>
                      <w:sz w:val="21"/>
                      <w:szCs w:val="21"/>
                    </w:rPr>
                  </w:pPr>
                  <w:r>
                    <w:rPr>
                      <w:rFonts w:hint="eastAsia" w:hAnsi="宋体"/>
                      <w:color w:val="auto"/>
                      <w:kern w:val="0"/>
                      <w:sz w:val="21"/>
                      <w:szCs w:val="21"/>
                    </w:rPr>
                    <w:t>本项目运营期</w:t>
                  </w:r>
                  <w:r>
                    <w:rPr>
                      <w:rFonts w:hint="eastAsia" w:hAnsi="宋体"/>
                      <w:color w:val="auto"/>
                      <w:kern w:val="0"/>
                      <w:sz w:val="21"/>
                      <w:szCs w:val="21"/>
                      <w:lang w:val="en-US" w:eastAsia="zh-CN"/>
                    </w:rPr>
                    <w:t>生产</w:t>
                  </w:r>
                  <w:r>
                    <w:rPr>
                      <w:rFonts w:hint="eastAsia" w:hAnsi="宋体"/>
                      <w:color w:val="auto"/>
                      <w:kern w:val="0"/>
                      <w:sz w:val="21"/>
                      <w:szCs w:val="21"/>
                    </w:rPr>
                    <w:t>所用能源主要为电能，属于清洁能源。</w:t>
                  </w:r>
                </w:p>
              </w:tc>
              <w:tc>
                <w:tcPr>
                  <w:tcW w:w="309" w:type="pct"/>
                  <w:shd w:val="clear" w:color="auto" w:fill="auto"/>
                  <w:vAlign w:val="center"/>
                </w:tcPr>
                <w:p w14:paraId="51984F2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404499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2672A088">
                  <w:pPr>
                    <w:jc w:val="center"/>
                    <w:rPr>
                      <w:rFonts w:hint="eastAsia"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9</w:t>
                  </w:r>
                </w:p>
              </w:tc>
              <w:tc>
                <w:tcPr>
                  <w:tcW w:w="938" w:type="pct"/>
                  <w:vAlign w:val="center"/>
                </w:tcPr>
                <w:p w14:paraId="002F40E3">
                  <w:pPr>
                    <w:rPr>
                      <w:rFonts w:hint="eastAsia" w:eastAsia="宋体"/>
                      <w:color w:val="auto"/>
                      <w:szCs w:val="21"/>
                      <w:highlight w:val="none"/>
                      <w:lang w:eastAsia="zh-CN"/>
                    </w:rPr>
                  </w:pPr>
                  <w:r>
                    <w:rPr>
                      <w:rFonts w:hint="eastAsia"/>
                      <w:color w:val="auto"/>
                      <w:szCs w:val="21"/>
                      <w:highlight w:val="none"/>
                      <w:lang w:eastAsia="zh-CN"/>
                    </w:rPr>
                    <w:t>《西安市扬尘污染防治条例》</w:t>
                  </w:r>
                </w:p>
              </w:tc>
              <w:tc>
                <w:tcPr>
                  <w:tcW w:w="1896" w:type="pct"/>
                  <w:shd w:val="clear" w:color="auto" w:fill="auto"/>
                  <w:vAlign w:val="center"/>
                </w:tcPr>
                <w:p w14:paraId="14C4111C">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color w:val="auto"/>
                      <w:kern w:val="0"/>
                      <w:sz w:val="21"/>
                      <w:szCs w:val="21"/>
                    </w:rPr>
                  </w:pPr>
                  <w:r>
                    <w:rPr>
                      <w:rFonts w:hint="eastAsia" w:hAnsi="宋体"/>
                      <w:color w:val="auto"/>
                      <w:kern w:val="0"/>
                      <w:sz w:val="21"/>
                      <w:szCs w:val="21"/>
                    </w:rPr>
                    <w:t>第二十五条 堆放易产生扬尘污染物料的堆场、露天仓库等场所，以及预拌混凝土和预拌砂浆生产企业，应当符合下列要求</w:t>
                  </w:r>
                  <w:r>
                    <w:rPr>
                      <w:rFonts w:hint="eastAsia" w:hAnsi="宋体"/>
                      <w:color w:val="auto"/>
                      <w:kern w:val="0"/>
                      <w:sz w:val="21"/>
                      <w:szCs w:val="21"/>
                      <w:lang w:eastAsia="zh-CN"/>
                    </w:rPr>
                    <w:t>：</w:t>
                  </w:r>
                  <w:r>
                    <w:rPr>
                      <w:rFonts w:hint="eastAsia" w:hAnsi="宋体"/>
                      <w:color w:val="auto"/>
                      <w:kern w:val="0"/>
                      <w:sz w:val="21"/>
                      <w:szCs w:val="21"/>
                    </w:rPr>
                    <w:t>(一) 地面硬化</w:t>
                  </w:r>
                  <w:r>
                    <w:rPr>
                      <w:rFonts w:hint="eastAsia" w:hAnsi="宋体"/>
                      <w:color w:val="auto"/>
                      <w:kern w:val="0"/>
                      <w:sz w:val="21"/>
                      <w:szCs w:val="21"/>
                      <w:lang w:eastAsia="zh-CN"/>
                    </w:rPr>
                    <w:t>；</w:t>
                  </w:r>
                  <w:r>
                    <w:rPr>
                      <w:rFonts w:hint="eastAsia" w:hAnsi="宋体"/>
                      <w:color w:val="auto"/>
                      <w:kern w:val="0"/>
                      <w:sz w:val="21"/>
                      <w:szCs w:val="21"/>
                    </w:rPr>
                    <w:t>(二) 采用围挡或者其他封闭仓储设施，配备喷淋或者其他抑尘设备</w:t>
                  </w:r>
                  <w:r>
                    <w:rPr>
                      <w:rFonts w:hint="eastAsia" w:hAnsi="宋体"/>
                      <w:color w:val="auto"/>
                      <w:kern w:val="0"/>
                      <w:sz w:val="21"/>
                      <w:szCs w:val="21"/>
                      <w:lang w:eastAsia="zh-CN"/>
                    </w:rPr>
                    <w:t>；</w:t>
                  </w:r>
                  <w:r>
                    <w:rPr>
                      <w:rFonts w:hint="eastAsia" w:hAnsi="宋体"/>
                      <w:color w:val="auto"/>
                      <w:kern w:val="0"/>
                      <w:sz w:val="21"/>
                      <w:szCs w:val="21"/>
                    </w:rPr>
                    <w:t>(三)生产用原料需要频繁装卸作业的，在密闭车间进行，堆场露天装卸作业的，采取洒水等抑尘措施</w:t>
                  </w:r>
                  <w:r>
                    <w:rPr>
                      <w:rFonts w:hint="eastAsia" w:hAnsi="宋体"/>
                      <w:color w:val="auto"/>
                      <w:kern w:val="0"/>
                      <w:sz w:val="21"/>
                      <w:szCs w:val="21"/>
                      <w:lang w:eastAsia="zh-CN"/>
                    </w:rPr>
                    <w:t>；</w:t>
                  </w:r>
                  <w:r>
                    <w:rPr>
                      <w:rFonts w:hint="eastAsia" w:hAnsi="宋体"/>
                      <w:color w:val="auto"/>
                      <w:kern w:val="0"/>
                      <w:sz w:val="21"/>
                      <w:szCs w:val="21"/>
                    </w:rPr>
                    <w:t>(四)采用密闭输送设备作业的，在装料、卸料处配备吸尘、喷淋等防尘设施，并保持防尘设施的正常使用</w:t>
                  </w:r>
                  <w:r>
                    <w:rPr>
                      <w:rFonts w:hint="eastAsia" w:hAnsi="宋体"/>
                      <w:color w:val="auto"/>
                      <w:kern w:val="0"/>
                      <w:sz w:val="21"/>
                      <w:szCs w:val="21"/>
                      <w:lang w:eastAsia="zh-CN"/>
                    </w:rPr>
                    <w:t>；</w:t>
                  </w:r>
                  <w:r>
                    <w:rPr>
                      <w:rFonts w:hint="eastAsia" w:hAnsi="宋体"/>
                      <w:color w:val="auto"/>
                      <w:kern w:val="0"/>
                      <w:sz w:val="21"/>
                      <w:szCs w:val="21"/>
                    </w:rPr>
                    <w:t>(五)长期性的废弃物堆，在表面、四周种植植物或者砌筑围墙，加以覆盖</w:t>
                  </w:r>
                  <w:r>
                    <w:rPr>
                      <w:rFonts w:hint="eastAsia" w:hAnsi="宋体"/>
                      <w:color w:val="auto"/>
                      <w:kern w:val="0"/>
                      <w:sz w:val="21"/>
                      <w:szCs w:val="21"/>
                      <w:lang w:eastAsia="zh-CN"/>
                    </w:rPr>
                    <w:t>；</w:t>
                  </w:r>
                  <w:r>
                    <w:rPr>
                      <w:rFonts w:hint="eastAsia" w:hAnsi="宋体"/>
                      <w:color w:val="auto"/>
                      <w:kern w:val="0"/>
                      <w:sz w:val="21"/>
                      <w:szCs w:val="21"/>
                    </w:rPr>
                    <w:t>(六)在出口处设置运输车辆冲洗保洁设施，并保持冲洗保洁设施的正常使用</w:t>
                  </w:r>
                </w:p>
              </w:tc>
              <w:tc>
                <w:tcPr>
                  <w:tcW w:w="1546" w:type="pct"/>
                  <w:shd w:val="clear" w:color="auto" w:fill="auto"/>
                  <w:vAlign w:val="center"/>
                </w:tcPr>
                <w:p w14:paraId="2B63A87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1.本项目地面已采取压实泥土进行硬化；2.</w:t>
                  </w:r>
                  <w:r>
                    <w:rPr>
                      <w:rFonts w:hint="eastAsia" w:cs="Times New Roman"/>
                      <w:color w:val="auto"/>
                      <w:kern w:val="2"/>
                      <w:sz w:val="21"/>
                      <w:szCs w:val="21"/>
                      <w:lang w:val="en-US" w:eastAsia="zh-CN" w:bidi="ar-SA"/>
                    </w:rPr>
                    <w:t>原料储存在堆场中，用密布网覆盖，成品放置于封闭的料库中，配备喷淋设备；3.本项目装卸是采用洒水抑尘措施；4.本项目装卸作业时全程进行喷淋；5.本项目无长期性的废弃物堆；6.本项目在进出口设置车辆冲洗装置，对出入车辆进行冲洗。</w:t>
                  </w:r>
                </w:p>
              </w:tc>
              <w:tc>
                <w:tcPr>
                  <w:tcW w:w="309" w:type="pct"/>
                  <w:shd w:val="clear" w:color="auto" w:fill="auto"/>
                  <w:vAlign w:val="center"/>
                </w:tcPr>
                <w:p w14:paraId="63D4099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符合</w:t>
                  </w:r>
                </w:p>
              </w:tc>
            </w:tr>
            <w:tr w14:paraId="4F6329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02E7BF25">
                  <w:pPr>
                    <w:jc w:val="center"/>
                    <w:rPr>
                      <w:rFonts w:hint="eastAsia"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10</w:t>
                  </w:r>
                </w:p>
              </w:tc>
              <w:tc>
                <w:tcPr>
                  <w:tcW w:w="938" w:type="pct"/>
                  <w:vAlign w:val="center"/>
                </w:tcPr>
                <w:p w14:paraId="189A1BD4">
                  <w:pPr>
                    <w:rPr>
                      <w:rFonts w:eastAsiaTheme="minorEastAsia"/>
                      <w:color w:val="auto"/>
                      <w:szCs w:val="21"/>
                    </w:rPr>
                  </w:pPr>
                  <w:r>
                    <w:rPr>
                      <w:rFonts w:hint="eastAsia"/>
                      <w:color w:val="auto"/>
                      <w:szCs w:val="21"/>
                      <w:highlight w:val="none"/>
                      <w:lang w:eastAsia="zh-CN"/>
                    </w:rPr>
                    <w:t>《</w:t>
                  </w:r>
                  <w:r>
                    <w:rPr>
                      <w:rFonts w:hint="eastAsia"/>
                      <w:color w:val="auto"/>
                      <w:szCs w:val="21"/>
                      <w:highlight w:val="none"/>
                      <w:lang w:val="en-US" w:eastAsia="zh-CN"/>
                    </w:rPr>
                    <w:t>中华人民共和国固体废物污染环境防治法</w:t>
                  </w:r>
                  <w:r>
                    <w:rPr>
                      <w:rFonts w:hint="eastAsia"/>
                      <w:color w:val="auto"/>
                      <w:szCs w:val="21"/>
                      <w:highlight w:val="none"/>
                      <w:lang w:eastAsia="zh-CN"/>
                    </w:rPr>
                    <w:t>》</w:t>
                  </w:r>
                </w:p>
              </w:tc>
              <w:tc>
                <w:tcPr>
                  <w:tcW w:w="1896" w:type="pct"/>
                  <w:shd w:val="clear" w:color="auto" w:fill="auto"/>
                  <w:vAlign w:val="center"/>
                </w:tcPr>
                <w:p w14:paraId="6C091FE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eastAsia="zh-CN"/>
                    </w:rPr>
                  </w:pPr>
                  <w:r>
                    <w:rPr>
                      <w:rFonts w:hint="eastAsia" w:hAnsi="宋体"/>
                      <w:color w:val="auto"/>
                      <w:kern w:val="0"/>
                      <w:sz w:val="21"/>
                      <w:szCs w:val="21"/>
                    </w:rPr>
                    <w:t>收集、贮存、运输、利用、处置固体废物的单位和个人，必须采取扬散、防流失、防渗漏或者其他防止污染环境的措施</w:t>
                  </w:r>
                  <w:r>
                    <w:rPr>
                      <w:rFonts w:hint="eastAsia" w:hAnsi="宋体"/>
                      <w:color w:val="auto"/>
                      <w:kern w:val="0"/>
                      <w:sz w:val="21"/>
                      <w:szCs w:val="21"/>
                      <w:lang w:eastAsia="zh-CN"/>
                    </w:rPr>
                    <w:t>。</w:t>
                  </w:r>
                </w:p>
              </w:tc>
              <w:tc>
                <w:tcPr>
                  <w:tcW w:w="1546" w:type="pct"/>
                  <w:shd w:val="clear" w:color="auto" w:fill="auto"/>
                  <w:vAlign w:val="center"/>
                </w:tcPr>
                <w:p w14:paraId="0264AEFB">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olor w:val="auto"/>
                      <w:kern w:val="0"/>
                      <w:sz w:val="21"/>
                      <w:szCs w:val="21"/>
                    </w:rPr>
                    <w:t>本项目</w:t>
                  </w:r>
                  <w:r>
                    <w:rPr>
                      <w:rFonts w:hint="eastAsia" w:hAnsi="宋体"/>
                      <w:color w:val="auto"/>
                      <w:kern w:val="0"/>
                      <w:sz w:val="21"/>
                      <w:szCs w:val="21"/>
                      <w:lang w:val="en-US" w:eastAsia="zh-CN"/>
                    </w:rPr>
                    <w:t>装修</w:t>
                  </w:r>
                  <w:r>
                    <w:rPr>
                      <w:rFonts w:hint="eastAsia" w:hAnsi="宋体"/>
                      <w:color w:val="auto"/>
                      <w:kern w:val="0"/>
                      <w:sz w:val="21"/>
                      <w:szCs w:val="21"/>
                    </w:rPr>
                    <w:t>垃圾运输车辆</w:t>
                  </w:r>
                  <w:r>
                    <w:rPr>
                      <w:rFonts w:hint="eastAsia" w:hAnsi="宋体"/>
                      <w:color w:val="auto"/>
                      <w:kern w:val="0"/>
                      <w:sz w:val="21"/>
                      <w:szCs w:val="21"/>
                      <w:lang w:val="en-US" w:eastAsia="zh-CN"/>
                    </w:rPr>
                    <w:t>采用密闭车斗，不超载不超速行驶</w:t>
                  </w:r>
                  <w:r>
                    <w:rPr>
                      <w:rFonts w:hint="eastAsia" w:hAnsi="宋体"/>
                      <w:color w:val="auto"/>
                      <w:kern w:val="0"/>
                      <w:sz w:val="21"/>
                      <w:szCs w:val="21"/>
                    </w:rPr>
                    <w:t>，不存在遗洒问题，运输车辆均为标准载重。</w:t>
                  </w:r>
                  <w:r>
                    <w:rPr>
                      <w:rFonts w:hint="eastAsia" w:cs="Times New Roman"/>
                      <w:color w:val="auto"/>
                      <w:kern w:val="2"/>
                      <w:sz w:val="21"/>
                      <w:szCs w:val="21"/>
                      <w:lang w:val="en-US" w:eastAsia="zh-CN" w:bidi="ar-SA"/>
                    </w:rPr>
                    <w:t>原料储存在堆场中，用密布网覆盖，成品放置于料库中。</w:t>
                  </w:r>
                </w:p>
              </w:tc>
              <w:tc>
                <w:tcPr>
                  <w:tcW w:w="309" w:type="pct"/>
                  <w:shd w:val="clear" w:color="auto" w:fill="auto"/>
                  <w:vAlign w:val="center"/>
                </w:tcPr>
                <w:p w14:paraId="56A73FD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1"/>
                      <w:szCs w:val="21"/>
                    </w:rPr>
                    <w:t>符合</w:t>
                  </w:r>
                </w:p>
              </w:tc>
            </w:tr>
            <w:tr w14:paraId="20626E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1DA67152">
                  <w:pPr>
                    <w:jc w:val="center"/>
                    <w:rPr>
                      <w:rFonts w:hint="default"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11</w:t>
                  </w:r>
                </w:p>
              </w:tc>
              <w:tc>
                <w:tcPr>
                  <w:tcW w:w="938" w:type="pct"/>
                  <w:vAlign w:val="center"/>
                </w:tcPr>
                <w:p w14:paraId="444D999C">
                  <w:pPr>
                    <w:rPr>
                      <w:rFonts w:hint="eastAsia"/>
                      <w:color w:val="auto"/>
                      <w:szCs w:val="21"/>
                      <w:highlight w:val="none"/>
                      <w:lang w:eastAsia="zh-CN"/>
                    </w:rPr>
                  </w:pPr>
                  <w:r>
                    <w:rPr>
                      <w:rFonts w:hint="eastAsia"/>
                      <w:color w:val="auto"/>
                      <w:szCs w:val="21"/>
                      <w:highlight w:val="none"/>
                      <w:lang w:eastAsia="zh-CN"/>
                    </w:rPr>
                    <w:t>《固体废物再生利用污染防治技术导则》</w:t>
                  </w:r>
                </w:p>
              </w:tc>
              <w:tc>
                <w:tcPr>
                  <w:tcW w:w="1896" w:type="pct"/>
                  <w:shd w:val="clear" w:color="auto" w:fill="auto"/>
                  <w:vAlign w:val="center"/>
                </w:tcPr>
                <w:p w14:paraId="6EB9217F">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color w:val="auto"/>
                      <w:kern w:val="0"/>
                      <w:sz w:val="21"/>
                      <w:szCs w:val="21"/>
                    </w:rPr>
                  </w:pPr>
                  <w:r>
                    <w:rPr>
                      <w:rFonts w:hint="eastAsia" w:hAnsi="宋体"/>
                      <w:color w:val="auto"/>
                      <w:kern w:val="0"/>
                      <w:sz w:val="21"/>
                      <w:szCs w:val="21"/>
                    </w:rPr>
                    <w:t>产生粉尘和有毒有害气体的作业区应采取除尘和有毒有害气体收集措施。扬尘点应设置吸尘罩和收尘设备，有毒有害气体逸散区应设置吸附(吸收) 转化装置，保证作业区粉尘、有害气体浓度满足GBZ2.1的要求。</w:t>
                  </w:r>
                </w:p>
              </w:tc>
              <w:tc>
                <w:tcPr>
                  <w:tcW w:w="1546" w:type="pct"/>
                  <w:shd w:val="clear" w:color="auto" w:fill="auto"/>
                  <w:vAlign w:val="center"/>
                </w:tcPr>
                <w:p w14:paraId="30A63AD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cs="Times New Roman"/>
                      <w:color w:val="auto"/>
                      <w:kern w:val="2"/>
                      <w:sz w:val="21"/>
                      <w:szCs w:val="21"/>
                      <w:lang w:val="en-US" w:eastAsia="zh-CN" w:bidi="ar-SA"/>
                    </w:rPr>
                    <w:t>原料储存在堆场中，用密布网覆盖，成品放置于封闭的料库中。</w:t>
                  </w:r>
                  <w:r>
                    <w:rPr>
                      <w:rFonts w:hint="eastAsia" w:hAnsi="宋体"/>
                      <w:color w:val="auto"/>
                      <w:kern w:val="0"/>
                      <w:sz w:val="21"/>
                      <w:szCs w:val="21"/>
                      <w:lang w:val="en-US" w:eastAsia="zh-CN"/>
                    </w:rPr>
                    <w:t>本项目作业区采用集气罩+布袋除尘器+排气筒措施进行除尘。</w:t>
                  </w:r>
                </w:p>
              </w:tc>
              <w:tc>
                <w:tcPr>
                  <w:tcW w:w="309" w:type="pct"/>
                  <w:shd w:val="clear" w:color="auto" w:fill="auto"/>
                  <w:vAlign w:val="center"/>
                </w:tcPr>
                <w:p w14:paraId="6016FFF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2E67BB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shd w:val="clear" w:color="auto" w:fill="auto"/>
                  <w:vAlign w:val="center"/>
                </w:tcPr>
                <w:p w14:paraId="01D1A63F">
                  <w:pPr>
                    <w:jc w:val="center"/>
                    <w:rPr>
                      <w:rFonts w:hint="default"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lang w:val="en-US" w:eastAsia="zh-CN"/>
                    </w:rPr>
                    <w:t>12</w:t>
                  </w:r>
                </w:p>
              </w:tc>
              <w:tc>
                <w:tcPr>
                  <w:tcW w:w="938" w:type="pct"/>
                  <w:vAlign w:val="center"/>
                </w:tcPr>
                <w:p w14:paraId="24DE6044">
                  <w:pPr>
                    <w:rPr>
                      <w:rFonts w:hint="eastAsia" w:eastAsia="宋体"/>
                      <w:color w:val="auto"/>
                      <w:szCs w:val="21"/>
                      <w:highlight w:val="none"/>
                      <w:lang w:eastAsia="zh-CN"/>
                    </w:rPr>
                  </w:pPr>
                  <w:r>
                    <w:rPr>
                      <w:rFonts w:hint="eastAsia"/>
                      <w:b w:val="0"/>
                      <w:bCs w:val="0"/>
                      <w:color w:val="auto"/>
                      <w:highlight w:val="none"/>
                    </w:rPr>
                    <w:t>《固定式建筑垃圾处置技术规程》</w:t>
                  </w:r>
                  <w:r>
                    <w:rPr>
                      <w:rFonts w:hint="eastAsia"/>
                      <w:b w:val="0"/>
                      <w:bCs w:val="0"/>
                      <w:color w:val="auto"/>
                      <w:highlight w:val="none"/>
                      <w:lang w:eastAsia="zh-CN"/>
                    </w:rPr>
                    <w:t>（</w:t>
                  </w:r>
                  <w:r>
                    <w:rPr>
                      <w:rFonts w:hint="eastAsia"/>
                      <w:b w:val="0"/>
                      <w:bCs w:val="0"/>
                      <w:color w:val="auto"/>
                      <w:highlight w:val="none"/>
                      <w:lang w:val="en-US" w:eastAsia="zh-CN"/>
                    </w:rPr>
                    <w:t>JC/T 2546-2019</w:t>
                  </w:r>
                  <w:r>
                    <w:rPr>
                      <w:rFonts w:hint="eastAsia"/>
                      <w:b w:val="0"/>
                      <w:bCs w:val="0"/>
                      <w:color w:val="auto"/>
                      <w:highlight w:val="none"/>
                      <w:lang w:eastAsia="zh-CN"/>
                    </w:rPr>
                    <w:t>）</w:t>
                  </w:r>
                </w:p>
              </w:tc>
              <w:tc>
                <w:tcPr>
                  <w:tcW w:w="1896" w:type="pct"/>
                  <w:shd w:val="clear" w:color="auto" w:fill="auto"/>
                  <w:vAlign w:val="center"/>
                </w:tcPr>
                <w:p w14:paraId="5AD7153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改建、扩建固定式建筑垃圾再生处置厂应合理利用原有建筑物、生产工艺与辅助设施。</w:t>
                  </w:r>
                </w:p>
              </w:tc>
              <w:tc>
                <w:tcPr>
                  <w:tcW w:w="1546" w:type="pct"/>
                  <w:shd w:val="clear" w:color="auto" w:fill="auto"/>
                  <w:vAlign w:val="center"/>
                </w:tcPr>
                <w:p w14:paraId="61BC2E65">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本项目为扩建项目，利用厂区现有建筑物、生产工艺及辅助设施。</w:t>
                  </w:r>
                </w:p>
              </w:tc>
              <w:tc>
                <w:tcPr>
                  <w:tcW w:w="309" w:type="pct"/>
                  <w:shd w:val="clear" w:color="auto" w:fill="auto"/>
                  <w:vAlign w:val="center"/>
                </w:tcPr>
                <w:p w14:paraId="7719F5F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267C37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250B204C">
                  <w:pPr>
                    <w:jc w:val="center"/>
                    <w:rPr>
                      <w:rFonts w:hint="default" w:eastAsiaTheme="minorEastAsia"/>
                      <w:color w:val="auto"/>
                      <w:szCs w:val="21"/>
                      <w:lang w:val="en-US" w:eastAsia="zh-CN"/>
                    </w:rPr>
                  </w:pPr>
                  <w:r>
                    <w:rPr>
                      <w:rFonts w:hint="eastAsia" w:eastAsiaTheme="minorEastAsia"/>
                      <w:color w:val="auto"/>
                      <w:szCs w:val="21"/>
                      <w:lang w:val="en-US" w:eastAsia="zh-CN"/>
                    </w:rPr>
                    <w:t>13</w:t>
                  </w:r>
                </w:p>
              </w:tc>
              <w:tc>
                <w:tcPr>
                  <w:tcW w:w="938" w:type="pct"/>
                  <w:vAlign w:val="center"/>
                </w:tcPr>
                <w:p w14:paraId="4FF99084">
                  <w:pPr>
                    <w:rPr>
                      <w:rFonts w:hint="eastAsia"/>
                      <w:b w:val="0"/>
                      <w:bCs w:val="0"/>
                      <w:color w:val="auto"/>
                      <w:highlight w:val="none"/>
                    </w:rPr>
                  </w:pPr>
                  <w:r>
                    <w:rPr>
                      <w:rFonts w:hint="eastAsia"/>
                      <w:color w:val="auto"/>
                      <w:sz w:val="21"/>
                      <w:szCs w:val="24"/>
                      <w:highlight w:val="none"/>
                    </w:rPr>
                    <w:t>《建筑垃圾处理技术标准》（CJJ/T134-2019）</w:t>
                  </w:r>
                </w:p>
              </w:tc>
              <w:tc>
                <w:tcPr>
                  <w:tcW w:w="1896" w:type="pct"/>
                  <w:shd w:val="clear" w:color="auto" w:fill="auto"/>
                  <w:vAlign w:val="center"/>
                </w:tcPr>
                <w:p w14:paraId="7833503B">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hAnsi="宋体" w:eastAsia="宋体"/>
                      <w:color w:val="auto"/>
                      <w:kern w:val="0"/>
                      <w:sz w:val="21"/>
                      <w:szCs w:val="21"/>
                      <w:lang w:val="en-US" w:eastAsia="zh-CN"/>
                    </w:rPr>
                  </w:pPr>
                  <w:r>
                    <w:rPr>
                      <w:rFonts w:hint="eastAsia" w:hAnsi="宋体"/>
                      <w:color w:val="auto"/>
                      <w:kern w:val="0"/>
                      <w:sz w:val="21"/>
                      <w:szCs w:val="21"/>
                      <w:lang w:val="en-US" w:eastAsia="zh-CN"/>
                    </w:rPr>
                    <w:t>资源化处理工程应通过洒水降尘、封闭设备、局部抽吸等措施控制粉尘污染。场（厂）界噪声应符合现行国家标准《工业企业厂界环境噪声排放标准》（GB12348）的规定。</w:t>
                  </w:r>
                </w:p>
              </w:tc>
              <w:tc>
                <w:tcPr>
                  <w:tcW w:w="1546" w:type="pct"/>
                  <w:shd w:val="clear" w:color="auto" w:fill="auto"/>
                  <w:vAlign w:val="center"/>
                </w:tcPr>
                <w:p w14:paraId="31869360">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hAnsi="宋体" w:eastAsia="宋体"/>
                      <w:color w:val="auto"/>
                      <w:kern w:val="0"/>
                      <w:sz w:val="21"/>
                      <w:szCs w:val="21"/>
                      <w:lang w:val="en-US" w:eastAsia="zh-CN"/>
                    </w:rPr>
                  </w:pPr>
                  <w:r>
                    <w:rPr>
                      <w:rFonts w:hint="eastAsia" w:cs="Times New Roman"/>
                      <w:color w:val="auto"/>
                      <w:kern w:val="2"/>
                      <w:sz w:val="21"/>
                      <w:szCs w:val="21"/>
                      <w:lang w:val="en-US" w:eastAsia="zh-CN" w:bidi="ar-SA"/>
                    </w:rPr>
                    <w:t>原料储存在堆场中，用密布网覆盖，成品放置于封闭的料库中。</w:t>
                  </w:r>
                  <w:r>
                    <w:rPr>
                      <w:rFonts w:hint="eastAsia" w:hAnsi="宋体"/>
                      <w:color w:val="auto"/>
                      <w:kern w:val="0"/>
                      <w:sz w:val="21"/>
                      <w:szCs w:val="21"/>
                      <w:lang w:val="en-US" w:eastAsia="zh-CN"/>
                    </w:rPr>
                    <w:t>本项目作业区采用集气罩+布袋除尘器+排气筒措施进行除尘。经预测，本项目满足《工业企业厂界环境噪声排放标准》（GB12348-2008）2类标准限值的要求。</w:t>
                  </w:r>
                </w:p>
              </w:tc>
              <w:tc>
                <w:tcPr>
                  <w:tcW w:w="309" w:type="pct"/>
                  <w:shd w:val="clear" w:color="auto" w:fill="auto"/>
                  <w:vAlign w:val="center"/>
                </w:tcPr>
                <w:p w14:paraId="0AAF9FF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lang w:val="en-US" w:eastAsia="zh-CN"/>
                    </w:rPr>
                    <w:t>符合</w:t>
                  </w:r>
                </w:p>
              </w:tc>
            </w:tr>
            <w:tr w14:paraId="7EB4427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08" w:type="pct"/>
                  <w:vAlign w:val="center"/>
                </w:tcPr>
                <w:p w14:paraId="0921AE10">
                  <w:pPr>
                    <w:jc w:val="center"/>
                    <w:rPr>
                      <w:rFonts w:hint="default" w:eastAsiaTheme="minorEastAsia"/>
                      <w:color w:val="auto"/>
                      <w:szCs w:val="21"/>
                      <w:lang w:val="en-US" w:eastAsia="zh-CN"/>
                    </w:rPr>
                  </w:pPr>
                  <w:r>
                    <w:rPr>
                      <w:rFonts w:hint="eastAsia" w:eastAsiaTheme="minorEastAsia"/>
                      <w:color w:val="auto"/>
                      <w:szCs w:val="21"/>
                      <w:lang w:val="en-US" w:eastAsia="zh-CN"/>
                    </w:rPr>
                    <w:t>14</w:t>
                  </w:r>
                </w:p>
              </w:tc>
              <w:tc>
                <w:tcPr>
                  <w:tcW w:w="938" w:type="pct"/>
                  <w:shd w:val="clear" w:color="auto" w:fill="auto"/>
                  <w:vAlign w:val="center"/>
                </w:tcPr>
                <w:p w14:paraId="44D20B7D">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eastAsia"/>
                      <w:color w:val="auto"/>
                    </w:rPr>
                    <w:t>《陕西省生态环境厅关于进一步加强关中地区涉气重点行业项目环评管理的通知》（陕环环评函〔2023〕76号）</w:t>
                  </w:r>
                </w:p>
              </w:tc>
              <w:tc>
                <w:tcPr>
                  <w:tcW w:w="1896" w:type="pct"/>
                  <w:shd w:val="clear" w:color="auto" w:fill="auto"/>
                  <w:vAlign w:val="center"/>
                </w:tcPr>
                <w:p w14:paraId="6171671F">
                  <w:pPr>
                    <w:adjustRightInd w:val="0"/>
                    <w:snapToGrid w:val="0"/>
                    <w:jc w:val="center"/>
                    <w:rPr>
                      <w:rFonts w:hint="eastAsia" w:ascii="Times New Roman" w:hAnsi="仿宋_GB2312" w:eastAsia="宋体" w:cs="Times New Roman"/>
                      <w:color w:val="auto"/>
                      <w:kern w:val="2"/>
                      <w:sz w:val="21"/>
                      <w:szCs w:val="24"/>
                      <w:lang w:val="en-US" w:eastAsia="zh-CN" w:bidi="ar-SA"/>
                    </w:rPr>
                  </w:pPr>
                  <w:r>
                    <w:rPr>
                      <w:rFonts w:hint="eastAsia" w:hAnsi="仿宋_GB2312"/>
                      <w:color w:val="auto"/>
                    </w:rPr>
                    <w:t>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546" w:type="pct"/>
                  <w:shd w:val="clear" w:color="auto" w:fill="auto"/>
                  <w:vAlign w:val="center"/>
                </w:tcPr>
                <w:p w14:paraId="6C5D112C">
                  <w:pPr>
                    <w:wordWrap w:val="0"/>
                    <w:jc w:val="center"/>
                    <w:rPr>
                      <w:rFonts w:hint="eastAsia" w:ascii="Times New Roman" w:hAnsi="Times New Roman" w:eastAsia="宋体" w:cs="Times New Roman"/>
                      <w:color w:val="auto"/>
                      <w:kern w:val="21"/>
                      <w:sz w:val="21"/>
                      <w:szCs w:val="21"/>
                      <w:lang w:val="en-US" w:eastAsia="zh-CN" w:bidi="ar-SA"/>
                    </w:rPr>
                  </w:pPr>
                  <w:r>
                    <w:rPr>
                      <w:rFonts w:hint="default" w:ascii="Times New Roman" w:hAnsi="Times New Roman" w:cs="Times New Roman" w:eastAsiaTheme="minorEastAsia"/>
                      <w:color w:val="auto"/>
                      <w:szCs w:val="21"/>
                    </w:rPr>
                    <w:t>本项目属于生态保护和环境治理业</w:t>
                  </w:r>
                  <w:r>
                    <w:rPr>
                      <w:rFonts w:hint="default" w:ascii="Times New Roman" w:hAnsi="Times New Roman" w:cs="Times New Roman" w:eastAsiaTheme="minorEastAsia"/>
                      <w:color w:val="auto"/>
                      <w:kern w:val="21"/>
                      <w:szCs w:val="21"/>
                    </w:rPr>
                    <w:t>，</w:t>
                  </w:r>
                  <w:r>
                    <w:rPr>
                      <w:color w:val="auto"/>
                      <w:kern w:val="0"/>
                      <w:szCs w:val="21"/>
                    </w:rPr>
                    <w:t>不属于</w:t>
                  </w:r>
                  <w:r>
                    <w:rPr>
                      <w:rFonts w:hint="eastAsia" w:hAnsi="仿宋_GB2312"/>
                      <w:color w:val="auto"/>
                    </w:rPr>
                    <w:t>生态环境部确定的39个重点行业</w:t>
                  </w:r>
                  <w:r>
                    <w:rPr>
                      <w:color w:val="auto"/>
                      <w:kern w:val="0"/>
                      <w:szCs w:val="21"/>
                    </w:rPr>
                    <w:t>，不需执行指南中行业</w:t>
                  </w:r>
                  <w:r>
                    <w:rPr>
                      <w:rFonts w:hint="eastAsia"/>
                      <w:color w:val="auto"/>
                      <w:kern w:val="0"/>
                      <w:szCs w:val="21"/>
                    </w:rPr>
                    <w:t>绩效</w:t>
                  </w:r>
                  <w:r>
                    <w:rPr>
                      <w:color w:val="auto"/>
                      <w:kern w:val="0"/>
                      <w:szCs w:val="21"/>
                    </w:rPr>
                    <w:t>相关要求。</w:t>
                  </w:r>
                </w:p>
              </w:tc>
              <w:tc>
                <w:tcPr>
                  <w:tcW w:w="309" w:type="pct"/>
                  <w:shd w:val="clear" w:color="auto" w:fill="auto"/>
                  <w:vAlign w:val="center"/>
                </w:tcPr>
                <w:p w14:paraId="5BA6F4C4">
                  <w:pPr>
                    <w:jc w:val="center"/>
                    <w:rPr>
                      <w:rFonts w:hint="eastAsia" w:ascii="Times New Roman" w:hAnsi="仿宋_GB2312" w:eastAsia="宋体" w:cs="Times New Roman"/>
                      <w:color w:val="auto"/>
                      <w:kern w:val="2"/>
                      <w:sz w:val="21"/>
                      <w:szCs w:val="24"/>
                      <w:lang w:val="en-US" w:eastAsia="zh-CN" w:bidi="ar-SA"/>
                    </w:rPr>
                  </w:pPr>
                  <w:r>
                    <w:rPr>
                      <w:rFonts w:hint="eastAsia"/>
                      <w:color w:val="auto"/>
                      <w:kern w:val="21"/>
                      <w:szCs w:val="21"/>
                    </w:rPr>
                    <w:t>符合</w:t>
                  </w:r>
                </w:p>
              </w:tc>
            </w:tr>
          </w:tbl>
          <w:p w14:paraId="2833F7DB">
            <w:pPr>
              <w:pStyle w:val="14"/>
              <w:spacing w:after="0"/>
              <w:ind w:left="0" w:leftChars="0" w:firstLine="0" w:firstLineChars="0"/>
              <w:rPr>
                <w:color w:val="auto"/>
              </w:rPr>
            </w:pPr>
          </w:p>
        </w:tc>
      </w:tr>
    </w:tbl>
    <w:p w14:paraId="6F0023AF">
      <w:pPr>
        <w:rPr>
          <w:color w:val="auto"/>
        </w:rPr>
        <w:sectPr>
          <w:pgSz w:w="16838" w:h="11906" w:orient="landscape"/>
          <w:pgMar w:top="1531" w:right="1701" w:bottom="1531" w:left="1701" w:header="851" w:footer="1077" w:gutter="0"/>
          <w:pgBorders>
            <w:top w:val="none" w:sz="0" w:space="0"/>
            <w:left w:val="none" w:sz="0" w:space="0"/>
            <w:bottom w:val="none" w:sz="0" w:space="0"/>
            <w:right w:val="none" w:sz="0" w:space="0"/>
          </w:pgBorders>
          <w:cols w:space="720" w:num="1"/>
          <w:docGrid w:linePitch="312" w:charSpace="0"/>
        </w:sectPr>
      </w:pPr>
    </w:p>
    <w:tbl>
      <w:tblPr>
        <w:tblStyle w:val="27"/>
        <w:tblW w:w="48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985"/>
      </w:tblGrid>
      <w:tr w14:paraId="63708D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83" w:hRule="atLeast"/>
          <w:jc w:val="center"/>
        </w:trPr>
        <w:tc>
          <w:tcPr>
            <w:tcW w:w="469" w:type="pct"/>
            <w:vAlign w:val="center"/>
          </w:tcPr>
          <w:p w14:paraId="782C21EB">
            <w:pPr>
              <w:autoSpaceDE w:val="0"/>
              <w:autoSpaceDN w:val="0"/>
              <w:adjustRightInd w:val="0"/>
              <w:snapToGrid w:val="0"/>
              <w:jc w:val="center"/>
              <w:rPr>
                <w:color w:val="auto"/>
                <w:kern w:val="0"/>
                <w:sz w:val="24"/>
              </w:rPr>
            </w:pPr>
            <w:r>
              <w:rPr>
                <w:color w:val="auto"/>
                <w:kern w:val="0"/>
                <w:sz w:val="24"/>
              </w:rPr>
              <w:br w:type="page"/>
            </w:r>
            <w:r>
              <w:rPr>
                <w:color w:val="auto"/>
                <w:kern w:val="0"/>
                <w:sz w:val="24"/>
              </w:rPr>
              <w:t>其他符合性分析</w:t>
            </w:r>
          </w:p>
        </w:tc>
        <w:tc>
          <w:tcPr>
            <w:tcW w:w="4530" w:type="pct"/>
          </w:tcPr>
          <w:p w14:paraId="1EC8942B">
            <w:pPr>
              <w:adjustRightInd w:val="0"/>
              <w:snapToGrid w:val="0"/>
              <w:spacing w:line="360" w:lineRule="auto"/>
              <w:ind w:firstLine="482" w:firstLineChars="200"/>
              <w:outlineLvl w:val="1"/>
              <w:rPr>
                <w:b/>
                <w:color w:val="auto"/>
                <w:sz w:val="24"/>
              </w:rPr>
            </w:pPr>
            <w:r>
              <w:rPr>
                <w:b/>
                <w:color w:val="auto"/>
                <w:sz w:val="24"/>
              </w:rPr>
              <w:t>3、产业政策的符合性</w:t>
            </w:r>
          </w:p>
          <w:p w14:paraId="6D5F5C48">
            <w:pPr>
              <w:widowControl/>
              <w:spacing w:line="360" w:lineRule="auto"/>
              <w:ind w:firstLine="480" w:firstLineChars="200"/>
              <w:rPr>
                <w:color w:val="auto"/>
                <w:sz w:val="24"/>
              </w:rPr>
            </w:pPr>
            <w:r>
              <w:rPr>
                <w:color w:val="auto"/>
                <w:sz w:val="24"/>
              </w:rPr>
              <w:t>对照《产业结构调整指导目录（2024年本）》，本项目属于</w:t>
            </w:r>
            <w:r>
              <w:rPr>
                <w:rFonts w:hint="eastAsia"/>
                <w:color w:val="auto"/>
                <w:sz w:val="24"/>
                <w:lang w:val="en-US" w:eastAsia="zh-CN"/>
              </w:rPr>
              <w:t>第十二类建材中第9条“</w:t>
            </w:r>
            <w:r>
              <w:rPr>
                <w:rFonts w:ascii="宋体" w:hAnsi="宋体" w:eastAsia="宋体" w:cs="宋体"/>
                <w:color w:val="auto"/>
                <w:sz w:val="24"/>
                <w:szCs w:val="24"/>
              </w:rPr>
              <w:t>利用矿山尾矿、建筑废弃物、工业废弃物、城市污泥、江河湖（渠）海淤泥等大宗废弃物无害化生产制备 砂石骨料、结构混凝土用高强陶粒、功能陶粒、墙体材料等建材及其工艺技术装备开发</w:t>
            </w:r>
            <w:r>
              <w:rPr>
                <w:rFonts w:hint="eastAsia"/>
                <w:color w:val="auto"/>
                <w:sz w:val="24"/>
                <w:lang w:val="en-US" w:eastAsia="zh-CN"/>
              </w:rPr>
              <w:t>”，为国家</w:t>
            </w:r>
            <w:r>
              <w:rPr>
                <w:color w:val="auto"/>
                <w:sz w:val="24"/>
              </w:rPr>
              <w:t>鼓励类项目，符合国家产业政策</w:t>
            </w:r>
            <w:r>
              <w:rPr>
                <w:rFonts w:hint="eastAsia"/>
                <w:color w:val="auto"/>
                <w:sz w:val="24"/>
              </w:rPr>
              <w:t>。</w:t>
            </w:r>
          </w:p>
          <w:p w14:paraId="72C3A92A">
            <w:pPr>
              <w:widowControl/>
              <w:spacing w:line="360" w:lineRule="auto"/>
              <w:ind w:firstLine="480" w:firstLineChars="200"/>
              <w:rPr>
                <w:color w:val="auto"/>
                <w:sz w:val="24"/>
              </w:rPr>
            </w:pPr>
            <w:r>
              <w:rPr>
                <w:color w:val="auto"/>
                <w:sz w:val="24"/>
              </w:rPr>
              <w:t>本项目为</w:t>
            </w:r>
            <w:r>
              <w:rPr>
                <w:rFonts w:hint="eastAsia"/>
                <w:color w:val="auto"/>
                <w:sz w:val="24"/>
              </w:rPr>
              <w:t>生态保护和环境治理业</w:t>
            </w:r>
            <w:r>
              <w:rPr>
                <w:color w:val="auto"/>
                <w:sz w:val="24"/>
              </w:rPr>
              <w:t>，不属于《市场准入负面清单（202</w:t>
            </w:r>
            <w:r>
              <w:rPr>
                <w:rFonts w:hint="eastAsia"/>
                <w:color w:val="auto"/>
                <w:sz w:val="24"/>
                <w:lang w:val="en-US" w:eastAsia="zh-CN"/>
              </w:rPr>
              <w:t>5</w:t>
            </w:r>
            <w:r>
              <w:rPr>
                <w:color w:val="auto"/>
                <w:sz w:val="24"/>
              </w:rPr>
              <w:t>年版）》（发改体改规〔202</w:t>
            </w:r>
            <w:r>
              <w:rPr>
                <w:rFonts w:hint="eastAsia"/>
                <w:color w:val="auto"/>
                <w:sz w:val="24"/>
                <w:lang w:val="en-US" w:eastAsia="zh-CN"/>
              </w:rPr>
              <w:t>5</w:t>
            </w:r>
            <w:r>
              <w:rPr>
                <w:color w:val="auto"/>
                <w:sz w:val="24"/>
              </w:rPr>
              <w:t>〕</w:t>
            </w:r>
            <w:r>
              <w:rPr>
                <w:rFonts w:hint="eastAsia"/>
                <w:color w:val="auto"/>
                <w:sz w:val="24"/>
                <w:lang w:val="en-US" w:eastAsia="zh-CN"/>
              </w:rPr>
              <w:t>466</w:t>
            </w:r>
            <w:r>
              <w:rPr>
                <w:color w:val="auto"/>
                <w:sz w:val="24"/>
              </w:rPr>
              <w:t>号）中禁止</w:t>
            </w:r>
            <w:r>
              <w:rPr>
                <w:rFonts w:hint="eastAsia"/>
                <w:color w:val="auto"/>
                <w:sz w:val="24"/>
                <w:lang w:val="en-US" w:eastAsia="zh-CN"/>
              </w:rPr>
              <w:t>准入</w:t>
            </w:r>
            <w:r>
              <w:rPr>
                <w:color w:val="auto"/>
                <w:sz w:val="24"/>
              </w:rPr>
              <w:t>类项目</w:t>
            </w:r>
            <w:r>
              <w:rPr>
                <w:rFonts w:hint="eastAsia"/>
                <w:color w:val="auto"/>
                <w:sz w:val="24"/>
                <w:lang w:val="en-US" w:eastAsia="zh-CN"/>
              </w:rPr>
              <w:t>及许可准入类项目</w:t>
            </w:r>
            <w:r>
              <w:rPr>
                <w:color w:val="auto"/>
                <w:sz w:val="24"/>
              </w:rPr>
              <w:t>，视为允许类。</w:t>
            </w:r>
          </w:p>
          <w:p w14:paraId="6C972EA3">
            <w:pPr>
              <w:widowControl/>
              <w:spacing w:line="360" w:lineRule="auto"/>
              <w:ind w:firstLine="480" w:firstLineChars="200"/>
              <w:rPr>
                <w:color w:val="auto"/>
                <w:sz w:val="24"/>
              </w:rPr>
            </w:pPr>
            <w:r>
              <w:rPr>
                <w:color w:val="auto"/>
                <w:sz w:val="24"/>
              </w:rPr>
              <w:t>综上，项目的建设符合国家及地方产业政策要求。</w:t>
            </w:r>
          </w:p>
          <w:p w14:paraId="4AEB8622">
            <w:pPr>
              <w:adjustRightInd w:val="0"/>
              <w:snapToGrid w:val="0"/>
              <w:spacing w:line="360" w:lineRule="auto"/>
              <w:ind w:firstLine="482" w:firstLineChars="200"/>
              <w:outlineLvl w:val="1"/>
              <w:rPr>
                <w:b/>
                <w:color w:val="auto"/>
                <w:sz w:val="24"/>
              </w:rPr>
            </w:pPr>
            <w:r>
              <w:rPr>
                <w:rFonts w:hint="eastAsia"/>
                <w:b/>
                <w:color w:val="auto"/>
                <w:sz w:val="24"/>
                <w:lang w:val="en-US" w:eastAsia="zh-CN"/>
              </w:rPr>
              <w:t>4</w:t>
            </w:r>
            <w:r>
              <w:rPr>
                <w:b/>
                <w:color w:val="auto"/>
                <w:sz w:val="24"/>
              </w:rPr>
              <w:t>、选址合理性分析</w:t>
            </w:r>
          </w:p>
          <w:p w14:paraId="21E0F1C9">
            <w:pPr>
              <w:widowControl/>
              <w:spacing w:line="360" w:lineRule="auto"/>
              <w:ind w:firstLine="480" w:firstLineChars="200"/>
              <w:rPr>
                <w:color w:val="auto"/>
                <w:sz w:val="24"/>
              </w:rPr>
            </w:pPr>
            <w:r>
              <w:rPr>
                <w:rFonts w:hint="eastAsia"/>
                <w:color w:val="auto"/>
                <w:sz w:val="24"/>
              </w:rPr>
              <w:t>（1）位置及交通</w:t>
            </w:r>
          </w:p>
          <w:p w14:paraId="5E8B3BCD">
            <w:pPr>
              <w:widowControl/>
              <w:spacing w:line="360" w:lineRule="auto"/>
              <w:ind w:firstLine="480" w:firstLineChars="200"/>
              <w:rPr>
                <w:color w:val="auto"/>
                <w:sz w:val="24"/>
              </w:rPr>
            </w:pPr>
            <w:r>
              <w:rPr>
                <w:rFonts w:hint="eastAsia"/>
                <w:color w:val="auto"/>
                <w:sz w:val="24"/>
              </w:rPr>
              <w:t>本项目位于陕西省</w:t>
            </w:r>
            <w:r>
              <w:rPr>
                <w:rFonts w:hint="eastAsia"/>
                <w:color w:val="auto"/>
                <w:sz w:val="24"/>
                <w:lang w:eastAsia="zh-CN"/>
              </w:rPr>
              <w:t>西安市沣东新城斗门街道中奉陵园会场向西200米</w:t>
            </w:r>
            <w:r>
              <w:rPr>
                <w:rFonts w:hint="eastAsia"/>
                <w:color w:val="auto"/>
                <w:sz w:val="24"/>
              </w:rPr>
              <w:t>，项目区交通运输较便捷。本项目规划用地性质为</w:t>
            </w:r>
            <w:r>
              <w:rPr>
                <w:rFonts w:hint="eastAsia"/>
                <w:color w:val="auto"/>
                <w:sz w:val="24"/>
                <w:lang w:val="en-US" w:eastAsia="zh-CN"/>
              </w:rPr>
              <w:t>商业服务设施</w:t>
            </w:r>
            <w:r>
              <w:rPr>
                <w:rFonts w:hint="eastAsia"/>
                <w:color w:val="auto"/>
                <w:sz w:val="24"/>
              </w:rPr>
              <w:t>用地，</w:t>
            </w:r>
            <w:r>
              <w:rPr>
                <w:rFonts w:hint="eastAsia"/>
                <w:color w:val="auto"/>
                <w:sz w:val="24"/>
                <w:lang w:val="en-US" w:eastAsia="zh-CN"/>
              </w:rPr>
              <w:t>本项目在现有厂区进行扩建，不对构筑物进行扩建，仅增加设备，不新增用地，因目前沣东新城建筑拆迁对建筑垃圾消纳的需求及建筑垃圾运输车辆运输路线的审批路线，故企业暂时无另选厂址，项目无服务年限要求，企业已做出搬迁承诺（见附件11），如果政府实施拆迁，本项目应配合政府进行无条件搬离。</w:t>
            </w:r>
          </w:p>
          <w:p w14:paraId="23CED4C6">
            <w:pPr>
              <w:widowControl/>
              <w:spacing w:line="360" w:lineRule="auto"/>
              <w:ind w:firstLine="480" w:firstLineChars="200"/>
              <w:rPr>
                <w:color w:val="auto"/>
                <w:sz w:val="24"/>
              </w:rPr>
            </w:pPr>
            <w:r>
              <w:rPr>
                <w:rFonts w:hint="eastAsia"/>
                <w:color w:val="auto"/>
                <w:sz w:val="24"/>
              </w:rPr>
              <w:t>（2）基础设施条件</w:t>
            </w:r>
          </w:p>
          <w:p w14:paraId="1D869E44">
            <w:pPr>
              <w:widowControl/>
              <w:spacing w:line="360" w:lineRule="auto"/>
              <w:ind w:firstLine="480" w:firstLineChars="200"/>
              <w:rPr>
                <w:color w:val="auto"/>
                <w:sz w:val="24"/>
              </w:rPr>
            </w:pPr>
            <w:r>
              <w:rPr>
                <w:rFonts w:hint="eastAsia"/>
                <w:color w:val="auto"/>
                <w:sz w:val="24"/>
              </w:rPr>
              <w:t>经调查，项目所在地供水、供电管网已铺设到位，水源、电源有保障，可满足生产及生活需要。</w:t>
            </w:r>
          </w:p>
          <w:p w14:paraId="38E6F10F">
            <w:pPr>
              <w:widowControl/>
              <w:spacing w:line="360" w:lineRule="auto"/>
              <w:ind w:firstLine="480" w:firstLineChars="200"/>
              <w:rPr>
                <w:color w:val="auto"/>
                <w:sz w:val="24"/>
              </w:rPr>
            </w:pPr>
            <w:r>
              <w:rPr>
                <w:rFonts w:hint="eastAsia"/>
                <w:color w:val="auto"/>
                <w:sz w:val="24"/>
              </w:rPr>
              <w:t>（3）环境敏感性</w:t>
            </w:r>
          </w:p>
          <w:p w14:paraId="740A15C7">
            <w:pPr>
              <w:widowControl/>
              <w:spacing w:line="360" w:lineRule="auto"/>
              <w:ind w:firstLine="480" w:firstLineChars="200"/>
              <w:rPr>
                <w:rFonts w:hint="eastAsia"/>
                <w:color w:val="auto"/>
                <w:sz w:val="24"/>
              </w:rPr>
            </w:pPr>
            <w:r>
              <w:rPr>
                <w:rFonts w:hint="eastAsia"/>
                <w:color w:val="auto"/>
                <w:sz w:val="24"/>
              </w:rPr>
              <w:t>本项目位于</w:t>
            </w:r>
            <w:r>
              <w:rPr>
                <w:rFonts w:hint="eastAsia"/>
                <w:color w:val="auto"/>
                <w:sz w:val="24"/>
                <w:lang w:eastAsia="zh-CN"/>
              </w:rPr>
              <w:t>陕西省西安市沣东新城斗门街道中奉陵园会场向西200米</w:t>
            </w:r>
            <w:r>
              <w:rPr>
                <w:rFonts w:hint="eastAsia"/>
                <w:color w:val="auto"/>
                <w:sz w:val="24"/>
              </w:rPr>
              <w:t>，所选场址及周围无自然保护区、风景名胜区、生态保护区、集中式的饮用水水源地等环境敏感区。</w:t>
            </w:r>
          </w:p>
          <w:p w14:paraId="66235693">
            <w:pPr>
              <w:widowControl/>
              <w:spacing w:line="360" w:lineRule="auto"/>
              <w:ind w:firstLine="480" w:firstLineChars="200"/>
              <w:rPr>
                <w:color w:val="auto"/>
                <w:sz w:val="24"/>
              </w:rPr>
            </w:pPr>
            <w:r>
              <w:rPr>
                <w:rFonts w:hint="eastAsia"/>
                <w:color w:val="auto"/>
                <w:sz w:val="24"/>
              </w:rPr>
              <w:t>（4）污染物达标排放的可达性</w:t>
            </w:r>
          </w:p>
          <w:p w14:paraId="489508F6">
            <w:pPr>
              <w:widowControl/>
              <w:spacing w:line="360" w:lineRule="auto"/>
              <w:ind w:firstLine="480" w:firstLineChars="200"/>
              <w:rPr>
                <w:color w:val="auto"/>
                <w:sz w:val="24"/>
              </w:rPr>
            </w:pPr>
            <w:r>
              <w:rPr>
                <w:rFonts w:hint="eastAsia"/>
                <w:color w:val="auto"/>
                <w:sz w:val="24"/>
              </w:rPr>
              <w:t>项目内</w:t>
            </w:r>
            <w:r>
              <w:rPr>
                <w:rFonts w:hint="eastAsia"/>
                <w:color w:val="auto"/>
                <w:sz w:val="24"/>
                <w:lang w:val="en-US" w:eastAsia="zh-CN"/>
              </w:rPr>
              <w:t>无</w:t>
            </w:r>
            <w:r>
              <w:rPr>
                <w:rFonts w:hint="eastAsia"/>
                <w:color w:val="auto"/>
                <w:sz w:val="24"/>
              </w:rPr>
              <w:t>生活污水</w:t>
            </w:r>
            <w:r>
              <w:rPr>
                <w:rFonts w:hint="eastAsia"/>
                <w:color w:val="auto"/>
                <w:sz w:val="24"/>
                <w:lang w:val="en-US" w:eastAsia="zh-CN"/>
              </w:rPr>
              <w:t>及生产废水新增</w:t>
            </w:r>
            <w:r>
              <w:rPr>
                <w:rFonts w:hint="eastAsia"/>
                <w:color w:val="auto"/>
                <w:sz w:val="24"/>
              </w:rPr>
              <w:t>；噪声经厂房隔声、基础减振、距离衰减后对周围环境影响小；运营期废气经</w:t>
            </w:r>
            <w:r>
              <w:rPr>
                <w:rFonts w:hint="eastAsia"/>
                <w:color w:val="auto"/>
                <w:sz w:val="24"/>
                <w:lang w:val="en-US" w:eastAsia="zh-CN"/>
              </w:rPr>
              <w:t>集气罩+布袋除尘器+排气筒收集</w:t>
            </w:r>
            <w:r>
              <w:rPr>
                <w:rFonts w:hint="eastAsia"/>
                <w:color w:val="auto"/>
                <w:sz w:val="24"/>
              </w:rPr>
              <w:t>处理后，废气能达标排放；</w:t>
            </w:r>
            <w:r>
              <w:rPr>
                <w:rFonts w:hint="eastAsia" w:ascii="Times New Roman" w:hAnsi="Times New Roman"/>
                <w:color w:val="auto"/>
                <w:sz w:val="24"/>
              </w:rPr>
              <w:t>除尘器收集的粉尘全部回用于生产</w:t>
            </w:r>
            <w:r>
              <w:rPr>
                <w:rFonts w:hint="eastAsia" w:ascii="Times New Roman" w:hAnsi="Times New Roman"/>
                <w:color w:val="auto"/>
                <w:sz w:val="24"/>
                <w:lang w:eastAsia="zh-CN"/>
              </w:rPr>
              <w:t>，</w:t>
            </w:r>
            <w:r>
              <w:rPr>
                <w:rFonts w:hint="eastAsia" w:ascii="Times New Roman" w:hAnsi="Times New Roman"/>
                <w:color w:val="auto"/>
                <w:sz w:val="24"/>
              </w:rPr>
              <w:t>废机油</w:t>
            </w:r>
            <w:r>
              <w:rPr>
                <w:rFonts w:hint="eastAsia"/>
                <w:color w:val="auto"/>
                <w:sz w:val="24"/>
              </w:rPr>
              <w:t>暂存于危险废物贮存</w:t>
            </w:r>
            <w:r>
              <w:rPr>
                <w:rFonts w:hint="eastAsia"/>
                <w:color w:val="auto"/>
                <w:sz w:val="24"/>
                <w:lang w:val="en-US" w:eastAsia="zh-CN"/>
              </w:rPr>
              <w:t>点</w:t>
            </w:r>
            <w:r>
              <w:rPr>
                <w:rFonts w:hint="eastAsia" w:ascii="Times New Roman" w:hAnsi="Times New Roman"/>
                <w:color w:val="auto"/>
                <w:sz w:val="24"/>
                <w:szCs w:val="24"/>
              </w:rPr>
              <w:t>定期交陕西环能科技有限公司处置。</w:t>
            </w:r>
          </w:p>
          <w:p w14:paraId="4B021CD2">
            <w:pPr>
              <w:widowControl/>
              <w:spacing w:line="360" w:lineRule="auto"/>
              <w:ind w:firstLine="480" w:firstLineChars="200"/>
              <w:rPr>
                <w:color w:val="auto"/>
                <w:sz w:val="24"/>
              </w:rPr>
            </w:pPr>
            <w:r>
              <w:rPr>
                <w:rFonts w:hint="eastAsia"/>
                <w:color w:val="auto"/>
                <w:sz w:val="24"/>
              </w:rPr>
              <w:t>综上，在采取相应环保措施后，本项目产生的各类污染物均可实现达标排放，不会改变当地环境质量现状，不会对周围环境产生明显影响。</w:t>
            </w:r>
          </w:p>
          <w:p w14:paraId="33372DBE">
            <w:pPr>
              <w:pStyle w:val="7"/>
              <w:spacing w:before="0" w:after="0" w:line="360" w:lineRule="auto"/>
              <w:ind w:right="0" w:firstLine="480" w:firstLineChars="200"/>
              <w:rPr>
                <w:color w:val="auto"/>
                <w:sz w:val="24"/>
                <w:szCs w:val="24"/>
              </w:rPr>
            </w:pPr>
            <w:r>
              <w:rPr>
                <w:rFonts w:hint="eastAsia"/>
                <w:color w:val="auto"/>
                <w:sz w:val="24"/>
              </w:rPr>
              <w:t>因此，从环保角度分析，项目选址合理。</w:t>
            </w:r>
          </w:p>
        </w:tc>
      </w:tr>
    </w:tbl>
    <w:p w14:paraId="7A218C40">
      <w:pPr>
        <w:spacing w:line="360" w:lineRule="auto"/>
        <w:rPr>
          <w:rFonts w:eastAsia="黑体"/>
          <w:color w:val="auto"/>
          <w:sz w:val="30"/>
        </w:rPr>
        <w:sectPr>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32ECB5C9">
      <w:pPr>
        <w:jc w:val="center"/>
        <w:outlineLvl w:val="0"/>
        <w:rPr>
          <w:rFonts w:ascii="宋体" w:hAnsi="宋体"/>
          <w:b/>
          <w:bCs/>
          <w:color w:val="auto"/>
          <w:sz w:val="28"/>
          <w:szCs w:val="28"/>
        </w:rPr>
      </w:pPr>
      <w:r>
        <w:rPr>
          <w:rFonts w:hint="eastAsia" w:ascii="宋体" w:hAnsi="宋体"/>
          <w:b/>
          <w:bCs/>
          <w:color w:val="auto"/>
          <w:sz w:val="28"/>
          <w:szCs w:val="28"/>
        </w:rPr>
        <w:t>二、</w:t>
      </w:r>
      <w:r>
        <w:rPr>
          <w:rFonts w:ascii="宋体" w:hAnsi="宋体"/>
          <w:b/>
          <w:bCs/>
          <w:color w:val="auto"/>
          <w:sz w:val="28"/>
          <w:szCs w:val="28"/>
        </w:rPr>
        <w:t>建设项目工程分析</w:t>
      </w:r>
    </w:p>
    <w:tbl>
      <w:tblPr>
        <w:tblStyle w:val="27"/>
        <w:tblW w:w="92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823"/>
      </w:tblGrid>
      <w:tr w14:paraId="6F5F72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tcBorders>
              <w:top w:val="single" w:color="auto" w:sz="4" w:space="0"/>
              <w:left w:val="single" w:color="auto" w:sz="4" w:space="0"/>
            </w:tcBorders>
            <w:vAlign w:val="center"/>
          </w:tcPr>
          <w:p w14:paraId="77D151B5">
            <w:pPr>
              <w:pStyle w:val="24"/>
              <w:adjustRightInd w:val="0"/>
              <w:snapToGrid w:val="0"/>
              <w:spacing w:before="0" w:beforeAutospacing="0" w:after="0" w:afterAutospacing="0"/>
              <w:jc w:val="center"/>
              <w:rPr>
                <w:rFonts w:cs="宋体"/>
                <w:color w:val="auto"/>
                <w:szCs w:val="24"/>
              </w:rPr>
            </w:pPr>
            <w:r>
              <w:rPr>
                <w:rFonts w:hint="eastAsia" w:cs="宋体"/>
                <w:color w:val="auto"/>
                <w:szCs w:val="24"/>
              </w:rPr>
              <w:t>建设内容</w:t>
            </w:r>
          </w:p>
        </w:tc>
        <w:tc>
          <w:tcPr>
            <w:tcW w:w="8843" w:type="dxa"/>
            <w:tcBorders>
              <w:top w:val="single" w:color="auto" w:sz="4" w:space="0"/>
              <w:right w:val="single" w:color="auto" w:sz="4" w:space="0"/>
            </w:tcBorders>
          </w:tcPr>
          <w:p w14:paraId="5B3FB802">
            <w:pPr>
              <w:widowControl/>
              <w:spacing w:line="360" w:lineRule="auto"/>
              <w:ind w:firstLine="482" w:firstLineChars="200"/>
              <w:rPr>
                <w:b/>
                <w:color w:val="auto"/>
                <w:sz w:val="24"/>
              </w:rPr>
            </w:pPr>
            <w:r>
              <w:rPr>
                <w:rFonts w:hint="eastAsia"/>
                <w:b/>
                <w:color w:val="auto"/>
                <w:sz w:val="24"/>
              </w:rPr>
              <w:t>1、</w:t>
            </w:r>
            <w:r>
              <w:rPr>
                <w:b/>
                <w:color w:val="auto"/>
                <w:sz w:val="24"/>
              </w:rPr>
              <w:t>项目由来</w:t>
            </w:r>
          </w:p>
          <w:p w14:paraId="4128E33C">
            <w:pPr>
              <w:widowControl/>
              <w:spacing w:line="360" w:lineRule="auto"/>
              <w:ind w:firstLine="480" w:firstLineChars="200"/>
              <w:rPr>
                <w:color w:val="auto"/>
                <w:sz w:val="24"/>
              </w:rPr>
            </w:pPr>
            <w:r>
              <w:rPr>
                <w:rFonts w:hint="eastAsia"/>
                <w:color w:val="auto"/>
                <w:sz w:val="24"/>
              </w:rPr>
              <w:t>陕西弘伟生态环保有限公司成立于 2018年11月</w:t>
            </w:r>
            <w:r>
              <w:rPr>
                <w:color w:val="auto"/>
                <w:sz w:val="24"/>
              </w:rPr>
              <w:t>，</w:t>
            </w:r>
            <w:r>
              <w:rPr>
                <w:rFonts w:hint="eastAsia"/>
                <w:color w:val="auto"/>
                <w:sz w:val="24"/>
              </w:rPr>
              <w:t>以绿色发展为理念，推进环保建设为宗旨，致力于建筑垃圾</w:t>
            </w:r>
            <w:r>
              <w:rPr>
                <w:rFonts w:hint="eastAsia"/>
                <w:color w:val="auto"/>
                <w:sz w:val="24"/>
                <w:lang w:val="en-US" w:eastAsia="zh-CN"/>
              </w:rPr>
              <w:t>的</w:t>
            </w:r>
            <w:r>
              <w:rPr>
                <w:rFonts w:hint="eastAsia"/>
                <w:color w:val="auto"/>
                <w:sz w:val="24"/>
              </w:rPr>
              <w:t>再生</w:t>
            </w:r>
            <w:r>
              <w:rPr>
                <w:rFonts w:hint="eastAsia"/>
                <w:color w:val="auto"/>
                <w:sz w:val="24"/>
                <w:lang w:val="en-US" w:eastAsia="zh-CN"/>
              </w:rPr>
              <w:t>与</w:t>
            </w:r>
            <w:r>
              <w:rPr>
                <w:rFonts w:hint="eastAsia"/>
                <w:color w:val="auto"/>
                <w:sz w:val="24"/>
              </w:rPr>
              <w:t>利用，破解建筑垃圾运输消纳困局</w:t>
            </w:r>
            <w:r>
              <w:rPr>
                <w:color w:val="auto"/>
                <w:sz w:val="24"/>
              </w:rPr>
              <w:t>。</w:t>
            </w:r>
          </w:p>
          <w:p w14:paraId="21C39E3E">
            <w:pPr>
              <w:widowControl/>
              <w:spacing w:line="360" w:lineRule="auto"/>
              <w:ind w:firstLine="480" w:firstLineChars="200"/>
              <w:rPr>
                <w:color w:val="auto"/>
                <w:sz w:val="24"/>
              </w:rPr>
            </w:pPr>
            <w:r>
              <w:rPr>
                <w:rFonts w:hint="eastAsia"/>
                <w:color w:val="auto"/>
                <w:sz w:val="24"/>
                <w:szCs w:val="32"/>
              </w:rPr>
              <w:t>公司于2019年投资1.</w:t>
            </w:r>
            <w:r>
              <w:rPr>
                <w:rFonts w:hint="eastAsia"/>
                <w:color w:val="auto"/>
                <w:sz w:val="24"/>
                <w:szCs w:val="32"/>
                <w:lang w:val="en-US" w:eastAsia="zh-CN"/>
              </w:rPr>
              <w:t>1</w:t>
            </w:r>
            <w:r>
              <w:rPr>
                <w:rFonts w:hint="eastAsia"/>
                <w:color w:val="auto"/>
                <w:sz w:val="24"/>
                <w:szCs w:val="32"/>
              </w:rPr>
              <w:t>亿元建成占地</w:t>
            </w:r>
            <w:r>
              <w:rPr>
                <w:rFonts w:hint="eastAsia"/>
                <w:color w:val="auto"/>
                <w:sz w:val="24"/>
                <w:szCs w:val="32"/>
                <w:lang w:val="en-US" w:eastAsia="zh-CN"/>
              </w:rPr>
              <w:t>79760m</w:t>
            </w:r>
            <w:r>
              <w:rPr>
                <w:rFonts w:hint="eastAsia"/>
                <w:color w:val="auto"/>
                <w:sz w:val="24"/>
                <w:szCs w:val="32"/>
                <w:vertAlign w:val="superscript"/>
                <w:lang w:val="en-US" w:eastAsia="zh-CN"/>
              </w:rPr>
              <w:t>2</w:t>
            </w:r>
            <w:r>
              <w:rPr>
                <w:rFonts w:hint="eastAsia"/>
                <w:color w:val="auto"/>
                <w:sz w:val="24"/>
                <w:szCs w:val="32"/>
              </w:rPr>
              <w:t>的陕西弘伟生态环保产业园</w:t>
            </w:r>
            <w:r>
              <w:rPr>
                <w:rFonts w:hint="eastAsia"/>
                <w:color w:val="auto"/>
                <w:sz w:val="24"/>
                <w:szCs w:val="32"/>
                <w:lang w:val="en-US" w:eastAsia="zh-CN"/>
              </w:rPr>
              <w:t>建筑垃圾资源化利用项目</w:t>
            </w:r>
            <w:r>
              <w:rPr>
                <w:rFonts w:hint="eastAsia"/>
                <w:color w:val="auto"/>
                <w:sz w:val="24"/>
                <w:szCs w:val="32"/>
                <w:lang w:eastAsia="zh-CN"/>
              </w:rPr>
              <w:t>，</w:t>
            </w:r>
            <w:r>
              <w:rPr>
                <w:rFonts w:hint="eastAsia"/>
                <w:color w:val="auto"/>
                <w:sz w:val="24"/>
                <w:szCs w:val="32"/>
                <w:lang w:val="en-US" w:eastAsia="zh-CN"/>
              </w:rPr>
              <w:t>主要建设建筑垃圾再生利用生产线1条</w:t>
            </w:r>
            <w:r>
              <w:rPr>
                <w:rFonts w:hint="eastAsia"/>
                <w:color w:val="auto"/>
                <w:sz w:val="24"/>
                <w:szCs w:val="28"/>
              </w:rPr>
              <w:t>，</w:t>
            </w:r>
            <w:r>
              <w:rPr>
                <w:rFonts w:hint="eastAsia"/>
                <w:color w:val="auto"/>
                <w:sz w:val="24"/>
                <w:szCs w:val="28"/>
                <w:lang w:val="en-US" w:eastAsia="zh-CN"/>
              </w:rPr>
              <w:t>年消纳建筑垃圾360万吨，</w:t>
            </w:r>
            <w:r>
              <w:rPr>
                <w:color w:val="auto"/>
                <w:sz w:val="24"/>
                <w:szCs w:val="28"/>
              </w:rPr>
              <w:t>于</w:t>
            </w:r>
            <w:r>
              <w:rPr>
                <w:rFonts w:hint="eastAsia"/>
                <w:color w:val="auto"/>
                <w:sz w:val="24"/>
                <w:szCs w:val="28"/>
                <w:lang w:val="en-US" w:eastAsia="zh-CN"/>
              </w:rPr>
              <w:t>2021</w:t>
            </w:r>
            <w:r>
              <w:rPr>
                <w:color w:val="auto"/>
                <w:sz w:val="24"/>
                <w:szCs w:val="28"/>
              </w:rPr>
              <w:t>年</w:t>
            </w:r>
            <w:r>
              <w:rPr>
                <w:rFonts w:hint="eastAsia"/>
                <w:color w:val="auto"/>
                <w:sz w:val="24"/>
                <w:szCs w:val="28"/>
                <w:lang w:val="en-US" w:eastAsia="zh-CN"/>
              </w:rPr>
              <w:t>1</w:t>
            </w:r>
            <w:r>
              <w:rPr>
                <w:color w:val="auto"/>
                <w:sz w:val="24"/>
                <w:szCs w:val="28"/>
              </w:rPr>
              <w:t>月</w:t>
            </w:r>
            <w:r>
              <w:rPr>
                <w:rFonts w:hint="eastAsia"/>
                <w:color w:val="auto"/>
                <w:sz w:val="24"/>
                <w:szCs w:val="28"/>
                <w:lang w:val="en-US" w:eastAsia="zh-CN"/>
              </w:rPr>
              <w:t>20日</w:t>
            </w:r>
            <w:r>
              <w:rPr>
                <w:color w:val="auto"/>
                <w:sz w:val="24"/>
                <w:szCs w:val="28"/>
              </w:rPr>
              <w:t>取得了</w:t>
            </w:r>
            <w:r>
              <w:rPr>
                <w:rFonts w:hint="eastAsia"/>
                <w:color w:val="auto"/>
                <w:sz w:val="24"/>
                <w:szCs w:val="28"/>
                <w:lang w:val="en-US" w:eastAsia="zh-CN"/>
              </w:rPr>
              <w:t>陕西省西咸新区沣东新城行政审批与政务服务局</w:t>
            </w:r>
            <w:r>
              <w:rPr>
                <w:color w:val="auto"/>
                <w:sz w:val="24"/>
                <w:szCs w:val="28"/>
              </w:rPr>
              <w:t>关于《</w:t>
            </w:r>
            <w:r>
              <w:rPr>
                <w:rFonts w:hint="eastAsia" w:hAnsi="宋体"/>
                <w:color w:val="auto"/>
                <w:sz w:val="24"/>
                <w:lang w:val="en-US" w:eastAsia="zh-CN"/>
              </w:rPr>
              <w:t>陕西弘伟生态环保产业园建筑垃圾资源化利用项目</w:t>
            </w:r>
            <w:r>
              <w:rPr>
                <w:color w:val="auto"/>
                <w:sz w:val="24"/>
                <w:szCs w:val="28"/>
              </w:rPr>
              <w:t>环境影响报告表》的批复文件（</w:t>
            </w:r>
            <w:r>
              <w:rPr>
                <w:rFonts w:hint="eastAsia"/>
                <w:color w:val="auto"/>
                <w:sz w:val="24"/>
                <w:szCs w:val="28"/>
                <w:lang w:val="en-US" w:eastAsia="zh-CN"/>
              </w:rPr>
              <w:t>陕西咸沣东审服准字</w:t>
            </w:r>
            <w:r>
              <w:rPr>
                <w:color w:val="auto"/>
                <w:sz w:val="24"/>
                <w:szCs w:val="28"/>
              </w:rPr>
              <w:t>[20</w:t>
            </w:r>
            <w:r>
              <w:rPr>
                <w:rFonts w:hint="eastAsia"/>
                <w:color w:val="auto"/>
                <w:sz w:val="24"/>
                <w:szCs w:val="28"/>
                <w:lang w:val="en-US" w:eastAsia="zh-CN"/>
              </w:rPr>
              <w:t>21</w:t>
            </w:r>
            <w:r>
              <w:rPr>
                <w:color w:val="auto"/>
                <w:sz w:val="24"/>
                <w:szCs w:val="28"/>
              </w:rPr>
              <w:t>]</w:t>
            </w:r>
            <w:r>
              <w:rPr>
                <w:rFonts w:hint="eastAsia"/>
                <w:color w:val="auto"/>
                <w:sz w:val="24"/>
                <w:szCs w:val="28"/>
                <w:lang w:val="en-US" w:eastAsia="zh-CN"/>
              </w:rPr>
              <w:t>13</w:t>
            </w:r>
            <w:r>
              <w:rPr>
                <w:color w:val="auto"/>
                <w:sz w:val="24"/>
                <w:szCs w:val="28"/>
              </w:rPr>
              <w:t>号）</w:t>
            </w:r>
            <w:r>
              <w:rPr>
                <w:rFonts w:hint="eastAsia"/>
                <w:color w:val="auto"/>
                <w:sz w:val="24"/>
                <w:szCs w:val="28"/>
              </w:rPr>
              <w:t>，见附件</w:t>
            </w:r>
            <w:r>
              <w:rPr>
                <w:rFonts w:hint="eastAsia"/>
                <w:color w:val="auto"/>
                <w:sz w:val="24"/>
                <w:szCs w:val="28"/>
                <w:lang w:val="en-US" w:eastAsia="zh-CN"/>
              </w:rPr>
              <w:t>3</w:t>
            </w:r>
            <w:r>
              <w:rPr>
                <w:rFonts w:hint="eastAsia"/>
                <w:color w:val="auto"/>
                <w:sz w:val="24"/>
                <w:szCs w:val="28"/>
              </w:rPr>
              <w:t>。20</w:t>
            </w:r>
            <w:r>
              <w:rPr>
                <w:rFonts w:hint="eastAsia"/>
                <w:color w:val="auto"/>
                <w:sz w:val="24"/>
                <w:szCs w:val="28"/>
                <w:lang w:val="en-US" w:eastAsia="zh-CN"/>
              </w:rPr>
              <w:t>21</w:t>
            </w:r>
            <w:r>
              <w:rPr>
                <w:rFonts w:hint="eastAsia"/>
                <w:color w:val="auto"/>
                <w:sz w:val="24"/>
                <w:szCs w:val="28"/>
              </w:rPr>
              <w:t>年</w:t>
            </w:r>
            <w:r>
              <w:rPr>
                <w:rFonts w:hint="eastAsia"/>
                <w:color w:val="auto"/>
                <w:sz w:val="24"/>
                <w:szCs w:val="28"/>
                <w:lang w:val="en-US" w:eastAsia="zh-CN"/>
              </w:rPr>
              <w:t>4</w:t>
            </w:r>
            <w:r>
              <w:rPr>
                <w:rFonts w:hint="eastAsia"/>
                <w:color w:val="auto"/>
                <w:sz w:val="24"/>
                <w:szCs w:val="28"/>
              </w:rPr>
              <w:t>月</w:t>
            </w:r>
            <w:r>
              <w:rPr>
                <w:rFonts w:hint="eastAsia"/>
                <w:color w:val="auto"/>
                <w:sz w:val="24"/>
                <w:szCs w:val="28"/>
                <w:lang w:val="en-US" w:eastAsia="zh-CN"/>
              </w:rPr>
              <w:t>30</w:t>
            </w:r>
            <w:r>
              <w:rPr>
                <w:rFonts w:hint="eastAsia"/>
                <w:color w:val="auto"/>
                <w:sz w:val="24"/>
                <w:szCs w:val="28"/>
              </w:rPr>
              <w:t>日，</w:t>
            </w:r>
            <w:r>
              <w:rPr>
                <w:rFonts w:hint="eastAsia"/>
                <w:color w:val="auto"/>
                <w:sz w:val="24"/>
              </w:rPr>
              <w:t>陕西弘伟生态环保有限公司</w:t>
            </w:r>
            <w:r>
              <w:rPr>
                <w:rFonts w:hint="eastAsia"/>
                <w:color w:val="auto"/>
                <w:sz w:val="24"/>
                <w:szCs w:val="28"/>
              </w:rPr>
              <w:t>在西安组织召开了“</w:t>
            </w:r>
            <w:r>
              <w:rPr>
                <w:rFonts w:hint="eastAsia"/>
                <w:color w:val="auto"/>
                <w:sz w:val="24"/>
              </w:rPr>
              <w:t>陕西弘伟生态环保有限公司</w:t>
            </w:r>
            <w:r>
              <w:rPr>
                <w:rFonts w:hint="eastAsia" w:hAnsi="宋体"/>
                <w:color w:val="auto"/>
                <w:sz w:val="24"/>
                <w:lang w:val="en-US" w:eastAsia="zh-CN"/>
              </w:rPr>
              <w:t>陕西弘伟生态环保产业园建筑垃圾资源化利用项目</w:t>
            </w:r>
            <w:r>
              <w:rPr>
                <w:rFonts w:hint="eastAsia"/>
                <w:color w:val="auto"/>
                <w:sz w:val="24"/>
                <w:szCs w:val="28"/>
              </w:rPr>
              <w:t>”竣工环境保护验收会，竣工环境保护验收意见见附件</w:t>
            </w:r>
            <w:r>
              <w:rPr>
                <w:rFonts w:hint="eastAsia"/>
                <w:color w:val="auto"/>
                <w:sz w:val="24"/>
                <w:szCs w:val="28"/>
                <w:lang w:val="en-US" w:eastAsia="zh-CN"/>
              </w:rPr>
              <w:t>4</w:t>
            </w:r>
            <w:r>
              <w:rPr>
                <w:rFonts w:hint="eastAsia"/>
                <w:color w:val="auto"/>
                <w:sz w:val="24"/>
                <w:szCs w:val="28"/>
              </w:rPr>
              <w:t>。</w:t>
            </w:r>
            <w:r>
              <w:rPr>
                <w:color w:val="auto"/>
                <w:sz w:val="24"/>
              </w:rPr>
              <w:t>20</w:t>
            </w:r>
            <w:r>
              <w:rPr>
                <w:rFonts w:hint="eastAsia"/>
                <w:color w:val="auto"/>
                <w:sz w:val="24"/>
              </w:rPr>
              <w:t>2</w:t>
            </w:r>
            <w:r>
              <w:rPr>
                <w:rFonts w:hint="eastAsia"/>
                <w:color w:val="auto"/>
                <w:sz w:val="24"/>
                <w:lang w:val="en-US" w:eastAsia="zh-CN"/>
              </w:rPr>
              <w:t>1</w:t>
            </w:r>
            <w:r>
              <w:rPr>
                <w:color w:val="auto"/>
                <w:sz w:val="24"/>
              </w:rPr>
              <w:t>年</w:t>
            </w:r>
            <w:r>
              <w:rPr>
                <w:rFonts w:hint="eastAsia"/>
                <w:color w:val="auto"/>
                <w:sz w:val="24"/>
                <w:lang w:val="en-US" w:eastAsia="zh-CN"/>
              </w:rPr>
              <w:t>2</w:t>
            </w:r>
            <w:r>
              <w:rPr>
                <w:color w:val="auto"/>
                <w:sz w:val="24"/>
              </w:rPr>
              <w:t>月</w:t>
            </w:r>
            <w:r>
              <w:rPr>
                <w:rFonts w:hint="eastAsia"/>
                <w:color w:val="auto"/>
                <w:sz w:val="24"/>
                <w:lang w:val="en-US" w:eastAsia="zh-CN"/>
              </w:rPr>
              <w:t>2</w:t>
            </w:r>
            <w:r>
              <w:rPr>
                <w:color w:val="auto"/>
                <w:sz w:val="24"/>
              </w:rPr>
              <w:t>日取得</w:t>
            </w:r>
            <w:r>
              <w:rPr>
                <w:rFonts w:hint="eastAsia"/>
                <w:color w:val="auto"/>
                <w:sz w:val="24"/>
              </w:rPr>
              <w:t>了固定污染源</w:t>
            </w:r>
            <w:r>
              <w:rPr>
                <w:color w:val="auto"/>
                <w:sz w:val="24"/>
              </w:rPr>
              <w:t>排污许可</w:t>
            </w:r>
            <w:r>
              <w:rPr>
                <w:rFonts w:hint="eastAsia"/>
                <w:color w:val="auto"/>
                <w:sz w:val="24"/>
              </w:rPr>
              <w:t>登记回执</w:t>
            </w:r>
            <w:r>
              <w:rPr>
                <w:color w:val="auto"/>
                <w:sz w:val="24"/>
              </w:rPr>
              <w:t>，</w:t>
            </w:r>
            <w:r>
              <w:rPr>
                <w:rFonts w:hint="eastAsia"/>
                <w:color w:val="auto"/>
                <w:sz w:val="24"/>
              </w:rPr>
              <w:t>登记</w:t>
            </w:r>
            <w:r>
              <w:rPr>
                <w:color w:val="auto"/>
                <w:sz w:val="24"/>
              </w:rPr>
              <w:t>编号91611105MA6TWNNT54001W，见附件</w:t>
            </w:r>
            <w:r>
              <w:rPr>
                <w:rFonts w:hint="eastAsia"/>
                <w:color w:val="auto"/>
                <w:sz w:val="24"/>
                <w:lang w:val="en-US" w:eastAsia="zh-CN"/>
              </w:rPr>
              <w:t>5</w:t>
            </w:r>
            <w:r>
              <w:rPr>
                <w:color w:val="auto"/>
                <w:sz w:val="24"/>
              </w:rPr>
              <w:t>。</w:t>
            </w:r>
          </w:p>
          <w:p w14:paraId="4202A46B">
            <w:pPr>
              <w:widowControl/>
              <w:spacing w:line="360" w:lineRule="auto"/>
              <w:ind w:firstLine="480" w:firstLineChars="200"/>
              <w:rPr>
                <w:rFonts w:hint="default"/>
                <w:bCs/>
                <w:color w:val="auto"/>
                <w:sz w:val="24"/>
                <w:lang w:val="en-US"/>
              </w:rPr>
            </w:pPr>
            <w:r>
              <w:rPr>
                <w:rFonts w:hint="eastAsia"/>
                <w:color w:val="auto"/>
                <w:sz w:val="24"/>
                <w:lang w:val="en-US" w:eastAsia="zh-CN"/>
              </w:rPr>
              <w:t>根据实际情况，目前建筑垃圾来源减少，为开拓原材料来源，</w:t>
            </w:r>
            <w:r>
              <w:rPr>
                <w:rFonts w:hint="eastAsia"/>
                <w:color w:val="auto"/>
                <w:sz w:val="24"/>
                <w:lang w:eastAsia="zh-CN"/>
              </w:rPr>
              <w:t>陕西弘伟生态环保有限公司</w:t>
            </w:r>
            <w:r>
              <w:rPr>
                <w:color w:val="auto"/>
                <w:sz w:val="24"/>
              </w:rPr>
              <w:t>本次</w:t>
            </w:r>
            <w:r>
              <w:rPr>
                <w:rFonts w:hint="eastAsia"/>
                <w:color w:val="auto"/>
                <w:sz w:val="24"/>
              </w:rPr>
              <w:t>拟</w:t>
            </w:r>
            <w:r>
              <w:rPr>
                <w:rFonts w:hint="eastAsia"/>
                <w:color w:val="auto"/>
                <w:sz w:val="24"/>
                <w:lang w:val="en-US" w:eastAsia="zh-CN"/>
              </w:rPr>
              <w:t>增加原料种类装修材料，利用原有设备、环保设施及厂房进行消纳。因原料增加、装修垃圾轻物质占比大，本项目</w:t>
            </w:r>
            <w:r>
              <w:rPr>
                <w:color w:val="auto"/>
                <w:sz w:val="24"/>
              </w:rPr>
              <w:t>投资</w:t>
            </w:r>
            <w:r>
              <w:rPr>
                <w:rFonts w:hint="eastAsia"/>
                <w:color w:val="auto"/>
                <w:sz w:val="24"/>
                <w:lang w:val="en-US" w:eastAsia="zh-CN"/>
              </w:rPr>
              <w:t>500</w:t>
            </w:r>
            <w:r>
              <w:rPr>
                <w:color w:val="auto"/>
                <w:sz w:val="24"/>
              </w:rPr>
              <w:t>万元引进和安装新的</w:t>
            </w:r>
            <w:r>
              <w:rPr>
                <w:rFonts w:hint="eastAsia"/>
                <w:color w:val="auto"/>
                <w:sz w:val="24"/>
                <w:lang w:val="en-US" w:eastAsia="zh-CN"/>
              </w:rPr>
              <w:t>筛分、风选、除铁、皮带等</w:t>
            </w:r>
            <w:r>
              <w:rPr>
                <w:color w:val="auto"/>
                <w:sz w:val="24"/>
              </w:rPr>
              <w:t>设备</w:t>
            </w:r>
            <w:r>
              <w:rPr>
                <w:rFonts w:hint="eastAsia"/>
                <w:color w:val="auto"/>
                <w:sz w:val="24"/>
                <w:lang w:eastAsia="zh-CN"/>
              </w:rPr>
              <w:t>，</w:t>
            </w:r>
            <w:r>
              <w:rPr>
                <w:rFonts w:hint="eastAsia"/>
                <w:color w:val="auto"/>
                <w:sz w:val="24"/>
                <w:lang w:val="en-US" w:eastAsia="zh-CN"/>
              </w:rPr>
              <w:t>对装修垃圾进行前处理，经过粗选、筛分、风选和除铁工序前处理后的原料，根据粒径大小进入现有生产线或入成品库</w:t>
            </w:r>
            <w:r>
              <w:rPr>
                <w:color w:val="auto"/>
                <w:sz w:val="24"/>
              </w:rPr>
              <w:t>。</w:t>
            </w:r>
            <w:r>
              <w:rPr>
                <w:rFonts w:hint="eastAsia"/>
                <w:color w:val="auto"/>
                <w:sz w:val="24"/>
              </w:rPr>
              <w:t>本项目</w:t>
            </w:r>
            <w:r>
              <w:rPr>
                <w:rFonts w:hint="eastAsia"/>
                <w:color w:val="auto"/>
                <w:sz w:val="24"/>
                <w:lang w:val="en-US" w:eastAsia="zh-CN"/>
              </w:rPr>
              <w:t>新增以装饰装修废弃物为原材料</w:t>
            </w:r>
            <w:r>
              <w:rPr>
                <w:rFonts w:hint="eastAsia"/>
                <w:color w:val="auto"/>
                <w:sz w:val="24"/>
              </w:rPr>
              <w:t>。</w:t>
            </w:r>
            <w:r>
              <w:rPr>
                <w:rFonts w:hint="eastAsia"/>
                <w:color w:val="auto"/>
                <w:sz w:val="24"/>
                <w:lang w:val="en-US" w:eastAsia="zh-CN"/>
              </w:rPr>
              <w:t>扩建</w:t>
            </w:r>
            <w:r>
              <w:rPr>
                <w:rFonts w:hint="eastAsia"/>
                <w:color w:val="auto"/>
                <w:sz w:val="24"/>
              </w:rPr>
              <w:t>后</w:t>
            </w:r>
            <w:r>
              <w:rPr>
                <w:rFonts w:hint="eastAsia"/>
                <w:color w:val="auto"/>
                <w:sz w:val="24"/>
                <w:lang w:val="en-US" w:eastAsia="zh-CN"/>
              </w:rPr>
              <w:t>装饰装修废弃物年消纳50万吨，企业总消纳量360万吨不变。</w:t>
            </w:r>
          </w:p>
          <w:p w14:paraId="067AFFA0">
            <w:pPr>
              <w:spacing w:line="360" w:lineRule="auto"/>
              <w:ind w:firstLine="482" w:firstLineChars="200"/>
              <w:rPr>
                <w:b/>
                <w:bCs/>
                <w:color w:val="auto"/>
                <w:sz w:val="24"/>
              </w:rPr>
            </w:pPr>
            <w:r>
              <w:rPr>
                <w:rFonts w:hint="eastAsia"/>
                <w:b/>
                <w:bCs/>
                <w:color w:val="auto"/>
                <w:sz w:val="24"/>
              </w:rPr>
              <w:t>2、项目基本情况</w:t>
            </w:r>
          </w:p>
          <w:p w14:paraId="0A925501">
            <w:pPr>
              <w:spacing w:line="360" w:lineRule="auto"/>
              <w:ind w:firstLine="480" w:firstLineChars="200"/>
              <w:rPr>
                <w:rFonts w:hint="eastAsia" w:eastAsia="宋体"/>
                <w:color w:val="auto"/>
                <w:sz w:val="24"/>
                <w:lang w:eastAsia="zh-CN"/>
              </w:rPr>
            </w:pPr>
            <w:r>
              <w:rPr>
                <w:color w:val="auto"/>
                <w:sz w:val="24"/>
              </w:rPr>
              <w:t>项目名称：</w:t>
            </w:r>
            <w:r>
              <w:rPr>
                <w:rFonts w:hint="eastAsia"/>
                <w:bCs/>
                <w:color w:val="auto"/>
                <w:sz w:val="24"/>
                <w:lang w:eastAsia="zh-CN"/>
              </w:rPr>
              <w:t>陕西弘伟生态环保产业园</w:t>
            </w:r>
            <w:r>
              <w:rPr>
                <w:rFonts w:hint="eastAsia"/>
                <w:bCs/>
                <w:color w:val="auto"/>
                <w:sz w:val="24"/>
                <w:lang w:val="en-US" w:eastAsia="zh-CN"/>
              </w:rPr>
              <w:t>装修</w:t>
            </w:r>
            <w:r>
              <w:rPr>
                <w:rFonts w:hint="eastAsia"/>
                <w:bCs/>
                <w:color w:val="auto"/>
                <w:sz w:val="24"/>
                <w:lang w:eastAsia="zh-CN"/>
              </w:rPr>
              <w:t>垃圾资源化利用项目</w:t>
            </w:r>
          </w:p>
          <w:p w14:paraId="6484F793">
            <w:pPr>
              <w:spacing w:line="360" w:lineRule="auto"/>
              <w:ind w:firstLine="480" w:firstLineChars="200"/>
              <w:rPr>
                <w:rFonts w:hint="eastAsia" w:eastAsia="宋体"/>
                <w:color w:val="auto"/>
                <w:sz w:val="24"/>
                <w:lang w:eastAsia="zh-CN"/>
              </w:rPr>
            </w:pPr>
            <w:r>
              <w:rPr>
                <w:color w:val="auto"/>
                <w:sz w:val="24"/>
              </w:rPr>
              <w:t>建设单位：</w:t>
            </w:r>
            <w:r>
              <w:rPr>
                <w:rFonts w:hint="eastAsia"/>
                <w:color w:val="auto"/>
                <w:sz w:val="24"/>
                <w:lang w:eastAsia="zh-CN"/>
              </w:rPr>
              <w:t>陕西弘伟生态环保有限公司</w:t>
            </w:r>
          </w:p>
          <w:p w14:paraId="35861361">
            <w:pPr>
              <w:spacing w:line="360" w:lineRule="auto"/>
              <w:ind w:firstLine="480" w:firstLineChars="200"/>
              <w:rPr>
                <w:rFonts w:hint="eastAsia" w:eastAsia="宋体"/>
                <w:color w:val="auto"/>
                <w:sz w:val="24"/>
                <w:lang w:eastAsia="zh-CN"/>
              </w:rPr>
            </w:pPr>
            <w:r>
              <w:rPr>
                <w:color w:val="auto"/>
                <w:sz w:val="24"/>
              </w:rPr>
              <w:t>建设性质：</w:t>
            </w:r>
            <w:r>
              <w:rPr>
                <w:rFonts w:hint="eastAsia"/>
                <w:color w:val="auto"/>
                <w:sz w:val="24"/>
                <w:lang w:val="en-US" w:eastAsia="zh-CN"/>
              </w:rPr>
              <w:t>扩建</w:t>
            </w:r>
          </w:p>
          <w:p w14:paraId="783383A6">
            <w:pPr>
              <w:spacing w:line="360" w:lineRule="auto"/>
              <w:ind w:firstLine="480" w:firstLineChars="200"/>
              <w:rPr>
                <w:color w:val="auto"/>
                <w:sz w:val="24"/>
              </w:rPr>
            </w:pPr>
            <w:r>
              <w:rPr>
                <w:color w:val="auto"/>
                <w:sz w:val="24"/>
              </w:rPr>
              <w:t>项目投资：项目总投资为</w:t>
            </w:r>
            <w:r>
              <w:rPr>
                <w:rFonts w:hint="eastAsia"/>
                <w:color w:val="auto"/>
                <w:sz w:val="24"/>
                <w:lang w:val="en-US" w:eastAsia="zh-CN"/>
              </w:rPr>
              <w:t>500</w:t>
            </w:r>
            <w:r>
              <w:rPr>
                <w:color w:val="auto"/>
                <w:sz w:val="24"/>
              </w:rPr>
              <w:t>万元，资金</w:t>
            </w:r>
            <w:r>
              <w:rPr>
                <w:rFonts w:hint="eastAsia"/>
                <w:color w:val="auto"/>
                <w:sz w:val="24"/>
              </w:rPr>
              <w:t>全部由</w:t>
            </w:r>
            <w:r>
              <w:rPr>
                <w:color w:val="auto"/>
                <w:sz w:val="24"/>
              </w:rPr>
              <w:t>企业自筹。</w:t>
            </w:r>
          </w:p>
          <w:p w14:paraId="4CB5C20A">
            <w:pPr>
              <w:spacing w:line="360" w:lineRule="auto"/>
              <w:ind w:firstLine="480" w:firstLineChars="200"/>
              <w:rPr>
                <w:color w:val="auto"/>
                <w:sz w:val="24"/>
              </w:rPr>
            </w:pPr>
            <w:r>
              <w:rPr>
                <w:color w:val="auto"/>
                <w:sz w:val="24"/>
              </w:rPr>
              <w:t>建设地点：</w:t>
            </w:r>
            <w:r>
              <w:rPr>
                <w:rFonts w:hint="eastAsia"/>
                <w:color w:val="auto"/>
                <w:sz w:val="24"/>
                <w:lang w:eastAsia="zh-CN"/>
              </w:rPr>
              <w:t>陕西省西安市沣东新城斗门街道中奉陵园会场向西200米</w:t>
            </w:r>
            <w:r>
              <w:rPr>
                <w:color w:val="auto"/>
                <w:sz w:val="24"/>
              </w:rPr>
              <w:t>，中心位置地理为东经108度</w:t>
            </w:r>
            <w:r>
              <w:rPr>
                <w:rFonts w:hint="eastAsia"/>
                <w:color w:val="auto"/>
                <w:sz w:val="24"/>
                <w:lang w:val="en-US" w:eastAsia="zh-CN"/>
              </w:rPr>
              <w:t>45</w:t>
            </w:r>
            <w:r>
              <w:rPr>
                <w:color w:val="auto"/>
                <w:sz w:val="24"/>
              </w:rPr>
              <w:t>分</w:t>
            </w:r>
            <w:r>
              <w:rPr>
                <w:rFonts w:hint="eastAsia"/>
                <w:color w:val="auto"/>
                <w:sz w:val="24"/>
                <w:lang w:val="en-US" w:eastAsia="zh-CN"/>
              </w:rPr>
              <w:t>24.37</w:t>
            </w:r>
            <w:r>
              <w:rPr>
                <w:color w:val="auto"/>
                <w:sz w:val="24"/>
              </w:rPr>
              <w:t>秒，北纬34度</w:t>
            </w:r>
            <w:r>
              <w:rPr>
                <w:rFonts w:hint="eastAsia"/>
                <w:color w:val="auto"/>
                <w:sz w:val="24"/>
              </w:rPr>
              <w:t>1</w:t>
            </w:r>
            <w:r>
              <w:rPr>
                <w:rFonts w:hint="eastAsia"/>
                <w:color w:val="auto"/>
                <w:sz w:val="24"/>
                <w:lang w:val="en-US" w:eastAsia="zh-CN"/>
              </w:rPr>
              <w:t>0</w:t>
            </w:r>
            <w:r>
              <w:rPr>
                <w:color w:val="auto"/>
                <w:sz w:val="24"/>
              </w:rPr>
              <w:t>分</w:t>
            </w:r>
            <w:r>
              <w:rPr>
                <w:rFonts w:hint="eastAsia"/>
                <w:color w:val="auto"/>
                <w:sz w:val="24"/>
                <w:lang w:val="en-US" w:eastAsia="zh-CN"/>
              </w:rPr>
              <w:t>55.44</w:t>
            </w:r>
            <w:r>
              <w:rPr>
                <w:color w:val="auto"/>
                <w:sz w:val="24"/>
              </w:rPr>
              <w:t>秒。详见附图1地理位置图。</w:t>
            </w:r>
          </w:p>
          <w:p w14:paraId="475245C0">
            <w:pPr>
              <w:spacing w:line="360" w:lineRule="auto"/>
              <w:ind w:firstLine="480" w:firstLineChars="200"/>
              <w:rPr>
                <w:color w:val="auto"/>
                <w:sz w:val="24"/>
              </w:rPr>
            </w:pPr>
            <w:r>
              <w:rPr>
                <w:color w:val="auto"/>
                <w:sz w:val="24"/>
              </w:rPr>
              <w:t>四邻关系：</w:t>
            </w:r>
            <w:r>
              <w:rPr>
                <w:rFonts w:hint="eastAsia" w:hAnsi="宋体" w:cs="Times New Roman"/>
                <w:snapToGrid w:val="0"/>
                <w:color w:val="auto"/>
                <w:kern w:val="0"/>
                <w:sz w:val="24"/>
                <w:szCs w:val="24"/>
                <w:lang w:val="en-US" w:eastAsia="zh-CN"/>
              </w:rPr>
              <w:t>项目东、西、南侧均为空地，北侧为路，隔路为环保透水砖项目。</w:t>
            </w:r>
            <w:r>
              <w:rPr>
                <w:rFonts w:hint="eastAsia"/>
                <w:snapToGrid w:val="0"/>
                <w:color w:val="auto"/>
                <w:sz w:val="24"/>
                <w:highlight w:val="none"/>
                <w:lang w:val="en-US" w:eastAsia="zh-CN"/>
              </w:rPr>
              <w:t>距离项目最近的敏感点为西侧330m处的中丰店村</w:t>
            </w:r>
            <w:r>
              <w:rPr>
                <w:rFonts w:hint="eastAsia"/>
                <w:color w:val="auto"/>
                <w:sz w:val="24"/>
              </w:rPr>
              <w:t>。</w:t>
            </w:r>
            <w:r>
              <w:rPr>
                <w:color w:val="auto"/>
                <w:kern w:val="0"/>
                <w:sz w:val="24"/>
                <w:lang w:bidi="ar"/>
              </w:rPr>
              <w:t>本项目</w:t>
            </w:r>
            <w:r>
              <w:rPr>
                <w:rFonts w:hint="eastAsia"/>
                <w:color w:val="auto"/>
                <w:kern w:val="0"/>
                <w:sz w:val="24"/>
                <w:lang w:bidi="ar"/>
              </w:rPr>
              <w:t>利用现有厂房，</w:t>
            </w:r>
            <w:r>
              <w:rPr>
                <w:color w:val="auto"/>
                <w:kern w:val="0"/>
                <w:sz w:val="24"/>
                <w:lang w:bidi="ar"/>
              </w:rPr>
              <w:t>不新增用地</w:t>
            </w:r>
            <w:r>
              <w:rPr>
                <w:rFonts w:hint="eastAsia"/>
                <w:color w:val="auto"/>
                <w:sz w:val="24"/>
              </w:rPr>
              <w:t>。</w:t>
            </w:r>
            <w:r>
              <w:rPr>
                <w:color w:val="auto"/>
                <w:sz w:val="24"/>
              </w:rPr>
              <w:t>详见附图</w:t>
            </w:r>
            <w:r>
              <w:rPr>
                <w:rFonts w:hint="eastAsia"/>
                <w:color w:val="auto"/>
                <w:sz w:val="24"/>
              </w:rPr>
              <w:t>2</w:t>
            </w:r>
            <w:r>
              <w:rPr>
                <w:color w:val="auto"/>
                <w:sz w:val="24"/>
              </w:rPr>
              <w:t>四邻关系图。</w:t>
            </w:r>
          </w:p>
          <w:p w14:paraId="01D0B56B">
            <w:pPr>
              <w:spacing w:line="360" w:lineRule="auto"/>
              <w:ind w:firstLine="482" w:firstLineChars="200"/>
              <w:rPr>
                <w:b/>
                <w:bCs/>
                <w:color w:val="auto"/>
                <w:sz w:val="24"/>
              </w:rPr>
            </w:pPr>
            <w:r>
              <w:rPr>
                <w:rFonts w:hint="eastAsia"/>
                <w:b/>
                <w:bCs/>
                <w:color w:val="auto"/>
                <w:sz w:val="24"/>
                <w:lang w:val="en-US" w:eastAsia="zh-CN"/>
              </w:rPr>
              <w:t>3</w:t>
            </w:r>
            <w:r>
              <w:rPr>
                <w:b/>
                <w:bCs/>
                <w:color w:val="auto"/>
                <w:sz w:val="24"/>
              </w:rPr>
              <w:t>、</w:t>
            </w:r>
            <w:r>
              <w:rPr>
                <w:rFonts w:hint="eastAsia"/>
                <w:b/>
                <w:bCs/>
                <w:color w:val="auto"/>
                <w:sz w:val="24"/>
              </w:rPr>
              <w:t>项目组成</w:t>
            </w:r>
          </w:p>
          <w:p w14:paraId="731F4C94">
            <w:pPr>
              <w:widowControl/>
              <w:spacing w:line="360" w:lineRule="auto"/>
              <w:ind w:firstLine="480" w:firstLineChars="200"/>
              <w:rPr>
                <w:color w:val="auto"/>
                <w:sz w:val="24"/>
              </w:rPr>
            </w:pPr>
            <w:r>
              <w:rPr>
                <w:rFonts w:hint="eastAsia"/>
                <w:color w:val="auto"/>
                <w:sz w:val="24"/>
              </w:rPr>
              <w:t>本项目工程组成见表2-1。</w:t>
            </w:r>
          </w:p>
          <w:p w14:paraId="3CC19318">
            <w:pPr>
              <w:widowControl/>
              <w:jc w:val="center"/>
              <w:rPr>
                <w:rFonts w:hAnsi="宋体"/>
                <w:b/>
                <w:bCs/>
                <w:color w:val="auto"/>
                <w:sz w:val="24"/>
              </w:rPr>
            </w:pPr>
            <w:r>
              <w:rPr>
                <w:b/>
                <w:bCs/>
                <w:color w:val="auto"/>
                <w:sz w:val="24"/>
              </w:rPr>
              <w:t>表2-1  本项目工程组成</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1122"/>
              <w:gridCol w:w="3007"/>
              <w:gridCol w:w="490"/>
              <w:gridCol w:w="1738"/>
              <w:gridCol w:w="1662"/>
            </w:tblGrid>
            <w:tr w14:paraId="7889CA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 w:type="pct"/>
                  <w:tcBorders>
                    <w:tl2br w:val="nil"/>
                    <w:tr2bl w:val="nil"/>
                  </w:tcBorders>
                  <w:noWrap w:val="0"/>
                  <w:vAlign w:val="center"/>
                </w:tcPr>
                <w:p w14:paraId="1CC024A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工程类别</w:t>
                  </w:r>
                </w:p>
              </w:tc>
              <w:tc>
                <w:tcPr>
                  <w:tcW w:w="652" w:type="pct"/>
                  <w:tcBorders>
                    <w:tl2br w:val="nil"/>
                    <w:tr2bl w:val="nil"/>
                  </w:tcBorders>
                  <w:noWrap w:val="0"/>
                  <w:vAlign w:val="center"/>
                </w:tcPr>
                <w:p w14:paraId="39F3CFC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工程名称</w:t>
                  </w:r>
                </w:p>
              </w:tc>
              <w:tc>
                <w:tcPr>
                  <w:tcW w:w="1747" w:type="pct"/>
                  <w:tcBorders>
                    <w:tl2br w:val="nil"/>
                    <w:tr2bl w:val="nil"/>
                  </w:tcBorders>
                  <w:noWrap w:val="0"/>
                  <w:vAlign w:val="center"/>
                </w:tcPr>
                <w:p w14:paraId="64962CD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原有项目工程内容</w:t>
                  </w:r>
                </w:p>
              </w:tc>
              <w:tc>
                <w:tcPr>
                  <w:tcW w:w="1295" w:type="pct"/>
                  <w:gridSpan w:val="2"/>
                  <w:tcBorders>
                    <w:tl2br w:val="nil"/>
                    <w:tr2bl w:val="nil"/>
                  </w:tcBorders>
                  <w:noWrap w:val="0"/>
                  <w:vAlign w:val="center"/>
                </w:tcPr>
                <w:p w14:paraId="33FCA89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default"/>
                      <w:color w:val="auto"/>
                      <w:szCs w:val="21"/>
                      <w:lang w:val="en-US" w:eastAsia="zh-CN"/>
                    </w:rPr>
                    <w:t>扩建工程建设规模</w:t>
                  </w:r>
                </w:p>
              </w:tc>
              <w:tc>
                <w:tcPr>
                  <w:tcW w:w="965" w:type="pct"/>
                  <w:tcBorders>
                    <w:tl2br w:val="nil"/>
                    <w:tr2bl w:val="nil"/>
                  </w:tcBorders>
                  <w:noWrap w:val="0"/>
                  <w:vAlign w:val="center"/>
                </w:tcPr>
                <w:p w14:paraId="606151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依托关系</w:t>
                  </w:r>
                </w:p>
              </w:tc>
            </w:tr>
            <w:tr w14:paraId="78450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339" w:type="pct"/>
                  <w:vMerge w:val="restart"/>
                  <w:tcBorders>
                    <w:tl2br w:val="nil"/>
                    <w:tr2bl w:val="nil"/>
                  </w:tcBorders>
                  <w:noWrap w:val="0"/>
                  <w:vAlign w:val="center"/>
                </w:tcPr>
                <w:p w14:paraId="2753009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主</w:t>
                  </w:r>
                  <w:r>
                    <w:rPr>
                      <w:rFonts w:hint="eastAsia"/>
                      <w:color w:val="auto"/>
                      <w:szCs w:val="21"/>
                    </w:rPr>
                    <w:t>体</w:t>
                  </w:r>
                  <w:r>
                    <w:rPr>
                      <w:color w:val="auto"/>
                      <w:szCs w:val="21"/>
                    </w:rPr>
                    <w:t>工程</w:t>
                  </w:r>
                </w:p>
              </w:tc>
              <w:tc>
                <w:tcPr>
                  <w:tcW w:w="652" w:type="pct"/>
                  <w:tcBorders>
                    <w:tl2br w:val="nil"/>
                    <w:tr2bl w:val="nil"/>
                  </w:tcBorders>
                  <w:noWrap w:val="0"/>
                  <w:vAlign w:val="center"/>
                </w:tcPr>
                <w:p w14:paraId="56F036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1#厂房</w:t>
                  </w:r>
                </w:p>
              </w:tc>
              <w:tc>
                <w:tcPr>
                  <w:tcW w:w="1747" w:type="pct"/>
                  <w:tcBorders>
                    <w:tl2br w:val="nil"/>
                    <w:tr2bl w:val="nil"/>
                  </w:tcBorders>
                  <w:noWrap w:val="0"/>
                  <w:vAlign w:val="center"/>
                </w:tcPr>
                <w:p w14:paraId="17F8BB2C">
                  <w:pPr>
                    <w:keepNext w:val="0"/>
                    <w:keepLines w:val="0"/>
                    <w:pageBreakBefore w:val="0"/>
                    <w:widowControl w:val="0"/>
                    <w:kinsoku/>
                    <w:wordWrap/>
                    <w:overflowPunct/>
                    <w:topLinePunct w:val="0"/>
                    <w:autoSpaceDE/>
                    <w:autoSpaceDN/>
                    <w:bidi w:val="0"/>
                    <w:adjustRightInd w:val="0"/>
                    <w:snapToGrid w:val="0"/>
                    <w:jc w:val="left"/>
                    <w:textAlignment w:val="auto"/>
                    <w:rPr>
                      <w:rFonts w:hint="default" w:eastAsia="宋体"/>
                      <w:color w:val="auto"/>
                      <w:szCs w:val="21"/>
                      <w:lang w:val="en-US" w:eastAsia="zh-CN"/>
                    </w:rPr>
                  </w:pPr>
                  <w:r>
                    <w:rPr>
                      <w:rFonts w:hint="eastAsia"/>
                      <w:color w:val="auto"/>
                      <w:szCs w:val="21"/>
                      <w:lang w:val="en-US" w:eastAsia="zh-CN"/>
                    </w:rPr>
                    <w:t>建筑垃圾再利用</w:t>
                  </w:r>
                  <w:r>
                    <w:rPr>
                      <w:rFonts w:hint="eastAsia"/>
                      <w:color w:val="auto"/>
                      <w:szCs w:val="21"/>
                    </w:rPr>
                    <w:t>生产线</w:t>
                  </w:r>
                  <w:r>
                    <w:rPr>
                      <w:rFonts w:hint="eastAsia"/>
                      <w:color w:val="auto"/>
                      <w:szCs w:val="21"/>
                      <w:lang w:val="en-US" w:eastAsia="zh-CN"/>
                    </w:rPr>
                    <w:t>1</w:t>
                  </w:r>
                  <w:r>
                    <w:rPr>
                      <w:rFonts w:hint="eastAsia"/>
                      <w:color w:val="auto"/>
                      <w:szCs w:val="21"/>
                    </w:rPr>
                    <w:t>条，</w:t>
                  </w:r>
                  <w:r>
                    <w:rPr>
                      <w:rFonts w:hint="eastAsia"/>
                      <w:color w:val="auto"/>
                      <w:szCs w:val="21"/>
                      <w:lang w:val="en-US" w:eastAsia="zh-CN"/>
                    </w:rPr>
                    <w:t>1F钢构厂房，建筑面积4624m</w:t>
                  </w:r>
                  <w:r>
                    <w:rPr>
                      <w:rFonts w:hint="eastAsia"/>
                      <w:color w:val="auto"/>
                      <w:szCs w:val="21"/>
                      <w:vertAlign w:val="superscript"/>
                      <w:lang w:val="en-US" w:eastAsia="zh-CN"/>
                    </w:rPr>
                    <w:t>2</w:t>
                  </w:r>
                  <w:r>
                    <w:rPr>
                      <w:rFonts w:hint="eastAsia"/>
                      <w:color w:val="auto"/>
                      <w:szCs w:val="21"/>
                      <w:lang w:val="en-US" w:eastAsia="zh-CN"/>
                    </w:rPr>
                    <w:t>，</w:t>
                  </w:r>
                  <w:r>
                    <w:rPr>
                      <w:rFonts w:hint="eastAsia"/>
                      <w:color w:val="auto"/>
                      <w:szCs w:val="21"/>
                    </w:rPr>
                    <w:t>购置</w:t>
                  </w:r>
                  <w:r>
                    <w:rPr>
                      <w:rFonts w:hint="eastAsia"/>
                      <w:color w:val="auto"/>
                      <w:szCs w:val="21"/>
                      <w:lang w:val="en-US" w:eastAsia="zh-CN"/>
                    </w:rPr>
                    <w:t>振动</w:t>
                  </w:r>
                  <w:r>
                    <w:rPr>
                      <w:rFonts w:hint="eastAsia"/>
                      <w:color w:val="auto"/>
                      <w:szCs w:val="21"/>
                    </w:rPr>
                    <w:t>给料机、</w:t>
                  </w:r>
                  <w:r>
                    <w:rPr>
                      <w:rFonts w:hint="default" w:ascii="Times New Roman" w:hAnsi="Times New Roman" w:cs="Times New Roman"/>
                      <w:color w:val="auto"/>
                      <w:sz w:val="21"/>
                      <w:szCs w:val="21"/>
                      <w:lang w:val="en-US" w:eastAsia="zh-CN"/>
                    </w:rPr>
                    <w:t>颚式破碎机</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反击式破碎机</w:t>
                  </w:r>
                  <w:r>
                    <w:rPr>
                      <w:rFonts w:hint="eastAsia"/>
                      <w:color w:val="auto"/>
                      <w:szCs w:val="21"/>
                    </w:rPr>
                    <w:t>、振动筛</w:t>
                  </w:r>
                  <w:r>
                    <w:rPr>
                      <w:rFonts w:hint="eastAsia"/>
                      <w:color w:val="auto"/>
                      <w:szCs w:val="21"/>
                      <w:lang w:eastAsia="zh-CN"/>
                    </w:rPr>
                    <w:t>、</w:t>
                  </w:r>
                  <w:r>
                    <w:rPr>
                      <w:rFonts w:hint="default" w:ascii="Times New Roman" w:hAnsi="Times New Roman" w:cs="Times New Roman"/>
                      <w:color w:val="auto"/>
                      <w:sz w:val="21"/>
                      <w:szCs w:val="21"/>
                      <w:lang w:val="en-US" w:eastAsia="zh-CN"/>
                    </w:rPr>
                    <w:t>轻物质分选机</w:t>
                  </w:r>
                  <w:r>
                    <w:rPr>
                      <w:rFonts w:hint="eastAsia"/>
                      <w:color w:val="auto"/>
                      <w:szCs w:val="21"/>
                    </w:rPr>
                    <w:t>等生产设备</w:t>
                  </w:r>
                </w:p>
              </w:tc>
              <w:tc>
                <w:tcPr>
                  <w:tcW w:w="1295" w:type="pct"/>
                  <w:gridSpan w:val="2"/>
                  <w:tcBorders>
                    <w:tl2br w:val="nil"/>
                    <w:tr2bl w:val="nil"/>
                  </w:tcBorders>
                  <w:noWrap w:val="0"/>
                  <w:vAlign w:val="center"/>
                </w:tcPr>
                <w:p w14:paraId="0CF429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替代部分原料处理量</w:t>
                  </w:r>
                </w:p>
              </w:tc>
              <w:tc>
                <w:tcPr>
                  <w:tcW w:w="965" w:type="pct"/>
                  <w:tcBorders>
                    <w:tl2br w:val="nil"/>
                    <w:tr2bl w:val="nil"/>
                  </w:tcBorders>
                  <w:noWrap w:val="0"/>
                  <w:vAlign w:val="center"/>
                </w:tcPr>
                <w:p w14:paraId="086B932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依托现有工程及环保设施，共享现有生产线设备，无淘汰设备</w:t>
                  </w:r>
                </w:p>
              </w:tc>
            </w:tr>
            <w:tr w14:paraId="44C9B9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339" w:type="pct"/>
                  <w:vMerge w:val="continue"/>
                  <w:tcBorders>
                    <w:tl2br w:val="nil"/>
                    <w:tr2bl w:val="nil"/>
                  </w:tcBorders>
                  <w:noWrap w:val="0"/>
                  <w:vAlign w:val="center"/>
                </w:tcPr>
                <w:p w14:paraId="062AA89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5C8ADA8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2#厂房</w:t>
                  </w:r>
                </w:p>
              </w:tc>
              <w:tc>
                <w:tcPr>
                  <w:tcW w:w="1747" w:type="pct"/>
                  <w:tcBorders>
                    <w:tl2br w:val="nil"/>
                    <w:tr2bl w:val="nil"/>
                  </w:tcBorders>
                  <w:noWrap w:val="0"/>
                  <w:vAlign w:val="center"/>
                </w:tcPr>
                <w:p w14:paraId="5C58A76B">
                  <w:pPr>
                    <w:keepNext w:val="0"/>
                    <w:keepLines w:val="0"/>
                    <w:pageBreakBefore w:val="0"/>
                    <w:widowControl w:val="0"/>
                    <w:kinsoku/>
                    <w:wordWrap/>
                    <w:overflowPunct/>
                    <w:topLinePunct w:val="0"/>
                    <w:autoSpaceDE/>
                    <w:autoSpaceDN/>
                    <w:bidi w:val="0"/>
                    <w:adjustRightInd w:val="0"/>
                    <w:snapToGrid w:val="0"/>
                    <w:jc w:val="left"/>
                    <w:textAlignment w:val="auto"/>
                    <w:rPr>
                      <w:rFonts w:hint="default"/>
                      <w:color w:val="auto"/>
                      <w:szCs w:val="21"/>
                      <w:lang w:val="en-US" w:eastAsia="zh-CN"/>
                    </w:rPr>
                  </w:pPr>
                  <w:r>
                    <w:rPr>
                      <w:rFonts w:hint="eastAsia"/>
                      <w:color w:val="auto"/>
                      <w:szCs w:val="21"/>
                      <w:lang w:val="en-US" w:eastAsia="zh-CN"/>
                    </w:rPr>
                    <w:t>1F钢构厂房，建筑面积600m</w:t>
                  </w:r>
                  <w:r>
                    <w:rPr>
                      <w:rFonts w:hint="eastAsia"/>
                      <w:color w:val="auto"/>
                      <w:szCs w:val="21"/>
                      <w:vertAlign w:val="superscript"/>
                      <w:lang w:val="en-US" w:eastAsia="zh-CN"/>
                    </w:rPr>
                    <w:t>2</w:t>
                  </w:r>
                  <w:r>
                    <w:rPr>
                      <w:rFonts w:hint="eastAsia"/>
                      <w:color w:val="auto"/>
                      <w:szCs w:val="21"/>
                      <w:vertAlign w:val="baseline"/>
                      <w:lang w:val="en-US" w:eastAsia="zh-CN"/>
                    </w:rPr>
                    <w:t>，放置闲置物品</w:t>
                  </w:r>
                </w:p>
              </w:tc>
              <w:tc>
                <w:tcPr>
                  <w:tcW w:w="1295" w:type="pct"/>
                  <w:gridSpan w:val="2"/>
                  <w:tcBorders>
                    <w:tl2br w:val="nil"/>
                    <w:tr2bl w:val="nil"/>
                  </w:tcBorders>
                  <w:shd w:val="clear" w:color="auto" w:fill="auto"/>
                  <w:noWrap w:val="0"/>
                  <w:vAlign w:val="center"/>
                </w:tcPr>
                <w:p w14:paraId="68A28B0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装修垃圾前处理线1条，</w:t>
                  </w:r>
                  <w:r>
                    <w:rPr>
                      <w:rFonts w:hint="eastAsia"/>
                      <w:color w:val="auto"/>
                      <w:szCs w:val="21"/>
                    </w:rPr>
                    <w:t>购置</w:t>
                  </w:r>
                  <w:r>
                    <w:rPr>
                      <w:rFonts w:hint="eastAsia"/>
                      <w:color w:val="auto"/>
                      <w:szCs w:val="21"/>
                      <w:lang w:val="en-US" w:eastAsia="zh-CN"/>
                    </w:rPr>
                    <w:t>粗选筛分机、粗选筛出料皮带机、无轴滚筛机、进风选机皮带机、高压风选机、金属除铁器、控制柜</w:t>
                  </w:r>
                  <w:r>
                    <w:rPr>
                      <w:rFonts w:hint="eastAsia"/>
                      <w:color w:val="auto"/>
                      <w:szCs w:val="21"/>
                    </w:rPr>
                    <w:t>等生产设备</w:t>
                  </w:r>
                </w:p>
              </w:tc>
              <w:tc>
                <w:tcPr>
                  <w:tcW w:w="965" w:type="pct"/>
                  <w:tcBorders>
                    <w:tl2br w:val="nil"/>
                    <w:tr2bl w:val="nil"/>
                  </w:tcBorders>
                  <w:shd w:val="clear" w:color="auto" w:fill="auto"/>
                  <w:noWrap w:val="0"/>
                  <w:vAlign w:val="center"/>
                </w:tcPr>
                <w:p w14:paraId="726411F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新增设备</w:t>
                  </w:r>
                </w:p>
              </w:tc>
            </w:tr>
            <w:tr w14:paraId="629BA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339" w:type="pct"/>
                  <w:vMerge w:val="restart"/>
                  <w:tcBorders>
                    <w:tl2br w:val="nil"/>
                    <w:tr2bl w:val="nil"/>
                  </w:tcBorders>
                  <w:noWrap w:val="0"/>
                  <w:vAlign w:val="center"/>
                </w:tcPr>
                <w:p w14:paraId="64A5C8F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辅助工程</w:t>
                  </w:r>
                </w:p>
              </w:tc>
              <w:tc>
                <w:tcPr>
                  <w:tcW w:w="652" w:type="pct"/>
                  <w:tcBorders>
                    <w:tl2br w:val="nil"/>
                    <w:tr2bl w:val="nil"/>
                  </w:tcBorders>
                  <w:noWrap w:val="0"/>
                  <w:vAlign w:val="center"/>
                </w:tcPr>
                <w:p w14:paraId="7C7BB4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rPr>
                    <w:t>办公</w:t>
                  </w:r>
                  <w:r>
                    <w:rPr>
                      <w:rFonts w:hint="eastAsia"/>
                      <w:color w:val="auto"/>
                      <w:szCs w:val="21"/>
                      <w:lang w:val="en-US" w:eastAsia="zh-CN"/>
                    </w:rPr>
                    <w:t>楼</w:t>
                  </w:r>
                </w:p>
              </w:tc>
              <w:tc>
                <w:tcPr>
                  <w:tcW w:w="3042" w:type="pct"/>
                  <w:gridSpan w:val="3"/>
                  <w:tcBorders>
                    <w:tl2br w:val="nil"/>
                    <w:tr2bl w:val="nil"/>
                  </w:tcBorders>
                  <w:noWrap w:val="0"/>
                  <w:vAlign w:val="center"/>
                </w:tcPr>
                <w:p w14:paraId="7E78283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2F，砖混结构，</w:t>
                  </w:r>
                  <w:r>
                    <w:rPr>
                      <w:rFonts w:hint="eastAsia"/>
                      <w:color w:val="auto"/>
                      <w:szCs w:val="21"/>
                    </w:rPr>
                    <w:t>建筑面积</w:t>
                  </w:r>
                  <w:r>
                    <w:rPr>
                      <w:rFonts w:hint="eastAsia"/>
                      <w:color w:val="auto"/>
                      <w:szCs w:val="21"/>
                      <w:lang w:val="en-US" w:eastAsia="zh-CN"/>
                    </w:rPr>
                    <w:t>920</w:t>
                  </w:r>
                  <w:r>
                    <w:rPr>
                      <w:rFonts w:hint="eastAsia"/>
                      <w:color w:val="auto"/>
                      <w:szCs w:val="21"/>
                    </w:rPr>
                    <w:t>m</w:t>
                  </w:r>
                  <w:r>
                    <w:rPr>
                      <w:rFonts w:hint="eastAsia"/>
                      <w:color w:val="auto"/>
                      <w:szCs w:val="21"/>
                      <w:vertAlign w:val="superscript"/>
                    </w:rPr>
                    <w:t>2</w:t>
                  </w:r>
                  <w:r>
                    <w:rPr>
                      <w:rFonts w:hint="eastAsia"/>
                      <w:color w:val="auto"/>
                      <w:szCs w:val="21"/>
                    </w:rPr>
                    <w:t>，主要用于人员办公</w:t>
                  </w:r>
                </w:p>
              </w:tc>
              <w:tc>
                <w:tcPr>
                  <w:tcW w:w="965" w:type="pct"/>
                  <w:vMerge w:val="restart"/>
                  <w:tcBorders>
                    <w:tl2br w:val="nil"/>
                    <w:tr2bl w:val="nil"/>
                  </w:tcBorders>
                  <w:noWrap w:val="0"/>
                  <w:vAlign w:val="center"/>
                </w:tcPr>
                <w:p w14:paraId="48FBBB3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无变化</w:t>
                  </w:r>
                </w:p>
              </w:tc>
            </w:tr>
            <w:tr w14:paraId="3AD1A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39" w:type="pct"/>
                  <w:vMerge w:val="continue"/>
                  <w:tcBorders>
                    <w:tl2br w:val="nil"/>
                    <w:tr2bl w:val="nil"/>
                  </w:tcBorders>
                  <w:noWrap w:val="0"/>
                  <w:vAlign w:val="center"/>
                </w:tcPr>
                <w:p w14:paraId="0BDDB8B7">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144BB0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宿舍</w:t>
                  </w:r>
                </w:p>
              </w:tc>
              <w:tc>
                <w:tcPr>
                  <w:tcW w:w="3042" w:type="pct"/>
                  <w:gridSpan w:val="3"/>
                  <w:tcBorders>
                    <w:tl2br w:val="nil"/>
                    <w:tr2bl w:val="nil"/>
                  </w:tcBorders>
                  <w:noWrap w:val="0"/>
                  <w:vAlign w:val="center"/>
                </w:tcPr>
                <w:p w14:paraId="0A79197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1F，砖混结构，</w:t>
                  </w:r>
                  <w:r>
                    <w:rPr>
                      <w:rFonts w:hint="eastAsia"/>
                      <w:color w:val="auto"/>
                      <w:szCs w:val="21"/>
                    </w:rPr>
                    <w:t>建筑面积</w:t>
                  </w:r>
                  <w:r>
                    <w:rPr>
                      <w:rFonts w:hint="eastAsia"/>
                      <w:color w:val="auto"/>
                      <w:szCs w:val="21"/>
                      <w:lang w:val="en-US" w:eastAsia="zh-CN"/>
                    </w:rPr>
                    <w:t>460</w:t>
                  </w:r>
                  <w:r>
                    <w:rPr>
                      <w:rFonts w:hint="eastAsia"/>
                      <w:color w:val="auto"/>
                      <w:szCs w:val="21"/>
                    </w:rPr>
                    <w:t>m</w:t>
                  </w:r>
                  <w:r>
                    <w:rPr>
                      <w:rFonts w:hint="eastAsia"/>
                      <w:color w:val="auto"/>
                      <w:szCs w:val="21"/>
                      <w:vertAlign w:val="superscript"/>
                    </w:rPr>
                    <w:t>2</w:t>
                  </w:r>
                  <w:r>
                    <w:rPr>
                      <w:rFonts w:hint="eastAsia"/>
                      <w:color w:val="auto"/>
                      <w:szCs w:val="21"/>
                    </w:rPr>
                    <w:t>，主要用于</w:t>
                  </w:r>
                  <w:r>
                    <w:rPr>
                      <w:rFonts w:hint="eastAsia"/>
                      <w:color w:val="auto"/>
                      <w:szCs w:val="21"/>
                      <w:lang w:val="en-US" w:eastAsia="zh-CN"/>
                    </w:rPr>
                    <w:t>员工住宿、食堂，食堂设置3个灶头，食堂燃料为液化气</w:t>
                  </w:r>
                </w:p>
              </w:tc>
              <w:tc>
                <w:tcPr>
                  <w:tcW w:w="965" w:type="pct"/>
                  <w:vMerge w:val="continue"/>
                  <w:tcBorders>
                    <w:tl2br w:val="nil"/>
                    <w:tr2bl w:val="nil"/>
                  </w:tcBorders>
                  <w:noWrap w:val="0"/>
                  <w:vAlign w:val="center"/>
                </w:tcPr>
                <w:p w14:paraId="248A084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p>
              </w:tc>
            </w:tr>
            <w:tr w14:paraId="6B9FC3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1234FA1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2EA224C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卫生间</w:t>
                  </w:r>
                </w:p>
              </w:tc>
              <w:tc>
                <w:tcPr>
                  <w:tcW w:w="3042" w:type="pct"/>
                  <w:gridSpan w:val="3"/>
                  <w:tcBorders>
                    <w:tl2br w:val="nil"/>
                    <w:tr2bl w:val="nil"/>
                  </w:tcBorders>
                  <w:noWrap w:val="0"/>
                  <w:vAlign w:val="center"/>
                </w:tcPr>
                <w:p w14:paraId="707FBAE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1F，砖混结构，</w:t>
                  </w:r>
                  <w:r>
                    <w:rPr>
                      <w:rFonts w:hint="eastAsia"/>
                      <w:color w:val="auto"/>
                      <w:szCs w:val="21"/>
                    </w:rPr>
                    <w:t>建筑面积</w:t>
                  </w:r>
                  <w:r>
                    <w:rPr>
                      <w:rFonts w:hint="eastAsia"/>
                      <w:color w:val="auto"/>
                      <w:szCs w:val="21"/>
                      <w:lang w:val="en-US" w:eastAsia="zh-CN"/>
                    </w:rPr>
                    <w:t>114</w:t>
                  </w:r>
                  <w:r>
                    <w:rPr>
                      <w:rFonts w:hint="eastAsia"/>
                      <w:color w:val="auto"/>
                      <w:szCs w:val="21"/>
                    </w:rPr>
                    <w:t>m</w:t>
                  </w:r>
                  <w:r>
                    <w:rPr>
                      <w:rFonts w:hint="eastAsia"/>
                      <w:color w:val="auto"/>
                      <w:szCs w:val="21"/>
                      <w:vertAlign w:val="superscript"/>
                    </w:rPr>
                    <w:t>2</w:t>
                  </w:r>
                </w:p>
              </w:tc>
              <w:tc>
                <w:tcPr>
                  <w:tcW w:w="965" w:type="pct"/>
                  <w:vMerge w:val="continue"/>
                  <w:tcBorders>
                    <w:tl2br w:val="nil"/>
                    <w:tr2bl w:val="nil"/>
                  </w:tcBorders>
                  <w:noWrap w:val="0"/>
                  <w:vAlign w:val="center"/>
                </w:tcPr>
                <w:p w14:paraId="3227628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p>
              </w:tc>
            </w:tr>
            <w:tr w14:paraId="2584C5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311E61D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5DD8B91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实验室</w:t>
                  </w:r>
                </w:p>
              </w:tc>
              <w:tc>
                <w:tcPr>
                  <w:tcW w:w="2032" w:type="pct"/>
                  <w:gridSpan w:val="2"/>
                  <w:tcBorders>
                    <w:tl2br w:val="nil"/>
                    <w:tr2bl w:val="nil"/>
                  </w:tcBorders>
                  <w:noWrap w:val="0"/>
                  <w:vAlign w:val="center"/>
                </w:tcPr>
                <w:p w14:paraId="4FA17B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主要进行产品的物理性能检测</w:t>
                  </w:r>
                </w:p>
              </w:tc>
              <w:tc>
                <w:tcPr>
                  <w:tcW w:w="1010" w:type="pct"/>
                  <w:tcBorders>
                    <w:tl2br w:val="nil"/>
                    <w:tr2bl w:val="nil"/>
                  </w:tcBorders>
                  <w:noWrap w:val="0"/>
                  <w:vAlign w:val="center"/>
                </w:tcPr>
                <w:p w14:paraId="749D9E9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本项目不涉及物理性能检测</w:t>
                  </w:r>
                </w:p>
              </w:tc>
              <w:tc>
                <w:tcPr>
                  <w:tcW w:w="965" w:type="pct"/>
                  <w:tcBorders>
                    <w:tl2br w:val="nil"/>
                    <w:tr2bl w:val="nil"/>
                  </w:tcBorders>
                  <w:noWrap w:val="0"/>
                  <w:vAlign w:val="center"/>
                </w:tcPr>
                <w:p w14:paraId="7D55C61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14:paraId="3B05D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44925BD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710667D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机修车间</w:t>
                  </w:r>
                </w:p>
              </w:tc>
              <w:tc>
                <w:tcPr>
                  <w:tcW w:w="2032" w:type="pct"/>
                  <w:gridSpan w:val="2"/>
                  <w:tcBorders>
                    <w:tl2br w:val="nil"/>
                    <w:tr2bl w:val="nil"/>
                  </w:tcBorders>
                  <w:noWrap w:val="0"/>
                  <w:vAlign w:val="center"/>
                </w:tcPr>
                <w:p w14:paraId="4BB3DFE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主要进行车辆、设备简单维修，大修在厂外进行</w:t>
                  </w:r>
                </w:p>
              </w:tc>
              <w:tc>
                <w:tcPr>
                  <w:tcW w:w="1010" w:type="pct"/>
                  <w:tcBorders>
                    <w:tl2br w:val="nil"/>
                    <w:tr2bl w:val="nil"/>
                  </w:tcBorders>
                  <w:noWrap w:val="0"/>
                  <w:vAlign w:val="center"/>
                </w:tcPr>
                <w:p w14:paraId="076C9AE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s="Times New Roman"/>
                      <w:color w:val="auto"/>
                      <w:kern w:val="2"/>
                      <w:sz w:val="21"/>
                      <w:szCs w:val="21"/>
                      <w:lang w:val="en-US" w:eastAsia="zh-CN" w:bidi="ar-SA"/>
                    </w:rPr>
                    <w:t>检修频次增加</w:t>
                  </w:r>
                </w:p>
              </w:tc>
              <w:tc>
                <w:tcPr>
                  <w:tcW w:w="965" w:type="pct"/>
                  <w:tcBorders>
                    <w:tl2br w:val="nil"/>
                    <w:tr2bl w:val="nil"/>
                  </w:tcBorders>
                  <w:noWrap w:val="0"/>
                  <w:vAlign w:val="center"/>
                </w:tcPr>
                <w:p w14:paraId="14CED99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依托现有工程</w:t>
                  </w:r>
                </w:p>
              </w:tc>
            </w:tr>
            <w:tr w14:paraId="5A499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339" w:type="pct"/>
                  <w:vMerge w:val="restart"/>
                  <w:tcBorders>
                    <w:tl2br w:val="nil"/>
                    <w:tr2bl w:val="nil"/>
                  </w:tcBorders>
                  <w:noWrap w:val="0"/>
                  <w:vAlign w:val="center"/>
                </w:tcPr>
                <w:p w14:paraId="1FD53AB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公用工程</w:t>
                  </w:r>
                </w:p>
              </w:tc>
              <w:tc>
                <w:tcPr>
                  <w:tcW w:w="652" w:type="pct"/>
                  <w:tcBorders>
                    <w:tl2br w:val="nil"/>
                    <w:tr2bl w:val="nil"/>
                  </w:tcBorders>
                  <w:noWrap w:val="0"/>
                  <w:vAlign w:val="center"/>
                </w:tcPr>
                <w:p w14:paraId="7C5FC14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供水</w:t>
                  </w:r>
                </w:p>
              </w:tc>
              <w:tc>
                <w:tcPr>
                  <w:tcW w:w="3042" w:type="pct"/>
                  <w:gridSpan w:val="3"/>
                  <w:tcBorders>
                    <w:tl2br w:val="nil"/>
                    <w:tr2bl w:val="nil"/>
                  </w:tcBorders>
                  <w:noWrap w:val="0"/>
                  <w:vAlign w:val="center"/>
                </w:tcPr>
                <w:p w14:paraId="31B241E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s="Times New Roman"/>
                      <w:color w:val="auto"/>
                      <w:spacing w:val="-6"/>
                      <w:kern w:val="2"/>
                      <w:sz w:val="21"/>
                      <w:szCs w:val="21"/>
                      <w:lang w:val="en-US" w:eastAsia="zh-CN"/>
                    </w:rPr>
                    <w:t>供水由中丰店村供水管道提供</w:t>
                  </w:r>
                </w:p>
              </w:tc>
              <w:tc>
                <w:tcPr>
                  <w:tcW w:w="965" w:type="pct"/>
                  <w:vMerge w:val="restart"/>
                  <w:tcBorders>
                    <w:tl2br w:val="nil"/>
                    <w:tr2bl w:val="nil"/>
                  </w:tcBorders>
                  <w:noWrap w:val="0"/>
                  <w:vAlign w:val="center"/>
                </w:tcPr>
                <w:p w14:paraId="754F7F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color w:val="auto"/>
                      <w:spacing w:val="-6"/>
                      <w:kern w:val="2"/>
                      <w:sz w:val="21"/>
                      <w:szCs w:val="21"/>
                    </w:rPr>
                  </w:pPr>
                  <w:r>
                    <w:rPr>
                      <w:rFonts w:hint="eastAsia"/>
                      <w:color w:val="auto"/>
                      <w:szCs w:val="21"/>
                      <w:lang w:val="en-US" w:eastAsia="zh-CN"/>
                    </w:rPr>
                    <w:t>无变化，依托现有工程</w:t>
                  </w:r>
                </w:p>
              </w:tc>
            </w:tr>
            <w:tr w14:paraId="68EFC3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30FFEBA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41C45B4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供电</w:t>
                  </w:r>
                </w:p>
              </w:tc>
              <w:tc>
                <w:tcPr>
                  <w:tcW w:w="3042" w:type="pct"/>
                  <w:gridSpan w:val="3"/>
                  <w:tcBorders>
                    <w:tl2br w:val="nil"/>
                    <w:tr2bl w:val="nil"/>
                  </w:tcBorders>
                  <w:noWrap w:val="0"/>
                  <w:vAlign w:val="center"/>
                </w:tcPr>
                <w:p w14:paraId="131A692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由当地供电电网引入</w:t>
                  </w:r>
                </w:p>
              </w:tc>
              <w:tc>
                <w:tcPr>
                  <w:tcW w:w="965" w:type="pct"/>
                  <w:vMerge w:val="continue"/>
                  <w:tcBorders>
                    <w:tl2br w:val="nil"/>
                    <w:tr2bl w:val="nil"/>
                  </w:tcBorders>
                  <w:noWrap w:val="0"/>
                  <w:vAlign w:val="center"/>
                </w:tcPr>
                <w:p w14:paraId="58E96DF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p>
              </w:tc>
            </w:tr>
            <w:tr w14:paraId="219BB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39" w:type="pct"/>
                  <w:vMerge w:val="continue"/>
                  <w:tcBorders>
                    <w:tl2br w:val="nil"/>
                    <w:tr2bl w:val="nil"/>
                  </w:tcBorders>
                  <w:noWrap w:val="0"/>
                  <w:vAlign w:val="center"/>
                </w:tcPr>
                <w:p w14:paraId="5AEB9DF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shd w:val="clear" w:color="auto" w:fill="auto"/>
                  <w:noWrap w:val="0"/>
                  <w:vAlign w:val="center"/>
                </w:tcPr>
                <w:p w14:paraId="25A4B71B">
                  <w:pPr>
                    <w:pStyle w:val="24"/>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eastAsia="宋体" w:cs="Times New Roman"/>
                      <w:color w:val="auto"/>
                      <w:spacing w:val="-6"/>
                      <w:kern w:val="2"/>
                      <w:sz w:val="21"/>
                      <w:szCs w:val="21"/>
                      <w:lang w:val="en-US" w:eastAsia="zh-CN" w:bidi="ar-SA"/>
                    </w:rPr>
                  </w:pPr>
                  <w:r>
                    <w:rPr>
                      <w:rFonts w:ascii="Times New Roman" w:hAnsi="Times New Roman" w:eastAsia="宋体" w:cs="Times New Roman"/>
                      <w:color w:val="auto"/>
                      <w:spacing w:val="-6"/>
                      <w:kern w:val="2"/>
                      <w:sz w:val="21"/>
                      <w:szCs w:val="21"/>
                      <w:lang w:val="en-US" w:eastAsia="zh-CN" w:bidi="ar-SA"/>
                    </w:rPr>
                    <w:t>消防</w:t>
                  </w:r>
                </w:p>
              </w:tc>
              <w:tc>
                <w:tcPr>
                  <w:tcW w:w="3042" w:type="pct"/>
                  <w:gridSpan w:val="3"/>
                  <w:tcBorders>
                    <w:tl2br w:val="nil"/>
                    <w:tr2bl w:val="nil"/>
                  </w:tcBorders>
                  <w:shd w:val="clear" w:color="auto" w:fill="auto"/>
                  <w:noWrap w:val="0"/>
                  <w:vAlign w:val="center"/>
                </w:tcPr>
                <w:p w14:paraId="48717000">
                  <w:pPr>
                    <w:pStyle w:val="24"/>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宋体" w:hAnsi="宋体" w:eastAsia="宋体" w:cs="Times New Roman"/>
                      <w:color w:val="auto"/>
                      <w:kern w:val="0"/>
                      <w:sz w:val="24"/>
                      <w:szCs w:val="21"/>
                      <w:lang w:val="en-US" w:eastAsia="zh-CN" w:bidi="ar-SA"/>
                    </w:rPr>
                  </w:pPr>
                  <w:r>
                    <w:rPr>
                      <w:rFonts w:ascii="Times New Roman" w:hAnsi="Times New Roman" w:eastAsia="宋体" w:cs="Times New Roman"/>
                      <w:color w:val="auto"/>
                      <w:spacing w:val="-6"/>
                      <w:kern w:val="2"/>
                      <w:sz w:val="21"/>
                      <w:szCs w:val="21"/>
                      <w:lang w:val="en-US" w:eastAsia="zh-CN" w:bidi="ar-SA"/>
                    </w:rPr>
                    <w:t>生产车间各部分、办公楼、宿舍楼配置干粉灭火器</w:t>
                  </w:r>
                </w:p>
              </w:tc>
              <w:tc>
                <w:tcPr>
                  <w:tcW w:w="965" w:type="pct"/>
                  <w:vMerge w:val="continue"/>
                  <w:tcBorders>
                    <w:tl2br w:val="nil"/>
                    <w:tr2bl w:val="nil"/>
                  </w:tcBorders>
                  <w:noWrap w:val="0"/>
                  <w:vAlign w:val="center"/>
                </w:tcPr>
                <w:p w14:paraId="4F0AF3B9">
                  <w:pPr>
                    <w:keepNext w:val="0"/>
                    <w:keepLines w:val="0"/>
                    <w:pageBreakBefore w:val="0"/>
                    <w:widowControl w:val="0"/>
                    <w:kinsoku/>
                    <w:wordWrap/>
                    <w:overflowPunct/>
                    <w:topLinePunct w:val="0"/>
                    <w:autoSpaceDE/>
                    <w:autoSpaceDN/>
                    <w:bidi w:val="0"/>
                    <w:adjustRightInd w:val="0"/>
                    <w:snapToGrid w:val="0"/>
                    <w:jc w:val="center"/>
                    <w:textAlignment w:val="auto"/>
                    <w:rPr>
                      <w:bCs/>
                      <w:color w:val="auto"/>
                      <w:kern w:val="2"/>
                      <w:sz w:val="21"/>
                      <w:szCs w:val="21"/>
                    </w:rPr>
                  </w:pPr>
                </w:p>
              </w:tc>
            </w:tr>
            <w:tr w14:paraId="7A85B8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2DDEE68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shd w:val="clear" w:color="auto" w:fill="auto"/>
                  <w:noWrap w:val="0"/>
                  <w:vAlign w:val="center"/>
                </w:tcPr>
                <w:p w14:paraId="024C5520">
                  <w:pPr>
                    <w:keepNext w:val="0"/>
                    <w:keepLines w:val="0"/>
                    <w:pageBreakBefore w:val="0"/>
                    <w:widowControl w:val="0"/>
                    <w:kinsoku/>
                    <w:wordWrap/>
                    <w:overflowPunct/>
                    <w:topLinePunct w:val="0"/>
                    <w:autoSpaceDE/>
                    <w:autoSpaceDN/>
                    <w:bidi w:val="0"/>
                    <w:adjustRightInd w:val="0"/>
                    <w:snapToGrid w:val="0"/>
                    <w:spacing w:line="240" w:lineRule="auto"/>
                    <w:ind w:firstLine="198" w:firstLineChars="100"/>
                    <w:jc w:val="left"/>
                    <w:textAlignment w:val="auto"/>
                    <w:rPr>
                      <w:rFonts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rPr>
                    <w:t>供热</w:t>
                  </w:r>
                </w:p>
              </w:tc>
              <w:tc>
                <w:tcPr>
                  <w:tcW w:w="3042" w:type="pct"/>
                  <w:gridSpan w:val="3"/>
                  <w:tcBorders>
                    <w:tl2br w:val="nil"/>
                    <w:tr2bl w:val="nil"/>
                  </w:tcBorders>
                  <w:shd w:val="clear" w:color="auto" w:fill="auto"/>
                  <w:noWrap w:val="0"/>
                  <w:vAlign w:val="center"/>
                </w:tcPr>
                <w:p w14:paraId="40A8693D">
                  <w:pPr>
                    <w:pStyle w:val="24"/>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color w:val="auto"/>
                      <w:szCs w:val="21"/>
                      <w:lang w:val="en-US" w:eastAsia="zh-CN"/>
                    </w:rPr>
                  </w:pPr>
                  <w:r>
                    <w:rPr>
                      <w:rFonts w:ascii="Times New Roman" w:hAnsi="Times New Roman" w:cs="Times New Roman"/>
                      <w:color w:val="auto"/>
                      <w:spacing w:val="-6"/>
                      <w:kern w:val="2"/>
                      <w:sz w:val="21"/>
                      <w:szCs w:val="21"/>
                    </w:rPr>
                    <w:t>生产线不需要加热，冬季办公区采暖采用分体式空调</w:t>
                  </w:r>
                </w:p>
              </w:tc>
              <w:tc>
                <w:tcPr>
                  <w:tcW w:w="965" w:type="pct"/>
                  <w:vMerge w:val="continue"/>
                  <w:tcBorders>
                    <w:tl2br w:val="nil"/>
                    <w:tr2bl w:val="nil"/>
                  </w:tcBorders>
                  <w:noWrap w:val="0"/>
                  <w:vAlign w:val="center"/>
                </w:tcPr>
                <w:p w14:paraId="36C78E00">
                  <w:pPr>
                    <w:pStyle w:val="24"/>
                    <w:keepNext w:val="0"/>
                    <w:keepLines w:val="0"/>
                    <w:pageBreakBefore w:val="0"/>
                    <w:tabs>
                      <w:tab w:val="left" w:pos="4536"/>
                    </w:tabs>
                    <w:kinsoku/>
                    <w:wordWrap/>
                    <w:overflowPunct/>
                    <w:topLinePunct w:val="0"/>
                    <w:autoSpaceDE/>
                    <w:autoSpaceDN/>
                    <w:bidi w:val="0"/>
                    <w:adjustRightInd w:val="0"/>
                    <w:snapToGrid w:val="0"/>
                    <w:spacing w:before="0" w:beforeAutospacing="0" w:after="0" w:afterAutospacing="0" w:line="240" w:lineRule="auto"/>
                    <w:jc w:val="center"/>
                    <w:textAlignment w:val="auto"/>
                    <w:rPr>
                      <w:rFonts w:ascii="Times New Roman" w:hAnsi="Times New Roman" w:eastAsia="宋体" w:cs="Times New Roman"/>
                      <w:color w:val="auto"/>
                      <w:spacing w:val="-6"/>
                      <w:kern w:val="2"/>
                      <w:sz w:val="21"/>
                      <w:szCs w:val="21"/>
                      <w:lang w:val="en-US" w:eastAsia="zh-CN" w:bidi="ar-SA"/>
                    </w:rPr>
                  </w:pPr>
                </w:p>
              </w:tc>
            </w:tr>
            <w:tr w14:paraId="0B2F5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53805B6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shd w:val="clear" w:color="auto" w:fill="auto"/>
                  <w:noWrap w:val="0"/>
                  <w:vAlign w:val="center"/>
                </w:tcPr>
                <w:p w14:paraId="1FB65522">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color w:val="auto"/>
                      <w:kern w:val="2"/>
                      <w:sz w:val="21"/>
                      <w:szCs w:val="21"/>
                      <w:highlight w:val="yellow"/>
                      <w:lang w:val="en-US" w:eastAsia="zh-CN" w:bidi="ar-SA"/>
                    </w:rPr>
                  </w:pPr>
                  <w:r>
                    <w:rPr>
                      <w:color w:val="auto"/>
                      <w:szCs w:val="21"/>
                    </w:rPr>
                    <w:t>排水</w:t>
                  </w:r>
                </w:p>
              </w:tc>
              <w:tc>
                <w:tcPr>
                  <w:tcW w:w="3042" w:type="pct"/>
                  <w:gridSpan w:val="3"/>
                  <w:tcBorders>
                    <w:tl2br w:val="nil"/>
                    <w:tr2bl w:val="nil"/>
                  </w:tcBorders>
                  <w:shd w:val="clear" w:color="auto" w:fill="auto"/>
                  <w:noWrap w:val="0"/>
                  <w:vAlign w:val="center"/>
                </w:tcPr>
                <w:p w14:paraId="62C9F69D">
                  <w:pPr>
                    <w:keepNext w:val="0"/>
                    <w:keepLines w:val="0"/>
                    <w:pageBreakBefore w:val="0"/>
                    <w:widowControl w:val="0"/>
                    <w:kinsoku/>
                    <w:wordWrap/>
                    <w:overflowPunct/>
                    <w:topLinePunct w:val="0"/>
                    <w:autoSpaceDE/>
                    <w:autoSpaceDN/>
                    <w:bidi w:val="0"/>
                    <w:adjustRightInd w:val="0"/>
                    <w:snapToGrid w:val="0"/>
                    <w:jc w:val="left"/>
                    <w:textAlignment w:val="auto"/>
                    <w:rPr>
                      <w:bCs/>
                      <w:color w:val="auto"/>
                      <w:kern w:val="2"/>
                      <w:sz w:val="21"/>
                      <w:szCs w:val="21"/>
                    </w:rPr>
                  </w:pPr>
                  <w:r>
                    <w:rPr>
                      <w:bCs/>
                      <w:color w:val="auto"/>
                      <w:kern w:val="2"/>
                      <w:sz w:val="21"/>
                      <w:szCs w:val="21"/>
                    </w:rPr>
                    <w:t>食堂废水经隔油池处理后，与生活污水混合进入化粪池（</w:t>
                  </w:r>
                  <w:r>
                    <w:rPr>
                      <w:rFonts w:hint="eastAsia"/>
                      <w:bCs/>
                      <w:color w:val="auto"/>
                      <w:kern w:val="2"/>
                      <w:sz w:val="21"/>
                      <w:szCs w:val="21"/>
                    </w:rPr>
                    <w:t>容积</w:t>
                  </w:r>
                  <w:r>
                    <w:rPr>
                      <w:rFonts w:hint="eastAsia"/>
                      <w:bCs/>
                      <w:color w:val="auto"/>
                      <w:kern w:val="2"/>
                      <w:sz w:val="21"/>
                      <w:szCs w:val="21"/>
                      <w:lang w:val="en-US" w:eastAsia="zh-CN"/>
                    </w:rPr>
                    <w:t>20</w:t>
                  </w:r>
                  <w:r>
                    <w:rPr>
                      <w:rFonts w:hint="eastAsia"/>
                      <w:bCs/>
                      <w:color w:val="auto"/>
                      <w:kern w:val="2"/>
                      <w:sz w:val="21"/>
                      <w:szCs w:val="21"/>
                    </w:rPr>
                    <w:t>m</w:t>
                  </w:r>
                  <w:r>
                    <w:rPr>
                      <w:rFonts w:hint="eastAsia"/>
                      <w:bCs/>
                      <w:color w:val="auto"/>
                      <w:kern w:val="2"/>
                      <w:sz w:val="21"/>
                      <w:szCs w:val="21"/>
                      <w:vertAlign w:val="superscript"/>
                    </w:rPr>
                    <w:t>3</w:t>
                  </w:r>
                  <w:r>
                    <w:rPr>
                      <w:bCs/>
                      <w:color w:val="auto"/>
                      <w:kern w:val="2"/>
                      <w:sz w:val="21"/>
                      <w:szCs w:val="21"/>
                    </w:rPr>
                    <w:t>），</w:t>
                  </w:r>
                  <w:r>
                    <w:rPr>
                      <w:rFonts w:hint="eastAsia"/>
                      <w:bCs/>
                      <w:color w:val="auto"/>
                      <w:kern w:val="2"/>
                      <w:sz w:val="21"/>
                      <w:szCs w:val="21"/>
                    </w:rPr>
                    <w:t>定期清掏肥田，不外排。</w:t>
                  </w:r>
                  <w:r>
                    <w:rPr>
                      <w:rFonts w:hint="eastAsia"/>
                      <w:color w:val="auto"/>
                      <w:szCs w:val="21"/>
                      <w:lang w:val="en-US" w:eastAsia="zh-CN"/>
                    </w:rPr>
                    <w:t>洗车废水经四级沉淀池沉淀后循环使用，不外排</w:t>
                  </w:r>
                </w:p>
              </w:tc>
              <w:tc>
                <w:tcPr>
                  <w:tcW w:w="965" w:type="pct"/>
                  <w:tcBorders>
                    <w:tl2br w:val="nil"/>
                    <w:tr2bl w:val="nil"/>
                  </w:tcBorders>
                  <w:shd w:val="clear" w:color="auto" w:fill="auto"/>
                  <w:noWrap w:val="0"/>
                  <w:vAlign w:val="center"/>
                </w:tcPr>
                <w:p w14:paraId="7CFE64B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无变化，依托现有工程</w:t>
                  </w:r>
                </w:p>
              </w:tc>
            </w:tr>
            <w:tr w14:paraId="5DC2D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restart"/>
                  <w:tcBorders>
                    <w:tl2br w:val="nil"/>
                    <w:tr2bl w:val="nil"/>
                  </w:tcBorders>
                  <w:noWrap w:val="0"/>
                  <w:vAlign w:val="center"/>
                </w:tcPr>
                <w:p w14:paraId="71BD82D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储运工程</w:t>
                  </w:r>
                </w:p>
              </w:tc>
              <w:tc>
                <w:tcPr>
                  <w:tcW w:w="652" w:type="pct"/>
                  <w:vMerge w:val="restart"/>
                  <w:tcBorders>
                    <w:tl2br w:val="nil"/>
                    <w:tr2bl w:val="nil"/>
                  </w:tcBorders>
                  <w:noWrap w:val="0"/>
                  <w:vAlign w:val="center"/>
                </w:tcPr>
                <w:p w14:paraId="471363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储存</w:t>
                  </w:r>
                </w:p>
              </w:tc>
              <w:tc>
                <w:tcPr>
                  <w:tcW w:w="3042" w:type="pct"/>
                  <w:gridSpan w:val="3"/>
                  <w:tcBorders>
                    <w:tl2br w:val="nil"/>
                    <w:tr2bl w:val="nil"/>
                  </w:tcBorders>
                  <w:noWrap w:val="0"/>
                  <w:vAlign w:val="center"/>
                </w:tcPr>
                <w:p w14:paraId="74AA5D5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设置钢结构成品库房，建筑面积1188m</w:t>
                  </w:r>
                  <w:r>
                    <w:rPr>
                      <w:rFonts w:hint="eastAsia"/>
                      <w:color w:val="auto"/>
                      <w:szCs w:val="21"/>
                      <w:vertAlign w:val="superscript"/>
                      <w:lang w:val="en-US" w:eastAsia="zh-CN"/>
                    </w:rPr>
                    <w:t>2</w:t>
                  </w:r>
                </w:p>
              </w:tc>
              <w:tc>
                <w:tcPr>
                  <w:tcW w:w="965" w:type="pct"/>
                  <w:vMerge w:val="restart"/>
                  <w:tcBorders>
                    <w:tl2br w:val="nil"/>
                    <w:tr2bl w:val="nil"/>
                  </w:tcBorders>
                  <w:noWrap w:val="0"/>
                  <w:vAlign w:val="center"/>
                </w:tcPr>
                <w:p w14:paraId="4F31093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无变化，依托现有工程</w:t>
                  </w:r>
                </w:p>
              </w:tc>
            </w:tr>
            <w:tr w14:paraId="36188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32157C6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652" w:type="pct"/>
                  <w:vMerge w:val="continue"/>
                  <w:tcBorders>
                    <w:tl2br w:val="nil"/>
                    <w:tr2bl w:val="nil"/>
                  </w:tcBorders>
                  <w:noWrap w:val="0"/>
                  <w:vAlign w:val="center"/>
                </w:tcPr>
                <w:p w14:paraId="6A0CEE8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3042" w:type="pct"/>
                  <w:gridSpan w:val="3"/>
                  <w:tcBorders>
                    <w:tl2br w:val="nil"/>
                    <w:tr2bl w:val="nil"/>
                  </w:tcBorders>
                  <w:noWrap w:val="0"/>
                  <w:vAlign w:val="center"/>
                </w:tcPr>
                <w:p w14:paraId="198174C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原料储存在堆场中，用密布网覆盖，堆放高度不能高过防风抑尘网</w:t>
                  </w:r>
                </w:p>
              </w:tc>
              <w:tc>
                <w:tcPr>
                  <w:tcW w:w="965" w:type="pct"/>
                  <w:vMerge w:val="continue"/>
                  <w:tcBorders>
                    <w:tl2br w:val="nil"/>
                    <w:tr2bl w:val="nil"/>
                  </w:tcBorders>
                  <w:noWrap w:val="0"/>
                  <w:vAlign w:val="center"/>
                </w:tcPr>
                <w:p w14:paraId="1226D5C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s="Times New Roman"/>
                      <w:color w:val="auto"/>
                      <w:kern w:val="2"/>
                      <w:sz w:val="21"/>
                      <w:szCs w:val="21"/>
                      <w:lang w:val="en-US" w:eastAsia="zh-CN" w:bidi="ar-SA"/>
                    </w:rPr>
                  </w:pPr>
                </w:p>
              </w:tc>
            </w:tr>
            <w:tr w14:paraId="0E3ED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7AF83B9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2A814C7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运输</w:t>
                  </w:r>
                </w:p>
              </w:tc>
              <w:tc>
                <w:tcPr>
                  <w:tcW w:w="3042" w:type="pct"/>
                  <w:gridSpan w:val="3"/>
                  <w:tcBorders>
                    <w:tl2br w:val="nil"/>
                    <w:tr2bl w:val="nil"/>
                  </w:tcBorders>
                  <w:noWrap w:val="0"/>
                  <w:vAlign w:val="center"/>
                </w:tcPr>
                <w:p w14:paraId="5F934AE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原辅材料及成品运输采用汽车运输</w:t>
                  </w:r>
                </w:p>
              </w:tc>
              <w:tc>
                <w:tcPr>
                  <w:tcW w:w="965" w:type="pct"/>
                  <w:vMerge w:val="continue"/>
                  <w:tcBorders>
                    <w:tl2br w:val="nil"/>
                    <w:tr2bl w:val="nil"/>
                  </w:tcBorders>
                  <w:noWrap w:val="0"/>
                  <w:vAlign w:val="center"/>
                </w:tcPr>
                <w:p w14:paraId="6B8B0BB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p>
              </w:tc>
            </w:tr>
            <w:tr w14:paraId="5FD048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39" w:type="pct"/>
                  <w:vMerge w:val="restart"/>
                  <w:tcBorders>
                    <w:tl2br w:val="nil"/>
                    <w:tr2bl w:val="nil"/>
                  </w:tcBorders>
                  <w:noWrap w:val="0"/>
                  <w:vAlign w:val="center"/>
                </w:tcPr>
                <w:p w14:paraId="1BA8439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环保工程</w:t>
                  </w:r>
                </w:p>
              </w:tc>
              <w:tc>
                <w:tcPr>
                  <w:tcW w:w="652" w:type="pct"/>
                  <w:vMerge w:val="restart"/>
                  <w:tcBorders>
                    <w:tl2br w:val="nil"/>
                    <w:tr2bl w:val="nil"/>
                  </w:tcBorders>
                  <w:noWrap w:val="0"/>
                  <w:vAlign w:val="center"/>
                </w:tcPr>
                <w:p w14:paraId="05E130D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highlight w:val="none"/>
                    </w:rPr>
                    <w:t>大气污染防治措施</w:t>
                  </w:r>
                </w:p>
              </w:tc>
              <w:tc>
                <w:tcPr>
                  <w:tcW w:w="3042" w:type="pct"/>
                  <w:gridSpan w:val="3"/>
                  <w:tcBorders>
                    <w:tl2br w:val="nil"/>
                    <w:tr2bl w:val="nil"/>
                  </w:tcBorders>
                  <w:noWrap w:val="0"/>
                  <w:vAlign w:val="center"/>
                </w:tcPr>
                <w:p w14:paraId="42528951">
                  <w:pPr>
                    <w:keepNext w:val="0"/>
                    <w:keepLines w:val="0"/>
                    <w:pageBreakBefore w:val="0"/>
                    <w:widowControl w:val="0"/>
                    <w:kinsoku/>
                    <w:wordWrap/>
                    <w:overflowPunct/>
                    <w:topLinePunct w:val="0"/>
                    <w:autoSpaceDE/>
                    <w:autoSpaceDN/>
                    <w:bidi w:val="0"/>
                    <w:adjustRightInd w:val="0"/>
                    <w:snapToGrid w:val="0"/>
                    <w:jc w:val="left"/>
                    <w:textAlignment w:val="auto"/>
                    <w:rPr>
                      <w:rFonts w:hint="default"/>
                      <w:color w:val="auto"/>
                      <w:szCs w:val="21"/>
                      <w:lang w:val="en-US" w:eastAsia="zh-CN"/>
                    </w:rPr>
                  </w:pPr>
                  <w:r>
                    <w:rPr>
                      <w:rFonts w:hint="eastAsia"/>
                      <w:color w:val="auto"/>
                      <w:szCs w:val="21"/>
                      <w:lang w:val="en-US" w:eastAsia="zh-CN"/>
                    </w:rPr>
                    <w:t>鄂破机进料口</w:t>
                  </w:r>
                  <w:r>
                    <w:rPr>
                      <w:rFonts w:hint="eastAsia"/>
                      <w:color w:val="auto"/>
                      <w:szCs w:val="21"/>
                    </w:rPr>
                    <w:t>、振动筛</w:t>
                  </w:r>
                  <w:r>
                    <w:rPr>
                      <w:rFonts w:hint="eastAsia"/>
                      <w:color w:val="auto"/>
                      <w:szCs w:val="21"/>
                      <w:lang w:val="en-US" w:eastAsia="zh-CN"/>
                    </w:rPr>
                    <w:t>进料口和筛面、下料口产生的粉尘</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w:t>
                  </w:r>
                  <w:r>
                    <w:rPr>
                      <w:rFonts w:hint="eastAsia"/>
                      <w:color w:val="auto"/>
                      <w:szCs w:val="21"/>
                      <w:lang w:val="en-US" w:eastAsia="zh-CN"/>
                    </w:rPr>
                    <w:t>15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DA001</w:t>
                  </w:r>
                  <w:r>
                    <w:rPr>
                      <w:rFonts w:hint="eastAsia"/>
                      <w:color w:val="auto"/>
                      <w:szCs w:val="21"/>
                      <w:lang w:eastAsia="zh-CN"/>
                    </w:rPr>
                    <w:t>）</w:t>
                  </w:r>
                  <w:r>
                    <w:rPr>
                      <w:rFonts w:hint="eastAsia"/>
                      <w:color w:val="auto"/>
                      <w:szCs w:val="21"/>
                    </w:rPr>
                    <w:t>排放</w:t>
                  </w:r>
                </w:p>
              </w:tc>
              <w:tc>
                <w:tcPr>
                  <w:tcW w:w="965" w:type="pct"/>
                  <w:tcBorders>
                    <w:tl2br w:val="nil"/>
                    <w:tr2bl w:val="nil"/>
                  </w:tcBorders>
                  <w:noWrap w:val="0"/>
                  <w:vAlign w:val="center"/>
                </w:tcPr>
                <w:p w14:paraId="1EB31DE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kern w:val="2"/>
                      <w:sz w:val="21"/>
                      <w:szCs w:val="21"/>
                      <w:lang w:val="en-US"/>
                    </w:rPr>
                  </w:pPr>
                  <w:r>
                    <w:rPr>
                      <w:rFonts w:hint="eastAsia"/>
                      <w:color w:val="auto"/>
                      <w:szCs w:val="21"/>
                      <w:lang w:val="en-US" w:eastAsia="zh-CN"/>
                    </w:rPr>
                    <w:t>依托现有布袋除尘器和排气筒，共享现有布袋除尘器及排气筒进行收集处理排放</w:t>
                  </w:r>
                </w:p>
              </w:tc>
            </w:tr>
            <w:tr w14:paraId="6A003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339" w:type="pct"/>
                  <w:vMerge w:val="continue"/>
                  <w:tcBorders>
                    <w:tl2br w:val="nil"/>
                    <w:tr2bl w:val="nil"/>
                  </w:tcBorders>
                  <w:noWrap w:val="0"/>
                  <w:vAlign w:val="center"/>
                </w:tcPr>
                <w:p w14:paraId="3026D8C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1D626A3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3042" w:type="pct"/>
                  <w:gridSpan w:val="3"/>
                  <w:tcBorders>
                    <w:tl2br w:val="nil"/>
                    <w:tr2bl w:val="nil"/>
                  </w:tcBorders>
                  <w:noWrap w:val="0"/>
                  <w:vAlign w:val="center"/>
                </w:tcPr>
                <w:p w14:paraId="14A95E3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反击破进料口</w:t>
                  </w:r>
                  <w:r>
                    <w:rPr>
                      <w:rFonts w:hint="eastAsia"/>
                      <w:color w:val="auto"/>
                      <w:szCs w:val="21"/>
                    </w:rPr>
                    <w:t>、</w:t>
                  </w:r>
                  <w:r>
                    <w:rPr>
                      <w:rFonts w:hint="eastAsia"/>
                      <w:color w:val="auto"/>
                      <w:szCs w:val="21"/>
                      <w:lang w:val="en-US" w:eastAsia="zh-CN"/>
                    </w:rPr>
                    <w:t>出料口产生的粉尘</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1根1</w:t>
                  </w:r>
                  <w:r>
                    <w:rPr>
                      <w:rFonts w:hint="eastAsia"/>
                      <w:color w:val="auto"/>
                      <w:szCs w:val="21"/>
                      <w:lang w:val="en-US" w:eastAsia="zh-CN"/>
                    </w:rPr>
                    <w:t>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DA002</w:t>
                  </w:r>
                  <w:r>
                    <w:rPr>
                      <w:rFonts w:hint="eastAsia"/>
                      <w:color w:val="auto"/>
                      <w:szCs w:val="21"/>
                      <w:lang w:eastAsia="zh-CN"/>
                    </w:rPr>
                    <w:t>）</w:t>
                  </w:r>
                  <w:r>
                    <w:rPr>
                      <w:rFonts w:hint="eastAsia"/>
                      <w:color w:val="auto"/>
                      <w:szCs w:val="21"/>
                    </w:rPr>
                    <w:t>排放</w:t>
                  </w:r>
                </w:p>
              </w:tc>
              <w:tc>
                <w:tcPr>
                  <w:tcW w:w="965" w:type="pct"/>
                  <w:tcBorders>
                    <w:tl2br w:val="nil"/>
                    <w:tr2bl w:val="nil"/>
                  </w:tcBorders>
                  <w:noWrap w:val="0"/>
                  <w:vAlign w:val="center"/>
                </w:tcPr>
                <w:p w14:paraId="606EDCF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依托现有布袋除尘器和排气筒，共享现有布袋除尘器及排气筒进行收集处理排放</w:t>
                  </w:r>
                </w:p>
              </w:tc>
            </w:tr>
            <w:tr w14:paraId="296C2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9" w:type="pct"/>
                  <w:vMerge w:val="continue"/>
                  <w:tcBorders>
                    <w:tl2br w:val="nil"/>
                    <w:tr2bl w:val="nil"/>
                  </w:tcBorders>
                  <w:noWrap w:val="0"/>
                  <w:vAlign w:val="center"/>
                </w:tcPr>
                <w:p w14:paraId="0670BA8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59EEDCB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3042" w:type="pct"/>
                  <w:gridSpan w:val="3"/>
                  <w:tcBorders>
                    <w:tl2br w:val="nil"/>
                    <w:tr2bl w:val="nil"/>
                  </w:tcBorders>
                  <w:noWrap w:val="0"/>
                  <w:vAlign w:val="center"/>
                </w:tcPr>
                <w:p w14:paraId="3C43974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一级</w:t>
                  </w:r>
                  <w:r>
                    <w:rPr>
                      <w:rFonts w:hint="eastAsia"/>
                      <w:color w:val="auto"/>
                      <w:szCs w:val="21"/>
                    </w:rPr>
                    <w:t>振动筛进料口和筛面</w:t>
                  </w:r>
                  <w:r>
                    <w:rPr>
                      <w:rFonts w:hint="eastAsia"/>
                      <w:color w:val="auto"/>
                      <w:szCs w:val="21"/>
                      <w:lang w:eastAsia="zh-CN"/>
                    </w:rPr>
                    <w:t>、</w:t>
                  </w:r>
                  <w:r>
                    <w:rPr>
                      <w:rFonts w:hint="eastAsia"/>
                      <w:color w:val="auto"/>
                      <w:szCs w:val="21"/>
                    </w:rPr>
                    <w:t>下料口</w:t>
                  </w:r>
                  <w:r>
                    <w:rPr>
                      <w:rFonts w:hint="eastAsia"/>
                      <w:color w:val="auto"/>
                      <w:szCs w:val="21"/>
                      <w:lang w:val="en-US" w:eastAsia="zh-CN"/>
                    </w:rPr>
                    <w:t>产生的粉尘、分选机进料口、出料口</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1根1</w:t>
                  </w:r>
                  <w:r>
                    <w:rPr>
                      <w:rFonts w:hint="eastAsia"/>
                      <w:color w:val="auto"/>
                      <w:szCs w:val="21"/>
                      <w:lang w:val="en-US" w:eastAsia="zh-CN"/>
                    </w:rPr>
                    <w:t>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DA003</w:t>
                  </w:r>
                  <w:r>
                    <w:rPr>
                      <w:rFonts w:hint="eastAsia"/>
                      <w:color w:val="auto"/>
                      <w:szCs w:val="21"/>
                      <w:lang w:eastAsia="zh-CN"/>
                    </w:rPr>
                    <w:t>）</w:t>
                  </w:r>
                  <w:r>
                    <w:rPr>
                      <w:rFonts w:hint="eastAsia"/>
                      <w:color w:val="auto"/>
                      <w:szCs w:val="21"/>
                    </w:rPr>
                    <w:t>排放</w:t>
                  </w:r>
                </w:p>
              </w:tc>
              <w:tc>
                <w:tcPr>
                  <w:tcW w:w="965" w:type="pct"/>
                  <w:tcBorders>
                    <w:tl2br w:val="nil"/>
                    <w:tr2bl w:val="nil"/>
                  </w:tcBorders>
                  <w:noWrap w:val="0"/>
                  <w:vAlign w:val="center"/>
                </w:tcPr>
                <w:p w14:paraId="52AE25C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依托现有布袋除尘器和排气筒，共享现有布袋除尘器及排气筒进行收集处理排放</w:t>
                  </w:r>
                </w:p>
              </w:tc>
            </w:tr>
            <w:tr w14:paraId="496341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339" w:type="pct"/>
                  <w:vMerge w:val="continue"/>
                  <w:tcBorders>
                    <w:tl2br w:val="nil"/>
                    <w:tr2bl w:val="nil"/>
                  </w:tcBorders>
                  <w:noWrap w:val="0"/>
                  <w:vAlign w:val="center"/>
                </w:tcPr>
                <w:p w14:paraId="7BDC4D6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72A39BD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3042" w:type="pct"/>
                  <w:gridSpan w:val="3"/>
                  <w:tcBorders>
                    <w:tl2br w:val="nil"/>
                    <w:tr2bl w:val="nil"/>
                  </w:tcBorders>
                  <w:noWrap w:val="0"/>
                  <w:vAlign w:val="center"/>
                </w:tcPr>
                <w:p w14:paraId="790D2A9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二级</w:t>
                  </w:r>
                  <w:r>
                    <w:rPr>
                      <w:rFonts w:hint="eastAsia"/>
                      <w:color w:val="auto"/>
                      <w:szCs w:val="21"/>
                    </w:rPr>
                    <w:t>振动筛进料口和筛面</w:t>
                  </w:r>
                  <w:r>
                    <w:rPr>
                      <w:rFonts w:hint="eastAsia"/>
                      <w:color w:val="auto"/>
                      <w:szCs w:val="21"/>
                      <w:lang w:eastAsia="zh-CN"/>
                    </w:rPr>
                    <w:t>、</w:t>
                  </w:r>
                  <w:r>
                    <w:rPr>
                      <w:rFonts w:hint="eastAsia"/>
                      <w:color w:val="auto"/>
                      <w:szCs w:val="21"/>
                    </w:rPr>
                    <w:t>下料口</w:t>
                  </w:r>
                  <w:r>
                    <w:rPr>
                      <w:rFonts w:hint="eastAsia"/>
                      <w:color w:val="auto"/>
                      <w:szCs w:val="21"/>
                      <w:lang w:val="en-US" w:eastAsia="zh-CN"/>
                    </w:rPr>
                    <w:t>产生的粉尘、分选机进料口、出料口</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1根1</w:t>
                  </w:r>
                  <w:r>
                    <w:rPr>
                      <w:rFonts w:hint="eastAsia"/>
                      <w:color w:val="auto"/>
                      <w:szCs w:val="21"/>
                      <w:lang w:val="en-US" w:eastAsia="zh-CN"/>
                    </w:rPr>
                    <w:t>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DA004</w:t>
                  </w:r>
                  <w:r>
                    <w:rPr>
                      <w:rFonts w:hint="eastAsia"/>
                      <w:color w:val="auto"/>
                      <w:szCs w:val="21"/>
                      <w:lang w:eastAsia="zh-CN"/>
                    </w:rPr>
                    <w:t>）</w:t>
                  </w:r>
                  <w:r>
                    <w:rPr>
                      <w:rFonts w:hint="eastAsia"/>
                      <w:color w:val="auto"/>
                      <w:szCs w:val="21"/>
                    </w:rPr>
                    <w:t>排放</w:t>
                  </w:r>
                </w:p>
              </w:tc>
              <w:tc>
                <w:tcPr>
                  <w:tcW w:w="965" w:type="pct"/>
                  <w:tcBorders>
                    <w:tl2br w:val="nil"/>
                    <w:tr2bl w:val="nil"/>
                  </w:tcBorders>
                  <w:noWrap w:val="0"/>
                  <w:vAlign w:val="center"/>
                </w:tcPr>
                <w:p w14:paraId="326BC57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依托现有布袋除尘器和排气筒，共享现有布袋除尘器及排气筒进行收集处理排放</w:t>
                  </w:r>
                </w:p>
              </w:tc>
            </w:tr>
            <w:tr w14:paraId="399FA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339" w:type="pct"/>
                  <w:vMerge w:val="continue"/>
                  <w:tcBorders>
                    <w:tl2br w:val="nil"/>
                    <w:tr2bl w:val="nil"/>
                  </w:tcBorders>
                  <w:noWrap w:val="0"/>
                  <w:vAlign w:val="center"/>
                </w:tcPr>
                <w:p w14:paraId="48E8846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4FD3A04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rPr>
                  </w:pPr>
                </w:p>
              </w:tc>
              <w:tc>
                <w:tcPr>
                  <w:tcW w:w="1747" w:type="pct"/>
                  <w:tcBorders>
                    <w:tl2br w:val="nil"/>
                    <w:tr2bl w:val="nil"/>
                  </w:tcBorders>
                  <w:noWrap w:val="0"/>
                  <w:vAlign w:val="center"/>
                </w:tcPr>
                <w:p w14:paraId="33F4722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c>
                <w:tcPr>
                  <w:tcW w:w="1295" w:type="pct"/>
                  <w:gridSpan w:val="2"/>
                  <w:tcBorders>
                    <w:tl2br w:val="nil"/>
                    <w:tr2bl w:val="nil"/>
                  </w:tcBorders>
                  <w:noWrap w:val="0"/>
                  <w:vAlign w:val="center"/>
                </w:tcPr>
                <w:p w14:paraId="480DA86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新增的筛分机进料口和出料口、滚筛机进料口和出料口、风选机进料口和出料口产生的粉尘</w:t>
                  </w:r>
                  <w:r>
                    <w:rPr>
                      <w:rFonts w:hint="eastAsia"/>
                      <w:color w:val="auto"/>
                      <w:szCs w:val="21"/>
                    </w:rPr>
                    <w:t>经</w:t>
                  </w:r>
                  <w:r>
                    <w:rPr>
                      <w:rFonts w:hint="eastAsia"/>
                      <w:color w:val="auto"/>
                      <w:szCs w:val="21"/>
                      <w:lang w:val="en-US" w:eastAsia="zh-CN"/>
                    </w:rPr>
                    <w:t>集气罩和脉冲</w:t>
                  </w:r>
                  <w:r>
                    <w:rPr>
                      <w:rFonts w:hint="eastAsia"/>
                      <w:color w:val="auto"/>
                      <w:szCs w:val="21"/>
                    </w:rPr>
                    <w:t>布袋除尘器</w:t>
                  </w:r>
                  <w:r>
                    <w:rPr>
                      <w:rFonts w:hint="eastAsia"/>
                      <w:color w:val="auto"/>
                      <w:szCs w:val="21"/>
                      <w:lang w:val="en-US" w:eastAsia="zh-CN"/>
                    </w:rPr>
                    <w:t>收集</w:t>
                  </w:r>
                  <w:r>
                    <w:rPr>
                      <w:rFonts w:hint="eastAsia"/>
                      <w:color w:val="auto"/>
                      <w:szCs w:val="21"/>
                    </w:rPr>
                    <w:t>处理后</w:t>
                  </w:r>
                  <w:r>
                    <w:rPr>
                      <w:rFonts w:hint="eastAsia"/>
                      <w:color w:val="auto"/>
                      <w:szCs w:val="21"/>
                      <w:lang w:val="en-US" w:eastAsia="zh-CN"/>
                    </w:rPr>
                    <w:t>经</w:t>
                  </w:r>
                  <w:r>
                    <w:rPr>
                      <w:rFonts w:hint="eastAsia"/>
                      <w:color w:val="auto"/>
                      <w:szCs w:val="21"/>
                    </w:rPr>
                    <w:t>1根</w:t>
                  </w:r>
                  <w:r>
                    <w:rPr>
                      <w:rFonts w:hint="eastAsia"/>
                      <w:color w:val="auto"/>
                      <w:szCs w:val="21"/>
                      <w:lang w:val="en-US" w:eastAsia="zh-CN"/>
                    </w:rPr>
                    <w:t>15</w:t>
                  </w:r>
                  <w:r>
                    <w:rPr>
                      <w:rFonts w:hint="eastAsia"/>
                      <w:color w:val="auto"/>
                      <w:szCs w:val="21"/>
                    </w:rPr>
                    <w:t>m高排气筒</w:t>
                  </w:r>
                  <w:r>
                    <w:rPr>
                      <w:rFonts w:hint="eastAsia"/>
                      <w:color w:val="auto"/>
                      <w:szCs w:val="21"/>
                      <w:lang w:eastAsia="zh-CN"/>
                    </w:rPr>
                    <w:t>（</w:t>
                  </w:r>
                  <w:r>
                    <w:rPr>
                      <w:rFonts w:hint="eastAsia"/>
                      <w:color w:val="auto"/>
                      <w:szCs w:val="21"/>
                      <w:lang w:val="en-US" w:eastAsia="zh-CN"/>
                    </w:rPr>
                    <w:t>DA005</w:t>
                  </w:r>
                  <w:r>
                    <w:rPr>
                      <w:rFonts w:hint="eastAsia"/>
                      <w:color w:val="auto"/>
                      <w:szCs w:val="21"/>
                      <w:lang w:eastAsia="zh-CN"/>
                    </w:rPr>
                    <w:t>）</w:t>
                  </w:r>
                  <w:r>
                    <w:rPr>
                      <w:rFonts w:hint="eastAsia"/>
                      <w:color w:val="auto"/>
                      <w:szCs w:val="21"/>
                    </w:rPr>
                    <w:t>排放</w:t>
                  </w:r>
                </w:p>
              </w:tc>
              <w:tc>
                <w:tcPr>
                  <w:tcW w:w="965" w:type="pct"/>
                  <w:tcBorders>
                    <w:tl2br w:val="nil"/>
                    <w:tr2bl w:val="nil"/>
                  </w:tcBorders>
                  <w:noWrap w:val="0"/>
                  <w:vAlign w:val="center"/>
                </w:tcPr>
                <w:p w14:paraId="4962F8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新增一套布袋除尘器和排气筒</w:t>
                  </w:r>
                </w:p>
              </w:tc>
            </w:tr>
            <w:tr w14:paraId="458D6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4580DA9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3FDC530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747" w:type="pct"/>
                  <w:tcBorders>
                    <w:tl2br w:val="nil"/>
                    <w:tr2bl w:val="nil"/>
                  </w:tcBorders>
                  <w:noWrap w:val="0"/>
                  <w:vAlign w:val="center"/>
                </w:tcPr>
                <w:p w14:paraId="2B6A08A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highlight w:val="none"/>
                      <w:lang w:val="en-US" w:eastAsia="zh-CN"/>
                    </w:rPr>
                  </w:pPr>
                  <w:r>
                    <w:rPr>
                      <w:rFonts w:hint="eastAsia"/>
                      <w:color w:val="auto"/>
                      <w:szCs w:val="21"/>
                      <w:highlight w:val="none"/>
                      <w:lang w:val="en-US" w:eastAsia="zh-CN"/>
                    </w:rPr>
                    <w:t>生产工序各产尘点上方设置了喷淋装置，</w:t>
                  </w:r>
                  <w:r>
                    <w:rPr>
                      <w:rFonts w:hint="eastAsia" w:cs="Times New Roman"/>
                      <w:color w:val="auto"/>
                      <w:sz w:val="21"/>
                      <w:szCs w:val="21"/>
                      <w:lang w:val="en-US" w:eastAsia="zh-CN"/>
                    </w:rPr>
                    <w:t>室外密闭皮带输送，室内皮带上方喷淋，</w:t>
                  </w:r>
                  <w:r>
                    <w:rPr>
                      <w:rFonts w:ascii="Times New Roman" w:hAnsi="Times New Roman"/>
                      <w:color w:val="auto"/>
                      <w:szCs w:val="21"/>
                      <w:highlight w:val="none"/>
                    </w:rPr>
                    <w:t>设洗车</w:t>
                  </w:r>
                  <w:r>
                    <w:rPr>
                      <w:rFonts w:hint="eastAsia" w:ascii="Times New Roman" w:hAnsi="Times New Roman"/>
                      <w:color w:val="auto"/>
                      <w:szCs w:val="21"/>
                      <w:highlight w:val="none"/>
                    </w:rPr>
                    <w:t>台1座</w:t>
                  </w:r>
                  <w:r>
                    <w:rPr>
                      <w:rFonts w:ascii="Times New Roman" w:hAnsi="Times New Roman"/>
                      <w:color w:val="auto"/>
                      <w:szCs w:val="21"/>
                      <w:highlight w:val="none"/>
                    </w:rPr>
                    <w:t>，出入运输车辆进行冲洗；进场道路两边设置喷淋抑尘装置</w:t>
                  </w:r>
                </w:p>
              </w:tc>
              <w:tc>
                <w:tcPr>
                  <w:tcW w:w="1295" w:type="pct"/>
                  <w:gridSpan w:val="2"/>
                  <w:tcBorders>
                    <w:tl2br w:val="nil"/>
                    <w:tr2bl w:val="nil"/>
                  </w:tcBorders>
                  <w:noWrap w:val="0"/>
                  <w:vAlign w:val="center"/>
                </w:tcPr>
                <w:p w14:paraId="797505E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highlight w:val="none"/>
                      <w:lang w:val="en-US" w:eastAsia="zh-CN"/>
                    </w:rPr>
                  </w:pPr>
                  <w:r>
                    <w:rPr>
                      <w:rFonts w:hint="eastAsia"/>
                      <w:color w:val="auto"/>
                      <w:szCs w:val="21"/>
                      <w:highlight w:val="none"/>
                      <w:lang w:val="en-US" w:eastAsia="zh-CN"/>
                    </w:rPr>
                    <w:t>增加喷淋装置，增加喷淋用水量</w:t>
                  </w:r>
                </w:p>
              </w:tc>
              <w:tc>
                <w:tcPr>
                  <w:tcW w:w="965" w:type="pct"/>
                  <w:tcBorders>
                    <w:tl2br w:val="nil"/>
                    <w:tr2bl w:val="nil"/>
                  </w:tcBorders>
                  <w:noWrap w:val="0"/>
                  <w:vAlign w:val="center"/>
                </w:tcPr>
                <w:p w14:paraId="2006A8C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2#车间增加喷淋装置，1#车间依托现有喷淋装置</w:t>
                  </w:r>
                </w:p>
              </w:tc>
            </w:tr>
            <w:tr w14:paraId="007A1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7C3E15F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7719A5C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3042" w:type="pct"/>
                  <w:gridSpan w:val="3"/>
                  <w:tcBorders>
                    <w:tl2br w:val="nil"/>
                    <w:tr2bl w:val="nil"/>
                  </w:tcBorders>
                  <w:noWrap w:val="0"/>
                  <w:vAlign w:val="center"/>
                </w:tcPr>
                <w:p w14:paraId="7C427AF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highlight w:val="none"/>
                      <w:lang w:val="en-US" w:eastAsia="zh-CN"/>
                    </w:rPr>
                  </w:pPr>
                  <w:r>
                    <w:rPr>
                      <w:rFonts w:hint="eastAsia"/>
                      <w:color w:val="auto"/>
                      <w:szCs w:val="21"/>
                    </w:rPr>
                    <w:t>成品放置于</w:t>
                  </w:r>
                  <w:r>
                    <w:rPr>
                      <w:rFonts w:hint="eastAsia"/>
                      <w:color w:val="auto"/>
                      <w:szCs w:val="21"/>
                      <w:lang w:val="en-US" w:eastAsia="zh-CN"/>
                    </w:rPr>
                    <w:t>半</w:t>
                  </w:r>
                  <w:r>
                    <w:rPr>
                      <w:rFonts w:hint="eastAsia"/>
                      <w:color w:val="auto"/>
                      <w:szCs w:val="21"/>
                    </w:rPr>
                    <w:t>封闭的料库中</w:t>
                  </w:r>
                  <w:r>
                    <w:rPr>
                      <w:rFonts w:hint="eastAsia"/>
                      <w:color w:val="auto"/>
                      <w:szCs w:val="21"/>
                      <w:lang w:eastAsia="zh-CN"/>
                    </w:rPr>
                    <w:t>，</w:t>
                  </w:r>
                  <w:r>
                    <w:rPr>
                      <w:rFonts w:hint="eastAsia"/>
                      <w:color w:val="auto"/>
                      <w:szCs w:val="21"/>
                      <w:lang w:val="en-US" w:eastAsia="zh-CN"/>
                    </w:rPr>
                    <w:t>原料场地设置喷淋装置</w:t>
                  </w:r>
                </w:p>
              </w:tc>
              <w:tc>
                <w:tcPr>
                  <w:tcW w:w="965" w:type="pct"/>
                  <w:tcBorders>
                    <w:tl2br w:val="nil"/>
                    <w:tr2bl w:val="nil"/>
                  </w:tcBorders>
                  <w:noWrap w:val="0"/>
                  <w:vAlign w:val="center"/>
                </w:tcPr>
                <w:p w14:paraId="46B24DC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依托现有工程及环保设施</w:t>
                  </w:r>
                </w:p>
              </w:tc>
            </w:tr>
            <w:tr w14:paraId="05DDB9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36237AC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14987C1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747" w:type="pct"/>
                  <w:tcBorders>
                    <w:tl2br w:val="nil"/>
                    <w:tr2bl w:val="nil"/>
                  </w:tcBorders>
                  <w:noWrap w:val="0"/>
                  <w:vAlign w:val="center"/>
                </w:tcPr>
                <w:p w14:paraId="58E340C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highlight w:val="none"/>
                      <w:lang w:val="en-US" w:eastAsia="zh-CN"/>
                    </w:rPr>
                  </w:pPr>
                  <w:r>
                    <w:rPr>
                      <w:color w:val="auto"/>
                      <w:kern w:val="2"/>
                      <w:sz w:val="21"/>
                      <w:szCs w:val="21"/>
                      <w:highlight w:val="none"/>
                    </w:rPr>
                    <w:t>食堂油烟设油烟净化器</w:t>
                  </w:r>
                </w:p>
              </w:tc>
              <w:tc>
                <w:tcPr>
                  <w:tcW w:w="1295" w:type="pct"/>
                  <w:gridSpan w:val="2"/>
                  <w:tcBorders>
                    <w:tl2br w:val="nil"/>
                    <w:tr2bl w:val="nil"/>
                  </w:tcBorders>
                  <w:noWrap w:val="0"/>
                  <w:vAlign w:val="center"/>
                </w:tcPr>
                <w:p w14:paraId="1FF838F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本项目不新增人员</w:t>
                  </w:r>
                </w:p>
              </w:tc>
              <w:tc>
                <w:tcPr>
                  <w:tcW w:w="965" w:type="pct"/>
                  <w:tcBorders>
                    <w:tl2br w:val="nil"/>
                    <w:tr2bl w:val="nil"/>
                  </w:tcBorders>
                  <w:noWrap w:val="0"/>
                  <w:vAlign w:val="center"/>
                </w:tcPr>
                <w:p w14:paraId="62EC04A2">
                  <w:pPr>
                    <w:keepNext w:val="0"/>
                    <w:keepLines w:val="0"/>
                    <w:pageBreakBefore w:val="0"/>
                    <w:widowControl w:val="0"/>
                    <w:kinsoku/>
                    <w:wordWrap/>
                    <w:overflowPunct/>
                    <w:topLinePunct w:val="0"/>
                    <w:autoSpaceDE/>
                    <w:autoSpaceDN/>
                    <w:bidi w:val="0"/>
                    <w:adjustRightInd w:val="0"/>
                    <w:snapToGrid w:val="0"/>
                    <w:jc w:val="center"/>
                    <w:textAlignment w:val="auto"/>
                    <w:rPr>
                      <w:color w:val="auto"/>
                      <w:kern w:val="2"/>
                      <w:sz w:val="21"/>
                      <w:szCs w:val="21"/>
                    </w:rPr>
                  </w:pPr>
                  <w:r>
                    <w:rPr>
                      <w:rFonts w:hint="eastAsia"/>
                      <w:color w:val="auto"/>
                      <w:szCs w:val="21"/>
                      <w:lang w:val="en-US" w:eastAsia="zh-CN"/>
                    </w:rPr>
                    <w:t>无变化</w:t>
                  </w:r>
                </w:p>
              </w:tc>
            </w:tr>
            <w:tr w14:paraId="360F7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39" w:type="pct"/>
                  <w:vMerge w:val="continue"/>
                  <w:tcBorders>
                    <w:tl2br w:val="nil"/>
                    <w:tr2bl w:val="nil"/>
                  </w:tcBorders>
                  <w:noWrap w:val="0"/>
                  <w:vAlign w:val="center"/>
                </w:tcPr>
                <w:p w14:paraId="6011D913">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7B37179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水污染防治措施</w:t>
                  </w:r>
                </w:p>
              </w:tc>
              <w:tc>
                <w:tcPr>
                  <w:tcW w:w="3042" w:type="pct"/>
                  <w:gridSpan w:val="3"/>
                  <w:tcBorders>
                    <w:tl2br w:val="nil"/>
                    <w:tr2bl w:val="nil"/>
                  </w:tcBorders>
                  <w:noWrap w:val="0"/>
                  <w:vAlign w:val="center"/>
                </w:tcPr>
                <w:p w14:paraId="3F0436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bCs/>
                      <w:color w:val="auto"/>
                      <w:kern w:val="2"/>
                      <w:sz w:val="21"/>
                      <w:szCs w:val="21"/>
                    </w:rPr>
                    <w:t>食堂废水经隔油池处理后，与生活污水混合进入化粪池（</w:t>
                  </w:r>
                  <w:r>
                    <w:rPr>
                      <w:rFonts w:hint="eastAsia"/>
                      <w:bCs/>
                      <w:color w:val="auto"/>
                      <w:kern w:val="2"/>
                      <w:sz w:val="21"/>
                      <w:szCs w:val="21"/>
                    </w:rPr>
                    <w:t>容积</w:t>
                  </w:r>
                  <w:r>
                    <w:rPr>
                      <w:rFonts w:hint="eastAsia"/>
                      <w:bCs/>
                      <w:color w:val="auto"/>
                      <w:kern w:val="2"/>
                      <w:sz w:val="21"/>
                      <w:szCs w:val="21"/>
                      <w:lang w:val="en-US" w:eastAsia="zh-CN"/>
                    </w:rPr>
                    <w:t>20</w:t>
                  </w:r>
                  <w:r>
                    <w:rPr>
                      <w:rFonts w:hint="eastAsia"/>
                      <w:bCs/>
                      <w:color w:val="auto"/>
                      <w:kern w:val="2"/>
                      <w:sz w:val="21"/>
                      <w:szCs w:val="21"/>
                    </w:rPr>
                    <w:t>m</w:t>
                  </w:r>
                  <w:r>
                    <w:rPr>
                      <w:rFonts w:hint="eastAsia"/>
                      <w:bCs/>
                      <w:color w:val="auto"/>
                      <w:kern w:val="2"/>
                      <w:sz w:val="21"/>
                      <w:szCs w:val="21"/>
                      <w:vertAlign w:val="superscript"/>
                    </w:rPr>
                    <w:t>3</w:t>
                  </w:r>
                  <w:r>
                    <w:rPr>
                      <w:bCs/>
                      <w:color w:val="auto"/>
                      <w:kern w:val="2"/>
                      <w:sz w:val="21"/>
                      <w:szCs w:val="21"/>
                    </w:rPr>
                    <w:t>）</w:t>
                  </w:r>
                  <w:r>
                    <w:rPr>
                      <w:rFonts w:hint="eastAsia"/>
                      <w:bCs/>
                      <w:color w:val="auto"/>
                      <w:kern w:val="2"/>
                      <w:sz w:val="21"/>
                      <w:szCs w:val="21"/>
                    </w:rPr>
                    <w:t>定期清掏肥田，不外排</w:t>
                  </w:r>
                </w:p>
              </w:tc>
              <w:tc>
                <w:tcPr>
                  <w:tcW w:w="965" w:type="pct"/>
                  <w:tcBorders>
                    <w:tl2br w:val="nil"/>
                    <w:tr2bl w:val="nil"/>
                  </w:tcBorders>
                  <w:noWrap w:val="0"/>
                  <w:vAlign w:val="center"/>
                </w:tcPr>
                <w:p w14:paraId="560810A3">
                  <w:pPr>
                    <w:keepNext w:val="0"/>
                    <w:keepLines w:val="0"/>
                    <w:pageBreakBefore w:val="0"/>
                    <w:widowControl w:val="0"/>
                    <w:kinsoku/>
                    <w:wordWrap/>
                    <w:overflowPunct/>
                    <w:topLinePunct w:val="0"/>
                    <w:autoSpaceDE/>
                    <w:autoSpaceDN/>
                    <w:bidi w:val="0"/>
                    <w:adjustRightInd w:val="0"/>
                    <w:snapToGrid w:val="0"/>
                    <w:jc w:val="center"/>
                    <w:textAlignment w:val="auto"/>
                    <w:rPr>
                      <w:bCs/>
                      <w:color w:val="auto"/>
                      <w:kern w:val="2"/>
                      <w:sz w:val="21"/>
                      <w:szCs w:val="21"/>
                    </w:rPr>
                  </w:pPr>
                  <w:r>
                    <w:rPr>
                      <w:rFonts w:hint="eastAsia"/>
                      <w:color w:val="auto"/>
                      <w:szCs w:val="21"/>
                      <w:lang w:val="en-US" w:eastAsia="zh-CN"/>
                    </w:rPr>
                    <w:t>无变化</w:t>
                  </w:r>
                </w:p>
              </w:tc>
            </w:tr>
            <w:tr w14:paraId="1159E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339" w:type="pct"/>
                  <w:vMerge w:val="continue"/>
                  <w:tcBorders>
                    <w:tl2br w:val="nil"/>
                    <w:tr2bl w:val="nil"/>
                  </w:tcBorders>
                  <w:noWrap w:val="0"/>
                  <w:vAlign w:val="center"/>
                </w:tcPr>
                <w:p w14:paraId="43C66EF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2827E93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废水污染防治从事</w:t>
                  </w:r>
                </w:p>
              </w:tc>
              <w:tc>
                <w:tcPr>
                  <w:tcW w:w="3042" w:type="pct"/>
                  <w:gridSpan w:val="3"/>
                  <w:tcBorders>
                    <w:tl2br w:val="nil"/>
                    <w:tr2bl w:val="nil"/>
                  </w:tcBorders>
                  <w:noWrap w:val="0"/>
                  <w:vAlign w:val="center"/>
                </w:tcPr>
                <w:p w14:paraId="34536FC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洗车废水经四级沉淀池（5m×2.5m×3m，4个）沉淀后循环使用，不外排</w:t>
                  </w:r>
                </w:p>
              </w:tc>
              <w:tc>
                <w:tcPr>
                  <w:tcW w:w="965" w:type="pct"/>
                  <w:tcBorders>
                    <w:tl2br w:val="nil"/>
                    <w:tr2bl w:val="nil"/>
                  </w:tcBorders>
                  <w:noWrap w:val="0"/>
                  <w:vAlign w:val="center"/>
                </w:tcPr>
                <w:p w14:paraId="1F01C9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无变化，依托现有沉淀池</w:t>
                  </w:r>
                </w:p>
              </w:tc>
            </w:tr>
            <w:tr w14:paraId="60E989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39" w:type="pct"/>
                  <w:vMerge w:val="continue"/>
                  <w:tcBorders>
                    <w:tl2br w:val="nil"/>
                    <w:tr2bl w:val="nil"/>
                  </w:tcBorders>
                  <w:noWrap w:val="0"/>
                  <w:vAlign w:val="center"/>
                </w:tcPr>
                <w:p w14:paraId="715EB2A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4C470A5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噪声防治措施</w:t>
                  </w:r>
                </w:p>
              </w:tc>
              <w:tc>
                <w:tcPr>
                  <w:tcW w:w="1747" w:type="pct"/>
                  <w:tcBorders>
                    <w:tl2br w:val="nil"/>
                    <w:tr2bl w:val="nil"/>
                  </w:tcBorders>
                  <w:noWrap w:val="0"/>
                  <w:vAlign w:val="center"/>
                </w:tcPr>
                <w:p w14:paraId="3FF5DF8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rPr>
                    <w:t>加强设备密闭性，对生产设备安装减震垫等</w:t>
                  </w:r>
                  <w:r>
                    <w:rPr>
                      <w:rFonts w:hint="eastAsia"/>
                      <w:color w:val="auto"/>
                      <w:szCs w:val="21"/>
                      <w:lang w:eastAsia="zh-CN"/>
                    </w:rPr>
                    <w:t>；</w:t>
                  </w:r>
                  <w:r>
                    <w:rPr>
                      <w:rFonts w:hint="eastAsia"/>
                      <w:color w:val="auto"/>
                      <w:szCs w:val="21"/>
                      <w:lang w:val="en-US" w:eastAsia="zh-CN"/>
                    </w:rPr>
                    <w:t>合理安排运输时间和运输路线，靠近敏感区时禁止鸣笛、尽量放慢车速以减少车辆噪声对周边敏感点的影响</w:t>
                  </w:r>
                </w:p>
              </w:tc>
              <w:tc>
                <w:tcPr>
                  <w:tcW w:w="1295" w:type="pct"/>
                  <w:gridSpan w:val="2"/>
                  <w:tcBorders>
                    <w:tl2br w:val="nil"/>
                    <w:tr2bl w:val="nil"/>
                  </w:tcBorders>
                  <w:noWrap w:val="0"/>
                  <w:vAlign w:val="center"/>
                </w:tcPr>
                <w:p w14:paraId="3B32121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对新增设备</w:t>
                  </w:r>
                  <w:r>
                    <w:rPr>
                      <w:rFonts w:hint="eastAsia"/>
                      <w:color w:val="auto"/>
                      <w:szCs w:val="21"/>
                    </w:rPr>
                    <w:t>安装减震垫</w:t>
                  </w:r>
                  <w:r>
                    <w:rPr>
                      <w:rFonts w:hint="eastAsia"/>
                      <w:color w:val="auto"/>
                      <w:szCs w:val="21"/>
                      <w:lang w:eastAsia="zh-CN"/>
                    </w:rPr>
                    <w:t>，</w:t>
                  </w:r>
                  <w:r>
                    <w:rPr>
                      <w:rFonts w:hint="eastAsia"/>
                      <w:color w:val="auto"/>
                      <w:szCs w:val="21"/>
                    </w:rPr>
                    <w:t>加强设备密闭性</w:t>
                  </w:r>
                  <w:r>
                    <w:rPr>
                      <w:rFonts w:hint="eastAsia"/>
                      <w:color w:val="auto"/>
                      <w:szCs w:val="21"/>
                      <w:lang w:eastAsia="zh-CN"/>
                    </w:rPr>
                    <w:t>；</w:t>
                  </w:r>
                  <w:r>
                    <w:rPr>
                      <w:rFonts w:hint="eastAsia"/>
                      <w:color w:val="auto"/>
                      <w:szCs w:val="21"/>
                      <w:lang w:val="en-US" w:eastAsia="zh-CN"/>
                    </w:rPr>
                    <w:t>合理安排运输时间和运输路线，靠近敏感区时禁止鸣笛、尽量放慢车速以减少车辆噪声对周边敏感点的影响</w:t>
                  </w:r>
                </w:p>
              </w:tc>
              <w:tc>
                <w:tcPr>
                  <w:tcW w:w="965" w:type="pct"/>
                  <w:tcBorders>
                    <w:tl2br w:val="nil"/>
                    <w:tr2bl w:val="nil"/>
                  </w:tcBorders>
                  <w:noWrap w:val="0"/>
                  <w:vAlign w:val="center"/>
                </w:tcPr>
                <w:p w14:paraId="7505343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rPr>
                  </w:pPr>
                  <w:r>
                    <w:rPr>
                      <w:rFonts w:hint="eastAsia"/>
                      <w:color w:val="auto"/>
                      <w:szCs w:val="21"/>
                      <w:lang w:val="en-US" w:eastAsia="zh-CN"/>
                    </w:rPr>
                    <w:t>2#厂房新增设备增加噪声防治措施，依托现有1#厂房</w:t>
                  </w:r>
                </w:p>
              </w:tc>
            </w:tr>
            <w:tr w14:paraId="5C1328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429568D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restart"/>
                  <w:tcBorders>
                    <w:tl2br w:val="nil"/>
                    <w:tr2bl w:val="nil"/>
                  </w:tcBorders>
                  <w:noWrap w:val="0"/>
                  <w:vAlign w:val="center"/>
                </w:tcPr>
                <w:p w14:paraId="1F20DD5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固废处理措施</w:t>
                  </w:r>
                </w:p>
              </w:tc>
              <w:tc>
                <w:tcPr>
                  <w:tcW w:w="3042" w:type="pct"/>
                  <w:gridSpan w:val="3"/>
                  <w:tcBorders>
                    <w:tl2br w:val="nil"/>
                    <w:tr2bl w:val="nil"/>
                  </w:tcBorders>
                  <w:noWrap w:val="0"/>
                  <w:vAlign w:val="center"/>
                </w:tcPr>
                <w:p w14:paraId="573043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color w:val="auto"/>
                      <w:szCs w:val="21"/>
                    </w:rPr>
                    <w:t>员工</w:t>
                  </w:r>
                  <w:r>
                    <w:rPr>
                      <w:rFonts w:hint="eastAsia"/>
                      <w:color w:val="auto"/>
                      <w:szCs w:val="21"/>
                    </w:rPr>
                    <w:t>生活</w:t>
                  </w:r>
                  <w:r>
                    <w:rPr>
                      <w:color w:val="auto"/>
                      <w:szCs w:val="21"/>
                    </w:rPr>
                    <w:t>垃圾</w:t>
                  </w:r>
                  <w:r>
                    <w:rPr>
                      <w:rFonts w:hint="eastAsia"/>
                      <w:color w:val="auto"/>
                      <w:szCs w:val="21"/>
                    </w:rPr>
                    <w:t>收集后由环卫部门统一清运</w:t>
                  </w:r>
                </w:p>
              </w:tc>
              <w:tc>
                <w:tcPr>
                  <w:tcW w:w="965" w:type="pct"/>
                  <w:vMerge w:val="restart"/>
                  <w:tcBorders>
                    <w:tl2br w:val="nil"/>
                    <w:tr2bl w:val="nil"/>
                  </w:tcBorders>
                  <w:noWrap w:val="0"/>
                  <w:vAlign w:val="center"/>
                </w:tcPr>
                <w:p w14:paraId="4F95D5D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无变化</w:t>
                  </w:r>
                </w:p>
              </w:tc>
            </w:tr>
            <w:tr w14:paraId="170BC7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2702B4C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5C2D14D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3042" w:type="pct"/>
                  <w:gridSpan w:val="3"/>
                  <w:tcBorders>
                    <w:tl2br w:val="nil"/>
                    <w:tr2bl w:val="nil"/>
                  </w:tcBorders>
                  <w:noWrap w:val="0"/>
                  <w:vAlign w:val="center"/>
                </w:tcPr>
                <w:p w14:paraId="50C02CF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食堂废油脂交有资质单位处置</w:t>
                  </w:r>
                </w:p>
              </w:tc>
              <w:tc>
                <w:tcPr>
                  <w:tcW w:w="965" w:type="pct"/>
                  <w:vMerge w:val="continue"/>
                  <w:tcBorders>
                    <w:tl2br w:val="nil"/>
                    <w:tr2bl w:val="nil"/>
                  </w:tcBorders>
                  <w:noWrap w:val="0"/>
                  <w:vAlign w:val="center"/>
                </w:tcPr>
                <w:p w14:paraId="55B09C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p>
              </w:tc>
            </w:tr>
            <w:tr w14:paraId="08C47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0DE11F36">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7969E1B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3042" w:type="pct"/>
                  <w:gridSpan w:val="3"/>
                  <w:tcBorders>
                    <w:tl2br w:val="nil"/>
                    <w:tr2bl w:val="nil"/>
                  </w:tcBorders>
                  <w:noWrap w:val="0"/>
                  <w:vAlign w:val="center"/>
                </w:tcPr>
                <w:p w14:paraId="68383A6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冲洗废水沉淀池产生的沉渣收集后回用于生产</w:t>
                  </w:r>
                </w:p>
              </w:tc>
              <w:tc>
                <w:tcPr>
                  <w:tcW w:w="965" w:type="pct"/>
                  <w:vMerge w:val="restart"/>
                  <w:tcBorders>
                    <w:tl2br w:val="nil"/>
                    <w:tr2bl w:val="nil"/>
                  </w:tcBorders>
                  <w:noWrap w:val="0"/>
                  <w:vAlign w:val="center"/>
                </w:tcPr>
                <w:p w14:paraId="033C04A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无变化，依托现有工程</w:t>
                  </w:r>
                </w:p>
              </w:tc>
            </w:tr>
            <w:tr w14:paraId="0C7C7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00372F2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5EFA4E93">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747" w:type="pct"/>
                  <w:tcBorders>
                    <w:tl2br w:val="nil"/>
                    <w:tr2bl w:val="nil"/>
                  </w:tcBorders>
                  <w:noWrap w:val="0"/>
                  <w:vAlign w:val="center"/>
                </w:tcPr>
                <w:p w14:paraId="1B80129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ascii="Times New Roman" w:hAnsi="Times New Roman" w:cs="Times New Roman"/>
                      <w:color w:val="auto"/>
                      <w:kern w:val="2"/>
                      <w:sz w:val="21"/>
                      <w:szCs w:val="21"/>
                    </w:rPr>
                    <w:t>除尘器收集的粉尘，收集后回用于生产</w:t>
                  </w:r>
                </w:p>
              </w:tc>
              <w:tc>
                <w:tcPr>
                  <w:tcW w:w="1295" w:type="pct"/>
                  <w:gridSpan w:val="2"/>
                  <w:tcBorders>
                    <w:tl2br w:val="nil"/>
                    <w:tr2bl w:val="nil"/>
                  </w:tcBorders>
                  <w:noWrap w:val="0"/>
                  <w:vAlign w:val="center"/>
                </w:tcPr>
                <w:p w14:paraId="0E37CA5C">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cs="Times New Roman"/>
                      <w:color w:val="auto"/>
                      <w:kern w:val="2"/>
                      <w:sz w:val="21"/>
                      <w:szCs w:val="21"/>
                    </w:rPr>
                  </w:pPr>
                  <w:r>
                    <w:rPr>
                      <w:rFonts w:hint="eastAsia" w:cs="Times New Roman"/>
                      <w:color w:val="auto"/>
                      <w:kern w:val="2"/>
                      <w:sz w:val="21"/>
                      <w:szCs w:val="21"/>
                      <w:lang w:val="en-US" w:eastAsia="zh-CN"/>
                    </w:rPr>
                    <w:t>新增的</w:t>
                  </w:r>
                  <w:r>
                    <w:rPr>
                      <w:rFonts w:ascii="Times New Roman" w:hAnsi="Times New Roman" w:cs="Times New Roman"/>
                      <w:color w:val="auto"/>
                      <w:kern w:val="2"/>
                      <w:sz w:val="21"/>
                      <w:szCs w:val="21"/>
                    </w:rPr>
                    <w:t>除尘器收集粉尘，收集后回用于生产</w:t>
                  </w:r>
                </w:p>
              </w:tc>
              <w:tc>
                <w:tcPr>
                  <w:tcW w:w="965" w:type="pct"/>
                  <w:vMerge w:val="continue"/>
                  <w:tcBorders>
                    <w:tl2br w:val="nil"/>
                    <w:tr2bl w:val="nil"/>
                  </w:tcBorders>
                  <w:noWrap w:val="0"/>
                  <w:vAlign w:val="center"/>
                </w:tcPr>
                <w:p w14:paraId="2ECBA87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rPr>
                  </w:pPr>
                </w:p>
              </w:tc>
            </w:tr>
            <w:tr w14:paraId="5D94F9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9" w:hRule="atLeast"/>
                <w:jc w:val="center"/>
              </w:trPr>
              <w:tc>
                <w:tcPr>
                  <w:tcW w:w="339" w:type="pct"/>
                  <w:vMerge w:val="continue"/>
                  <w:tcBorders>
                    <w:tl2br w:val="nil"/>
                    <w:tr2bl w:val="nil"/>
                  </w:tcBorders>
                  <w:noWrap w:val="0"/>
                  <w:vAlign w:val="center"/>
                </w:tcPr>
                <w:p w14:paraId="6B985266">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vMerge w:val="continue"/>
                  <w:tcBorders>
                    <w:tl2br w:val="nil"/>
                    <w:tr2bl w:val="nil"/>
                  </w:tcBorders>
                  <w:noWrap w:val="0"/>
                  <w:vAlign w:val="center"/>
                </w:tcPr>
                <w:p w14:paraId="043AF333">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747" w:type="pct"/>
                  <w:tcBorders>
                    <w:tl2br w:val="nil"/>
                    <w:tr2bl w:val="nil"/>
                  </w:tcBorders>
                  <w:noWrap w:val="0"/>
                  <w:vAlign w:val="center"/>
                </w:tcPr>
                <w:p w14:paraId="3DE690C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rPr>
                    <w:t>废机油集中收集</w:t>
                  </w:r>
                  <w:r>
                    <w:rPr>
                      <w:rFonts w:hint="eastAsia"/>
                      <w:color w:val="auto"/>
                      <w:szCs w:val="21"/>
                      <w:lang w:eastAsia="zh-CN"/>
                    </w:rPr>
                    <w:t>，</w:t>
                  </w:r>
                  <w:r>
                    <w:rPr>
                      <w:rFonts w:hint="eastAsia"/>
                      <w:color w:val="auto"/>
                      <w:szCs w:val="21"/>
                      <w:lang w:val="en-US" w:eastAsia="zh-CN"/>
                    </w:rPr>
                    <w:t>暂存于危废贮存点，</w:t>
                  </w:r>
                  <w:r>
                    <w:rPr>
                      <w:rFonts w:ascii="Times New Roman" w:hAnsi="Times New Roman" w:cs="Times New Roman"/>
                      <w:color w:val="auto"/>
                      <w:kern w:val="2"/>
                      <w:sz w:val="21"/>
                      <w:szCs w:val="21"/>
                    </w:rPr>
                    <w:t>定期交由有危废处置资质的单位进行处置</w:t>
                  </w:r>
                </w:p>
              </w:tc>
              <w:tc>
                <w:tcPr>
                  <w:tcW w:w="1295" w:type="pct"/>
                  <w:gridSpan w:val="2"/>
                  <w:tcBorders>
                    <w:tl2br w:val="nil"/>
                    <w:tr2bl w:val="nil"/>
                  </w:tcBorders>
                  <w:noWrap w:val="0"/>
                  <w:vAlign w:val="center"/>
                </w:tcPr>
                <w:p w14:paraId="4B87C43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新增废机油</w:t>
                  </w:r>
                  <w:r>
                    <w:rPr>
                      <w:rFonts w:hint="eastAsia"/>
                      <w:color w:val="auto"/>
                      <w:szCs w:val="21"/>
                    </w:rPr>
                    <w:t>集中收集</w:t>
                  </w:r>
                  <w:r>
                    <w:rPr>
                      <w:rFonts w:hint="eastAsia"/>
                      <w:color w:val="auto"/>
                      <w:szCs w:val="21"/>
                      <w:lang w:eastAsia="zh-CN"/>
                    </w:rPr>
                    <w:t>，</w:t>
                  </w:r>
                  <w:r>
                    <w:rPr>
                      <w:rFonts w:hint="eastAsia"/>
                      <w:color w:val="auto"/>
                      <w:szCs w:val="21"/>
                      <w:lang w:val="en-US" w:eastAsia="zh-CN"/>
                    </w:rPr>
                    <w:t>暂存于危废贮存点，</w:t>
                  </w:r>
                  <w:r>
                    <w:rPr>
                      <w:rFonts w:ascii="Times New Roman" w:hAnsi="Times New Roman" w:cs="Times New Roman"/>
                      <w:color w:val="auto"/>
                      <w:kern w:val="2"/>
                      <w:sz w:val="21"/>
                      <w:szCs w:val="21"/>
                    </w:rPr>
                    <w:t>定期交由有危废处置资质的单位进行处置</w:t>
                  </w:r>
                </w:p>
              </w:tc>
              <w:tc>
                <w:tcPr>
                  <w:tcW w:w="965" w:type="pct"/>
                  <w:tcBorders>
                    <w:tl2br w:val="nil"/>
                    <w:tr2bl w:val="nil"/>
                  </w:tcBorders>
                  <w:noWrap w:val="0"/>
                  <w:vAlign w:val="center"/>
                </w:tcPr>
                <w:p w14:paraId="61CECAF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zCs w:val="21"/>
                      <w:lang w:val="en-US" w:eastAsia="zh-CN"/>
                    </w:rPr>
                  </w:pPr>
                  <w:r>
                    <w:rPr>
                      <w:rFonts w:hint="eastAsia"/>
                      <w:color w:val="auto"/>
                      <w:szCs w:val="21"/>
                      <w:lang w:val="en-US" w:eastAsia="zh-CN"/>
                    </w:rPr>
                    <w:t>依托现有危废贮存点</w:t>
                  </w:r>
                </w:p>
              </w:tc>
            </w:tr>
            <w:tr w14:paraId="45350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9" w:type="pct"/>
                  <w:vMerge w:val="continue"/>
                  <w:tcBorders>
                    <w:tl2br w:val="nil"/>
                    <w:tr2bl w:val="nil"/>
                  </w:tcBorders>
                  <w:noWrap w:val="0"/>
                  <w:vAlign w:val="center"/>
                </w:tcPr>
                <w:p w14:paraId="499E7D2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652" w:type="pct"/>
                  <w:tcBorders>
                    <w:tl2br w:val="nil"/>
                    <w:tr2bl w:val="nil"/>
                  </w:tcBorders>
                  <w:noWrap w:val="0"/>
                  <w:vAlign w:val="center"/>
                </w:tcPr>
                <w:p w14:paraId="3E58260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绿化</w:t>
                  </w:r>
                </w:p>
              </w:tc>
              <w:tc>
                <w:tcPr>
                  <w:tcW w:w="3042" w:type="pct"/>
                  <w:gridSpan w:val="3"/>
                  <w:tcBorders>
                    <w:tl2br w:val="nil"/>
                    <w:tr2bl w:val="nil"/>
                  </w:tcBorders>
                  <w:noWrap w:val="0"/>
                  <w:vAlign w:val="center"/>
                </w:tcPr>
                <w:p w14:paraId="3649477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厂区绿化面积约为10000m</w:t>
                  </w:r>
                  <w:r>
                    <w:rPr>
                      <w:rFonts w:hint="eastAsia"/>
                      <w:color w:val="auto"/>
                      <w:szCs w:val="21"/>
                      <w:vertAlign w:val="superscript"/>
                      <w:lang w:val="en-US" w:eastAsia="zh-CN"/>
                    </w:rPr>
                    <w:t>2</w:t>
                  </w:r>
                </w:p>
              </w:tc>
              <w:tc>
                <w:tcPr>
                  <w:tcW w:w="965" w:type="pct"/>
                  <w:tcBorders>
                    <w:tl2br w:val="nil"/>
                    <w:tr2bl w:val="nil"/>
                  </w:tcBorders>
                  <w:noWrap w:val="0"/>
                  <w:vAlign w:val="center"/>
                </w:tcPr>
                <w:p w14:paraId="27CBE0A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无变化</w:t>
                  </w:r>
                </w:p>
              </w:tc>
            </w:tr>
          </w:tbl>
          <w:p w14:paraId="44A5BF87">
            <w:pPr>
              <w:widowControl/>
              <w:spacing w:line="360" w:lineRule="auto"/>
              <w:ind w:firstLine="482" w:firstLineChars="200"/>
              <w:jc w:val="left"/>
              <w:rPr>
                <w:b/>
                <w:color w:val="auto"/>
                <w:sz w:val="24"/>
                <w:szCs w:val="32"/>
              </w:rPr>
            </w:pPr>
            <w:r>
              <w:rPr>
                <w:rFonts w:hint="eastAsia"/>
                <w:b/>
                <w:color w:val="auto"/>
                <w:sz w:val="24"/>
                <w:lang w:val="en-US" w:eastAsia="zh-CN"/>
              </w:rPr>
              <w:t>4</w:t>
            </w:r>
            <w:r>
              <w:rPr>
                <w:rFonts w:hint="eastAsia"/>
                <w:b/>
                <w:color w:val="auto"/>
                <w:sz w:val="24"/>
              </w:rPr>
              <w:t>、</w:t>
            </w:r>
            <w:r>
              <w:rPr>
                <w:b/>
                <w:color w:val="auto"/>
                <w:sz w:val="24"/>
                <w:szCs w:val="32"/>
              </w:rPr>
              <w:t>主要产品及产能</w:t>
            </w:r>
          </w:p>
          <w:p w14:paraId="77A981AC">
            <w:pPr>
              <w:widowControl/>
              <w:spacing w:line="360" w:lineRule="auto"/>
              <w:ind w:firstLine="480" w:firstLineChars="200"/>
              <w:jc w:val="left"/>
              <w:rPr>
                <w:color w:val="auto"/>
              </w:rPr>
            </w:pPr>
            <w:r>
              <w:rPr>
                <w:color w:val="auto"/>
                <w:kern w:val="0"/>
                <w:sz w:val="24"/>
                <w:szCs w:val="32"/>
                <w:lang w:bidi="ar"/>
              </w:rPr>
              <w:t>主要产品及产能见表2-2</w:t>
            </w:r>
            <w:r>
              <w:rPr>
                <w:color w:val="auto"/>
                <w:sz w:val="24"/>
                <w:szCs w:val="32"/>
              </w:rPr>
              <w:t>：</w:t>
            </w:r>
          </w:p>
          <w:p w14:paraId="3AFB2C55">
            <w:pPr>
              <w:ind w:firstLine="482" w:firstLineChars="200"/>
              <w:jc w:val="center"/>
              <w:rPr>
                <w:b/>
                <w:color w:val="auto"/>
                <w:sz w:val="24"/>
                <w:szCs w:val="32"/>
              </w:rPr>
            </w:pPr>
            <w:r>
              <w:rPr>
                <w:b/>
                <w:color w:val="auto"/>
                <w:sz w:val="24"/>
                <w:szCs w:val="32"/>
              </w:rPr>
              <w:t xml:space="preserve">表2-2  </w:t>
            </w:r>
            <w:r>
              <w:rPr>
                <w:rFonts w:hint="eastAsia"/>
                <w:b/>
                <w:color w:val="auto"/>
                <w:sz w:val="24"/>
                <w:szCs w:val="32"/>
                <w:lang w:val="en-US" w:eastAsia="zh-CN"/>
              </w:rPr>
              <w:t>扩建后全厂</w:t>
            </w:r>
            <w:r>
              <w:rPr>
                <w:b/>
                <w:bCs/>
                <w:color w:val="auto"/>
                <w:sz w:val="24"/>
                <w:szCs w:val="32"/>
              </w:rPr>
              <w:t>产品</w:t>
            </w:r>
            <w:r>
              <w:rPr>
                <w:b/>
                <w:color w:val="auto"/>
                <w:sz w:val="24"/>
                <w:szCs w:val="32"/>
              </w:rPr>
              <w:t>方案一览表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41"/>
              <w:gridCol w:w="1938"/>
              <w:gridCol w:w="1184"/>
              <w:gridCol w:w="1941"/>
            </w:tblGrid>
            <w:tr w14:paraId="1F2CB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0C1ACE3D">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产品名称</w:t>
                  </w:r>
                </w:p>
              </w:tc>
              <w:tc>
                <w:tcPr>
                  <w:tcW w:w="1126" w:type="pct"/>
                  <w:tcBorders>
                    <w:tl2br w:val="nil"/>
                    <w:tr2bl w:val="nil"/>
                  </w:tcBorders>
                  <w:noWrap w:val="0"/>
                  <w:vAlign w:val="center"/>
                </w:tcPr>
                <w:p w14:paraId="1366A856">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规格型号</w:t>
                  </w:r>
                </w:p>
              </w:tc>
              <w:tc>
                <w:tcPr>
                  <w:tcW w:w="688" w:type="pct"/>
                  <w:tcBorders>
                    <w:tl2br w:val="nil"/>
                    <w:tr2bl w:val="nil"/>
                  </w:tcBorders>
                  <w:shd w:val="clear" w:color="auto" w:fill="auto"/>
                  <w:noWrap w:val="0"/>
                  <w:vAlign w:val="center"/>
                </w:tcPr>
                <w:p w14:paraId="0764FB10">
                  <w:pPr>
                    <w:numPr>
                      <w:ilvl w:val="0"/>
                      <w:numId w:val="0"/>
                    </w:numPr>
                    <w:ind w:left="0" w:leftChars="0" w:firstLine="0" w:firstLineChars="0"/>
                    <w:jc w:val="center"/>
                    <w:rPr>
                      <w:rFonts w:hint="eastAsia" w:ascii="Calibri" w:hAnsi="Calibri"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单位</w:t>
                  </w:r>
                </w:p>
              </w:tc>
              <w:tc>
                <w:tcPr>
                  <w:tcW w:w="1127" w:type="pct"/>
                  <w:tcBorders>
                    <w:tl2br w:val="nil"/>
                    <w:tr2bl w:val="nil"/>
                  </w:tcBorders>
                  <w:noWrap w:val="0"/>
                  <w:vAlign w:val="center"/>
                </w:tcPr>
                <w:p w14:paraId="13D251CA">
                  <w:pPr>
                    <w:numPr>
                      <w:ilvl w:val="0"/>
                      <w:numId w:val="0"/>
                    </w:numPr>
                    <w:ind w:left="0" w:leftChars="0" w:firstLine="0" w:firstLineChars="0"/>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扩建后全厂年产量</w:t>
                  </w:r>
                </w:p>
              </w:tc>
            </w:tr>
            <w:tr w14:paraId="364263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41722E10">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eastAsia" w:cs="Times New Roman"/>
                      <w:b w:val="0"/>
                      <w:bCs/>
                      <w:color w:val="auto"/>
                      <w:sz w:val="21"/>
                      <w:szCs w:val="21"/>
                      <w:lang w:val="en-US" w:eastAsia="zh-CN"/>
                    </w:rPr>
                    <w:t>再生细骨料</w:t>
                  </w:r>
                  <w:r>
                    <w:rPr>
                      <w:rFonts w:hint="default" w:ascii="Times New Roman" w:hAnsi="Times New Roman" w:eastAsia="宋体" w:cs="Times New Roman"/>
                      <w:b w:val="0"/>
                      <w:bCs/>
                      <w:color w:val="auto"/>
                      <w:sz w:val="21"/>
                      <w:szCs w:val="21"/>
                    </w:rPr>
                    <w:t>0-5mm</w:t>
                  </w:r>
                  <w:r>
                    <w:rPr>
                      <w:rFonts w:hint="default" w:ascii="Times New Roman" w:hAnsi="Times New Roman" w:eastAsia="宋体" w:cs="Times New Roman"/>
                      <w:b w:val="0"/>
                      <w:bCs/>
                      <w:color w:val="auto"/>
                      <w:sz w:val="21"/>
                      <w:szCs w:val="21"/>
                      <w:lang w:eastAsia="zh-CN"/>
                    </w:rPr>
                    <w:t>（俗称石粉）</w:t>
                  </w:r>
                </w:p>
              </w:tc>
              <w:tc>
                <w:tcPr>
                  <w:tcW w:w="1126" w:type="pct"/>
                  <w:tcBorders>
                    <w:tl2br w:val="nil"/>
                    <w:tr2bl w:val="nil"/>
                  </w:tcBorders>
                  <w:noWrap w:val="0"/>
                  <w:vAlign w:val="center"/>
                </w:tcPr>
                <w:p w14:paraId="15F6D54C">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0-5mm</w:t>
                  </w:r>
                </w:p>
              </w:tc>
              <w:tc>
                <w:tcPr>
                  <w:tcW w:w="688" w:type="pct"/>
                  <w:tcBorders>
                    <w:tl2br w:val="nil"/>
                    <w:tr2bl w:val="nil"/>
                  </w:tcBorders>
                  <w:shd w:val="clear" w:color="auto" w:fill="auto"/>
                  <w:noWrap w:val="0"/>
                  <w:vAlign w:val="center"/>
                </w:tcPr>
                <w:p w14:paraId="7705EFB1">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2056" w:type="dxa"/>
                  <w:tcBorders>
                    <w:tl2br w:val="nil"/>
                    <w:tr2bl w:val="nil"/>
                  </w:tcBorders>
                  <w:noWrap w:val="0"/>
                  <w:vAlign w:val="center"/>
                </w:tcPr>
                <w:p w14:paraId="137B55AC">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i w:val="0"/>
                      <w:iCs w:val="0"/>
                      <w:color w:val="auto"/>
                      <w:kern w:val="0"/>
                      <w:sz w:val="21"/>
                      <w:szCs w:val="21"/>
                      <w:u w:val="none"/>
                      <w:lang w:val="en-US" w:eastAsia="zh-CN" w:bidi="ar"/>
                    </w:rPr>
                    <w:t>84.86</w:t>
                  </w:r>
                </w:p>
              </w:tc>
            </w:tr>
            <w:tr w14:paraId="41087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3FD332E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再生粗骨料5-10mm</w:t>
                  </w:r>
                  <w:r>
                    <w:rPr>
                      <w:rFonts w:hint="default" w:ascii="Times New Roman" w:hAnsi="Times New Roman" w:eastAsia="宋体" w:cs="Times New Roman"/>
                      <w:b w:val="0"/>
                      <w:bCs/>
                      <w:color w:val="auto"/>
                      <w:sz w:val="21"/>
                      <w:szCs w:val="21"/>
                      <w:lang w:eastAsia="zh-CN"/>
                    </w:rPr>
                    <w:t>（俗称</w:t>
                  </w:r>
                  <w:r>
                    <w:rPr>
                      <w:rFonts w:hint="default" w:ascii="Times New Roman" w:hAnsi="Times New Roman" w:eastAsia="宋体" w:cs="Times New Roman"/>
                      <w:b w:val="0"/>
                      <w:bCs/>
                      <w:color w:val="auto"/>
                      <w:sz w:val="21"/>
                      <w:szCs w:val="21"/>
                      <w:lang w:val="en-US" w:eastAsia="zh-CN"/>
                    </w:rPr>
                    <w:t>0-5</w:t>
                  </w:r>
                  <w:r>
                    <w:rPr>
                      <w:rFonts w:hint="default" w:ascii="Times New Roman" w:hAnsi="Times New Roman" w:eastAsia="宋体" w:cs="Times New Roman"/>
                      <w:b w:val="0"/>
                      <w:bCs/>
                      <w:color w:val="auto"/>
                      <w:sz w:val="21"/>
                      <w:szCs w:val="21"/>
                      <w:lang w:eastAsia="zh-CN"/>
                    </w:rPr>
                    <w:t>）</w:t>
                  </w:r>
                </w:p>
              </w:tc>
              <w:tc>
                <w:tcPr>
                  <w:tcW w:w="1126" w:type="pct"/>
                  <w:tcBorders>
                    <w:tl2br w:val="nil"/>
                    <w:tr2bl w:val="nil"/>
                  </w:tcBorders>
                  <w:noWrap w:val="0"/>
                  <w:vAlign w:val="center"/>
                </w:tcPr>
                <w:p w14:paraId="45F55609">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5-10mm</w:t>
                  </w:r>
                </w:p>
              </w:tc>
              <w:tc>
                <w:tcPr>
                  <w:tcW w:w="688" w:type="pct"/>
                  <w:tcBorders>
                    <w:tl2br w:val="nil"/>
                    <w:tr2bl w:val="nil"/>
                  </w:tcBorders>
                  <w:shd w:val="clear" w:color="auto" w:fill="auto"/>
                  <w:noWrap w:val="0"/>
                  <w:vAlign w:val="center"/>
                </w:tcPr>
                <w:p w14:paraId="55C02C5C">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2056" w:type="dxa"/>
                  <w:tcBorders>
                    <w:tl2br w:val="nil"/>
                    <w:tr2bl w:val="nil"/>
                  </w:tcBorders>
                  <w:noWrap w:val="0"/>
                  <w:vAlign w:val="center"/>
                </w:tcPr>
                <w:p w14:paraId="2BD1CBCA">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i w:val="0"/>
                      <w:iCs w:val="0"/>
                      <w:color w:val="auto"/>
                      <w:kern w:val="0"/>
                      <w:sz w:val="21"/>
                      <w:szCs w:val="21"/>
                      <w:u w:val="none"/>
                      <w:lang w:val="en-US" w:eastAsia="zh-CN" w:bidi="ar"/>
                    </w:rPr>
                    <w:t>55</w:t>
                  </w:r>
                </w:p>
              </w:tc>
            </w:tr>
            <w:tr w14:paraId="135860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29167CD6">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再生粗骨料10-20mm</w:t>
                  </w:r>
                  <w:r>
                    <w:rPr>
                      <w:rFonts w:hint="default" w:ascii="Times New Roman" w:hAnsi="Times New Roman" w:eastAsia="宋体" w:cs="Times New Roman"/>
                      <w:b w:val="0"/>
                      <w:bCs/>
                      <w:color w:val="auto"/>
                      <w:sz w:val="21"/>
                      <w:szCs w:val="21"/>
                      <w:lang w:eastAsia="zh-CN"/>
                    </w:rPr>
                    <w:t>（俗称</w:t>
                  </w:r>
                  <w:r>
                    <w:rPr>
                      <w:rFonts w:hint="default" w:ascii="Times New Roman" w:hAnsi="Times New Roman" w:eastAsia="宋体" w:cs="Times New Roman"/>
                      <w:b w:val="0"/>
                      <w:bCs/>
                      <w:color w:val="auto"/>
                      <w:sz w:val="21"/>
                      <w:szCs w:val="21"/>
                      <w:lang w:val="en-US" w:eastAsia="zh-CN"/>
                    </w:rPr>
                    <w:t>1-2</w:t>
                  </w:r>
                  <w:r>
                    <w:rPr>
                      <w:rFonts w:hint="default" w:ascii="Times New Roman" w:hAnsi="Times New Roman" w:eastAsia="宋体" w:cs="Times New Roman"/>
                      <w:b w:val="0"/>
                      <w:bCs/>
                      <w:color w:val="auto"/>
                      <w:sz w:val="21"/>
                      <w:szCs w:val="21"/>
                      <w:lang w:eastAsia="zh-CN"/>
                    </w:rPr>
                    <w:t>）</w:t>
                  </w:r>
                </w:p>
              </w:tc>
              <w:tc>
                <w:tcPr>
                  <w:tcW w:w="1126" w:type="pct"/>
                  <w:tcBorders>
                    <w:tl2br w:val="nil"/>
                    <w:tr2bl w:val="nil"/>
                  </w:tcBorders>
                  <w:noWrap w:val="0"/>
                  <w:vAlign w:val="center"/>
                </w:tcPr>
                <w:p w14:paraId="1BAB05B5">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10-20mm</w:t>
                  </w:r>
                </w:p>
              </w:tc>
              <w:tc>
                <w:tcPr>
                  <w:tcW w:w="688" w:type="pct"/>
                  <w:tcBorders>
                    <w:tl2br w:val="nil"/>
                    <w:tr2bl w:val="nil"/>
                  </w:tcBorders>
                  <w:shd w:val="clear" w:color="auto" w:fill="auto"/>
                  <w:noWrap w:val="0"/>
                  <w:vAlign w:val="center"/>
                </w:tcPr>
                <w:p w14:paraId="03C36A52">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2056" w:type="dxa"/>
                  <w:tcBorders>
                    <w:tl2br w:val="nil"/>
                    <w:tr2bl w:val="nil"/>
                  </w:tcBorders>
                  <w:noWrap w:val="0"/>
                  <w:vAlign w:val="center"/>
                </w:tcPr>
                <w:p w14:paraId="2CDF0910">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i w:val="0"/>
                      <w:iCs w:val="0"/>
                      <w:color w:val="auto"/>
                      <w:kern w:val="0"/>
                      <w:sz w:val="21"/>
                      <w:szCs w:val="21"/>
                      <w:u w:val="none"/>
                      <w:lang w:val="en-US" w:eastAsia="zh-CN" w:bidi="ar"/>
                    </w:rPr>
                    <w:t>76</w:t>
                  </w:r>
                </w:p>
              </w:tc>
            </w:tr>
            <w:tr w14:paraId="57C04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62E5A64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再生粗骨料16-31.5mm</w:t>
                  </w:r>
                  <w:r>
                    <w:rPr>
                      <w:rFonts w:hint="default" w:ascii="Times New Roman" w:hAnsi="Times New Roman" w:eastAsia="宋体" w:cs="Times New Roman"/>
                      <w:b w:val="0"/>
                      <w:bCs/>
                      <w:color w:val="auto"/>
                      <w:sz w:val="21"/>
                      <w:szCs w:val="21"/>
                      <w:lang w:eastAsia="zh-CN"/>
                    </w:rPr>
                    <w:t>（俗称</w:t>
                  </w:r>
                  <w:r>
                    <w:rPr>
                      <w:rFonts w:hint="default" w:ascii="Times New Roman" w:hAnsi="Times New Roman" w:eastAsia="宋体" w:cs="Times New Roman"/>
                      <w:b w:val="0"/>
                      <w:bCs/>
                      <w:color w:val="auto"/>
                      <w:sz w:val="21"/>
                      <w:szCs w:val="21"/>
                      <w:lang w:val="en-US" w:eastAsia="zh-CN"/>
                    </w:rPr>
                    <w:t>1-3</w:t>
                  </w:r>
                  <w:r>
                    <w:rPr>
                      <w:rFonts w:hint="default" w:ascii="Times New Roman" w:hAnsi="Times New Roman" w:eastAsia="宋体" w:cs="Times New Roman"/>
                      <w:b w:val="0"/>
                      <w:bCs/>
                      <w:color w:val="auto"/>
                      <w:sz w:val="21"/>
                      <w:szCs w:val="21"/>
                      <w:lang w:eastAsia="zh-CN"/>
                    </w:rPr>
                    <w:t>）</w:t>
                  </w:r>
                </w:p>
              </w:tc>
              <w:tc>
                <w:tcPr>
                  <w:tcW w:w="1126" w:type="pct"/>
                  <w:tcBorders>
                    <w:tl2br w:val="nil"/>
                    <w:tr2bl w:val="nil"/>
                  </w:tcBorders>
                  <w:noWrap w:val="0"/>
                  <w:vAlign w:val="center"/>
                </w:tcPr>
                <w:p w14:paraId="3D4289D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16-31.5mm</w:t>
                  </w:r>
                </w:p>
              </w:tc>
              <w:tc>
                <w:tcPr>
                  <w:tcW w:w="688" w:type="pct"/>
                  <w:tcBorders>
                    <w:tl2br w:val="nil"/>
                    <w:tr2bl w:val="nil"/>
                  </w:tcBorders>
                  <w:shd w:val="clear" w:color="auto" w:fill="auto"/>
                  <w:noWrap w:val="0"/>
                  <w:vAlign w:val="center"/>
                </w:tcPr>
                <w:p w14:paraId="04541B38">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2056" w:type="dxa"/>
                  <w:tcBorders>
                    <w:tl2br w:val="nil"/>
                    <w:tr2bl w:val="nil"/>
                  </w:tcBorders>
                  <w:noWrap w:val="0"/>
                  <w:vAlign w:val="center"/>
                </w:tcPr>
                <w:p w14:paraId="65A80D51">
                  <w:pPr>
                    <w:keepNext w:val="0"/>
                    <w:keepLines w:val="0"/>
                    <w:widowControl/>
                    <w:suppressLineNumbers w:val="0"/>
                    <w:jc w:val="center"/>
                    <w:textAlignment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i w:val="0"/>
                      <w:iCs w:val="0"/>
                      <w:color w:val="auto"/>
                      <w:kern w:val="0"/>
                      <w:sz w:val="21"/>
                      <w:szCs w:val="21"/>
                      <w:u w:val="none"/>
                      <w:lang w:val="en-US" w:eastAsia="zh-CN" w:bidi="ar"/>
                    </w:rPr>
                    <w:t>78.0209</w:t>
                  </w:r>
                </w:p>
              </w:tc>
            </w:tr>
            <w:tr w14:paraId="140CC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6019AD57">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0-150mm</w:t>
                  </w:r>
                  <w:r>
                    <w:rPr>
                      <w:rFonts w:hint="default" w:ascii="Times New Roman" w:hAnsi="Times New Roman" w:eastAsia="宋体" w:cs="Times New Roman"/>
                      <w:b w:val="0"/>
                      <w:bCs/>
                      <w:color w:val="auto"/>
                      <w:sz w:val="21"/>
                      <w:szCs w:val="21"/>
                      <w:lang w:eastAsia="zh-CN"/>
                    </w:rPr>
                    <w:t>（混合料）</w:t>
                  </w:r>
                </w:p>
              </w:tc>
              <w:tc>
                <w:tcPr>
                  <w:tcW w:w="1126" w:type="pct"/>
                  <w:tcBorders>
                    <w:tl2br w:val="nil"/>
                    <w:tr2bl w:val="nil"/>
                  </w:tcBorders>
                  <w:noWrap w:val="0"/>
                  <w:vAlign w:val="center"/>
                </w:tcPr>
                <w:p w14:paraId="7CD972DE">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0-150mm</w:t>
                  </w:r>
                </w:p>
              </w:tc>
              <w:tc>
                <w:tcPr>
                  <w:tcW w:w="688" w:type="pct"/>
                  <w:tcBorders>
                    <w:tl2br w:val="nil"/>
                    <w:tr2bl w:val="nil"/>
                  </w:tcBorders>
                  <w:shd w:val="clear" w:color="auto" w:fill="auto"/>
                  <w:noWrap w:val="0"/>
                  <w:vAlign w:val="center"/>
                </w:tcPr>
                <w:p w14:paraId="5F4E490A">
                  <w:pPr>
                    <w:numPr>
                      <w:ilvl w:val="0"/>
                      <w:numId w:val="0"/>
                    </w:numPr>
                    <w:ind w:left="0"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2056" w:type="dxa"/>
                  <w:tcBorders>
                    <w:tl2br w:val="nil"/>
                    <w:tr2bl w:val="nil"/>
                  </w:tcBorders>
                  <w:shd w:val="clear" w:color="auto" w:fill="auto"/>
                  <w:noWrap w:val="0"/>
                  <w:vAlign w:val="center"/>
                </w:tcPr>
                <w:p w14:paraId="390325F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61.9696026</w:t>
                  </w:r>
                </w:p>
              </w:tc>
            </w:tr>
            <w:tr w14:paraId="16B3B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2FA43D33">
                  <w:pPr>
                    <w:numPr>
                      <w:ilvl w:val="0"/>
                      <w:numId w:val="0"/>
                    </w:numPr>
                    <w:ind w:left="0" w:leftChars="0" w:firstLine="0" w:firstLineChars="0"/>
                    <w:jc w:val="center"/>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废铁</w:t>
                  </w:r>
                </w:p>
              </w:tc>
              <w:tc>
                <w:tcPr>
                  <w:tcW w:w="1126" w:type="pct"/>
                  <w:tcBorders>
                    <w:tl2br w:val="nil"/>
                    <w:tr2bl w:val="nil"/>
                  </w:tcBorders>
                  <w:noWrap w:val="0"/>
                  <w:vAlign w:val="center"/>
                </w:tcPr>
                <w:p w14:paraId="3193266C">
                  <w:pPr>
                    <w:numPr>
                      <w:ilvl w:val="0"/>
                      <w:numId w:val="0"/>
                    </w:numPr>
                    <w:ind w:left="0" w:leftChars="0" w:firstLine="0" w:firstLineChars="0"/>
                    <w:jc w:val="center"/>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688" w:type="pct"/>
                  <w:tcBorders>
                    <w:tl2br w:val="nil"/>
                    <w:tr2bl w:val="nil"/>
                  </w:tcBorders>
                  <w:shd w:val="clear" w:color="auto" w:fill="auto"/>
                  <w:noWrap w:val="0"/>
                  <w:vAlign w:val="center"/>
                </w:tcPr>
                <w:p w14:paraId="2F724B54">
                  <w:pPr>
                    <w:numPr>
                      <w:ilvl w:val="0"/>
                      <w:numId w:val="0"/>
                    </w:numPr>
                    <w:ind w:left="0" w:leftChars="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1127" w:type="pct"/>
                  <w:tcBorders>
                    <w:tl2br w:val="nil"/>
                    <w:tr2bl w:val="nil"/>
                  </w:tcBorders>
                  <w:shd w:val="clear" w:color="auto" w:fill="auto"/>
                  <w:noWrap w:val="0"/>
                  <w:vAlign w:val="center"/>
                </w:tcPr>
                <w:p w14:paraId="0D8AD711">
                  <w:pPr>
                    <w:jc w:val="center"/>
                    <w:rPr>
                      <w:rFonts w:hint="default" w:ascii="Times New Roman" w:hAnsi="Times New Roman" w:eastAsia="宋体" w:cs="Times New Roman"/>
                      <w:bCs/>
                      <w:color w:val="auto"/>
                      <w:lang w:val="en-US" w:eastAsia="zh-CN"/>
                    </w:rPr>
                  </w:pPr>
                  <w:r>
                    <w:rPr>
                      <w:rFonts w:hint="eastAsia" w:cs="Times New Roman"/>
                      <w:bCs/>
                      <w:color w:val="auto"/>
                      <w:lang w:val="en-US" w:eastAsia="zh-CN"/>
                    </w:rPr>
                    <w:t>1.5</w:t>
                  </w:r>
                </w:p>
              </w:tc>
            </w:tr>
            <w:tr w14:paraId="0EE3EB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57" w:type="pct"/>
                  <w:tcBorders>
                    <w:tl2br w:val="nil"/>
                    <w:tr2bl w:val="nil"/>
                  </w:tcBorders>
                  <w:noWrap w:val="0"/>
                  <w:vAlign w:val="center"/>
                </w:tcPr>
                <w:p w14:paraId="6DDA5EF6">
                  <w:pPr>
                    <w:numPr>
                      <w:ilvl w:val="0"/>
                      <w:numId w:val="0"/>
                    </w:numPr>
                    <w:ind w:left="0" w:leftChars="0" w:firstLine="0" w:firstLineChars="0"/>
                    <w:jc w:val="center"/>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轻物质</w:t>
                  </w:r>
                </w:p>
              </w:tc>
              <w:tc>
                <w:tcPr>
                  <w:tcW w:w="1126" w:type="pct"/>
                  <w:tcBorders>
                    <w:tl2br w:val="nil"/>
                    <w:tr2bl w:val="nil"/>
                  </w:tcBorders>
                  <w:noWrap w:val="0"/>
                  <w:vAlign w:val="center"/>
                </w:tcPr>
                <w:p w14:paraId="4F4E447A">
                  <w:pPr>
                    <w:numPr>
                      <w:ilvl w:val="0"/>
                      <w:numId w:val="0"/>
                    </w:numPr>
                    <w:ind w:left="0" w:leftChars="0" w:firstLine="0" w:firstLineChars="0"/>
                    <w:jc w:val="center"/>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688" w:type="pct"/>
                  <w:tcBorders>
                    <w:tl2br w:val="nil"/>
                    <w:tr2bl w:val="nil"/>
                  </w:tcBorders>
                  <w:shd w:val="clear" w:color="auto" w:fill="auto"/>
                  <w:noWrap w:val="0"/>
                  <w:vAlign w:val="center"/>
                </w:tcPr>
                <w:p w14:paraId="458FC203">
                  <w:pPr>
                    <w:numPr>
                      <w:ilvl w:val="0"/>
                      <w:numId w:val="0"/>
                    </w:numPr>
                    <w:ind w:left="0" w:leftChars="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sz w:val="21"/>
                      <w:szCs w:val="21"/>
                      <w:lang w:val="en-US" w:eastAsia="zh-CN"/>
                    </w:rPr>
                    <w:t>万吨</w:t>
                  </w:r>
                </w:p>
              </w:tc>
              <w:tc>
                <w:tcPr>
                  <w:tcW w:w="1127" w:type="pct"/>
                  <w:tcBorders>
                    <w:tl2br w:val="nil"/>
                    <w:tr2bl w:val="nil"/>
                  </w:tcBorders>
                  <w:shd w:val="clear" w:color="auto" w:fill="auto"/>
                  <w:noWrap w:val="0"/>
                  <w:vAlign w:val="center"/>
                </w:tcPr>
                <w:p w14:paraId="0359AF45">
                  <w:pPr>
                    <w:jc w:val="center"/>
                    <w:rPr>
                      <w:rFonts w:hint="default" w:ascii="Times New Roman" w:hAnsi="Times New Roman" w:eastAsia="宋体" w:cs="Times New Roman"/>
                      <w:bCs/>
                      <w:color w:val="auto"/>
                      <w:lang w:val="en-US" w:eastAsia="zh-CN"/>
                    </w:rPr>
                  </w:pPr>
                  <w:r>
                    <w:rPr>
                      <w:rFonts w:hint="eastAsia" w:cs="Times New Roman"/>
                      <w:bCs/>
                      <w:color w:val="auto"/>
                      <w:lang w:val="en-US" w:eastAsia="zh-CN"/>
                    </w:rPr>
                    <w:t>2.5</w:t>
                  </w:r>
                </w:p>
              </w:tc>
            </w:tr>
          </w:tbl>
          <w:p w14:paraId="718CDA9C">
            <w:pPr>
              <w:widowControl/>
              <w:spacing w:line="360" w:lineRule="auto"/>
              <w:ind w:firstLine="480" w:firstLineChars="200"/>
              <w:jc w:val="left"/>
              <w:rPr>
                <w:rFonts w:hint="default" w:ascii="Times New Roman" w:hAnsi="Times New Roman" w:cs="Times New Roman"/>
                <w:color w:val="auto"/>
                <w:kern w:val="0"/>
                <w:sz w:val="24"/>
                <w:szCs w:val="32"/>
                <w:lang w:val="en-US" w:eastAsia="zh-CN" w:bidi="ar"/>
              </w:rPr>
            </w:pPr>
            <w:r>
              <w:rPr>
                <w:rFonts w:hint="eastAsia" w:ascii="Times New Roman" w:hAnsi="Times New Roman" w:cs="Times New Roman"/>
                <w:color w:val="auto"/>
                <w:kern w:val="0"/>
                <w:sz w:val="24"/>
                <w:szCs w:val="32"/>
                <w:lang w:val="en-US" w:eastAsia="zh-CN" w:bidi="ar"/>
              </w:rPr>
              <w:t>根据《建筑垃圾处理技术标准》（CJJ/T134-2019），建筑垃圾再生骨料、再生粉体可作为再生级配骨料直接应用于道路工程，也可制成再生骨料无机混合料应用于道路工程。用于道路路面基层时，其最大粒径不应大于31.5mm，本项目产品符合标准要求。</w:t>
            </w:r>
            <w:r>
              <w:rPr>
                <w:rFonts w:hint="eastAsia" w:cs="Times New Roman"/>
                <w:color w:val="auto"/>
                <w:kern w:val="0"/>
                <w:sz w:val="24"/>
                <w:szCs w:val="32"/>
                <w:lang w:val="en-US" w:eastAsia="zh-CN" w:bidi="ar"/>
              </w:rPr>
              <w:t>根据市场需求</w:t>
            </w:r>
            <w:r>
              <w:rPr>
                <w:rFonts w:hint="eastAsia" w:ascii="Times New Roman" w:hAnsi="Times New Roman" w:cs="Times New Roman"/>
                <w:color w:val="auto"/>
                <w:kern w:val="0"/>
                <w:sz w:val="24"/>
                <w:szCs w:val="32"/>
                <w:lang w:val="en-US" w:eastAsia="zh-CN" w:bidi="ar"/>
              </w:rPr>
              <w:t>0-150mm混合料</w:t>
            </w:r>
            <w:r>
              <w:rPr>
                <w:rFonts w:hint="eastAsia" w:cs="Times New Roman"/>
                <w:color w:val="auto"/>
                <w:kern w:val="0"/>
                <w:sz w:val="24"/>
                <w:szCs w:val="32"/>
                <w:lang w:val="en-US" w:eastAsia="zh-CN" w:bidi="ar"/>
              </w:rPr>
              <w:t>主要用于建筑基坑、管沟回填等，暂无标准要求。废铁及轻物质均在厂区暂存，外售综合利用。</w:t>
            </w:r>
          </w:p>
          <w:p w14:paraId="3C93C6F6">
            <w:pPr>
              <w:spacing w:line="360" w:lineRule="auto"/>
              <w:ind w:firstLine="482" w:firstLineChars="200"/>
              <w:rPr>
                <w:rFonts w:ascii="宋体" w:hAnsi="宋体" w:cs="宋体"/>
                <w:bCs/>
                <w:color w:val="auto"/>
                <w:sz w:val="24"/>
              </w:rPr>
            </w:pPr>
            <w:r>
              <w:rPr>
                <w:rFonts w:hint="eastAsia"/>
                <w:b/>
                <w:color w:val="auto"/>
                <w:sz w:val="24"/>
                <w:lang w:val="en-US" w:eastAsia="zh-CN"/>
              </w:rPr>
              <w:t>5</w:t>
            </w:r>
            <w:r>
              <w:rPr>
                <w:rFonts w:hint="eastAsia"/>
                <w:b/>
                <w:color w:val="auto"/>
                <w:sz w:val="24"/>
              </w:rPr>
              <w:t>、主要生产设备</w:t>
            </w:r>
          </w:p>
          <w:p w14:paraId="600DC9C0">
            <w:pPr>
              <w:widowControl/>
              <w:spacing w:line="360" w:lineRule="auto"/>
              <w:ind w:firstLine="480" w:firstLineChars="200"/>
              <w:rPr>
                <w:color w:val="auto"/>
                <w:sz w:val="24"/>
              </w:rPr>
            </w:pPr>
            <w:r>
              <w:rPr>
                <w:color w:val="auto"/>
                <w:sz w:val="24"/>
              </w:rPr>
              <w:t>本项目主要</w:t>
            </w:r>
            <w:r>
              <w:rPr>
                <w:rFonts w:hint="eastAsia"/>
                <w:color w:val="auto"/>
                <w:sz w:val="24"/>
              </w:rPr>
              <w:t>生产设备</w:t>
            </w:r>
            <w:r>
              <w:rPr>
                <w:color w:val="auto"/>
                <w:sz w:val="24"/>
              </w:rPr>
              <w:t>见表2-</w:t>
            </w:r>
            <w:r>
              <w:rPr>
                <w:rFonts w:hint="eastAsia"/>
                <w:color w:val="auto"/>
                <w:sz w:val="24"/>
              </w:rPr>
              <w:t>3</w:t>
            </w:r>
            <w:r>
              <w:rPr>
                <w:color w:val="auto"/>
                <w:sz w:val="24"/>
              </w:rPr>
              <w:t>。</w:t>
            </w:r>
          </w:p>
          <w:p w14:paraId="46D6CBF5">
            <w:pPr>
              <w:widowControl/>
              <w:spacing w:line="360" w:lineRule="auto"/>
              <w:ind w:firstLine="480" w:firstLineChars="200"/>
              <w:rPr>
                <w:color w:val="auto"/>
                <w:sz w:val="24"/>
              </w:rPr>
            </w:pPr>
          </w:p>
          <w:p w14:paraId="0C711CB5">
            <w:pPr>
              <w:jc w:val="center"/>
              <w:rPr>
                <w:b/>
                <w:color w:val="auto"/>
                <w:sz w:val="24"/>
              </w:rPr>
            </w:pPr>
            <w:r>
              <w:rPr>
                <w:b/>
                <w:color w:val="auto"/>
                <w:sz w:val="24"/>
              </w:rPr>
              <w:t>表2</w:t>
            </w:r>
            <w:r>
              <w:rPr>
                <w:rFonts w:hint="eastAsia"/>
                <w:b/>
                <w:color w:val="auto"/>
                <w:sz w:val="24"/>
              </w:rPr>
              <w:t>-3</w:t>
            </w:r>
            <w:r>
              <w:rPr>
                <w:b/>
                <w:color w:val="auto"/>
                <w:sz w:val="24"/>
              </w:rPr>
              <w:t xml:space="preserve">  项目主要生产设备一览表</w:t>
            </w:r>
          </w:p>
          <w:tbl>
            <w:tblPr>
              <w:tblStyle w:val="2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1907"/>
              <w:gridCol w:w="1587"/>
              <w:gridCol w:w="577"/>
              <w:gridCol w:w="828"/>
              <w:gridCol w:w="940"/>
              <w:gridCol w:w="1115"/>
              <w:gridCol w:w="1116"/>
            </w:tblGrid>
            <w:tr w14:paraId="454B44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8ADB010">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序号</w:t>
                  </w:r>
                </w:p>
              </w:tc>
              <w:tc>
                <w:tcPr>
                  <w:tcW w:w="1108" w:type="pct"/>
                  <w:noWrap w:val="0"/>
                  <w:vAlign w:val="center"/>
                </w:tcPr>
                <w:p w14:paraId="033EFB39">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名称</w:t>
                  </w:r>
                </w:p>
              </w:tc>
              <w:tc>
                <w:tcPr>
                  <w:tcW w:w="922" w:type="pct"/>
                  <w:noWrap w:val="0"/>
                  <w:vAlign w:val="center"/>
                </w:tcPr>
                <w:p w14:paraId="24501C27">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型号</w:t>
                  </w:r>
                </w:p>
              </w:tc>
              <w:tc>
                <w:tcPr>
                  <w:tcW w:w="335" w:type="pct"/>
                  <w:noWrap w:val="0"/>
                  <w:vAlign w:val="center"/>
                </w:tcPr>
                <w:p w14:paraId="17469A44">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default" w:ascii="Times New Roman" w:hAnsi="Times New Roman" w:eastAsia="宋体" w:cs="Times New Roman"/>
                      <w:i w:val="0"/>
                      <w:iCs w:val="0"/>
                      <w:color w:val="auto"/>
                      <w:sz w:val="21"/>
                      <w:szCs w:val="21"/>
                    </w:rPr>
                    <w:t>单位</w:t>
                  </w:r>
                </w:p>
              </w:tc>
              <w:tc>
                <w:tcPr>
                  <w:tcW w:w="481" w:type="pct"/>
                  <w:noWrap w:val="0"/>
                  <w:vAlign w:val="center"/>
                </w:tcPr>
                <w:p w14:paraId="5F7590D1">
                  <w:pPr>
                    <w:adjustRightInd w:val="0"/>
                    <w:snapToGrid w:val="0"/>
                    <w:spacing w:line="240" w:lineRule="auto"/>
                    <w:jc w:val="center"/>
                    <w:rPr>
                      <w:rFonts w:hint="default" w:ascii="Times New Roman" w:hAnsi="Times New Roman" w:eastAsia="宋体" w:cs="Times New Roman"/>
                      <w:i w:val="0"/>
                      <w:iCs w:val="0"/>
                      <w:color w:val="auto"/>
                      <w:sz w:val="21"/>
                      <w:szCs w:val="21"/>
                    </w:rPr>
                  </w:pPr>
                  <w:r>
                    <w:rPr>
                      <w:rFonts w:hint="eastAsia" w:cs="Times New Roman"/>
                      <w:i w:val="0"/>
                      <w:iCs w:val="0"/>
                      <w:color w:val="auto"/>
                      <w:sz w:val="21"/>
                      <w:szCs w:val="21"/>
                      <w:lang w:val="en-US" w:eastAsia="zh-CN"/>
                    </w:rPr>
                    <w:t>现有</w:t>
                  </w:r>
                  <w:r>
                    <w:rPr>
                      <w:rFonts w:hint="default" w:ascii="Times New Roman" w:hAnsi="Times New Roman" w:eastAsia="宋体" w:cs="Times New Roman"/>
                      <w:i w:val="0"/>
                      <w:iCs w:val="0"/>
                      <w:color w:val="auto"/>
                      <w:sz w:val="21"/>
                      <w:szCs w:val="21"/>
                    </w:rPr>
                    <w:t>数量</w:t>
                  </w:r>
                </w:p>
              </w:tc>
              <w:tc>
                <w:tcPr>
                  <w:tcW w:w="546" w:type="pct"/>
                  <w:noWrap w:val="0"/>
                  <w:vAlign w:val="center"/>
                </w:tcPr>
                <w:p w14:paraId="32757232">
                  <w:pPr>
                    <w:adjustRightInd w:val="0"/>
                    <w:snapToGrid w:val="0"/>
                    <w:spacing w:line="240" w:lineRule="auto"/>
                    <w:jc w:val="center"/>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扩建后数量</w:t>
                  </w:r>
                </w:p>
              </w:tc>
              <w:tc>
                <w:tcPr>
                  <w:tcW w:w="648" w:type="pct"/>
                  <w:noWrap w:val="0"/>
                  <w:vAlign w:val="center"/>
                </w:tcPr>
                <w:p w14:paraId="0A18D977">
                  <w:pPr>
                    <w:adjustRightInd w:val="0"/>
                    <w:snapToGrid w:val="0"/>
                    <w:spacing w:line="240" w:lineRule="auto"/>
                    <w:jc w:val="center"/>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变化情况</w:t>
                  </w:r>
                </w:p>
              </w:tc>
              <w:tc>
                <w:tcPr>
                  <w:tcW w:w="648" w:type="pct"/>
                  <w:noWrap w:val="0"/>
                  <w:vAlign w:val="center"/>
                </w:tcPr>
                <w:p w14:paraId="5EE74A46">
                  <w:pPr>
                    <w:adjustRightInd w:val="0"/>
                    <w:snapToGrid w:val="0"/>
                    <w:spacing w:line="240" w:lineRule="auto"/>
                    <w:jc w:val="center"/>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i w:val="0"/>
                      <w:iCs w:val="0"/>
                      <w:color w:val="auto"/>
                      <w:sz w:val="21"/>
                      <w:szCs w:val="21"/>
                      <w:lang w:val="en-US" w:eastAsia="zh-CN"/>
                    </w:rPr>
                    <w:t>备注</w:t>
                  </w:r>
                </w:p>
              </w:tc>
            </w:tr>
            <w:tr w14:paraId="63841C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10B7B338">
                  <w:pPr>
                    <w:adjustRightInd w:val="0"/>
                    <w:snapToGrid w:val="0"/>
                    <w:spacing w:line="240" w:lineRule="auto"/>
                    <w:jc w:val="center"/>
                    <w:rPr>
                      <w:rFonts w:hint="default" w:ascii="Times New Roman" w:hAnsi="Times New Roman" w:eastAsia="宋体" w:cs="Times New Roman"/>
                      <w:i w:val="0"/>
                      <w:iCs w:val="0"/>
                      <w:color w:val="auto"/>
                      <w:sz w:val="21"/>
                      <w:szCs w:val="21"/>
                      <w:lang w:val="zh-CN"/>
                    </w:rPr>
                  </w:pPr>
                  <w:r>
                    <w:rPr>
                      <w:rFonts w:hint="default" w:ascii="Times New Roman" w:hAnsi="Times New Roman" w:eastAsia="宋体" w:cs="Times New Roman"/>
                      <w:i w:val="0"/>
                      <w:iCs w:val="0"/>
                      <w:color w:val="auto"/>
                      <w:sz w:val="21"/>
                      <w:szCs w:val="21"/>
                      <w:lang w:val="zh-CN"/>
                    </w:rPr>
                    <w:t>1</w:t>
                  </w:r>
                </w:p>
              </w:tc>
              <w:tc>
                <w:tcPr>
                  <w:tcW w:w="1108" w:type="pct"/>
                  <w:noWrap w:val="0"/>
                  <w:vAlign w:val="center"/>
                </w:tcPr>
                <w:p w14:paraId="3EEE8962">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振动给料机</w:t>
                  </w:r>
                </w:p>
              </w:tc>
              <w:tc>
                <w:tcPr>
                  <w:tcW w:w="922" w:type="pct"/>
                  <w:noWrap w:val="0"/>
                  <w:vAlign w:val="center"/>
                </w:tcPr>
                <w:p w14:paraId="2E05EA4B">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2"/>
                      <w:rFonts w:hint="default" w:ascii="Times New Roman" w:hAnsi="Times New Roman" w:eastAsia="宋体" w:cs="Times New Roman"/>
                      <w:b w:val="0"/>
                      <w:i w:val="0"/>
                      <w:iCs w:val="0"/>
                      <w:color w:val="auto"/>
                      <w:sz w:val="21"/>
                      <w:szCs w:val="21"/>
                      <w:lang w:val="en-US"/>
                    </w:rPr>
                    <w:t>ZSW600×150</w:t>
                  </w:r>
                </w:p>
              </w:tc>
              <w:tc>
                <w:tcPr>
                  <w:tcW w:w="335" w:type="pct"/>
                  <w:noWrap w:val="0"/>
                  <w:vAlign w:val="center"/>
                </w:tcPr>
                <w:p w14:paraId="21AF20C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2ED0E85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546" w:type="pct"/>
                  <w:shd w:val="clear" w:color="auto" w:fill="auto"/>
                  <w:noWrap w:val="0"/>
                  <w:vAlign w:val="center"/>
                </w:tcPr>
                <w:p w14:paraId="51979A1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648" w:type="pct"/>
                  <w:noWrap w:val="0"/>
                  <w:vAlign w:val="center"/>
                </w:tcPr>
                <w:p w14:paraId="00D1846E">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val="0"/>
                      <w:i w:val="0"/>
                      <w:iCs w:val="0"/>
                      <w:color w:val="auto"/>
                      <w:sz w:val="21"/>
                      <w:szCs w:val="21"/>
                      <w:vertAlign w:val="baseline"/>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restart"/>
                  <w:noWrap w:val="0"/>
                  <w:vAlign w:val="center"/>
                </w:tcPr>
                <w:p w14:paraId="1834D705">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val="0"/>
                      <w:i w:val="0"/>
                      <w:iCs w:val="0"/>
                      <w:color w:val="auto"/>
                      <w:kern w:val="2"/>
                      <w:sz w:val="21"/>
                      <w:szCs w:val="21"/>
                      <w:vertAlign w:val="baseline"/>
                      <w:lang w:val="en-US" w:eastAsia="zh-CN" w:bidi="ar-SA"/>
                    </w:rPr>
                  </w:pPr>
                  <w:r>
                    <w:rPr>
                      <w:rFonts w:hint="default" w:ascii="Times New Roman" w:hAnsi="Times New Roman" w:eastAsia="宋体" w:cs="Times New Roman"/>
                      <w:b w:val="0"/>
                      <w:bCs w:val="0"/>
                      <w:i w:val="0"/>
                      <w:iCs w:val="0"/>
                      <w:color w:val="auto"/>
                      <w:sz w:val="21"/>
                      <w:szCs w:val="21"/>
                      <w:vertAlign w:val="baseline"/>
                      <w:lang w:val="en-US" w:eastAsia="zh-CN"/>
                    </w:rPr>
                    <w:t>再生利用生产线</w:t>
                  </w:r>
                </w:p>
              </w:tc>
            </w:tr>
            <w:tr w14:paraId="7802B7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219C6983">
                  <w:pPr>
                    <w:adjustRightInd w:val="0"/>
                    <w:snapToGrid w:val="0"/>
                    <w:spacing w:line="240" w:lineRule="auto"/>
                    <w:jc w:val="center"/>
                    <w:rPr>
                      <w:rFonts w:hint="default" w:ascii="Times New Roman" w:hAnsi="Times New Roman" w:eastAsia="宋体" w:cs="Times New Roman"/>
                      <w:i w:val="0"/>
                      <w:iCs w:val="0"/>
                      <w:color w:val="auto"/>
                      <w:kern w:val="2"/>
                      <w:sz w:val="21"/>
                      <w:szCs w:val="21"/>
                      <w:lang w:val="zh-CN" w:eastAsia="zh-CN" w:bidi="ar-SA"/>
                    </w:rPr>
                  </w:pPr>
                  <w:r>
                    <w:rPr>
                      <w:rFonts w:hint="default" w:ascii="Times New Roman" w:hAnsi="Times New Roman" w:eastAsia="宋体" w:cs="Times New Roman"/>
                      <w:i w:val="0"/>
                      <w:iCs w:val="0"/>
                      <w:color w:val="auto"/>
                      <w:sz w:val="21"/>
                      <w:szCs w:val="21"/>
                    </w:rPr>
                    <w:t>2</w:t>
                  </w:r>
                </w:p>
              </w:tc>
              <w:tc>
                <w:tcPr>
                  <w:tcW w:w="1108" w:type="pct"/>
                  <w:noWrap w:val="0"/>
                  <w:vAlign w:val="center"/>
                </w:tcPr>
                <w:p w14:paraId="6247F3F8">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颚式破碎机</w:t>
                  </w:r>
                </w:p>
              </w:tc>
              <w:tc>
                <w:tcPr>
                  <w:tcW w:w="922" w:type="pct"/>
                  <w:noWrap w:val="0"/>
                  <w:vAlign w:val="center"/>
                </w:tcPr>
                <w:p w14:paraId="2A5DC8CD">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2"/>
                      <w:rFonts w:hint="default" w:ascii="Times New Roman" w:hAnsi="Times New Roman" w:eastAsia="宋体" w:cs="Times New Roman"/>
                      <w:b w:val="0"/>
                      <w:i w:val="0"/>
                      <w:iCs w:val="0"/>
                      <w:color w:val="auto"/>
                      <w:sz w:val="21"/>
                      <w:szCs w:val="21"/>
                      <w:lang w:val="en-US"/>
                    </w:rPr>
                    <w:t>ASD4836</w:t>
                  </w:r>
                </w:p>
              </w:tc>
              <w:tc>
                <w:tcPr>
                  <w:tcW w:w="335" w:type="pct"/>
                  <w:noWrap w:val="0"/>
                  <w:vAlign w:val="center"/>
                </w:tcPr>
                <w:p w14:paraId="17C2C57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100F58C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546" w:type="pct"/>
                  <w:shd w:val="clear" w:color="auto" w:fill="auto"/>
                  <w:noWrap w:val="0"/>
                  <w:vAlign w:val="center"/>
                </w:tcPr>
                <w:p w14:paraId="3ED38DE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648" w:type="pct"/>
                  <w:noWrap w:val="0"/>
                  <w:vAlign w:val="center"/>
                </w:tcPr>
                <w:p w14:paraId="3E4EDC6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52D3104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9ABE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5B8767DC">
                  <w:pPr>
                    <w:adjustRightInd w:val="0"/>
                    <w:snapToGrid w:val="0"/>
                    <w:spacing w:line="240" w:lineRule="auto"/>
                    <w:jc w:val="center"/>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rPr>
                    <w:t>3</w:t>
                  </w:r>
                </w:p>
              </w:tc>
              <w:tc>
                <w:tcPr>
                  <w:tcW w:w="1108" w:type="pct"/>
                  <w:noWrap w:val="0"/>
                  <w:vAlign w:val="center"/>
                </w:tcPr>
                <w:p w14:paraId="2EA838A5">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振动给料机</w:t>
                  </w:r>
                </w:p>
              </w:tc>
              <w:tc>
                <w:tcPr>
                  <w:tcW w:w="922" w:type="pct"/>
                  <w:noWrap w:val="0"/>
                  <w:vAlign w:val="center"/>
                </w:tcPr>
                <w:p w14:paraId="25CEA67C">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2"/>
                      <w:rFonts w:hint="default" w:ascii="Times New Roman" w:hAnsi="Times New Roman" w:eastAsia="宋体" w:cs="Times New Roman"/>
                      <w:b w:val="0"/>
                      <w:i w:val="0"/>
                      <w:iCs w:val="0"/>
                      <w:color w:val="auto"/>
                      <w:sz w:val="21"/>
                      <w:szCs w:val="21"/>
                      <w:lang w:val="en-US"/>
                    </w:rPr>
                    <w:t>GZG125-150</w:t>
                  </w:r>
                </w:p>
              </w:tc>
              <w:tc>
                <w:tcPr>
                  <w:tcW w:w="335" w:type="pct"/>
                  <w:noWrap w:val="0"/>
                  <w:vAlign w:val="center"/>
                </w:tcPr>
                <w:p w14:paraId="5C4E153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32CF0B1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546" w:type="pct"/>
                  <w:shd w:val="clear" w:color="auto" w:fill="auto"/>
                  <w:noWrap w:val="0"/>
                  <w:vAlign w:val="center"/>
                </w:tcPr>
                <w:p w14:paraId="5996FD0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1</w:t>
                  </w:r>
                </w:p>
              </w:tc>
              <w:tc>
                <w:tcPr>
                  <w:tcW w:w="648" w:type="pct"/>
                  <w:noWrap w:val="0"/>
                  <w:vAlign w:val="center"/>
                </w:tcPr>
                <w:p w14:paraId="2C4B387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358FFDF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752D5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4CBC14C">
                  <w:pPr>
                    <w:adjustRightInd w:val="0"/>
                    <w:snapToGrid w:val="0"/>
                    <w:spacing w:line="240" w:lineRule="auto"/>
                    <w:jc w:val="center"/>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rPr>
                    <w:t>4</w:t>
                  </w:r>
                </w:p>
              </w:tc>
              <w:tc>
                <w:tcPr>
                  <w:tcW w:w="1108" w:type="pct"/>
                  <w:noWrap w:val="0"/>
                  <w:vAlign w:val="center"/>
                </w:tcPr>
                <w:p w14:paraId="0F8A7CFA">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Fonts w:hint="default" w:ascii="Times New Roman" w:hAnsi="Times New Roman" w:eastAsia="宋体" w:cs="Times New Roman"/>
                      <w:i w:val="0"/>
                      <w:iCs w:val="0"/>
                      <w:color w:val="auto"/>
                      <w:sz w:val="21"/>
                      <w:szCs w:val="21"/>
                      <w:lang w:val="en-US" w:eastAsia="zh-CN"/>
                    </w:rPr>
                    <w:t>振动给料机</w:t>
                  </w:r>
                </w:p>
              </w:tc>
              <w:tc>
                <w:tcPr>
                  <w:tcW w:w="922" w:type="pct"/>
                  <w:noWrap w:val="0"/>
                  <w:vAlign w:val="center"/>
                </w:tcPr>
                <w:p w14:paraId="22268BF5">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Fonts w:hint="default" w:ascii="Times New Roman" w:hAnsi="Times New Roman" w:eastAsia="宋体" w:cs="Times New Roman"/>
                      <w:b w:val="0"/>
                      <w:i w:val="0"/>
                      <w:iCs w:val="0"/>
                      <w:color w:val="auto"/>
                      <w:spacing w:val="0"/>
                      <w:kern w:val="0"/>
                      <w:sz w:val="21"/>
                      <w:szCs w:val="21"/>
                      <w:lang w:val="en-US" w:eastAsia="zh-CN" w:bidi="he-IL"/>
                    </w:rPr>
                  </w:pPr>
                  <w:r>
                    <w:rPr>
                      <w:rStyle w:val="32"/>
                      <w:rFonts w:hint="default" w:ascii="Times New Roman" w:hAnsi="Times New Roman" w:eastAsia="宋体" w:cs="Times New Roman"/>
                      <w:b w:val="0"/>
                      <w:i w:val="0"/>
                      <w:iCs w:val="0"/>
                      <w:color w:val="auto"/>
                      <w:sz w:val="21"/>
                      <w:szCs w:val="21"/>
                      <w:lang w:val="en-US"/>
                    </w:rPr>
                    <w:t>GZG90-145</w:t>
                  </w:r>
                </w:p>
              </w:tc>
              <w:tc>
                <w:tcPr>
                  <w:tcW w:w="335" w:type="pct"/>
                  <w:noWrap w:val="0"/>
                  <w:vAlign w:val="center"/>
                </w:tcPr>
                <w:p w14:paraId="6F6433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台</w:t>
                  </w:r>
                </w:p>
              </w:tc>
              <w:tc>
                <w:tcPr>
                  <w:tcW w:w="481" w:type="pct"/>
                  <w:noWrap w:val="0"/>
                  <w:vAlign w:val="center"/>
                </w:tcPr>
                <w:p w14:paraId="1711F55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3</w:t>
                  </w:r>
                </w:p>
              </w:tc>
              <w:tc>
                <w:tcPr>
                  <w:tcW w:w="546" w:type="pct"/>
                  <w:shd w:val="clear" w:color="auto" w:fill="auto"/>
                  <w:noWrap w:val="0"/>
                  <w:vAlign w:val="center"/>
                </w:tcPr>
                <w:p w14:paraId="06ECE71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default" w:ascii="Times New Roman" w:hAnsi="Times New Roman" w:eastAsia="宋体" w:cs="Times New Roman"/>
                      <w:i w:val="0"/>
                      <w:iCs w:val="0"/>
                      <w:color w:val="auto"/>
                      <w:sz w:val="21"/>
                      <w:szCs w:val="21"/>
                      <w:lang w:val="en-US" w:eastAsia="zh-CN"/>
                    </w:rPr>
                    <w:t>3</w:t>
                  </w:r>
                </w:p>
              </w:tc>
              <w:tc>
                <w:tcPr>
                  <w:tcW w:w="648" w:type="pct"/>
                  <w:noWrap w:val="0"/>
                  <w:vAlign w:val="center"/>
                </w:tcPr>
                <w:p w14:paraId="32F8F25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49C9139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8DFF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265FD4CF">
                  <w:pPr>
                    <w:adjustRightInd w:val="0"/>
                    <w:snapToGrid w:val="0"/>
                    <w:spacing w:line="240" w:lineRule="auto"/>
                    <w:jc w:val="center"/>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5</w:t>
                  </w:r>
                </w:p>
              </w:tc>
              <w:tc>
                <w:tcPr>
                  <w:tcW w:w="1108" w:type="pct"/>
                  <w:noWrap w:val="0"/>
                  <w:vAlign w:val="center"/>
                </w:tcPr>
                <w:p w14:paraId="04CA0243">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反击式破碎机</w:t>
                  </w:r>
                </w:p>
              </w:tc>
              <w:tc>
                <w:tcPr>
                  <w:tcW w:w="922" w:type="pct"/>
                  <w:noWrap w:val="0"/>
                  <w:vAlign w:val="center"/>
                </w:tcPr>
                <w:p w14:paraId="52629F2B">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PFQ1520</w:t>
                  </w:r>
                </w:p>
              </w:tc>
              <w:tc>
                <w:tcPr>
                  <w:tcW w:w="335" w:type="pct"/>
                  <w:noWrap w:val="0"/>
                  <w:vAlign w:val="center"/>
                </w:tcPr>
                <w:p w14:paraId="6BBD7C54">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20F39EC4">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3397E41E">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71C8534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3A37965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1B98A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3FC4946">
                  <w:pPr>
                    <w:adjustRightInd w:val="0"/>
                    <w:snapToGrid w:val="0"/>
                    <w:spacing w:line="240" w:lineRule="auto"/>
                    <w:jc w:val="center"/>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6</w:t>
                  </w:r>
                </w:p>
              </w:tc>
              <w:tc>
                <w:tcPr>
                  <w:tcW w:w="1108" w:type="pct"/>
                  <w:noWrap w:val="0"/>
                  <w:vAlign w:val="center"/>
                </w:tcPr>
                <w:p w14:paraId="22BA7B8E">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振动筛</w:t>
                  </w:r>
                </w:p>
              </w:tc>
              <w:tc>
                <w:tcPr>
                  <w:tcW w:w="922" w:type="pct"/>
                  <w:noWrap w:val="0"/>
                  <w:vAlign w:val="center"/>
                </w:tcPr>
                <w:p w14:paraId="5F2CDC30">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2YKR3073</w:t>
                  </w:r>
                </w:p>
              </w:tc>
              <w:tc>
                <w:tcPr>
                  <w:tcW w:w="335" w:type="pct"/>
                  <w:noWrap w:val="0"/>
                  <w:vAlign w:val="center"/>
                </w:tcPr>
                <w:p w14:paraId="18C0BC94">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1C1BBCA7">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300CEDF1">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77AB33A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5DFB01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1F8BE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1E86012">
                  <w:pPr>
                    <w:adjustRightInd w:val="0"/>
                    <w:snapToGrid w:val="0"/>
                    <w:spacing w:line="240" w:lineRule="auto"/>
                    <w:jc w:val="center"/>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7</w:t>
                  </w:r>
                </w:p>
              </w:tc>
              <w:tc>
                <w:tcPr>
                  <w:tcW w:w="1108" w:type="pct"/>
                  <w:noWrap w:val="0"/>
                  <w:vAlign w:val="center"/>
                </w:tcPr>
                <w:p w14:paraId="49B770AB">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振动筛</w:t>
                  </w:r>
                </w:p>
              </w:tc>
              <w:tc>
                <w:tcPr>
                  <w:tcW w:w="922" w:type="pct"/>
                  <w:noWrap w:val="0"/>
                  <w:vAlign w:val="center"/>
                </w:tcPr>
                <w:p w14:paraId="4D41F2E4">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3YKR3073</w:t>
                  </w:r>
                </w:p>
              </w:tc>
              <w:tc>
                <w:tcPr>
                  <w:tcW w:w="335" w:type="pct"/>
                  <w:noWrap w:val="0"/>
                  <w:vAlign w:val="center"/>
                </w:tcPr>
                <w:p w14:paraId="5D08CC6A">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18F893E8">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2FFFB8D2">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00EC968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903370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28859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296AB6F">
                  <w:pPr>
                    <w:adjustRightInd w:val="0"/>
                    <w:snapToGrid w:val="0"/>
                    <w:spacing w:line="240" w:lineRule="auto"/>
                    <w:jc w:val="center"/>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8</w:t>
                  </w:r>
                </w:p>
              </w:tc>
              <w:tc>
                <w:tcPr>
                  <w:tcW w:w="1108" w:type="pct"/>
                  <w:noWrap w:val="0"/>
                  <w:vAlign w:val="center"/>
                </w:tcPr>
                <w:p w14:paraId="7ED19383">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轻物质分选机</w:t>
                  </w:r>
                </w:p>
              </w:tc>
              <w:tc>
                <w:tcPr>
                  <w:tcW w:w="922" w:type="pct"/>
                  <w:noWrap w:val="0"/>
                  <w:vAlign w:val="center"/>
                </w:tcPr>
                <w:p w14:paraId="1CA9BF9D">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Q-FX100</w:t>
                  </w:r>
                </w:p>
              </w:tc>
              <w:tc>
                <w:tcPr>
                  <w:tcW w:w="335" w:type="pct"/>
                  <w:noWrap w:val="0"/>
                  <w:vAlign w:val="center"/>
                </w:tcPr>
                <w:p w14:paraId="6E5DB3A9">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0250328E">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3</w:t>
                  </w:r>
                </w:p>
              </w:tc>
              <w:tc>
                <w:tcPr>
                  <w:tcW w:w="546" w:type="pct"/>
                  <w:shd w:val="clear" w:color="auto" w:fill="auto"/>
                  <w:noWrap w:val="0"/>
                  <w:vAlign w:val="center"/>
                </w:tcPr>
                <w:p w14:paraId="5CE64CDE">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3</w:t>
                  </w:r>
                </w:p>
              </w:tc>
              <w:tc>
                <w:tcPr>
                  <w:tcW w:w="648" w:type="pct"/>
                  <w:noWrap w:val="0"/>
                  <w:vAlign w:val="center"/>
                </w:tcPr>
                <w:p w14:paraId="15347EC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002F40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792FD6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385C8AF">
                  <w:pPr>
                    <w:adjustRightInd w:val="0"/>
                    <w:snapToGrid w:val="0"/>
                    <w:spacing w:line="240" w:lineRule="auto"/>
                    <w:jc w:val="center"/>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9</w:t>
                  </w:r>
                </w:p>
              </w:tc>
              <w:tc>
                <w:tcPr>
                  <w:tcW w:w="1108" w:type="pct"/>
                  <w:noWrap w:val="0"/>
                  <w:vAlign w:val="center"/>
                </w:tcPr>
                <w:p w14:paraId="59253979">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振动筛</w:t>
                  </w:r>
                </w:p>
              </w:tc>
              <w:tc>
                <w:tcPr>
                  <w:tcW w:w="922" w:type="pct"/>
                  <w:noWrap w:val="0"/>
                  <w:vAlign w:val="center"/>
                </w:tcPr>
                <w:p w14:paraId="65DBE93A">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2YA1545</w:t>
                  </w:r>
                </w:p>
              </w:tc>
              <w:tc>
                <w:tcPr>
                  <w:tcW w:w="335" w:type="pct"/>
                  <w:noWrap w:val="0"/>
                  <w:vAlign w:val="center"/>
                </w:tcPr>
                <w:p w14:paraId="13D3FB0F">
                  <w:pPr>
                    <w:pStyle w:val="7"/>
                    <w:keepNext w:val="0"/>
                    <w:keepLines w:val="0"/>
                    <w:pageBreakBefore w:val="0"/>
                    <w:widowControl w:val="0"/>
                    <w:kinsoku/>
                    <w:wordWrap/>
                    <w:overflowPunct/>
                    <w:topLinePunct w:val="0"/>
                    <w:autoSpaceDE/>
                    <w:autoSpaceDN/>
                    <w:bidi w:val="0"/>
                    <w:adjustRightInd w:val="0"/>
                    <w:snapToGrid w:val="0"/>
                    <w:spacing w:after="0"/>
                    <w:ind w:left="0" w:left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4DB237CB">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4DC61242">
                  <w:pPr>
                    <w:pStyle w:val="7"/>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right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32D40EE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A74EE4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E63D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5C79AD2C">
                  <w:pPr>
                    <w:adjustRightInd w:val="0"/>
                    <w:snapToGrid w:val="0"/>
                    <w:spacing w:line="240" w:lineRule="auto"/>
                    <w:jc w:val="center"/>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10</w:t>
                  </w:r>
                </w:p>
              </w:tc>
              <w:tc>
                <w:tcPr>
                  <w:tcW w:w="1108" w:type="pct"/>
                  <w:noWrap w:val="0"/>
                  <w:vAlign w:val="center"/>
                </w:tcPr>
                <w:p w14:paraId="2267CE82">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bidi="ar-SA"/>
                    </w:rPr>
                    <w:t>集中控制系统</w:t>
                  </w:r>
                </w:p>
              </w:tc>
              <w:tc>
                <w:tcPr>
                  <w:tcW w:w="922" w:type="pct"/>
                  <w:noWrap w:val="0"/>
                  <w:vAlign w:val="center"/>
                </w:tcPr>
                <w:p w14:paraId="354092C3">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ascii="Times New Roman" w:hAnsi="Times New Roman" w:cs="Times New Roman"/>
                      <w:b w:val="0"/>
                      <w:i w:val="0"/>
                      <w:iCs w:val="0"/>
                      <w:color w:val="auto"/>
                      <w:kern w:val="2"/>
                      <w:sz w:val="21"/>
                      <w:szCs w:val="21"/>
                      <w:lang w:val="en-US" w:eastAsia="zh-CN" w:bidi="ar-SA"/>
                    </w:rPr>
                    <w:t>/</w:t>
                  </w:r>
                </w:p>
              </w:tc>
              <w:tc>
                <w:tcPr>
                  <w:tcW w:w="335" w:type="pct"/>
                  <w:noWrap w:val="0"/>
                  <w:vAlign w:val="center"/>
                </w:tcPr>
                <w:p w14:paraId="74292EC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套</w:t>
                  </w:r>
                </w:p>
              </w:tc>
              <w:tc>
                <w:tcPr>
                  <w:tcW w:w="481" w:type="pct"/>
                  <w:noWrap w:val="0"/>
                  <w:vAlign w:val="center"/>
                </w:tcPr>
                <w:p w14:paraId="7D93FB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321C4F9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noWrap w:val="0"/>
                  <w:vAlign w:val="center"/>
                </w:tcPr>
                <w:p w14:paraId="1AF5566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0263EF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417A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6B147C0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11</w:t>
                  </w:r>
                </w:p>
              </w:tc>
              <w:tc>
                <w:tcPr>
                  <w:tcW w:w="1108" w:type="pct"/>
                  <w:noWrap w:val="0"/>
                  <w:vAlign w:val="center"/>
                </w:tcPr>
                <w:p w14:paraId="2D48037B">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粗选筛分机</w:t>
                  </w:r>
                </w:p>
              </w:tc>
              <w:tc>
                <w:tcPr>
                  <w:tcW w:w="922" w:type="pct"/>
                  <w:noWrap w:val="0"/>
                  <w:vAlign w:val="center"/>
                </w:tcPr>
                <w:p w14:paraId="1BFABBDA">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YH-1540</w:t>
                  </w:r>
                </w:p>
              </w:tc>
              <w:tc>
                <w:tcPr>
                  <w:tcW w:w="335" w:type="pct"/>
                  <w:noWrap w:val="0"/>
                  <w:vAlign w:val="center"/>
                </w:tcPr>
                <w:p w14:paraId="2710133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台</w:t>
                  </w:r>
                </w:p>
              </w:tc>
              <w:tc>
                <w:tcPr>
                  <w:tcW w:w="481" w:type="pct"/>
                  <w:noWrap w:val="0"/>
                  <w:vAlign w:val="center"/>
                </w:tcPr>
                <w:p w14:paraId="647E767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74C5A8F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3B192E5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restart"/>
                  <w:noWrap w:val="0"/>
                  <w:vAlign w:val="center"/>
                </w:tcPr>
                <w:p w14:paraId="5A3C72C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装修垃圾前处理线</w:t>
                  </w:r>
                </w:p>
              </w:tc>
            </w:tr>
            <w:tr w14:paraId="05F81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41007AE2">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12</w:t>
                  </w:r>
                </w:p>
              </w:tc>
              <w:tc>
                <w:tcPr>
                  <w:tcW w:w="1108" w:type="pct"/>
                  <w:noWrap w:val="0"/>
                  <w:vAlign w:val="center"/>
                </w:tcPr>
                <w:p w14:paraId="1F86AD5B">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粗选筛出料皮带机</w:t>
                  </w:r>
                </w:p>
              </w:tc>
              <w:tc>
                <w:tcPr>
                  <w:tcW w:w="922" w:type="pct"/>
                  <w:noWrap w:val="0"/>
                  <w:vAlign w:val="center"/>
                </w:tcPr>
                <w:p w14:paraId="74D33C50">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w:t>
                  </w:r>
                </w:p>
              </w:tc>
              <w:tc>
                <w:tcPr>
                  <w:tcW w:w="335" w:type="pct"/>
                  <w:noWrap w:val="0"/>
                  <w:vAlign w:val="center"/>
                </w:tcPr>
                <w:p w14:paraId="0FA4698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架</w:t>
                  </w:r>
                </w:p>
              </w:tc>
              <w:tc>
                <w:tcPr>
                  <w:tcW w:w="481" w:type="pct"/>
                  <w:noWrap w:val="0"/>
                  <w:vAlign w:val="center"/>
                </w:tcPr>
                <w:p w14:paraId="3CFC59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647ABD5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7BE9DFA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3D44EAE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DFD5E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7D1D8AF3">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13</w:t>
                  </w:r>
                </w:p>
              </w:tc>
              <w:tc>
                <w:tcPr>
                  <w:tcW w:w="1108" w:type="pct"/>
                  <w:noWrap w:val="0"/>
                  <w:vAlign w:val="center"/>
                </w:tcPr>
                <w:p w14:paraId="7902E85A">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无轴滚筛机</w:t>
                  </w:r>
                </w:p>
              </w:tc>
              <w:tc>
                <w:tcPr>
                  <w:tcW w:w="922" w:type="pct"/>
                  <w:noWrap w:val="0"/>
                  <w:vAlign w:val="center"/>
                </w:tcPr>
                <w:p w14:paraId="7E723473">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w:t>
                  </w:r>
                </w:p>
              </w:tc>
              <w:tc>
                <w:tcPr>
                  <w:tcW w:w="335" w:type="pct"/>
                  <w:noWrap w:val="0"/>
                  <w:vAlign w:val="center"/>
                </w:tcPr>
                <w:p w14:paraId="5C697A2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0084A8B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46FD4A2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736DBF9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38F56C7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1E836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38525F3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14</w:t>
                  </w:r>
                </w:p>
              </w:tc>
              <w:tc>
                <w:tcPr>
                  <w:tcW w:w="1108" w:type="pct"/>
                  <w:noWrap w:val="0"/>
                  <w:vAlign w:val="center"/>
                </w:tcPr>
                <w:p w14:paraId="4C5D7720">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进风选机皮带机</w:t>
                  </w:r>
                </w:p>
              </w:tc>
              <w:tc>
                <w:tcPr>
                  <w:tcW w:w="922" w:type="pct"/>
                  <w:shd w:val="clear" w:color="auto" w:fill="auto"/>
                  <w:noWrap w:val="0"/>
                  <w:vAlign w:val="center"/>
                </w:tcPr>
                <w:p w14:paraId="194C351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w:t>
                  </w:r>
                </w:p>
              </w:tc>
              <w:tc>
                <w:tcPr>
                  <w:tcW w:w="335" w:type="pct"/>
                  <w:shd w:val="clear" w:color="auto" w:fill="auto"/>
                  <w:noWrap w:val="0"/>
                  <w:vAlign w:val="center"/>
                </w:tcPr>
                <w:p w14:paraId="6AFC2CD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架</w:t>
                  </w:r>
                </w:p>
              </w:tc>
              <w:tc>
                <w:tcPr>
                  <w:tcW w:w="481" w:type="pct"/>
                  <w:shd w:val="clear" w:color="auto" w:fill="auto"/>
                  <w:noWrap w:val="0"/>
                  <w:vAlign w:val="center"/>
                </w:tcPr>
                <w:p w14:paraId="4126F5C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5FF199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51A6486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67D6D01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01D9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479EFCA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15</w:t>
                  </w:r>
                </w:p>
              </w:tc>
              <w:tc>
                <w:tcPr>
                  <w:tcW w:w="1108" w:type="pct"/>
                  <w:noWrap w:val="0"/>
                  <w:vAlign w:val="center"/>
                </w:tcPr>
                <w:p w14:paraId="1345C91A">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eastAsia="宋体" w:cs="Times New Roman"/>
                      <w:b w:val="0"/>
                      <w:i w:val="0"/>
                      <w:iCs w:val="0"/>
                      <w:color w:val="auto"/>
                      <w:kern w:val="2"/>
                      <w:sz w:val="21"/>
                      <w:szCs w:val="21"/>
                      <w:lang w:val="en-US" w:bidi="ar-SA"/>
                    </w:rPr>
                  </w:pPr>
                  <w:r>
                    <w:rPr>
                      <w:rFonts w:hint="eastAsia"/>
                      <w:color w:val="auto"/>
                      <w:sz w:val="21"/>
                      <w:szCs w:val="21"/>
                      <w:lang w:val="en-US" w:eastAsia="zh-CN"/>
                    </w:rPr>
                    <w:t>高压风选机</w:t>
                  </w:r>
                </w:p>
              </w:tc>
              <w:tc>
                <w:tcPr>
                  <w:tcW w:w="922" w:type="pct"/>
                  <w:shd w:val="clear" w:color="auto" w:fill="auto"/>
                  <w:noWrap w:val="0"/>
                  <w:vAlign w:val="center"/>
                </w:tcPr>
                <w:p w14:paraId="565014F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YH-30</w:t>
                  </w:r>
                </w:p>
              </w:tc>
              <w:tc>
                <w:tcPr>
                  <w:tcW w:w="335" w:type="pct"/>
                  <w:shd w:val="clear" w:color="auto" w:fill="auto"/>
                  <w:noWrap w:val="0"/>
                  <w:vAlign w:val="center"/>
                </w:tcPr>
                <w:p w14:paraId="4CF0FA2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16FEED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3DD4C16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497387A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37C9DFF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367A6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11923C25">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16</w:t>
                  </w:r>
                </w:p>
              </w:tc>
              <w:tc>
                <w:tcPr>
                  <w:tcW w:w="1108" w:type="pct"/>
                  <w:noWrap w:val="0"/>
                  <w:vAlign w:val="center"/>
                </w:tcPr>
                <w:p w14:paraId="76CFD2B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 w:val="21"/>
                      <w:szCs w:val="21"/>
                      <w:lang w:val="en-US" w:eastAsia="zh-CN"/>
                    </w:rPr>
                  </w:pPr>
                  <w:r>
                    <w:rPr>
                      <w:rFonts w:hint="eastAsia"/>
                      <w:color w:val="auto"/>
                      <w:sz w:val="21"/>
                      <w:szCs w:val="21"/>
                      <w:lang w:val="en-US" w:eastAsia="zh-CN"/>
                    </w:rPr>
                    <w:t>金属除铁器</w:t>
                  </w:r>
                </w:p>
              </w:tc>
              <w:tc>
                <w:tcPr>
                  <w:tcW w:w="922" w:type="pct"/>
                  <w:noWrap w:val="0"/>
                  <w:vAlign w:val="center"/>
                </w:tcPr>
                <w:p w14:paraId="37A6A1D3">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RCYD-8</w:t>
                  </w:r>
                </w:p>
              </w:tc>
              <w:tc>
                <w:tcPr>
                  <w:tcW w:w="335" w:type="pct"/>
                  <w:noWrap w:val="0"/>
                  <w:vAlign w:val="center"/>
                </w:tcPr>
                <w:p w14:paraId="293FDB7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170802B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3E63BD7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53C5CB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561B22A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3523A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0816EDBE">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17</w:t>
                  </w:r>
                </w:p>
              </w:tc>
              <w:tc>
                <w:tcPr>
                  <w:tcW w:w="1108" w:type="pct"/>
                  <w:noWrap w:val="0"/>
                  <w:vAlign w:val="center"/>
                </w:tcPr>
                <w:p w14:paraId="5D4158E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 w:val="21"/>
                      <w:szCs w:val="21"/>
                      <w:lang w:val="en-US" w:eastAsia="zh-CN"/>
                    </w:rPr>
                  </w:pPr>
                  <w:r>
                    <w:rPr>
                      <w:rFonts w:hint="eastAsia"/>
                      <w:color w:val="auto"/>
                      <w:sz w:val="21"/>
                      <w:szCs w:val="21"/>
                      <w:lang w:val="en-US" w:eastAsia="zh-CN"/>
                    </w:rPr>
                    <w:t>控制柜</w:t>
                  </w:r>
                </w:p>
              </w:tc>
              <w:tc>
                <w:tcPr>
                  <w:tcW w:w="922" w:type="pct"/>
                  <w:noWrap w:val="0"/>
                  <w:vAlign w:val="center"/>
                </w:tcPr>
                <w:p w14:paraId="07E90539">
                  <w:pPr>
                    <w:keepNext w:val="0"/>
                    <w:keepLines w:val="0"/>
                    <w:pageBreakBefore w:val="0"/>
                    <w:widowControl w:val="0"/>
                    <w:kinsoku/>
                    <w:wordWrap/>
                    <w:overflowPunct/>
                    <w:topLinePunct w:val="0"/>
                    <w:autoSpaceDE/>
                    <w:autoSpaceDN/>
                    <w:bidi w:val="0"/>
                    <w:adjustRightInd w:val="0"/>
                    <w:snapToGrid w:val="0"/>
                    <w:jc w:val="center"/>
                    <w:textAlignment w:val="auto"/>
                    <w:rPr>
                      <w:rStyle w:val="32"/>
                      <w:rFonts w:hint="default" w:ascii="Times New Roman" w:hAnsi="Times New Roman"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w:t>
                  </w:r>
                </w:p>
              </w:tc>
              <w:tc>
                <w:tcPr>
                  <w:tcW w:w="335" w:type="pct"/>
                  <w:noWrap w:val="0"/>
                  <w:vAlign w:val="center"/>
                </w:tcPr>
                <w:p w14:paraId="1992F5A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台</w:t>
                  </w:r>
                </w:p>
              </w:tc>
              <w:tc>
                <w:tcPr>
                  <w:tcW w:w="481" w:type="pct"/>
                  <w:shd w:val="clear" w:color="auto" w:fill="auto"/>
                  <w:noWrap w:val="0"/>
                  <w:vAlign w:val="center"/>
                </w:tcPr>
                <w:p w14:paraId="51C54A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0</w:t>
                  </w:r>
                </w:p>
              </w:tc>
              <w:tc>
                <w:tcPr>
                  <w:tcW w:w="546" w:type="pct"/>
                  <w:shd w:val="clear" w:color="auto" w:fill="auto"/>
                  <w:noWrap w:val="0"/>
                  <w:vAlign w:val="center"/>
                </w:tcPr>
                <w:p w14:paraId="5C9EF85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w:t>
                  </w:r>
                </w:p>
              </w:tc>
              <w:tc>
                <w:tcPr>
                  <w:tcW w:w="648" w:type="pct"/>
                  <w:noWrap w:val="0"/>
                  <w:vAlign w:val="center"/>
                </w:tcPr>
                <w:p w14:paraId="1AB7EA1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+1</w:t>
                  </w:r>
                </w:p>
              </w:tc>
              <w:tc>
                <w:tcPr>
                  <w:tcW w:w="648" w:type="pct"/>
                  <w:vMerge w:val="continue"/>
                  <w:noWrap w:val="0"/>
                  <w:vAlign w:val="center"/>
                </w:tcPr>
                <w:p w14:paraId="5915DD8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76C2F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03B1AABF">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18</w:t>
                  </w:r>
                </w:p>
              </w:tc>
              <w:tc>
                <w:tcPr>
                  <w:tcW w:w="1108" w:type="pct"/>
                  <w:noWrap w:val="0"/>
                  <w:vAlign w:val="center"/>
                </w:tcPr>
                <w:p w14:paraId="6AE4C6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单机脉冲布袋除尘器</w:t>
                  </w:r>
                </w:p>
              </w:tc>
              <w:tc>
                <w:tcPr>
                  <w:tcW w:w="922" w:type="pct"/>
                  <w:noWrap w:val="0"/>
                  <w:vAlign w:val="center"/>
                </w:tcPr>
                <w:p w14:paraId="7A6D845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160袋/台</w:t>
                  </w:r>
                </w:p>
              </w:tc>
              <w:tc>
                <w:tcPr>
                  <w:tcW w:w="335" w:type="pct"/>
                  <w:noWrap w:val="0"/>
                  <w:vAlign w:val="center"/>
                </w:tcPr>
                <w:p w14:paraId="54D3412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套</w:t>
                  </w:r>
                </w:p>
              </w:tc>
              <w:tc>
                <w:tcPr>
                  <w:tcW w:w="481" w:type="pct"/>
                  <w:noWrap w:val="0"/>
                  <w:vAlign w:val="center"/>
                </w:tcPr>
                <w:p w14:paraId="36C4DD0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4</w:t>
                  </w:r>
                </w:p>
              </w:tc>
              <w:tc>
                <w:tcPr>
                  <w:tcW w:w="546" w:type="pct"/>
                  <w:shd w:val="clear" w:color="auto" w:fill="auto"/>
                  <w:noWrap w:val="0"/>
                  <w:vAlign w:val="center"/>
                </w:tcPr>
                <w:p w14:paraId="470E763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4</w:t>
                  </w:r>
                </w:p>
              </w:tc>
              <w:tc>
                <w:tcPr>
                  <w:tcW w:w="648" w:type="pct"/>
                  <w:shd w:val="clear" w:color="auto" w:fill="auto"/>
                  <w:noWrap w:val="0"/>
                  <w:vAlign w:val="center"/>
                </w:tcPr>
                <w:p w14:paraId="266AB687">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val="0"/>
                      <w:i w:val="0"/>
                      <w:iCs w:val="0"/>
                      <w:color w:val="auto"/>
                      <w:kern w:val="2"/>
                      <w:sz w:val="21"/>
                      <w:szCs w:val="21"/>
                      <w:vertAlign w:val="baseline"/>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restart"/>
                  <w:noWrap w:val="0"/>
                  <w:vAlign w:val="center"/>
                </w:tcPr>
                <w:p w14:paraId="50D7643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default" w:ascii="Times New Roman" w:hAnsi="Times New Roman" w:eastAsia="宋体" w:cs="Times New Roman"/>
                      <w:b w:val="0"/>
                      <w:bCs w:val="0"/>
                      <w:i w:val="0"/>
                      <w:iCs w:val="0"/>
                      <w:color w:val="auto"/>
                      <w:sz w:val="21"/>
                      <w:szCs w:val="21"/>
                      <w:vertAlign w:val="baseline"/>
                      <w:lang w:val="en-US" w:eastAsia="zh-CN"/>
                    </w:rPr>
                    <w:t>环保设备</w:t>
                  </w:r>
                </w:p>
              </w:tc>
            </w:tr>
            <w:tr w14:paraId="0F0BF9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6C79A669">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19</w:t>
                  </w:r>
                </w:p>
              </w:tc>
              <w:tc>
                <w:tcPr>
                  <w:tcW w:w="1108" w:type="pct"/>
                  <w:noWrap w:val="0"/>
                  <w:vAlign w:val="center"/>
                </w:tcPr>
                <w:p w14:paraId="71B52EE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SLQM64-5布袋除尘器</w:t>
                  </w:r>
                </w:p>
              </w:tc>
              <w:tc>
                <w:tcPr>
                  <w:tcW w:w="922" w:type="pct"/>
                  <w:noWrap w:val="0"/>
                  <w:vAlign w:val="center"/>
                </w:tcPr>
                <w:p w14:paraId="0A11C7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320袋/台</w:t>
                  </w:r>
                </w:p>
              </w:tc>
              <w:tc>
                <w:tcPr>
                  <w:tcW w:w="335" w:type="pct"/>
                  <w:noWrap w:val="0"/>
                  <w:vAlign w:val="center"/>
                </w:tcPr>
                <w:p w14:paraId="5D2F422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7333C45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1B4250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2</w:t>
                  </w:r>
                </w:p>
              </w:tc>
              <w:tc>
                <w:tcPr>
                  <w:tcW w:w="648" w:type="pct"/>
                  <w:shd w:val="clear" w:color="auto" w:fill="auto"/>
                  <w:noWrap w:val="0"/>
                  <w:vAlign w:val="center"/>
                </w:tcPr>
                <w:p w14:paraId="7959EC8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+1</w:t>
                  </w:r>
                </w:p>
              </w:tc>
              <w:tc>
                <w:tcPr>
                  <w:tcW w:w="648" w:type="pct"/>
                  <w:vMerge w:val="continue"/>
                  <w:noWrap w:val="0"/>
                  <w:vAlign w:val="center"/>
                </w:tcPr>
                <w:p w14:paraId="24DC432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2CD3D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shd w:val="clear" w:color="auto" w:fill="auto"/>
                  <w:noWrap w:val="0"/>
                  <w:vAlign w:val="center"/>
                </w:tcPr>
                <w:p w14:paraId="5850FBE8">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20</w:t>
                  </w:r>
                </w:p>
              </w:tc>
              <w:tc>
                <w:tcPr>
                  <w:tcW w:w="1108" w:type="pct"/>
                  <w:noWrap w:val="0"/>
                  <w:vAlign w:val="center"/>
                </w:tcPr>
                <w:p w14:paraId="4F27CF2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SLQM96-6布袋除尘器</w:t>
                  </w:r>
                </w:p>
              </w:tc>
              <w:tc>
                <w:tcPr>
                  <w:tcW w:w="922" w:type="pct"/>
                  <w:noWrap w:val="0"/>
                  <w:vAlign w:val="center"/>
                </w:tcPr>
                <w:p w14:paraId="3A0657C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400袋/台</w:t>
                  </w:r>
                </w:p>
              </w:tc>
              <w:tc>
                <w:tcPr>
                  <w:tcW w:w="335" w:type="pct"/>
                  <w:noWrap w:val="0"/>
                  <w:vAlign w:val="center"/>
                </w:tcPr>
                <w:p w14:paraId="2348C9F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3D8C44F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16A1338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shd w:val="clear" w:color="auto" w:fill="auto"/>
                  <w:noWrap w:val="0"/>
                  <w:vAlign w:val="center"/>
                </w:tcPr>
                <w:p w14:paraId="6500289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3B0136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98CC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592DE1CA">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21</w:t>
                  </w:r>
                </w:p>
              </w:tc>
              <w:tc>
                <w:tcPr>
                  <w:tcW w:w="1108" w:type="pct"/>
                  <w:noWrap w:val="0"/>
                  <w:vAlign w:val="center"/>
                </w:tcPr>
                <w:p w14:paraId="5C4BE06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SLQM96-8布袋除尘器</w:t>
                  </w:r>
                </w:p>
              </w:tc>
              <w:tc>
                <w:tcPr>
                  <w:tcW w:w="922" w:type="pct"/>
                  <w:noWrap w:val="0"/>
                  <w:vAlign w:val="center"/>
                </w:tcPr>
                <w:p w14:paraId="758F0DA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480袋/台</w:t>
                  </w:r>
                </w:p>
              </w:tc>
              <w:tc>
                <w:tcPr>
                  <w:tcW w:w="335" w:type="pct"/>
                  <w:noWrap w:val="0"/>
                  <w:vAlign w:val="center"/>
                </w:tcPr>
                <w:p w14:paraId="2DADFEC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01D8184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11C71CD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shd w:val="clear" w:color="auto" w:fill="auto"/>
                  <w:noWrap w:val="0"/>
                  <w:vAlign w:val="center"/>
                </w:tcPr>
                <w:p w14:paraId="4736E15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3ED8875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C4C0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9C9F2CE">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22</w:t>
                  </w:r>
                </w:p>
              </w:tc>
              <w:tc>
                <w:tcPr>
                  <w:tcW w:w="1108" w:type="pct"/>
                  <w:noWrap w:val="0"/>
                  <w:vAlign w:val="center"/>
                </w:tcPr>
                <w:p w14:paraId="17A40E81">
                  <w:pPr>
                    <w:pStyle w:val="35"/>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全自动雾炮机</w:t>
                  </w:r>
                </w:p>
              </w:tc>
              <w:tc>
                <w:tcPr>
                  <w:tcW w:w="922" w:type="pct"/>
                  <w:noWrap w:val="0"/>
                  <w:vAlign w:val="center"/>
                </w:tcPr>
                <w:p w14:paraId="1C522AF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60米180°全自动</w:t>
                  </w:r>
                </w:p>
              </w:tc>
              <w:tc>
                <w:tcPr>
                  <w:tcW w:w="335" w:type="pct"/>
                  <w:noWrap w:val="0"/>
                  <w:vAlign w:val="center"/>
                </w:tcPr>
                <w:p w14:paraId="4917FE8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7344A8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2</w:t>
                  </w:r>
                </w:p>
              </w:tc>
              <w:tc>
                <w:tcPr>
                  <w:tcW w:w="546" w:type="pct"/>
                  <w:shd w:val="clear" w:color="auto" w:fill="auto"/>
                  <w:noWrap w:val="0"/>
                  <w:vAlign w:val="center"/>
                </w:tcPr>
                <w:p w14:paraId="1E7C93B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2</w:t>
                  </w:r>
                </w:p>
              </w:tc>
              <w:tc>
                <w:tcPr>
                  <w:tcW w:w="648" w:type="pct"/>
                  <w:shd w:val="clear" w:color="auto" w:fill="auto"/>
                  <w:noWrap w:val="0"/>
                  <w:vAlign w:val="center"/>
                </w:tcPr>
                <w:p w14:paraId="251E637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2D5775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1465E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7BA48E7">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23</w:t>
                  </w:r>
                </w:p>
              </w:tc>
              <w:tc>
                <w:tcPr>
                  <w:tcW w:w="1108" w:type="pct"/>
                  <w:noWrap w:val="0"/>
                  <w:vAlign w:val="center"/>
                </w:tcPr>
                <w:p w14:paraId="30CF821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全自动雾炮机</w:t>
                  </w:r>
                </w:p>
              </w:tc>
              <w:tc>
                <w:tcPr>
                  <w:tcW w:w="922" w:type="pct"/>
                  <w:noWrap w:val="0"/>
                  <w:vAlign w:val="center"/>
                </w:tcPr>
                <w:p w14:paraId="4C74696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50米180°全自动</w:t>
                  </w:r>
                </w:p>
              </w:tc>
              <w:tc>
                <w:tcPr>
                  <w:tcW w:w="335" w:type="pct"/>
                  <w:noWrap w:val="0"/>
                  <w:vAlign w:val="center"/>
                </w:tcPr>
                <w:p w14:paraId="65DD854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52436B0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10</w:t>
                  </w:r>
                </w:p>
              </w:tc>
              <w:tc>
                <w:tcPr>
                  <w:tcW w:w="546" w:type="pct"/>
                  <w:shd w:val="clear" w:color="auto" w:fill="auto"/>
                  <w:noWrap w:val="0"/>
                  <w:vAlign w:val="center"/>
                </w:tcPr>
                <w:p w14:paraId="62257E7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cs="Times New Roman"/>
                      <w:b w:val="0"/>
                      <w:i w:val="0"/>
                      <w:iCs w:val="0"/>
                      <w:color w:val="auto"/>
                      <w:kern w:val="2"/>
                      <w:sz w:val="21"/>
                      <w:szCs w:val="21"/>
                      <w:lang w:val="en-US" w:eastAsia="zh-CN" w:bidi="ar-SA"/>
                    </w:rPr>
                    <w:t>13</w:t>
                  </w:r>
                </w:p>
              </w:tc>
              <w:tc>
                <w:tcPr>
                  <w:tcW w:w="648" w:type="pct"/>
                  <w:shd w:val="clear" w:color="auto" w:fill="auto"/>
                  <w:noWrap w:val="0"/>
                  <w:vAlign w:val="center"/>
                </w:tcPr>
                <w:p w14:paraId="45E93F6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+3</w:t>
                  </w:r>
                </w:p>
              </w:tc>
              <w:tc>
                <w:tcPr>
                  <w:tcW w:w="648" w:type="pct"/>
                  <w:vMerge w:val="continue"/>
                  <w:noWrap w:val="0"/>
                  <w:vAlign w:val="center"/>
                </w:tcPr>
                <w:p w14:paraId="696625D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4AE4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D7DD7BE">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24</w:t>
                  </w:r>
                </w:p>
              </w:tc>
              <w:tc>
                <w:tcPr>
                  <w:tcW w:w="1108" w:type="pct"/>
                  <w:noWrap w:val="0"/>
                  <w:vAlign w:val="center"/>
                </w:tcPr>
                <w:p w14:paraId="34173D9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全自动高压雾炮</w:t>
                  </w:r>
                </w:p>
              </w:tc>
              <w:tc>
                <w:tcPr>
                  <w:tcW w:w="922" w:type="pct"/>
                  <w:noWrap w:val="0"/>
                  <w:vAlign w:val="center"/>
                </w:tcPr>
                <w:p w14:paraId="639E6FA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200米360°全自动</w:t>
                  </w:r>
                </w:p>
              </w:tc>
              <w:tc>
                <w:tcPr>
                  <w:tcW w:w="335" w:type="pct"/>
                  <w:noWrap w:val="0"/>
                  <w:vAlign w:val="center"/>
                </w:tcPr>
                <w:p w14:paraId="15C9D2D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5599CC4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546" w:type="pct"/>
                  <w:shd w:val="clear" w:color="auto" w:fill="auto"/>
                  <w:noWrap w:val="0"/>
                  <w:vAlign w:val="center"/>
                </w:tcPr>
                <w:p w14:paraId="50DC1EF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1</w:t>
                  </w:r>
                </w:p>
              </w:tc>
              <w:tc>
                <w:tcPr>
                  <w:tcW w:w="648" w:type="pct"/>
                  <w:shd w:val="clear" w:color="auto" w:fill="auto"/>
                  <w:noWrap w:val="0"/>
                  <w:vAlign w:val="center"/>
                </w:tcPr>
                <w:p w14:paraId="7A96977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2A21584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074C7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9EBD1F8">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25</w:t>
                  </w:r>
                </w:p>
              </w:tc>
              <w:tc>
                <w:tcPr>
                  <w:tcW w:w="1108" w:type="pct"/>
                  <w:noWrap w:val="0"/>
                  <w:vAlign w:val="center"/>
                </w:tcPr>
                <w:p w14:paraId="63069B5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洒水抑尘车</w:t>
                  </w:r>
                </w:p>
              </w:tc>
              <w:tc>
                <w:tcPr>
                  <w:tcW w:w="922" w:type="pct"/>
                  <w:noWrap w:val="0"/>
                  <w:vAlign w:val="center"/>
                </w:tcPr>
                <w:p w14:paraId="27C55A2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ascii="Times New Roman" w:hAnsi="Times New Roman" w:cs="Times New Roman"/>
                      <w:b w:val="0"/>
                      <w:i w:val="0"/>
                      <w:iCs w:val="0"/>
                      <w:color w:val="auto"/>
                      <w:kern w:val="2"/>
                      <w:sz w:val="21"/>
                      <w:szCs w:val="21"/>
                      <w:lang w:val="en-US" w:eastAsia="zh-CN" w:bidi="ar-SA"/>
                    </w:rPr>
                    <w:t>/</w:t>
                  </w:r>
                </w:p>
              </w:tc>
              <w:tc>
                <w:tcPr>
                  <w:tcW w:w="335" w:type="pct"/>
                  <w:noWrap w:val="0"/>
                  <w:vAlign w:val="center"/>
                </w:tcPr>
                <w:p w14:paraId="3D03E30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台</w:t>
                  </w:r>
                </w:p>
              </w:tc>
              <w:tc>
                <w:tcPr>
                  <w:tcW w:w="481" w:type="pct"/>
                  <w:noWrap w:val="0"/>
                  <w:vAlign w:val="center"/>
                </w:tcPr>
                <w:p w14:paraId="73E479E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eastAsia" w:ascii="Times New Roman" w:hAnsi="Times New Roman" w:cs="Times New Roman"/>
                      <w:b w:val="0"/>
                      <w:i w:val="0"/>
                      <w:iCs w:val="0"/>
                      <w:color w:val="auto"/>
                      <w:kern w:val="2"/>
                      <w:sz w:val="21"/>
                      <w:szCs w:val="21"/>
                      <w:lang w:val="en-US" w:eastAsia="zh-CN" w:bidi="ar-SA"/>
                    </w:rPr>
                    <w:t>2</w:t>
                  </w:r>
                </w:p>
              </w:tc>
              <w:tc>
                <w:tcPr>
                  <w:tcW w:w="546" w:type="pct"/>
                  <w:shd w:val="clear" w:color="auto" w:fill="auto"/>
                  <w:noWrap w:val="0"/>
                  <w:vAlign w:val="center"/>
                </w:tcPr>
                <w:p w14:paraId="63F83E0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eastAsia" w:ascii="Times New Roman" w:hAnsi="Times New Roman" w:cs="Times New Roman"/>
                      <w:b w:val="0"/>
                      <w:i w:val="0"/>
                      <w:iCs w:val="0"/>
                      <w:color w:val="auto"/>
                      <w:kern w:val="2"/>
                      <w:sz w:val="21"/>
                      <w:szCs w:val="21"/>
                      <w:lang w:val="en-US" w:eastAsia="zh-CN" w:bidi="ar-SA"/>
                    </w:rPr>
                    <w:t>2</w:t>
                  </w:r>
                </w:p>
              </w:tc>
              <w:tc>
                <w:tcPr>
                  <w:tcW w:w="648" w:type="pct"/>
                  <w:shd w:val="clear" w:color="auto" w:fill="auto"/>
                  <w:noWrap w:val="0"/>
                  <w:vAlign w:val="center"/>
                </w:tcPr>
                <w:p w14:paraId="1024784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4AE3918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6CBF9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73839A26">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26</w:t>
                  </w:r>
                </w:p>
              </w:tc>
              <w:tc>
                <w:tcPr>
                  <w:tcW w:w="1108" w:type="pct"/>
                  <w:noWrap w:val="0"/>
                  <w:vAlign w:val="center"/>
                </w:tcPr>
                <w:p w14:paraId="30CC5A5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高压道路喷淋装置</w:t>
                  </w:r>
                </w:p>
              </w:tc>
              <w:tc>
                <w:tcPr>
                  <w:tcW w:w="922" w:type="pct"/>
                  <w:noWrap w:val="0"/>
                  <w:vAlign w:val="center"/>
                </w:tcPr>
                <w:p w14:paraId="42419D2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eastAsia" w:ascii="Times New Roman" w:hAnsi="Times New Roman" w:cs="Times New Roman"/>
                      <w:b w:val="0"/>
                      <w:i w:val="0"/>
                      <w:iCs w:val="0"/>
                      <w:color w:val="auto"/>
                      <w:kern w:val="2"/>
                      <w:sz w:val="21"/>
                      <w:szCs w:val="21"/>
                      <w:lang w:val="en-US" w:eastAsia="zh-CN" w:bidi="ar-SA"/>
                    </w:rPr>
                    <w:t>/</w:t>
                  </w:r>
                </w:p>
              </w:tc>
              <w:tc>
                <w:tcPr>
                  <w:tcW w:w="335" w:type="pct"/>
                  <w:noWrap w:val="0"/>
                  <w:vAlign w:val="center"/>
                </w:tcPr>
                <w:p w14:paraId="272AE0C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米</w:t>
                  </w:r>
                </w:p>
              </w:tc>
              <w:tc>
                <w:tcPr>
                  <w:tcW w:w="481" w:type="pct"/>
                  <w:noWrap w:val="0"/>
                  <w:vAlign w:val="center"/>
                </w:tcPr>
                <w:p w14:paraId="653AD9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380米</w:t>
                  </w:r>
                </w:p>
              </w:tc>
              <w:tc>
                <w:tcPr>
                  <w:tcW w:w="546" w:type="pct"/>
                  <w:shd w:val="clear" w:color="auto" w:fill="auto"/>
                  <w:noWrap w:val="0"/>
                  <w:vAlign w:val="center"/>
                </w:tcPr>
                <w:p w14:paraId="543E7C3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380米</w:t>
                  </w:r>
                </w:p>
              </w:tc>
              <w:tc>
                <w:tcPr>
                  <w:tcW w:w="648" w:type="pct"/>
                  <w:shd w:val="clear" w:color="auto" w:fill="auto"/>
                  <w:noWrap w:val="0"/>
                  <w:vAlign w:val="center"/>
                </w:tcPr>
                <w:p w14:paraId="093FCD4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kern w:val="2"/>
                      <w:sz w:val="21"/>
                      <w:szCs w:val="21"/>
                      <w:lang w:val="en-US" w:eastAsia="zh-CN" w:bidi="ar-SA"/>
                    </w:rPr>
                  </w:pPr>
                  <w:r>
                    <w:rPr>
                      <w:rFonts w:hint="eastAsia" w:cs="Times New Roman"/>
                      <w:b w:val="0"/>
                      <w:bCs w:val="0"/>
                      <w:i w:val="0"/>
                      <w:iCs w:val="0"/>
                      <w:color w:val="auto"/>
                      <w:sz w:val="21"/>
                      <w:szCs w:val="21"/>
                      <w:vertAlign w:val="baseline"/>
                      <w:lang w:val="en-US" w:eastAsia="zh-CN"/>
                    </w:rPr>
                    <w:t>无变化</w:t>
                  </w:r>
                </w:p>
              </w:tc>
              <w:tc>
                <w:tcPr>
                  <w:tcW w:w="648" w:type="pct"/>
                  <w:vMerge w:val="continue"/>
                  <w:noWrap w:val="0"/>
                  <w:vAlign w:val="center"/>
                </w:tcPr>
                <w:p w14:paraId="0A8921E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r w14:paraId="4E237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 w:type="pct"/>
                  <w:noWrap w:val="0"/>
                  <w:vAlign w:val="center"/>
                </w:tcPr>
                <w:p w14:paraId="3AE72BE3">
                  <w:pPr>
                    <w:adjustRightInd w:val="0"/>
                    <w:snapToGrid w:val="0"/>
                    <w:spacing w:line="240" w:lineRule="auto"/>
                    <w:jc w:val="center"/>
                    <w:rPr>
                      <w:rFonts w:hint="default" w:ascii="Times New Roman" w:hAnsi="Times New Roman" w:eastAsia="宋体" w:cs="Times New Roman"/>
                      <w:b w:val="0"/>
                      <w:i w:val="0"/>
                      <w:iCs w:val="0"/>
                      <w:color w:val="auto"/>
                      <w:spacing w:val="0"/>
                      <w:kern w:val="2"/>
                      <w:sz w:val="21"/>
                      <w:szCs w:val="21"/>
                      <w:lang w:val="en-US" w:eastAsia="zh-CN" w:bidi="ar-SA"/>
                    </w:rPr>
                  </w:pPr>
                  <w:r>
                    <w:rPr>
                      <w:rFonts w:hint="eastAsia" w:cs="Times New Roman"/>
                      <w:b w:val="0"/>
                      <w:i w:val="0"/>
                      <w:iCs w:val="0"/>
                      <w:color w:val="auto"/>
                      <w:spacing w:val="0"/>
                      <w:kern w:val="2"/>
                      <w:sz w:val="21"/>
                      <w:szCs w:val="21"/>
                      <w:lang w:val="en-US" w:eastAsia="zh-CN" w:bidi="ar-SA"/>
                    </w:rPr>
                    <w:t>27</w:t>
                  </w:r>
                </w:p>
              </w:tc>
              <w:tc>
                <w:tcPr>
                  <w:tcW w:w="1108" w:type="pct"/>
                  <w:noWrap w:val="0"/>
                  <w:vAlign w:val="center"/>
                </w:tcPr>
                <w:p w14:paraId="7C87B1B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高压喷雾降尘机</w:t>
                  </w:r>
                </w:p>
              </w:tc>
              <w:tc>
                <w:tcPr>
                  <w:tcW w:w="922" w:type="pct"/>
                  <w:noWrap w:val="0"/>
                  <w:vAlign w:val="center"/>
                </w:tcPr>
                <w:p w14:paraId="03E3A56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高压人工制雾装置</w:t>
                  </w:r>
                </w:p>
              </w:tc>
              <w:tc>
                <w:tcPr>
                  <w:tcW w:w="335" w:type="pct"/>
                  <w:noWrap w:val="0"/>
                  <w:vAlign w:val="center"/>
                </w:tcPr>
                <w:p w14:paraId="761AC4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i w:val="0"/>
                      <w:iCs w:val="0"/>
                      <w:color w:val="auto"/>
                      <w:spacing w:val="0"/>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2台</w:t>
                  </w:r>
                </w:p>
              </w:tc>
              <w:tc>
                <w:tcPr>
                  <w:tcW w:w="481" w:type="pct"/>
                  <w:noWrap w:val="0"/>
                  <w:vAlign w:val="center"/>
                </w:tcPr>
                <w:p w14:paraId="1998289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Style w:val="32"/>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800米</w:t>
                  </w:r>
                </w:p>
              </w:tc>
              <w:tc>
                <w:tcPr>
                  <w:tcW w:w="546" w:type="pct"/>
                  <w:shd w:val="clear" w:color="auto" w:fill="auto"/>
                  <w:noWrap w:val="0"/>
                  <w:vAlign w:val="center"/>
                </w:tcPr>
                <w:p w14:paraId="5D2BD8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b w:val="0"/>
                      <w:i w:val="0"/>
                      <w:iCs w:val="0"/>
                      <w:color w:val="auto"/>
                      <w:kern w:val="2"/>
                      <w:sz w:val="21"/>
                      <w:szCs w:val="21"/>
                      <w:lang w:val="en-US" w:eastAsia="zh-CN" w:bidi="ar-SA"/>
                    </w:rPr>
                  </w:pPr>
                  <w:r>
                    <w:rPr>
                      <w:rStyle w:val="32"/>
                      <w:rFonts w:hint="default" w:ascii="Times New Roman" w:hAnsi="Times New Roman" w:eastAsia="宋体" w:cs="Times New Roman"/>
                      <w:b w:val="0"/>
                      <w:i w:val="0"/>
                      <w:iCs w:val="0"/>
                      <w:color w:val="auto"/>
                      <w:kern w:val="2"/>
                      <w:sz w:val="21"/>
                      <w:szCs w:val="21"/>
                      <w:lang w:val="en-US" w:eastAsia="zh-CN" w:bidi="ar-SA"/>
                    </w:rPr>
                    <w:t>800米</w:t>
                  </w:r>
                </w:p>
              </w:tc>
              <w:tc>
                <w:tcPr>
                  <w:tcW w:w="648" w:type="pct"/>
                  <w:noWrap w:val="0"/>
                  <w:vAlign w:val="center"/>
                </w:tcPr>
                <w:p w14:paraId="1EF9385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r>
                    <w:rPr>
                      <w:rFonts w:hint="eastAsia" w:cs="Times New Roman"/>
                      <w:i w:val="0"/>
                      <w:iCs w:val="0"/>
                      <w:color w:val="auto"/>
                      <w:sz w:val="21"/>
                      <w:szCs w:val="21"/>
                      <w:lang w:val="en-US" w:eastAsia="zh-CN"/>
                    </w:rPr>
                    <w:t>无变化</w:t>
                  </w:r>
                </w:p>
              </w:tc>
              <w:tc>
                <w:tcPr>
                  <w:tcW w:w="648" w:type="pct"/>
                  <w:vMerge w:val="continue"/>
                  <w:noWrap w:val="0"/>
                  <w:vAlign w:val="center"/>
                </w:tcPr>
                <w:p w14:paraId="3BC1BF4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i w:val="0"/>
                      <w:iCs w:val="0"/>
                      <w:color w:val="auto"/>
                      <w:sz w:val="21"/>
                      <w:szCs w:val="21"/>
                      <w:lang w:val="en-US" w:eastAsia="zh-CN"/>
                    </w:rPr>
                  </w:pPr>
                </w:p>
              </w:tc>
            </w:tr>
          </w:tbl>
          <w:p w14:paraId="372FD8F9">
            <w:pPr>
              <w:widowControl/>
              <w:spacing w:line="360" w:lineRule="auto"/>
              <w:ind w:firstLine="482" w:firstLineChars="200"/>
              <w:rPr>
                <w:b/>
                <w:color w:val="auto"/>
                <w:sz w:val="24"/>
              </w:rPr>
            </w:pPr>
            <w:r>
              <w:rPr>
                <w:rFonts w:hint="eastAsia"/>
                <w:b/>
                <w:color w:val="auto"/>
                <w:sz w:val="24"/>
                <w:lang w:val="en-US" w:eastAsia="zh-CN"/>
              </w:rPr>
              <w:t>6</w:t>
            </w:r>
            <w:r>
              <w:rPr>
                <w:b/>
                <w:color w:val="auto"/>
                <w:sz w:val="24"/>
              </w:rPr>
              <w:t>、主要原辅材料</w:t>
            </w:r>
          </w:p>
          <w:p w14:paraId="69CF312B">
            <w:pPr>
              <w:widowControl/>
              <w:spacing w:line="360" w:lineRule="auto"/>
              <w:ind w:firstLine="480" w:firstLineChars="200"/>
              <w:rPr>
                <w:rFonts w:hint="eastAsia"/>
                <w:color w:val="auto"/>
                <w:sz w:val="24"/>
              </w:rPr>
            </w:pPr>
            <w:r>
              <w:rPr>
                <w:rFonts w:hint="eastAsia"/>
                <w:color w:val="auto"/>
                <w:sz w:val="24"/>
              </w:rPr>
              <w:t>主要原辅材料及能源消耗</w:t>
            </w:r>
            <w:r>
              <w:rPr>
                <w:color w:val="auto"/>
                <w:sz w:val="24"/>
              </w:rPr>
              <w:t>见表2-</w:t>
            </w:r>
            <w:r>
              <w:rPr>
                <w:rFonts w:hint="eastAsia"/>
                <w:color w:val="auto"/>
                <w:sz w:val="24"/>
              </w:rPr>
              <w:t>4：</w:t>
            </w:r>
          </w:p>
          <w:p w14:paraId="761DAF35">
            <w:pPr>
              <w:widowControl/>
              <w:jc w:val="center"/>
              <w:rPr>
                <w:b/>
                <w:color w:val="auto"/>
                <w:sz w:val="24"/>
              </w:rPr>
            </w:pPr>
          </w:p>
          <w:p w14:paraId="7F3A5C89">
            <w:pPr>
              <w:widowControl/>
              <w:jc w:val="center"/>
              <w:rPr>
                <w:b/>
                <w:color w:val="auto"/>
                <w:sz w:val="24"/>
              </w:rPr>
            </w:pPr>
            <w:r>
              <w:rPr>
                <w:b/>
                <w:color w:val="auto"/>
                <w:sz w:val="24"/>
              </w:rPr>
              <w:t>表2-</w:t>
            </w:r>
            <w:r>
              <w:rPr>
                <w:rFonts w:hint="eastAsia"/>
                <w:b/>
                <w:color w:val="auto"/>
                <w:sz w:val="24"/>
              </w:rPr>
              <w:t>4</w:t>
            </w:r>
            <w:r>
              <w:rPr>
                <w:b/>
                <w:color w:val="auto"/>
                <w:sz w:val="24"/>
              </w:rPr>
              <w:t xml:space="preserve">  主要原辅材料消耗一览表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1477"/>
              <w:gridCol w:w="1179"/>
              <w:gridCol w:w="1410"/>
              <w:gridCol w:w="1410"/>
              <w:gridCol w:w="1964"/>
            </w:tblGrid>
            <w:tr w14:paraId="73854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76" w:type="pct"/>
                  <w:noWrap w:val="0"/>
                  <w:vAlign w:val="center"/>
                </w:tcPr>
                <w:p w14:paraId="3E7A165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类别</w:t>
                  </w:r>
                </w:p>
              </w:tc>
              <w:tc>
                <w:tcPr>
                  <w:tcW w:w="858" w:type="pct"/>
                  <w:noWrap w:val="0"/>
                  <w:vAlign w:val="center"/>
                </w:tcPr>
                <w:p w14:paraId="4343B6F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原辅料名称</w:t>
                  </w:r>
                </w:p>
              </w:tc>
              <w:tc>
                <w:tcPr>
                  <w:tcW w:w="685" w:type="pct"/>
                  <w:noWrap w:val="0"/>
                  <w:vAlign w:val="center"/>
                </w:tcPr>
                <w:p w14:paraId="75A62E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Cs w:val="21"/>
                    </w:rPr>
                  </w:pPr>
                  <w:r>
                    <w:rPr>
                      <w:rFonts w:hint="eastAsia"/>
                      <w:color w:val="auto"/>
                      <w:szCs w:val="21"/>
                      <w:lang w:val="en-US" w:eastAsia="zh-CN"/>
                    </w:rPr>
                    <w:t>扩建前</w:t>
                  </w:r>
                  <w:r>
                    <w:rPr>
                      <w:rFonts w:hint="eastAsia"/>
                      <w:color w:val="auto"/>
                      <w:szCs w:val="21"/>
                    </w:rPr>
                    <w:t>消耗量</w:t>
                  </w:r>
                </w:p>
              </w:tc>
              <w:tc>
                <w:tcPr>
                  <w:tcW w:w="819" w:type="pct"/>
                  <w:noWrap w:val="0"/>
                  <w:vAlign w:val="center"/>
                </w:tcPr>
                <w:p w14:paraId="04C985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lang w:val="en-US" w:eastAsia="zh-CN"/>
                    </w:rPr>
                  </w:pPr>
                  <w:r>
                    <w:rPr>
                      <w:rFonts w:hint="eastAsia"/>
                      <w:color w:val="auto"/>
                      <w:szCs w:val="21"/>
                      <w:lang w:val="en-US" w:eastAsia="zh-CN"/>
                    </w:rPr>
                    <w:t>扩建后消耗量</w:t>
                  </w:r>
                </w:p>
              </w:tc>
              <w:tc>
                <w:tcPr>
                  <w:tcW w:w="819" w:type="pct"/>
                  <w:noWrap w:val="0"/>
                  <w:vAlign w:val="center"/>
                </w:tcPr>
                <w:p w14:paraId="6CD056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rPr>
                  </w:pPr>
                  <w:r>
                    <w:rPr>
                      <w:rFonts w:hint="eastAsia"/>
                      <w:color w:val="auto"/>
                      <w:szCs w:val="21"/>
                    </w:rPr>
                    <w:t>单位</w:t>
                  </w:r>
                </w:p>
              </w:tc>
              <w:tc>
                <w:tcPr>
                  <w:tcW w:w="1140" w:type="pct"/>
                  <w:noWrap w:val="0"/>
                  <w:vAlign w:val="center"/>
                </w:tcPr>
                <w:p w14:paraId="48517B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rPr>
                  </w:pPr>
                  <w:r>
                    <w:rPr>
                      <w:rFonts w:hint="eastAsia"/>
                      <w:color w:val="auto"/>
                      <w:szCs w:val="21"/>
                    </w:rPr>
                    <w:t>来源</w:t>
                  </w:r>
                </w:p>
              </w:tc>
            </w:tr>
            <w:tr w14:paraId="0F3DA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6" w:type="pct"/>
                  <w:vMerge w:val="restart"/>
                  <w:noWrap w:val="0"/>
                  <w:vAlign w:val="center"/>
                </w:tcPr>
                <w:p w14:paraId="04126F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lang w:val="en-US" w:eastAsia="zh-CN"/>
                    </w:rPr>
                  </w:pPr>
                  <w:r>
                    <w:rPr>
                      <w:rFonts w:hint="eastAsia"/>
                      <w:color w:val="auto"/>
                      <w:szCs w:val="21"/>
                      <w:lang w:val="en-US" w:eastAsia="zh-CN"/>
                    </w:rPr>
                    <w:t>原辅料</w:t>
                  </w:r>
                </w:p>
              </w:tc>
              <w:tc>
                <w:tcPr>
                  <w:tcW w:w="858" w:type="pct"/>
                  <w:noWrap w:val="0"/>
                  <w:vAlign w:val="center"/>
                </w:tcPr>
                <w:p w14:paraId="413EFB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Times New Roman" w:hAnsi="Times New Roman" w:cs="Times New Roman"/>
                      <w:color w:val="auto"/>
                      <w:sz w:val="21"/>
                      <w:szCs w:val="21"/>
                      <w:lang w:val="en-US" w:eastAsia="zh-CN"/>
                    </w:rPr>
                    <w:t>建筑垃圾</w:t>
                  </w:r>
                </w:p>
              </w:tc>
              <w:tc>
                <w:tcPr>
                  <w:tcW w:w="685" w:type="pct"/>
                  <w:noWrap w:val="0"/>
                  <w:vAlign w:val="center"/>
                </w:tcPr>
                <w:p w14:paraId="11750F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lang w:val="en-US" w:eastAsia="zh-CN"/>
                    </w:rPr>
                    <w:t>360</w:t>
                  </w:r>
                </w:p>
              </w:tc>
              <w:tc>
                <w:tcPr>
                  <w:tcW w:w="819" w:type="pct"/>
                  <w:noWrap w:val="0"/>
                  <w:vAlign w:val="center"/>
                </w:tcPr>
                <w:p w14:paraId="709D34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highlight w:val="none"/>
                      <w:lang w:val="en-US" w:eastAsia="zh-CN"/>
                    </w:rPr>
                  </w:pPr>
                  <w:r>
                    <w:rPr>
                      <w:rFonts w:hint="eastAsia"/>
                      <w:color w:val="auto"/>
                      <w:szCs w:val="21"/>
                      <w:highlight w:val="none"/>
                      <w:lang w:val="en-US" w:eastAsia="zh-CN"/>
                    </w:rPr>
                    <w:t>310</w:t>
                  </w:r>
                </w:p>
              </w:tc>
              <w:tc>
                <w:tcPr>
                  <w:tcW w:w="819" w:type="pct"/>
                  <w:noWrap w:val="0"/>
                  <w:vAlign w:val="center"/>
                </w:tcPr>
                <w:p w14:paraId="070A47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万</w:t>
                  </w:r>
                  <w:r>
                    <w:rPr>
                      <w:rFonts w:hint="eastAsia"/>
                      <w:color w:val="auto"/>
                      <w:szCs w:val="21"/>
                      <w:highlight w:val="none"/>
                    </w:rPr>
                    <w:t>t/a</w:t>
                  </w:r>
                </w:p>
              </w:tc>
              <w:tc>
                <w:tcPr>
                  <w:tcW w:w="1140" w:type="pct"/>
                  <w:noWrap w:val="0"/>
                  <w:vAlign w:val="center"/>
                </w:tcPr>
                <w:p w14:paraId="08B6E1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lang w:val="en-US" w:eastAsia="zh-CN"/>
                    </w:rPr>
                  </w:pPr>
                  <w:r>
                    <w:rPr>
                      <w:rFonts w:hint="eastAsia" w:ascii="Times New Roman" w:hAnsi="Times New Roman" w:cs="Times New Roman"/>
                      <w:color w:val="auto"/>
                      <w:sz w:val="21"/>
                      <w:szCs w:val="21"/>
                      <w:lang w:val="en-US" w:eastAsia="zh-CN"/>
                    </w:rPr>
                    <w:t>拆迁工地</w:t>
                  </w:r>
                </w:p>
              </w:tc>
            </w:tr>
            <w:tr w14:paraId="7428B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6" w:type="pct"/>
                  <w:vMerge w:val="continue"/>
                  <w:noWrap w:val="0"/>
                  <w:vAlign w:val="center"/>
                </w:tcPr>
                <w:p w14:paraId="0816D3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lang w:val="en-US" w:eastAsia="zh-CN"/>
                    </w:rPr>
                  </w:pPr>
                </w:p>
              </w:tc>
              <w:tc>
                <w:tcPr>
                  <w:tcW w:w="858" w:type="pct"/>
                  <w:noWrap w:val="0"/>
                  <w:vAlign w:val="center"/>
                </w:tcPr>
                <w:p w14:paraId="440EC1E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装修垃圾</w:t>
                  </w:r>
                </w:p>
              </w:tc>
              <w:tc>
                <w:tcPr>
                  <w:tcW w:w="685" w:type="pct"/>
                  <w:noWrap w:val="0"/>
                  <w:vAlign w:val="center"/>
                </w:tcPr>
                <w:p w14:paraId="331D03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lang w:val="en-US" w:eastAsia="zh-CN"/>
                    </w:rPr>
                  </w:pPr>
                  <w:r>
                    <w:rPr>
                      <w:rFonts w:hint="eastAsia"/>
                      <w:color w:val="auto"/>
                      <w:szCs w:val="21"/>
                      <w:lang w:val="en-US" w:eastAsia="zh-CN"/>
                    </w:rPr>
                    <w:t>0</w:t>
                  </w:r>
                </w:p>
              </w:tc>
              <w:tc>
                <w:tcPr>
                  <w:tcW w:w="819" w:type="pct"/>
                  <w:noWrap w:val="0"/>
                  <w:vAlign w:val="center"/>
                </w:tcPr>
                <w:p w14:paraId="636E06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highlight w:val="none"/>
                      <w:lang w:val="en-US" w:eastAsia="zh-CN"/>
                    </w:rPr>
                  </w:pPr>
                  <w:r>
                    <w:rPr>
                      <w:rFonts w:hint="eastAsia"/>
                      <w:color w:val="auto"/>
                      <w:szCs w:val="21"/>
                      <w:lang w:val="en-US" w:eastAsia="zh-CN"/>
                    </w:rPr>
                    <w:t>50</w:t>
                  </w:r>
                </w:p>
              </w:tc>
              <w:tc>
                <w:tcPr>
                  <w:tcW w:w="819" w:type="pct"/>
                  <w:shd w:val="clear" w:color="auto" w:fill="auto"/>
                  <w:noWrap w:val="0"/>
                  <w:vAlign w:val="center"/>
                </w:tcPr>
                <w:p w14:paraId="7AE3B5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万</w:t>
                  </w:r>
                  <w:r>
                    <w:rPr>
                      <w:rFonts w:hint="eastAsia"/>
                      <w:color w:val="auto"/>
                      <w:szCs w:val="21"/>
                      <w:highlight w:val="none"/>
                    </w:rPr>
                    <w:t>t/a</w:t>
                  </w:r>
                </w:p>
              </w:tc>
              <w:tc>
                <w:tcPr>
                  <w:tcW w:w="1140" w:type="pct"/>
                  <w:shd w:val="clear" w:color="auto" w:fill="auto"/>
                  <w:noWrap w:val="0"/>
                  <w:vAlign w:val="center"/>
                </w:tcPr>
                <w:p w14:paraId="00DC8F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装修</w:t>
                  </w:r>
                  <w:r>
                    <w:rPr>
                      <w:rFonts w:hint="eastAsia" w:ascii="Times New Roman" w:hAnsi="Times New Roman" w:cs="Times New Roman"/>
                      <w:color w:val="auto"/>
                      <w:sz w:val="21"/>
                      <w:szCs w:val="21"/>
                      <w:lang w:val="en-US" w:eastAsia="zh-CN"/>
                    </w:rPr>
                    <w:t>工地</w:t>
                  </w:r>
                </w:p>
              </w:tc>
            </w:tr>
            <w:tr w14:paraId="278AD1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6" w:type="pct"/>
                  <w:vMerge w:val="continue"/>
                  <w:noWrap w:val="0"/>
                  <w:vAlign w:val="center"/>
                </w:tcPr>
                <w:p w14:paraId="3E7A51B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lang w:val="en-US" w:eastAsia="zh-CN"/>
                    </w:rPr>
                  </w:pPr>
                </w:p>
              </w:tc>
              <w:tc>
                <w:tcPr>
                  <w:tcW w:w="858" w:type="pct"/>
                  <w:noWrap w:val="0"/>
                  <w:vAlign w:val="center"/>
                </w:tcPr>
                <w:p w14:paraId="7969A73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机油</w:t>
                  </w:r>
                </w:p>
              </w:tc>
              <w:tc>
                <w:tcPr>
                  <w:tcW w:w="685" w:type="pct"/>
                  <w:noWrap w:val="0"/>
                  <w:vAlign w:val="center"/>
                </w:tcPr>
                <w:p w14:paraId="4AB73CD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0.5</w:t>
                  </w:r>
                </w:p>
              </w:tc>
              <w:tc>
                <w:tcPr>
                  <w:tcW w:w="819" w:type="pct"/>
                  <w:noWrap w:val="0"/>
                  <w:vAlign w:val="center"/>
                </w:tcPr>
                <w:p w14:paraId="3189758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0.7</w:t>
                  </w:r>
                </w:p>
              </w:tc>
              <w:tc>
                <w:tcPr>
                  <w:tcW w:w="819" w:type="pct"/>
                  <w:noWrap w:val="0"/>
                  <w:vAlign w:val="center"/>
                </w:tcPr>
                <w:p w14:paraId="0CA441B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吨</w:t>
                  </w:r>
                </w:p>
              </w:tc>
              <w:tc>
                <w:tcPr>
                  <w:tcW w:w="1140" w:type="pct"/>
                  <w:noWrap w:val="0"/>
                  <w:vAlign w:val="center"/>
                </w:tcPr>
                <w:p w14:paraId="7A445E6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外购</w:t>
                  </w:r>
                </w:p>
              </w:tc>
            </w:tr>
            <w:tr w14:paraId="0304D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6" w:type="pct"/>
                  <w:vMerge w:val="restart"/>
                  <w:noWrap w:val="0"/>
                  <w:vAlign w:val="center"/>
                </w:tcPr>
                <w:p w14:paraId="506DF4D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eastAsia="宋体"/>
                      <w:color w:val="auto"/>
                      <w:szCs w:val="21"/>
                      <w:lang w:val="en-US" w:eastAsia="zh-CN"/>
                    </w:rPr>
                  </w:pPr>
                  <w:r>
                    <w:rPr>
                      <w:rFonts w:hint="eastAsia"/>
                      <w:color w:val="auto"/>
                      <w:szCs w:val="21"/>
                      <w:lang w:val="en-US" w:eastAsia="zh-CN"/>
                    </w:rPr>
                    <w:t>能源</w:t>
                  </w:r>
                </w:p>
              </w:tc>
              <w:tc>
                <w:tcPr>
                  <w:tcW w:w="858" w:type="pct"/>
                  <w:noWrap w:val="0"/>
                  <w:vAlign w:val="center"/>
                </w:tcPr>
                <w:p w14:paraId="269400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Cs w:val="21"/>
                    </w:rPr>
                  </w:pPr>
                  <w:r>
                    <w:rPr>
                      <w:rFonts w:hint="eastAsia"/>
                      <w:color w:val="auto"/>
                      <w:szCs w:val="21"/>
                    </w:rPr>
                    <w:t>水</w:t>
                  </w:r>
                </w:p>
              </w:tc>
              <w:tc>
                <w:tcPr>
                  <w:tcW w:w="685" w:type="pct"/>
                  <w:noWrap w:val="0"/>
                  <w:vAlign w:val="center"/>
                </w:tcPr>
                <w:p w14:paraId="169A16F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eastAsia="宋体"/>
                      <w:color w:val="auto"/>
                      <w:szCs w:val="21"/>
                      <w:shd w:val="clear" w:color="auto" w:fill="auto"/>
                      <w:lang w:val="en-US" w:eastAsia="zh-CN"/>
                    </w:rPr>
                  </w:pPr>
                  <w:r>
                    <w:rPr>
                      <w:rFonts w:hint="eastAsia" w:cs="Times New Roman"/>
                      <w:color w:val="auto"/>
                      <w:sz w:val="21"/>
                      <w:szCs w:val="21"/>
                      <w:shd w:val="clear" w:color="auto" w:fill="auto"/>
                      <w:lang w:val="en-US" w:eastAsia="zh-CN"/>
                    </w:rPr>
                    <w:t>19980</w:t>
                  </w:r>
                </w:p>
              </w:tc>
              <w:tc>
                <w:tcPr>
                  <w:tcW w:w="819" w:type="pct"/>
                  <w:noWrap w:val="0"/>
                  <w:vAlign w:val="center"/>
                </w:tcPr>
                <w:p w14:paraId="0746987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szCs w:val="21"/>
                      <w:shd w:val="clear" w:color="auto" w:fill="auto"/>
                      <w:lang w:val="en-US"/>
                    </w:rPr>
                  </w:pPr>
                  <w:r>
                    <w:rPr>
                      <w:rFonts w:hint="eastAsia" w:cs="Times New Roman"/>
                      <w:color w:val="auto"/>
                      <w:sz w:val="21"/>
                      <w:szCs w:val="21"/>
                      <w:shd w:val="clear" w:color="auto" w:fill="auto"/>
                      <w:lang w:val="en-US" w:eastAsia="zh-CN"/>
                    </w:rPr>
                    <w:t>21261</w:t>
                  </w:r>
                </w:p>
              </w:tc>
              <w:tc>
                <w:tcPr>
                  <w:tcW w:w="819" w:type="pct"/>
                  <w:noWrap w:val="0"/>
                  <w:vAlign w:val="center"/>
                </w:tcPr>
                <w:p w14:paraId="023F43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shd w:val="clear" w:color="auto" w:fill="auto"/>
                    </w:rPr>
                  </w:pPr>
                  <w:r>
                    <w:rPr>
                      <w:color w:val="auto"/>
                      <w:szCs w:val="21"/>
                      <w:shd w:val="clear" w:color="auto" w:fill="auto"/>
                    </w:rPr>
                    <w:t>m</w:t>
                  </w:r>
                  <w:r>
                    <w:rPr>
                      <w:color w:val="auto"/>
                      <w:szCs w:val="21"/>
                      <w:shd w:val="clear" w:color="auto" w:fill="auto"/>
                      <w:vertAlign w:val="superscript"/>
                    </w:rPr>
                    <w:t>3</w:t>
                  </w:r>
                  <w:r>
                    <w:rPr>
                      <w:rFonts w:hint="eastAsia"/>
                      <w:color w:val="auto"/>
                      <w:szCs w:val="21"/>
                      <w:shd w:val="clear" w:color="auto" w:fill="auto"/>
                    </w:rPr>
                    <w:t>/a</w:t>
                  </w:r>
                </w:p>
              </w:tc>
              <w:tc>
                <w:tcPr>
                  <w:tcW w:w="1140" w:type="pct"/>
                  <w:noWrap w:val="0"/>
                  <w:vAlign w:val="center"/>
                </w:tcPr>
                <w:p w14:paraId="5A541C3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lang w:val="en-US" w:eastAsia="zh-CN"/>
                    </w:rPr>
                  </w:pPr>
                  <w:r>
                    <w:rPr>
                      <w:rFonts w:hint="eastAsia"/>
                      <w:color w:val="auto"/>
                      <w:lang w:val="en-US" w:eastAsia="zh-CN"/>
                    </w:rPr>
                    <w:t>中丰店村供水管道提供</w:t>
                  </w:r>
                </w:p>
              </w:tc>
            </w:tr>
            <w:tr w14:paraId="6E6AC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6" w:type="pct"/>
                  <w:vMerge w:val="continue"/>
                  <w:noWrap w:val="0"/>
                  <w:vAlign w:val="center"/>
                </w:tcPr>
                <w:p w14:paraId="2E525F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Cs w:val="21"/>
                      <w:lang w:val="en-US" w:eastAsia="zh-CN"/>
                    </w:rPr>
                  </w:pPr>
                </w:p>
              </w:tc>
              <w:tc>
                <w:tcPr>
                  <w:tcW w:w="858" w:type="pct"/>
                  <w:noWrap w:val="0"/>
                  <w:vAlign w:val="center"/>
                </w:tcPr>
                <w:p w14:paraId="57C815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Cs w:val="21"/>
                    </w:rPr>
                  </w:pPr>
                  <w:r>
                    <w:rPr>
                      <w:rFonts w:hint="eastAsia"/>
                      <w:color w:val="auto"/>
                      <w:szCs w:val="21"/>
                    </w:rPr>
                    <w:t>电</w:t>
                  </w:r>
                </w:p>
              </w:tc>
              <w:tc>
                <w:tcPr>
                  <w:tcW w:w="685" w:type="pct"/>
                  <w:noWrap w:val="0"/>
                  <w:vAlign w:val="center"/>
                </w:tcPr>
                <w:p w14:paraId="608B74D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eastAsia="宋体"/>
                      <w:color w:val="auto"/>
                      <w:szCs w:val="21"/>
                      <w:highlight w:val="yellow"/>
                      <w:lang w:val="en-US" w:eastAsia="zh-CN"/>
                    </w:rPr>
                  </w:pPr>
                  <w:r>
                    <w:rPr>
                      <w:rFonts w:hint="eastAsia" w:ascii="Times New Roman" w:hAnsi="Times New Roman" w:cs="Times New Roman"/>
                      <w:color w:val="auto"/>
                      <w:sz w:val="21"/>
                      <w:szCs w:val="21"/>
                      <w:lang w:val="en-US" w:eastAsia="zh-CN"/>
                    </w:rPr>
                    <w:t>144</w:t>
                  </w:r>
                </w:p>
              </w:tc>
              <w:tc>
                <w:tcPr>
                  <w:tcW w:w="819" w:type="pct"/>
                  <w:noWrap w:val="0"/>
                  <w:vAlign w:val="center"/>
                </w:tcPr>
                <w:p w14:paraId="13F0EEA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160</w:t>
                  </w:r>
                </w:p>
              </w:tc>
              <w:tc>
                <w:tcPr>
                  <w:tcW w:w="819" w:type="pct"/>
                  <w:noWrap w:val="0"/>
                  <w:vAlign w:val="center"/>
                </w:tcPr>
                <w:p w14:paraId="14B0972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万kw·h/a</w:t>
                  </w:r>
                </w:p>
              </w:tc>
              <w:tc>
                <w:tcPr>
                  <w:tcW w:w="1140" w:type="pct"/>
                  <w:noWrap w:val="0"/>
                  <w:vAlign w:val="center"/>
                </w:tcPr>
                <w:p w14:paraId="6F3F98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Cs w:val="21"/>
                    </w:rPr>
                  </w:pPr>
                  <w:r>
                    <w:rPr>
                      <w:rFonts w:hint="eastAsia"/>
                      <w:color w:val="auto"/>
                      <w:szCs w:val="21"/>
                    </w:rPr>
                    <w:t>市政电网供给</w:t>
                  </w:r>
                </w:p>
              </w:tc>
            </w:tr>
          </w:tbl>
          <w:p w14:paraId="0BE57131">
            <w:pPr>
              <w:widowControl/>
              <w:spacing w:line="360" w:lineRule="auto"/>
              <w:ind w:firstLine="480" w:firstLineChars="200"/>
              <w:rPr>
                <w:rFonts w:hint="eastAsia"/>
                <w:b w:val="0"/>
                <w:bCs w:val="0"/>
                <w:color w:val="auto"/>
                <w:sz w:val="24"/>
                <w:lang w:val="en-US" w:eastAsia="zh-CN"/>
              </w:rPr>
            </w:pPr>
            <w:r>
              <w:rPr>
                <w:rFonts w:hint="eastAsia"/>
                <w:b w:val="0"/>
                <w:bCs w:val="0"/>
                <w:color w:val="auto"/>
                <w:sz w:val="24"/>
                <w:lang w:val="en-US" w:eastAsia="zh-CN"/>
              </w:rPr>
              <w:t>原有项目建筑垃圾</w:t>
            </w:r>
            <w:r>
              <w:rPr>
                <w:rFonts w:hint="eastAsia" w:ascii="Times New Roman" w:hAnsi="Times New Roman" w:cs="Times New Roman"/>
                <w:color w:val="auto"/>
                <w:sz w:val="24"/>
                <w:szCs w:val="24"/>
                <w:lang w:val="en-US" w:eastAsia="zh-CN"/>
              </w:rPr>
              <w:t>主要来源两个方面：一是旧房拆迁，此类建筑垃圾主要为旧砖砌墙体和混凝土楼板；另一类是道路翻修的废混凝土，混凝土块、渣土混合物等。</w:t>
            </w:r>
            <w:r>
              <w:rPr>
                <w:rFonts w:hint="eastAsia"/>
                <w:b w:val="0"/>
                <w:bCs w:val="0"/>
                <w:color w:val="auto"/>
                <w:sz w:val="24"/>
                <w:lang w:val="en-US" w:eastAsia="zh-CN"/>
              </w:rPr>
              <w:t>本项目装修垃圾主要来源为旧房拆迁及新房装修，主要为渣土、水泥、瓷砖、门窗、木板等（其中门窗等含铁垃圾占比为3%，木板等轻物质占比为5%，其它水泥瓷砖渣土等占比为92%）。不接收装修涂料等含有有毒有害物质、含有PVC塑料废弃物等不可降解或低价值材料、电池、医疗废物等。</w:t>
            </w:r>
          </w:p>
          <w:p w14:paraId="45619781">
            <w:pPr>
              <w:pStyle w:val="82"/>
              <w:spacing w:line="240" w:lineRule="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表2-5  项目建成后全厂物料平衡一览表</w:t>
            </w:r>
          </w:p>
          <w:tbl>
            <w:tblPr>
              <w:tblStyle w:val="27"/>
              <w:tblW w:w="512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1823"/>
              <w:gridCol w:w="935"/>
              <w:gridCol w:w="2721"/>
              <w:gridCol w:w="1504"/>
            </w:tblGrid>
            <w:tr w14:paraId="1639E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73" w:type="pct"/>
                  <w:gridSpan w:val="2"/>
                  <w:tcBorders>
                    <w:tl2br w:val="nil"/>
                    <w:tr2bl w:val="nil"/>
                  </w:tcBorders>
                  <w:noWrap w:val="0"/>
                  <w:vAlign w:val="center"/>
                </w:tcPr>
                <w:p w14:paraId="318BE6E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输入</w:t>
                  </w:r>
                </w:p>
              </w:tc>
              <w:tc>
                <w:tcPr>
                  <w:tcW w:w="2926" w:type="pct"/>
                  <w:gridSpan w:val="3"/>
                  <w:tcBorders>
                    <w:tl2br w:val="nil"/>
                    <w:tr2bl w:val="nil"/>
                  </w:tcBorders>
                  <w:noWrap w:val="0"/>
                  <w:vAlign w:val="center"/>
                </w:tcPr>
                <w:p w14:paraId="3AEC8B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输出</w:t>
                  </w:r>
                </w:p>
              </w:tc>
            </w:tr>
            <w:tr w14:paraId="44689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tcBorders>
                    <w:tl2br w:val="nil"/>
                    <w:tr2bl w:val="nil"/>
                  </w:tcBorders>
                  <w:noWrap w:val="0"/>
                  <w:vAlign w:val="center"/>
                </w:tcPr>
                <w:p w14:paraId="565B1B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原料</w:t>
                  </w:r>
                </w:p>
              </w:tc>
              <w:tc>
                <w:tcPr>
                  <w:tcW w:w="1034" w:type="pct"/>
                  <w:tcBorders>
                    <w:tl2br w:val="nil"/>
                    <w:tr2bl w:val="nil"/>
                  </w:tcBorders>
                  <w:noWrap w:val="0"/>
                  <w:vAlign w:val="center"/>
                </w:tcPr>
                <w:p w14:paraId="42A4679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数量（t）</w:t>
                  </w:r>
                </w:p>
              </w:tc>
              <w:tc>
                <w:tcPr>
                  <w:tcW w:w="2073" w:type="pct"/>
                  <w:gridSpan w:val="2"/>
                  <w:tcBorders>
                    <w:tl2br w:val="nil"/>
                    <w:tr2bl w:val="nil"/>
                  </w:tcBorders>
                  <w:noWrap w:val="0"/>
                  <w:vAlign w:val="center"/>
                </w:tcPr>
                <w:p w14:paraId="42F596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产品</w:t>
                  </w:r>
                </w:p>
              </w:tc>
              <w:tc>
                <w:tcPr>
                  <w:tcW w:w="852" w:type="pct"/>
                  <w:tcBorders>
                    <w:tl2br w:val="nil"/>
                    <w:tr2bl w:val="nil"/>
                  </w:tcBorders>
                  <w:noWrap w:val="0"/>
                  <w:vAlign w:val="center"/>
                </w:tcPr>
                <w:p w14:paraId="152BB50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数量（t）</w:t>
                  </w:r>
                </w:p>
              </w:tc>
            </w:tr>
            <w:tr w14:paraId="65D2F9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restart"/>
                  <w:tcBorders>
                    <w:tl2br w:val="nil"/>
                    <w:tr2bl w:val="nil"/>
                  </w:tcBorders>
                  <w:noWrap w:val="0"/>
                  <w:vAlign w:val="center"/>
                </w:tcPr>
                <w:p w14:paraId="7585FCE6">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建筑垃圾、</w:t>
                  </w:r>
                  <w:r>
                    <w:rPr>
                      <w:rFonts w:hint="eastAsia" w:ascii="Times New Roman" w:hAnsi="Times New Roman" w:eastAsia="宋体" w:cs="Times New Roman"/>
                      <w:color w:val="auto"/>
                      <w:spacing w:val="0"/>
                      <w:kern w:val="2"/>
                      <w:sz w:val="21"/>
                      <w:szCs w:val="21"/>
                      <w:lang w:val="en-US" w:eastAsia="zh-CN" w:bidi="ar-SA"/>
                    </w:rPr>
                    <w:t>装修垃圾</w:t>
                  </w:r>
                </w:p>
              </w:tc>
              <w:tc>
                <w:tcPr>
                  <w:tcW w:w="1034" w:type="pct"/>
                  <w:vMerge w:val="restart"/>
                  <w:tcBorders>
                    <w:tl2br w:val="nil"/>
                    <w:tr2bl w:val="nil"/>
                  </w:tcBorders>
                  <w:noWrap w:val="0"/>
                  <w:vAlign w:val="center"/>
                </w:tcPr>
                <w:p w14:paraId="5B8E1D2E">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360</w:t>
                  </w:r>
                  <w:r>
                    <w:rPr>
                      <w:rFonts w:hint="eastAsia" w:ascii="Times New Roman" w:hAnsi="Times New Roman" w:eastAsia="宋体" w:cs="Times New Roman"/>
                      <w:color w:val="auto"/>
                      <w:spacing w:val="0"/>
                      <w:kern w:val="2"/>
                      <w:sz w:val="21"/>
                      <w:szCs w:val="21"/>
                      <w:lang w:val="en-US" w:eastAsia="zh-CN" w:bidi="ar-SA"/>
                    </w:rPr>
                    <w:t>0000</w:t>
                  </w:r>
                </w:p>
              </w:tc>
              <w:tc>
                <w:tcPr>
                  <w:tcW w:w="2073" w:type="pct"/>
                  <w:gridSpan w:val="2"/>
                  <w:tcBorders>
                    <w:tl2br w:val="nil"/>
                    <w:tr2bl w:val="nil"/>
                  </w:tcBorders>
                  <w:noWrap w:val="0"/>
                  <w:vAlign w:val="center"/>
                </w:tcPr>
                <w:p w14:paraId="3D22020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再生骨料</w:t>
                  </w:r>
                </w:p>
              </w:tc>
              <w:tc>
                <w:tcPr>
                  <w:tcW w:w="852" w:type="pct"/>
                  <w:tcBorders>
                    <w:tl2br w:val="nil"/>
                    <w:tr2bl w:val="nil"/>
                  </w:tcBorders>
                  <w:shd w:val="clear" w:color="auto" w:fill="auto"/>
                  <w:noWrap w:val="0"/>
                  <w:vAlign w:val="center"/>
                </w:tcPr>
                <w:p w14:paraId="71A0EDA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3558505.026</w:t>
                  </w:r>
                </w:p>
              </w:tc>
            </w:tr>
            <w:tr w14:paraId="6254C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42EDFC1E">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186F11E1">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530" w:type="pct"/>
                  <w:vMerge w:val="restart"/>
                  <w:tcBorders>
                    <w:tl2br w:val="nil"/>
                    <w:tr2bl w:val="nil"/>
                  </w:tcBorders>
                  <w:noWrap w:val="0"/>
                  <w:vAlign w:val="center"/>
                </w:tcPr>
                <w:p w14:paraId="2E76C18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有组织排放粉尘</w:t>
                  </w:r>
                </w:p>
              </w:tc>
              <w:tc>
                <w:tcPr>
                  <w:tcW w:w="1543" w:type="pct"/>
                  <w:tcBorders>
                    <w:tl2br w:val="nil"/>
                    <w:tr2bl w:val="nil"/>
                  </w:tcBorders>
                  <w:noWrap w:val="0"/>
                  <w:vAlign w:val="center"/>
                </w:tcPr>
                <w:p w14:paraId="57C348E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DA001</w:t>
                  </w:r>
                </w:p>
              </w:tc>
              <w:tc>
                <w:tcPr>
                  <w:tcW w:w="852" w:type="pct"/>
                  <w:tcBorders>
                    <w:tl2br w:val="nil"/>
                    <w:tr2bl w:val="nil"/>
                  </w:tcBorders>
                  <w:shd w:val="clear" w:color="auto" w:fill="auto"/>
                  <w:noWrap w:val="0"/>
                  <w:vAlign w:val="center"/>
                </w:tcPr>
                <w:p w14:paraId="426D8F0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5.1</w:t>
                  </w:r>
                  <w:r>
                    <w:rPr>
                      <w:rFonts w:hint="eastAsia" w:cs="Times New Roman"/>
                      <w:i w:val="0"/>
                      <w:iCs w:val="0"/>
                      <w:color w:val="auto"/>
                      <w:kern w:val="0"/>
                      <w:sz w:val="21"/>
                      <w:szCs w:val="21"/>
                      <w:u w:val="none"/>
                      <w:lang w:val="en-US" w:eastAsia="zh-CN" w:bidi="ar"/>
                    </w:rPr>
                    <w:t>6</w:t>
                  </w:r>
                </w:p>
              </w:tc>
            </w:tr>
            <w:tr w14:paraId="4F3008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2ACA68F0">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7A6AB32E">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530" w:type="pct"/>
                  <w:vMerge w:val="continue"/>
                  <w:tcBorders>
                    <w:tl2br w:val="nil"/>
                    <w:tr2bl w:val="nil"/>
                  </w:tcBorders>
                  <w:noWrap w:val="0"/>
                  <w:vAlign w:val="center"/>
                </w:tcPr>
                <w:p w14:paraId="1F7431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p>
              </w:tc>
              <w:tc>
                <w:tcPr>
                  <w:tcW w:w="1543" w:type="pct"/>
                  <w:tcBorders>
                    <w:tl2br w:val="nil"/>
                    <w:tr2bl w:val="nil"/>
                  </w:tcBorders>
                  <w:noWrap w:val="0"/>
                  <w:vAlign w:val="center"/>
                </w:tcPr>
                <w:p w14:paraId="79DA053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DA002</w:t>
                  </w:r>
                </w:p>
              </w:tc>
              <w:tc>
                <w:tcPr>
                  <w:tcW w:w="852" w:type="pct"/>
                  <w:tcBorders>
                    <w:tl2br w:val="nil"/>
                    <w:tr2bl w:val="nil"/>
                  </w:tcBorders>
                  <w:shd w:val="clear" w:color="auto" w:fill="auto"/>
                  <w:noWrap w:val="0"/>
                  <w:vAlign w:val="center"/>
                </w:tcPr>
                <w:p w14:paraId="05B46C54">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w:t>
                  </w:r>
                  <w:r>
                    <w:rPr>
                      <w:rFonts w:hint="eastAsia" w:cs="Times New Roman"/>
                      <w:i w:val="0"/>
                      <w:iCs w:val="0"/>
                      <w:color w:val="auto"/>
                      <w:kern w:val="0"/>
                      <w:sz w:val="21"/>
                      <w:szCs w:val="21"/>
                      <w:u w:val="none"/>
                      <w:lang w:val="en-US" w:eastAsia="zh-CN" w:bidi="ar"/>
                    </w:rPr>
                    <w:t>7</w:t>
                  </w:r>
                </w:p>
              </w:tc>
            </w:tr>
            <w:tr w14:paraId="7F396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5F1F9857">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64209762">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530" w:type="pct"/>
                  <w:vMerge w:val="continue"/>
                  <w:tcBorders>
                    <w:tl2br w:val="nil"/>
                    <w:tr2bl w:val="nil"/>
                  </w:tcBorders>
                  <w:noWrap w:val="0"/>
                  <w:vAlign w:val="center"/>
                </w:tcPr>
                <w:p w14:paraId="5D56303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p>
              </w:tc>
              <w:tc>
                <w:tcPr>
                  <w:tcW w:w="1543" w:type="pct"/>
                  <w:tcBorders>
                    <w:tl2br w:val="nil"/>
                    <w:tr2bl w:val="nil"/>
                  </w:tcBorders>
                  <w:noWrap w:val="0"/>
                  <w:vAlign w:val="center"/>
                </w:tcPr>
                <w:p w14:paraId="4E66610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DA003</w:t>
                  </w:r>
                </w:p>
              </w:tc>
              <w:tc>
                <w:tcPr>
                  <w:tcW w:w="852" w:type="pct"/>
                  <w:tcBorders>
                    <w:tl2br w:val="nil"/>
                    <w:tr2bl w:val="nil"/>
                  </w:tcBorders>
                  <w:shd w:val="clear" w:color="auto" w:fill="auto"/>
                  <w:noWrap w:val="0"/>
                  <w:vAlign w:val="center"/>
                </w:tcPr>
                <w:p w14:paraId="4C8AF2EF">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3.68</w:t>
                  </w:r>
                </w:p>
              </w:tc>
            </w:tr>
            <w:tr w14:paraId="6A27F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4633E89A">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47054862">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530" w:type="pct"/>
                  <w:vMerge w:val="continue"/>
                  <w:tcBorders>
                    <w:tl2br w:val="nil"/>
                    <w:tr2bl w:val="nil"/>
                  </w:tcBorders>
                  <w:noWrap w:val="0"/>
                  <w:vAlign w:val="center"/>
                </w:tcPr>
                <w:p w14:paraId="145C8E2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p>
              </w:tc>
              <w:tc>
                <w:tcPr>
                  <w:tcW w:w="1543" w:type="pct"/>
                  <w:tcBorders>
                    <w:tl2br w:val="nil"/>
                    <w:tr2bl w:val="nil"/>
                  </w:tcBorders>
                  <w:noWrap w:val="0"/>
                  <w:vAlign w:val="center"/>
                </w:tcPr>
                <w:p w14:paraId="719EE8E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DA004</w:t>
                  </w:r>
                </w:p>
              </w:tc>
              <w:tc>
                <w:tcPr>
                  <w:tcW w:w="852" w:type="pct"/>
                  <w:tcBorders>
                    <w:tl2br w:val="nil"/>
                    <w:tr2bl w:val="nil"/>
                  </w:tcBorders>
                  <w:shd w:val="clear" w:color="auto" w:fill="auto"/>
                  <w:noWrap w:val="0"/>
                  <w:vAlign w:val="center"/>
                </w:tcPr>
                <w:p w14:paraId="5F2F507A">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0.98</w:t>
                  </w:r>
                </w:p>
              </w:tc>
            </w:tr>
            <w:tr w14:paraId="35DDA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1039" w:type="pct"/>
                  <w:vMerge w:val="continue"/>
                  <w:tcBorders>
                    <w:tl2br w:val="nil"/>
                    <w:tr2bl w:val="nil"/>
                  </w:tcBorders>
                  <w:noWrap w:val="0"/>
                  <w:vAlign w:val="center"/>
                </w:tcPr>
                <w:p w14:paraId="6831E8C9">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26340A61">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530" w:type="pct"/>
                  <w:vMerge w:val="continue"/>
                  <w:tcBorders>
                    <w:tl2br w:val="nil"/>
                    <w:tr2bl w:val="nil"/>
                  </w:tcBorders>
                  <w:noWrap w:val="0"/>
                  <w:vAlign w:val="center"/>
                </w:tcPr>
                <w:p w14:paraId="57583EB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p>
              </w:tc>
              <w:tc>
                <w:tcPr>
                  <w:tcW w:w="1543" w:type="pct"/>
                  <w:tcBorders>
                    <w:tl2br w:val="nil"/>
                    <w:tr2bl w:val="nil"/>
                  </w:tcBorders>
                  <w:noWrap w:val="0"/>
                  <w:vAlign w:val="center"/>
                </w:tcPr>
                <w:p w14:paraId="6578A5D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DA005</w:t>
                  </w:r>
                </w:p>
              </w:tc>
              <w:tc>
                <w:tcPr>
                  <w:tcW w:w="852" w:type="pct"/>
                  <w:tcBorders>
                    <w:tl2br w:val="nil"/>
                    <w:tr2bl w:val="nil"/>
                  </w:tcBorders>
                  <w:shd w:val="clear" w:color="auto" w:fill="auto"/>
                  <w:noWrap w:val="0"/>
                  <w:vAlign w:val="center"/>
                </w:tcPr>
                <w:p w14:paraId="1347B9BF">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0.49</w:t>
                  </w:r>
                </w:p>
              </w:tc>
            </w:tr>
            <w:tr w14:paraId="6D9F9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7946264C">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64A8148E">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gridSpan w:val="2"/>
                  <w:tcBorders>
                    <w:tl2br w:val="nil"/>
                    <w:tr2bl w:val="nil"/>
                  </w:tcBorders>
                  <w:noWrap w:val="0"/>
                  <w:vAlign w:val="center"/>
                </w:tcPr>
                <w:p w14:paraId="56A6496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无组织粉尘</w:t>
                  </w:r>
                </w:p>
              </w:tc>
              <w:tc>
                <w:tcPr>
                  <w:tcW w:w="852" w:type="pct"/>
                  <w:tcBorders>
                    <w:tl2br w:val="nil"/>
                    <w:tr2bl w:val="nil"/>
                  </w:tcBorders>
                  <w:noWrap w:val="0"/>
                  <w:vAlign w:val="center"/>
                </w:tcPr>
                <w:p w14:paraId="542D220F">
                  <w:pPr>
                    <w:adjustRightInd w:val="0"/>
                    <w:snapToGrid w:val="0"/>
                    <w:jc w:val="center"/>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z w:val="21"/>
                      <w:szCs w:val="21"/>
                      <w:lang w:val="en-US" w:eastAsia="zh-CN"/>
                    </w:rPr>
                    <w:t>63.09</w:t>
                  </w:r>
                </w:p>
              </w:tc>
            </w:tr>
            <w:tr w14:paraId="0969C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0536351F">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36AC05D4">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gridSpan w:val="2"/>
                  <w:tcBorders>
                    <w:tl2br w:val="nil"/>
                    <w:tr2bl w:val="nil"/>
                  </w:tcBorders>
                  <w:noWrap w:val="0"/>
                  <w:vAlign w:val="center"/>
                </w:tcPr>
                <w:p w14:paraId="19CCC5D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除尘器收集粉尘</w:t>
                  </w:r>
                </w:p>
              </w:tc>
              <w:tc>
                <w:tcPr>
                  <w:tcW w:w="852" w:type="pct"/>
                  <w:tcBorders>
                    <w:tl2br w:val="nil"/>
                    <w:tr2bl w:val="nil"/>
                  </w:tcBorders>
                  <w:noWrap w:val="0"/>
                  <w:vAlign w:val="center"/>
                </w:tcPr>
                <w:p w14:paraId="72184A5A">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1181.68</w:t>
                  </w:r>
                </w:p>
              </w:tc>
            </w:tr>
            <w:tr w14:paraId="401FA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314D1022">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26271AE7">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gridSpan w:val="2"/>
                  <w:tcBorders>
                    <w:tl2br w:val="nil"/>
                    <w:tr2bl w:val="nil"/>
                  </w:tcBorders>
                  <w:noWrap w:val="0"/>
                  <w:vAlign w:val="center"/>
                </w:tcPr>
                <w:p w14:paraId="5DC43DD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装卸扬尘</w:t>
                  </w:r>
                </w:p>
              </w:tc>
              <w:tc>
                <w:tcPr>
                  <w:tcW w:w="852" w:type="pct"/>
                  <w:tcBorders>
                    <w:tl2br w:val="nil"/>
                    <w:tr2bl w:val="nil"/>
                  </w:tcBorders>
                  <w:shd w:val="clear" w:color="auto" w:fill="auto"/>
                  <w:noWrap w:val="0"/>
                  <w:vAlign w:val="center"/>
                </w:tcPr>
                <w:p w14:paraId="0505E72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215.136</w:t>
                  </w:r>
                </w:p>
              </w:tc>
            </w:tr>
            <w:tr w14:paraId="11C0F8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722B08E2">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67F1D0EA">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gridSpan w:val="2"/>
                  <w:tcBorders>
                    <w:tl2br w:val="nil"/>
                    <w:tr2bl w:val="nil"/>
                  </w:tcBorders>
                  <w:noWrap w:val="0"/>
                  <w:vAlign w:val="center"/>
                </w:tcPr>
                <w:p w14:paraId="47D8700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default"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车辆运输扬尘</w:t>
                  </w:r>
                </w:p>
              </w:tc>
              <w:tc>
                <w:tcPr>
                  <w:tcW w:w="852" w:type="pct"/>
                  <w:tcBorders>
                    <w:tl2br w:val="nil"/>
                    <w:tr2bl w:val="nil"/>
                  </w:tcBorders>
                  <w:shd w:val="clear" w:color="auto" w:fill="auto"/>
                  <w:noWrap w:val="0"/>
                  <w:vAlign w:val="center"/>
                </w:tcPr>
                <w:p w14:paraId="6E3D59C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23.688</w:t>
                  </w:r>
                </w:p>
              </w:tc>
            </w:tr>
            <w:tr w14:paraId="35CD0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0B56CC69">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6288634F">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gridSpan w:val="2"/>
                  <w:tcBorders>
                    <w:tl2br w:val="nil"/>
                    <w:tr2bl w:val="nil"/>
                  </w:tcBorders>
                  <w:noWrap w:val="0"/>
                  <w:vAlign w:val="center"/>
                </w:tcPr>
                <w:p w14:paraId="4EB21FF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废铁</w:t>
                  </w:r>
                </w:p>
              </w:tc>
              <w:tc>
                <w:tcPr>
                  <w:tcW w:w="852" w:type="pct"/>
                  <w:tcBorders>
                    <w:tl2br w:val="nil"/>
                    <w:tr2bl w:val="nil"/>
                  </w:tcBorders>
                  <w:shd w:val="clear" w:color="auto" w:fill="auto"/>
                  <w:noWrap w:val="0"/>
                  <w:vAlign w:val="center"/>
                </w:tcPr>
                <w:p w14:paraId="6836F8AD">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15000</w:t>
                  </w:r>
                </w:p>
              </w:tc>
            </w:tr>
            <w:tr w14:paraId="16F98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vMerge w:val="continue"/>
                  <w:tcBorders>
                    <w:tl2br w:val="nil"/>
                    <w:tr2bl w:val="nil"/>
                  </w:tcBorders>
                  <w:noWrap w:val="0"/>
                  <w:vAlign w:val="center"/>
                </w:tcPr>
                <w:p w14:paraId="64C658E8">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034" w:type="pct"/>
                  <w:vMerge w:val="continue"/>
                  <w:tcBorders>
                    <w:tl2br w:val="nil"/>
                    <w:tr2bl w:val="nil"/>
                  </w:tcBorders>
                  <w:noWrap w:val="0"/>
                  <w:vAlign w:val="center"/>
                </w:tcPr>
                <w:p w14:paraId="2616F860">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2073" w:type="pct"/>
                  <w:gridSpan w:val="2"/>
                  <w:tcBorders>
                    <w:tl2br w:val="nil"/>
                    <w:tr2bl w:val="nil"/>
                  </w:tcBorders>
                  <w:noWrap w:val="0"/>
                  <w:vAlign w:val="center"/>
                </w:tcPr>
                <w:p w14:paraId="356D60D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outlineLvl w:val="0"/>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轻物质</w:t>
                  </w:r>
                </w:p>
              </w:tc>
              <w:tc>
                <w:tcPr>
                  <w:tcW w:w="852" w:type="pct"/>
                  <w:tcBorders>
                    <w:tl2br w:val="nil"/>
                    <w:tr2bl w:val="nil"/>
                  </w:tcBorders>
                  <w:shd w:val="clear" w:color="auto" w:fill="auto"/>
                  <w:noWrap w:val="0"/>
                  <w:vAlign w:val="center"/>
                </w:tcPr>
                <w:p w14:paraId="0B810106">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25000</w:t>
                  </w:r>
                </w:p>
              </w:tc>
            </w:tr>
            <w:tr w14:paraId="259F4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9" w:type="pct"/>
                  <w:tcBorders>
                    <w:tl2br w:val="nil"/>
                    <w:tr2bl w:val="nil"/>
                  </w:tcBorders>
                  <w:noWrap w:val="0"/>
                  <w:vAlign w:val="center"/>
                </w:tcPr>
                <w:p w14:paraId="30FED98B">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合计</w:t>
                  </w:r>
                </w:p>
              </w:tc>
              <w:tc>
                <w:tcPr>
                  <w:tcW w:w="1034" w:type="pct"/>
                  <w:tcBorders>
                    <w:tl2br w:val="nil"/>
                    <w:tr2bl w:val="nil"/>
                  </w:tcBorders>
                  <w:noWrap w:val="0"/>
                  <w:vAlign w:val="center"/>
                </w:tcPr>
                <w:p w14:paraId="7BB1C915">
                  <w:pPr>
                    <w:pStyle w:val="7"/>
                    <w:tabs>
                      <w:tab w:val="left" w:pos="3630"/>
                      <w:tab w:val="left" w:pos="6866"/>
                    </w:tabs>
                    <w:spacing w:line="276" w:lineRule="auto"/>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cs="Times New Roman"/>
                      <w:color w:val="auto"/>
                      <w:spacing w:val="0"/>
                      <w:kern w:val="2"/>
                      <w:sz w:val="21"/>
                      <w:szCs w:val="21"/>
                      <w:lang w:val="en-US" w:eastAsia="zh-CN" w:bidi="ar-SA"/>
                    </w:rPr>
                    <w:t>360</w:t>
                  </w:r>
                  <w:r>
                    <w:rPr>
                      <w:rFonts w:hint="eastAsia" w:ascii="Times New Roman" w:hAnsi="Times New Roman" w:eastAsia="宋体" w:cs="Times New Roman"/>
                      <w:color w:val="auto"/>
                      <w:spacing w:val="0"/>
                      <w:kern w:val="2"/>
                      <w:sz w:val="21"/>
                      <w:szCs w:val="21"/>
                      <w:lang w:val="en-US" w:eastAsia="zh-CN" w:bidi="ar-SA"/>
                    </w:rPr>
                    <w:t>0000</w:t>
                  </w:r>
                </w:p>
              </w:tc>
              <w:tc>
                <w:tcPr>
                  <w:tcW w:w="2073" w:type="pct"/>
                  <w:gridSpan w:val="2"/>
                  <w:tcBorders>
                    <w:tl2br w:val="nil"/>
                    <w:tr2bl w:val="nil"/>
                  </w:tcBorders>
                  <w:noWrap w:val="0"/>
                  <w:vAlign w:val="center"/>
                </w:tcPr>
                <w:p w14:paraId="7ED04206">
                  <w:pPr>
                    <w:pStyle w:val="7"/>
                    <w:keepNext w:val="0"/>
                    <w:keepLines w:val="0"/>
                    <w:pageBreakBefore w:val="0"/>
                    <w:widowControl w:val="0"/>
                    <w:tabs>
                      <w:tab w:val="left" w:pos="3630"/>
                      <w:tab w:val="left" w:pos="6866"/>
                    </w:tabs>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合计</w:t>
                  </w:r>
                </w:p>
              </w:tc>
              <w:tc>
                <w:tcPr>
                  <w:tcW w:w="852" w:type="pct"/>
                  <w:tcBorders>
                    <w:tl2br w:val="nil"/>
                    <w:tr2bl w:val="nil"/>
                  </w:tcBorders>
                  <w:shd w:val="clear" w:color="auto" w:fill="auto"/>
                  <w:noWrap w:val="0"/>
                  <w:vAlign w:val="center"/>
                </w:tcPr>
                <w:p w14:paraId="5448F8E6">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3600000</w:t>
                  </w:r>
                </w:p>
              </w:tc>
            </w:tr>
          </w:tbl>
          <w:p w14:paraId="78C3F8E2">
            <w:pPr>
              <w:widowControl/>
              <w:spacing w:line="360" w:lineRule="auto"/>
              <w:ind w:firstLine="482" w:firstLineChars="200"/>
              <w:rPr>
                <w:b/>
                <w:bCs/>
                <w:color w:val="auto"/>
                <w:sz w:val="24"/>
              </w:rPr>
            </w:pPr>
            <w:r>
              <w:rPr>
                <w:rFonts w:hint="eastAsia"/>
                <w:b/>
                <w:bCs/>
                <w:color w:val="auto"/>
                <w:sz w:val="24"/>
                <w:lang w:val="en-US" w:eastAsia="zh-CN"/>
              </w:rPr>
              <w:t>7</w:t>
            </w:r>
            <w:r>
              <w:rPr>
                <w:b/>
                <w:bCs/>
                <w:color w:val="auto"/>
                <w:sz w:val="24"/>
              </w:rPr>
              <w:t>、平面布置</w:t>
            </w:r>
          </w:p>
          <w:p w14:paraId="38B48AED">
            <w:pPr>
              <w:spacing w:line="360" w:lineRule="auto"/>
              <w:ind w:firstLine="480" w:firstLineChars="200"/>
              <w:rPr>
                <w:color w:val="auto"/>
                <w:sz w:val="24"/>
              </w:rPr>
            </w:pPr>
            <w:r>
              <w:rPr>
                <w:rFonts w:hint="eastAsia" w:ascii="Times New Roman" w:hAnsi="宋体" w:cs="Times New Roman"/>
                <w:snapToGrid w:val="0"/>
                <w:color w:val="auto"/>
                <w:sz w:val="24"/>
                <w:lang w:val="en-US" w:eastAsia="zh-CN"/>
              </w:rPr>
              <w:t>项目厂区L型分布，项目总体布置合理，功能分区明确，生产、办公、辅助设施较为齐全。项目平面布置详见附图3</w:t>
            </w:r>
            <w:r>
              <w:rPr>
                <w:color w:val="auto"/>
                <w:sz w:val="24"/>
              </w:rPr>
              <w:t>。</w:t>
            </w:r>
          </w:p>
          <w:p w14:paraId="0103179A">
            <w:pPr>
              <w:widowControl/>
              <w:spacing w:line="360" w:lineRule="auto"/>
              <w:ind w:firstLine="482" w:firstLineChars="200"/>
              <w:rPr>
                <w:rFonts w:hint="default" w:ascii="Times New Roman" w:hAnsi="Times New Roman" w:cs="Times New Roman"/>
                <w:b/>
                <w:color w:val="auto"/>
                <w:sz w:val="24"/>
              </w:rPr>
            </w:pPr>
            <w:r>
              <w:rPr>
                <w:rFonts w:hint="eastAsia"/>
                <w:b/>
                <w:color w:val="auto"/>
                <w:sz w:val="24"/>
                <w:lang w:val="en-US" w:eastAsia="zh-CN"/>
              </w:rPr>
              <w:t>8</w:t>
            </w:r>
            <w:r>
              <w:rPr>
                <w:b/>
                <w:color w:val="auto"/>
                <w:sz w:val="24"/>
              </w:rPr>
              <w:t>、劳动定</w:t>
            </w:r>
            <w:r>
              <w:rPr>
                <w:rFonts w:hint="default" w:ascii="Times New Roman" w:hAnsi="Times New Roman" w:cs="Times New Roman"/>
                <w:b/>
                <w:color w:val="auto"/>
                <w:sz w:val="24"/>
              </w:rPr>
              <w:t>员及工作制度</w:t>
            </w:r>
          </w:p>
          <w:p w14:paraId="1F722AB0">
            <w:pPr>
              <w:pStyle w:val="24"/>
              <w:keepNext w:val="0"/>
              <w:keepLines w:val="0"/>
              <w:pageBreakBefore w:val="0"/>
              <w:widowControl w:val="0"/>
              <w:numPr>
                <w:ilvl w:val="0"/>
                <w:numId w:val="0"/>
              </w:numPr>
              <w:suppressLineNumbers w:val="0"/>
              <w:kinsoku w:val="0"/>
              <w:wordWrap/>
              <w:overflowPunct w:val="0"/>
              <w:topLinePunct w:val="0"/>
              <w:autoSpaceDE/>
              <w:autoSpaceDN/>
              <w:bidi w:val="0"/>
              <w:adjustRightInd w:val="0"/>
              <w:snapToGrid w:val="0"/>
              <w:spacing w:before="0" w:beforeAutospacing="0" w:after="0" w:afterAutospacing="0" w:line="360" w:lineRule="auto"/>
              <w:ind w:left="0" w:right="0" w:firstLine="480" w:firstLineChars="200"/>
              <w:jc w:val="both"/>
              <w:textAlignment w:val="auto"/>
              <w:outlineLvl w:val="0"/>
              <w:rPr>
                <w:rFonts w:hint="default" w:ascii="Times New Roman" w:hAnsi="Times New Roman" w:cs="Times New Roman"/>
                <w:bCs/>
                <w:color w:val="auto"/>
                <w:sz w:val="24"/>
              </w:rPr>
            </w:pPr>
            <w:r>
              <w:rPr>
                <w:rFonts w:hint="default" w:ascii="Times New Roman" w:hAnsi="Times New Roman" w:cs="Times New Roman"/>
                <w:color w:val="auto"/>
                <w:sz w:val="24"/>
                <w:szCs w:val="24"/>
                <w:lang w:val="en-US" w:eastAsia="zh-CN"/>
              </w:rPr>
              <w:t>企业现有</w:t>
            </w:r>
            <w:r>
              <w:rPr>
                <w:rFonts w:hint="default" w:ascii="Times New Roman" w:hAnsi="Times New Roman" w:cs="Times New Roman"/>
                <w:snapToGrid w:val="0"/>
                <w:color w:val="auto"/>
                <w:sz w:val="24"/>
                <w:lang w:val="en-US" w:eastAsia="zh-CN"/>
              </w:rPr>
              <w:t>劳动定员95人，</w:t>
            </w:r>
            <w:r>
              <w:rPr>
                <w:rFonts w:hint="eastAsia" w:ascii="Times New Roman" w:hAnsi="Times New Roman" w:cs="Times New Roman"/>
                <w:snapToGrid w:val="0"/>
                <w:color w:val="auto"/>
                <w:sz w:val="24"/>
                <w:lang w:val="en-US" w:eastAsia="zh-CN"/>
              </w:rPr>
              <w:t>不新增人员，</w:t>
            </w:r>
            <w:r>
              <w:rPr>
                <w:rFonts w:hint="default" w:ascii="Times New Roman" w:hAnsi="Times New Roman" w:cs="Times New Roman"/>
                <w:snapToGrid w:val="0"/>
                <w:color w:val="auto"/>
                <w:sz w:val="24"/>
                <w:lang w:val="en-US" w:eastAsia="zh-CN"/>
              </w:rPr>
              <w:t>年工作300天，每天工作10小时</w:t>
            </w:r>
            <w:r>
              <w:rPr>
                <w:rFonts w:hint="default" w:ascii="Times New Roman" w:hAnsi="Times New Roman" w:cs="Times New Roman"/>
                <w:color w:val="auto"/>
                <w:sz w:val="24"/>
                <w:szCs w:val="24"/>
                <w:lang w:val="en-US" w:eastAsia="zh-CN"/>
              </w:rPr>
              <w:t>，工作制度和工作时间不变。</w:t>
            </w:r>
          </w:p>
          <w:p w14:paraId="652433F0">
            <w:pPr>
              <w:widowControl/>
              <w:numPr>
                <w:ilvl w:val="0"/>
                <w:numId w:val="0"/>
              </w:numPr>
              <w:spacing w:line="360" w:lineRule="auto"/>
              <w:ind w:firstLine="482" w:firstLineChars="200"/>
              <w:rPr>
                <w:b/>
                <w:color w:val="auto"/>
                <w:sz w:val="24"/>
              </w:rPr>
            </w:pPr>
            <w:r>
              <w:rPr>
                <w:rFonts w:hint="eastAsia"/>
                <w:b/>
                <w:color w:val="auto"/>
                <w:sz w:val="24"/>
                <w:lang w:val="en-US" w:eastAsia="zh-CN"/>
              </w:rPr>
              <w:t>9、</w:t>
            </w:r>
            <w:r>
              <w:rPr>
                <w:b/>
                <w:color w:val="auto"/>
                <w:sz w:val="24"/>
              </w:rPr>
              <w:t>给</w:t>
            </w:r>
            <w:r>
              <w:rPr>
                <w:rFonts w:hint="eastAsia"/>
                <w:b/>
                <w:color w:val="auto"/>
                <w:sz w:val="24"/>
              </w:rPr>
              <w:t>排</w:t>
            </w:r>
            <w:r>
              <w:rPr>
                <w:b/>
                <w:color w:val="auto"/>
                <w:sz w:val="24"/>
              </w:rPr>
              <w:t>水</w:t>
            </w:r>
          </w:p>
          <w:p w14:paraId="396CB922">
            <w:pPr>
              <w:snapToGrid w:val="0"/>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ascii="Times New Roman" w:hAnsi="宋体" w:cs="Times New Roman"/>
                <w:color w:val="auto"/>
                <w:sz w:val="24"/>
                <w:lang w:val="en-US" w:eastAsia="zh-CN"/>
              </w:rPr>
              <w:t>项目用水由中丰店村供水管道提供</w:t>
            </w:r>
            <w:r>
              <w:rPr>
                <w:rFonts w:hint="eastAsia" w:hAnsi="宋体" w:cs="Times New Roman"/>
                <w:color w:val="auto"/>
                <w:sz w:val="24"/>
                <w:lang w:val="en-US" w:eastAsia="zh-CN"/>
              </w:rPr>
              <w:t>，依托现有工程供水设施</w:t>
            </w:r>
            <w:r>
              <w:rPr>
                <w:rFonts w:hint="eastAsia" w:ascii="Times New Roman" w:hAnsi="宋体" w:cs="Times New Roman"/>
                <w:color w:val="auto"/>
                <w:sz w:val="24"/>
                <w:lang w:val="en-US" w:eastAsia="zh-CN"/>
              </w:rPr>
              <w:t>，</w:t>
            </w:r>
            <w:r>
              <w:rPr>
                <w:rFonts w:hint="eastAsia" w:cs="Times New Roman"/>
                <w:snapToGrid w:val="0"/>
                <w:color w:val="auto"/>
                <w:sz w:val="24"/>
                <w:shd w:val="clear" w:color="auto" w:fill="auto"/>
                <w:lang w:val="en-US" w:eastAsia="zh-CN"/>
              </w:rPr>
              <w:t>本项目无新增人员，故无生活污水增加。全厂运输车辆、原料及产品数量不变，故无车辆冲洗用水增加。</w:t>
            </w:r>
            <w:r>
              <w:rPr>
                <w:rFonts w:hint="eastAsia" w:hAnsi="宋体" w:cs="Times New Roman"/>
                <w:color w:val="auto"/>
                <w:sz w:val="24"/>
                <w:lang w:val="en-US" w:eastAsia="zh-CN"/>
              </w:rPr>
              <w:t>本</w:t>
            </w:r>
            <w:r>
              <w:rPr>
                <w:rFonts w:hint="eastAsia" w:ascii="Times New Roman" w:hAnsi="Times New Roman" w:eastAsia="宋体" w:cs="Times New Roman"/>
                <w:color w:val="auto"/>
                <w:kern w:val="2"/>
                <w:sz w:val="24"/>
                <w:szCs w:val="24"/>
                <w:lang w:val="en-US" w:eastAsia="zh-CN" w:bidi="ar-SA"/>
              </w:rPr>
              <w:t>项目</w:t>
            </w:r>
            <w:r>
              <w:rPr>
                <w:rFonts w:hint="eastAsia" w:ascii="Times New Roman" w:hAnsi="Times New Roman" w:cs="Times New Roman"/>
                <w:color w:val="auto"/>
                <w:kern w:val="2"/>
                <w:sz w:val="24"/>
                <w:szCs w:val="24"/>
                <w:lang w:val="en-US" w:eastAsia="zh-CN" w:bidi="ar-SA"/>
              </w:rPr>
              <w:t>生产</w:t>
            </w:r>
            <w:r>
              <w:rPr>
                <w:rFonts w:hint="eastAsia" w:ascii="Times New Roman" w:hAnsi="Times New Roman" w:eastAsia="宋体" w:cs="Times New Roman"/>
                <w:color w:val="auto"/>
                <w:kern w:val="2"/>
                <w:sz w:val="24"/>
                <w:szCs w:val="24"/>
                <w:lang w:val="en-US" w:eastAsia="zh-CN" w:bidi="ar-SA"/>
              </w:rPr>
              <w:t>用水主要</w:t>
            </w:r>
            <w:r>
              <w:rPr>
                <w:rFonts w:hint="eastAsia" w:cs="Times New Roman"/>
                <w:color w:val="auto"/>
                <w:kern w:val="2"/>
                <w:sz w:val="24"/>
                <w:szCs w:val="24"/>
                <w:lang w:val="en-US" w:eastAsia="zh-CN" w:bidi="ar-SA"/>
              </w:rPr>
              <w:t>为</w:t>
            </w:r>
            <w:r>
              <w:rPr>
                <w:rFonts w:hint="eastAsia" w:ascii="Times New Roman" w:hAnsi="Times New Roman" w:eastAsia="宋体" w:cs="Times New Roman"/>
                <w:color w:val="auto"/>
                <w:kern w:val="2"/>
                <w:sz w:val="24"/>
                <w:szCs w:val="24"/>
                <w:lang w:val="en-US" w:eastAsia="zh-CN" w:bidi="ar-SA"/>
              </w:rPr>
              <w:t>喷淋降尘用水。</w:t>
            </w:r>
          </w:p>
          <w:p w14:paraId="6C81AE3B">
            <w:pPr>
              <w:snapToGrid w:val="0"/>
              <w:spacing w:line="360" w:lineRule="auto"/>
              <w:ind w:firstLine="480" w:firstLineChars="200"/>
              <w:rPr>
                <w:rFonts w:hint="eastAsia"/>
                <w:color w:val="auto"/>
                <w:sz w:val="24"/>
                <w:lang w:val="en-US" w:eastAsia="zh-CN"/>
              </w:rPr>
            </w:pPr>
            <w:r>
              <w:rPr>
                <w:rFonts w:hint="eastAsia" w:hAnsi="宋体" w:cs="Times New Roman"/>
                <w:color w:val="auto"/>
                <w:sz w:val="24"/>
                <w:lang w:val="en-US" w:eastAsia="zh-CN"/>
              </w:rPr>
              <w:t>本项目增加了前处理线，单次喷淋量增加。</w:t>
            </w:r>
            <w:r>
              <w:rPr>
                <w:rFonts w:hint="eastAsia" w:ascii="Times New Roman" w:hAnsi="宋体" w:eastAsia="宋体" w:cs="Times New Roman"/>
                <w:color w:val="auto"/>
                <w:sz w:val="24"/>
                <w:lang w:val="en-US" w:eastAsia="zh-CN"/>
              </w:rPr>
              <w:t>项目</w:t>
            </w:r>
            <w:r>
              <w:rPr>
                <w:rFonts w:hint="eastAsia" w:hAnsi="宋体" w:cs="Times New Roman"/>
                <w:color w:val="auto"/>
                <w:sz w:val="24"/>
                <w:lang w:val="en-US" w:eastAsia="zh-CN"/>
              </w:rPr>
              <w:t>前处理</w:t>
            </w:r>
            <w:r>
              <w:rPr>
                <w:rFonts w:hint="eastAsia" w:ascii="Times New Roman" w:hAnsi="宋体" w:eastAsia="宋体" w:cs="Times New Roman"/>
                <w:color w:val="auto"/>
                <w:sz w:val="24"/>
                <w:lang w:val="en-US" w:eastAsia="zh-CN"/>
              </w:rPr>
              <w:t>生产过程中易产尘点安装了喷淋设施洒水降尘，</w:t>
            </w:r>
            <w:r>
              <w:rPr>
                <w:rFonts w:hint="eastAsia" w:hAnsi="宋体" w:cs="Times New Roman"/>
                <w:color w:val="auto"/>
                <w:sz w:val="24"/>
                <w:lang w:val="en-US" w:eastAsia="zh-CN"/>
              </w:rPr>
              <w:t>再生利用生产线</w:t>
            </w:r>
            <w:r>
              <w:rPr>
                <w:rFonts w:hint="eastAsia" w:ascii="Times New Roman" w:hAnsi="宋体" w:eastAsia="宋体" w:cs="Times New Roman"/>
                <w:color w:val="auto"/>
                <w:sz w:val="24"/>
                <w:lang w:val="en-US" w:eastAsia="zh-CN"/>
              </w:rPr>
              <w:t>依托</w:t>
            </w:r>
            <w:r>
              <w:rPr>
                <w:rFonts w:hint="eastAsia" w:hAnsi="宋体" w:cs="Times New Roman"/>
                <w:color w:val="auto"/>
                <w:sz w:val="24"/>
                <w:lang w:val="en-US" w:eastAsia="zh-CN"/>
              </w:rPr>
              <w:t>1#车间</w:t>
            </w:r>
            <w:r>
              <w:rPr>
                <w:rFonts w:hint="eastAsia" w:ascii="Times New Roman" w:hAnsi="宋体" w:eastAsia="宋体" w:cs="Times New Roman"/>
                <w:color w:val="auto"/>
                <w:sz w:val="24"/>
                <w:lang w:val="en-US" w:eastAsia="zh-CN"/>
              </w:rPr>
              <w:t>现有喷淋设备。</w:t>
            </w:r>
            <w:r>
              <w:rPr>
                <w:rFonts w:hint="eastAsia" w:ascii="Times New Roman" w:hAnsi="Times New Roman" w:eastAsia="宋体" w:cs="Times New Roman"/>
                <w:color w:val="auto"/>
                <w:kern w:val="2"/>
                <w:sz w:val="24"/>
                <w:szCs w:val="24"/>
                <w:lang w:val="en-US" w:eastAsia="zh-CN" w:bidi="ar-SA"/>
              </w:rPr>
              <w:t>车间、堆场喷淋生产全程进行喷淋，道路喷淋路面干了即开启喷淋设施</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根据企业</w:t>
            </w:r>
            <w:r>
              <w:rPr>
                <w:rFonts w:hint="eastAsia" w:ascii="Times New Roman" w:hAnsi="Times New Roman" w:cs="Times New Roman"/>
                <w:color w:val="auto"/>
                <w:kern w:val="2"/>
                <w:sz w:val="24"/>
                <w:szCs w:val="24"/>
                <w:lang w:val="en-US" w:eastAsia="zh-CN" w:bidi="ar-SA"/>
              </w:rPr>
              <w:t>提供的</w:t>
            </w:r>
            <w:r>
              <w:rPr>
                <w:rFonts w:hint="eastAsia" w:ascii="Times New Roman" w:hAnsi="Times New Roman" w:eastAsia="宋体" w:cs="Times New Roman"/>
                <w:color w:val="auto"/>
                <w:kern w:val="2"/>
                <w:sz w:val="24"/>
                <w:szCs w:val="24"/>
                <w:lang w:val="en-US" w:eastAsia="zh-CN" w:bidi="ar-SA"/>
              </w:rPr>
              <w:t>经验数据，</w:t>
            </w:r>
            <w:r>
              <w:rPr>
                <w:rFonts w:hint="eastAsia" w:cs="Times New Roman"/>
                <w:color w:val="auto"/>
                <w:kern w:val="2"/>
                <w:sz w:val="24"/>
                <w:szCs w:val="24"/>
                <w:lang w:val="en-US" w:eastAsia="zh-CN" w:bidi="ar-SA"/>
              </w:rPr>
              <w:t>本项目车间</w:t>
            </w:r>
            <w:r>
              <w:rPr>
                <w:rFonts w:hint="eastAsia" w:ascii="Times New Roman" w:hAnsi="Times New Roman" w:eastAsia="宋体" w:cs="Times New Roman"/>
                <w:color w:val="auto"/>
                <w:kern w:val="2"/>
                <w:sz w:val="24"/>
                <w:szCs w:val="24"/>
                <w:lang w:val="en-US" w:eastAsia="zh-CN" w:bidi="ar-SA"/>
              </w:rPr>
              <w:t>喷淋洒水用水量为</w:t>
            </w:r>
            <w:r>
              <w:rPr>
                <w:rFonts w:hint="eastAsia"/>
                <w:color w:val="auto"/>
                <w:sz w:val="24"/>
                <w:lang w:val="en-US" w:eastAsia="zh-CN"/>
              </w:rPr>
              <w:t>4.27m</w:t>
            </w:r>
            <w:r>
              <w:rPr>
                <w:rFonts w:hint="eastAsia"/>
                <w:color w:val="auto"/>
                <w:sz w:val="24"/>
                <w:vertAlign w:val="superscript"/>
                <w:lang w:val="en-US" w:eastAsia="zh-CN"/>
              </w:rPr>
              <w:t>3</w:t>
            </w:r>
            <w:r>
              <w:rPr>
                <w:rFonts w:hint="eastAsia"/>
                <w:color w:val="auto"/>
                <w:sz w:val="24"/>
                <w:lang w:val="en-US" w:eastAsia="zh-CN"/>
              </w:rPr>
              <w:t>/d、1281</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eastAsia="zh-CN"/>
              </w:rPr>
              <w:t>。</w:t>
            </w:r>
            <w:r>
              <w:rPr>
                <w:rFonts w:hint="eastAsia"/>
                <w:color w:val="auto"/>
                <w:sz w:val="24"/>
                <w:lang w:val="en-US" w:eastAsia="zh-CN"/>
              </w:rPr>
              <w:t>车间喷淋降尘用水全部挥发。</w:t>
            </w:r>
          </w:p>
          <w:p w14:paraId="1CF4865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1995" w:firstLineChars="828"/>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lang w:val="en-US" w:eastAsia="zh-CN"/>
              </w:rPr>
              <w:t>表2-</w:t>
            </w:r>
            <w:r>
              <w:rPr>
                <w:rFonts w:hint="eastAsia" w:cs="Times New Roman"/>
                <w:b/>
                <w:color w:val="auto"/>
                <w:sz w:val="24"/>
                <w:szCs w:val="24"/>
                <w:lang w:val="en-US" w:eastAsia="zh-CN"/>
              </w:rPr>
              <w:t>6</w:t>
            </w:r>
            <w:r>
              <w:rPr>
                <w:rFonts w:hint="default"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color w:val="auto"/>
                <w:sz w:val="24"/>
                <w:szCs w:val="24"/>
              </w:rPr>
              <w:t>项目用水、排水情况表    单位：m</w:t>
            </w:r>
            <w:r>
              <w:rPr>
                <w:rFonts w:hint="default" w:ascii="Times New Roman" w:hAnsi="Times New Roman" w:eastAsia="宋体" w:cs="Times New Roman"/>
                <w:b/>
                <w:color w:val="auto"/>
                <w:sz w:val="24"/>
                <w:szCs w:val="24"/>
                <w:vertAlign w:val="superscript"/>
              </w:rPr>
              <w:t>3</w:t>
            </w:r>
            <w:r>
              <w:rPr>
                <w:rFonts w:hint="default" w:ascii="Times New Roman" w:hAnsi="Times New Roman" w:eastAsia="宋体" w:cs="Times New Roman"/>
                <w:b/>
                <w:color w:val="auto"/>
                <w:sz w:val="24"/>
                <w:szCs w:val="24"/>
              </w:rPr>
              <w:t>/d</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72"/>
              <w:gridCol w:w="1644"/>
              <w:gridCol w:w="1659"/>
              <w:gridCol w:w="3227"/>
            </w:tblGrid>
            <w:tr w14:paraId="72D55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4" w:type="pct"/>
                  <w:tcBorders>
                    <w:tl2br w:val="nil"/>
                    <w:tr2bl w:val="nil"/>
                  </w:tcBorders>
                  <w:noWrap w:val="0"/>
                  <w:vAlign w:val="center"/>
                </w:tcPr>
                <w:p w14:paraId="11D4152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名称</w:t>
                  </w:r>
                </w:p>
              </w:tc>
              <w:tc>
                <w:tcPr>
                  <w:tcW w:w="955" w:type="pct"/>
                  <w:tcBorders>
                    <w:tl2br w:val="nil"/>
                    <w:tr2bl w:val="nil"/>
                  </w:tcBorders>
                  <w:noWrap w:val="0"/>
                  <w:vAlign w:val="center"/>
                </w:tcPr>
                <w:p w14:paraId="6F7B94E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新鲜水</w:t>
                  </w:r>
                </w:p>
              </w:tc>
              <w:tc>
                <w:tcPr>
                  <w:tcW w:w="964" w:type="pct"/>
                  <w:tcBorders>
                    <w:tl2br w:val="nil"/>
                    <w:tr2bl w:val="nil"/>
                  </w:tcBorders>
                  <w:noWrap w:val="0"/>
                  <w:vAlign w:val="center"/>
                </w:tcPr>
                <w:p w14:paraId="39DEC19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损耗量</w:t>
                  </w:r>
                </w:p>
              </w:tc>
              <w:tc>
                <w:tcPr>
                  <w:tcW w:w="1875" w:type="pct"/>
                  <w:tcBorders>
                    <w:tl2br w:val="nil"/>
                    <w:tr2bl w:val="nil"/>
                  </w:tcBorders>
                  <w:noWrap w:val="0"/>
                  <w:vAlign w:val="center"/>
                </w:tcPr>
                <w:p w14:paraId="3C77BB4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排放去向</w:t>
                  </w:r>
                </w:p>
              </w:tc>
            </w:tr>
            <w:tr w14:paraId="2AB2E6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4" w:type="pct"/>
                  <w:tcBorders>
                    <w:tl2br w:val="nil"/>
                    <w:tr2bl w:val="nil"/>
                  </w:tcBorders>
                  <w:noWrap w:val="0"/>
                  <w:vAlign w:val="center"/>
                </w:tcPr>
                <w:p w14:paraId="4333FB1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车间</w:t>
                  </w:r>
                  <w:r>
                    <w:rPr>
                      <w:rFonts w:hint="default" w:ascii="Times New Roman" w:hAnsi="Times New Roman" w:cs="Times New Roman" w:eastAsiaTheme="minorEastAsia"/>
                      <w:color w:val="auto"/>
                      <w:sz w:val="21"/>
                      <w:szCs w:val="21"/>
                      <w:lang w:val="en-US" w:eastAsia="zh-CN"/>
                    </w:rPr>
                    <w:t>喷淋降尘用水</w:t>
                  </w:r>
                </w:p>
              </w:tc>
              <w:tc>
                <w:tcPr>
                  <w:tcW w:w="955" w:type="pct"/>
                  <w:tcBorders>
                    <w:tl2br w:val="nil"/>
                    <w:tr2bl w:val="nil"/>
                  </w:tcBorders>
                  <w:noWrap w:val="0"/>
                  <w:vAlign w:val="center"/>
                </w:tcPr>
                <w:p w14:paraId="4AFD39E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4.27</w:t>
                  </w:r>
                </w:p>
              </w:tc>
              <w:tc>
                <w:tcPr>
                  <w:tcW w:w="964" w:type="pct"/>
                  <w:tcBorders>
                    <w:tl2br w:val="nil"/>
                    <w:tr2bl w:val="nil"/>
                  </w:tcBorders>
                  <w:shd w:val="clear" w:color="auto" w:fill="auto"/>
                  <w:noWrap w:val="0"/>
                  <w:vAlign w:val="center"/>
                </w:tcPr>
                <w:p w14:paraId="054C93E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4.27</w:t>
                  </w:r>
                </w:p>
              </w:tc>
              <w:tc>
                <w:tcPr>
                  <w:tcW w:w="1875" w:type="pct"/>
                  <w:tcBorders>
                    <w:tl2br w:val="nil"/>
                    <w:tr2bl w:val="nil"/>
                  </w:tcBorders>
                  <w:noWrap w:val="0"/>
                  <w:vAlign w:val="center"/>
                </w:tcPr>
                <w:p w14:paraId="6298AC6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全部挥发</w:t>
                  </w:r>
                </w:p>
              </w:tc>
            </w:tr>
            <w:tr w14:paraId="0823C9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4" w:type="pct"/>
                  <w:noWrap w:val="0"/>
                  <w:vAlign w:val="center"/>
                </w:tcPr>
                <w:p w14:paraId="30DFEFE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合计</w:t>
                  </w:r>
                </w:p>
              </w:tc>
              <w:tc>
                <w:tcPr>
                  <w:tcW w:w="955" w:type="pct"/>
                  <w:noWrap w:val="0"/>
                  <w:vAlign w:val="center"/>
                </w:tcPr>
                <w:p w14:paraId="45A899F0">
                  <w:pPr>
                    <w:keepNext w:val="0"/>
                    <w:keepLines w:val="0"/>
                    <w:pageBreakBefore w:val="0"/>
                    <w:widowControl/>
                    <w:suppressLineNumbers w:val="0"/>
                    <w:kinsoku/>
                    <w:wordWrap/>
                    <w:overflowPunct/>
                    <w:topLinePunct w:val="0"/>
                    <w:autoSpaceDE/>
                    <w:autoSpaceDN/>
                    <w:bidi w:val="0"/>
                    <w:snapToGrid/>
                    <w:spacing w:before="0" w:beforeAutospacing="0" w:after="0" w:afterAutospacing="0" w:line="240" w:lineRule="auto"/>
                    <w:ind w:left="0" w:right="0" w:firstLine="0" w:firstLineChars="0"/>
                    <w:jc w:val="center"/>
                    <w:textAlignment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4.27</w:t>
                  </w:r>
                </w:p>
              </w:tc>
              <w:tc>
                <w:tcPr>
                  <w:tcW w:w="964" w:type="pct"/>
                  <w:shd w:val="clear" w:color="auto" w:fill="auto"/>
                  <w:noWrap w:val="0"/>
                  <w:vAlign w:val="center"/>
                </w:tcPr>
                <w:p w14:paraId="14BDC4BC">
                  <w:pPr>
                    <w:keepNext w:val="0"/>
                    <w:keepLines w:val="0"/>
                    <w:pageBreakBefore w:val="0"/>
                    <w:widowControl/>
                    <w:suppressLineNumbers w:val="0"/>
                    <w:kinsoku/>
                    <w:wordWrap/>
                    <w:overflowPunct/>
                    <w:topLinePunct w:val="0"/>
                    <w:autoSpaceDE/>
                    <w:autoSpaceDN/>
                    <w:bidi w:val="0"/>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4.27</w:t>
                  </w:r>
                </w:p>
              </w:tc>
              <w:tc>
                <w:tcPr>
                  <w:tcW w:w="1875" w:type="pct"/>
                  <w:noWrap w:val="0"/>
                  <w:vAlign w:val="center"/>
                </w:tcPr>
                <w:p w14:paraId="1B9BEAD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p>
              </w:tc>
            </w:tr>
          </w:tbl>
          <w:p w14:paraId="19CA477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1995" w:firstLineChars="828"/>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lang w:val="en-US" w:eastAsia="zh-CN"/>
              </w:rPr>
              <w:t>表2-</w:t>
            </w:r>
            <w:r>
              <w:rPr>
                <w:rFonts w:hint="eastAsia" w:cs="Times New Roman"/>
                <w:b/>
                <w:color w:val="auto"/>
                <w:sz w:val="24"/>
                <w:szCs w:val="24"/>
                <w:lang w:val="en-US" w:eastAsia="zh-CN"/>
              </w:rPr>
              <w:t>6</w:t>
            </w:r>
            <w:r>
              <w:rPr>
                <w:rFonts w:hint="default" w:ascii="Times New Roman" w:hAnsi="Times New Roman" w:eastAsia="宋体" w:cs="Times New Roman"/>
                <w:b/>
                <w:color w:val="auto"/>
                <w:sz w:val="24"/>
                <w:szCs w:val="24"/>
                <w:lang w:val="en-US" w:eastAsia="zh-CN"/>
              </w:rPr>
              <w:t xml:space="preserve">   </w:t>
            </w:r>
            <w:r>
              <w:rPr>
                <w:rFonts w:hint="eastAsia" w:ascii="Times New Roman" w:hAnsi="Times New Roman" w:eastAsia="宋体" w:cs="Times New Roman"/>
                <w:b/>
                <w:color w:val="auto"/>
                <w:sz w:val="24"/>
                <w:szCs w:val="24"/>
                <w:lang w:val="en-US" w:eastAsia="zh-CN"/>
              </w:rPr>
              <w:t>扩建后全厂</w:t>
            </w:r>
            <w:r>
              <w:rPr>
                <w:rFonts w:hint="default" w:ascii="Times New Roman" w:hAnsi="Times New Roman" w:eastAsia="宋体" w:cs="Times New Roman"/>
                <w:b/>
                <w:color w:val="auto"/>
                <w:sz w:val="24"/>
                <w:szCs w:val="24"/>
              </w:rPr>
              <w:t>用水、排水情况表    单位：m</w:t>
            </w:r>
            <w:r>
              <w:rPr>
                <w:rFonts w:hint="default" w:ascii="Times New Roman" w:hAnsi="Times New Roman" w:eastAsia="宋体" w:cs="Times New Roman"/>
                <w:b/>
                <w:color w:val="auto"/>
                <w:sz w:val="24"/>
                <w:szCs w:val="24"/>
                <w:vertAlign w:val="superscript"/>
              </w:rPr>
              <w:t>3</w:t>
            </w:r>
            <w:r>
              <w:rPr>
                <w:rFonts w:hint="default" w:ascii="Times New Roman" w:hAnsi="Times New Roman" w:eastAsia="宋体" w:cs="Times New Roman"/>
                <w:b/>
                <w:color w:val="auto"/>
                <w:sz w:val="24"/>
                <w:szCs w:val="24"/>
              </w:rPr>
              <w:t>/d</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35"/>
              <w:gridCol w:w="899"/>
              <w:gridCol w:w="1124"/>
              <w:gridCol w:w="1169"/>
              <w:gridCol w:w="1229"/>
              <w:gridCol w:w="2546"/>
            </w:tblGrid>
            <w:tr w14:paraId="44EB60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pct"/>
                  <w:tcBorders>
                    <w:tl2br w:val="nil"/>
                    <w:tr2bl w:val="nil"/>
                  </w:tcBorders>
                  <w:noWrap w:val="0"/>
                  <w:vAlign w:val="center"/>
                </w:tcPr>
                <w:p w14:paraId="5E13AC7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名称</w:t>
                  </w:r>
                </w:p>
              </w:tc>
              <w:tc>
                <w:tcPr>
                  <w:tcW w:w="522" w:type="pct"/>
                  <w:tcBorders>
                    <w:tl2br w:val="nil"/>
                    <w:tr2bl w:val="nil"/>
                  </w:tcBorders>
                  <w:noWrap w:val="0"/>
                  <w:vAlign w:val="center"/>
                </w:tcPr>
                <w:p w14:paraId="42FE4C4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新鲜水</w:t>
                  </w:r>
                </w:p>
              </w:tc>
              <w:tc>
                <w:tcPr>
                  <w:tcW w:w="653" w:type="pct"/>
                  <w:tcBorders>
                    <w:tl2br w:val="nil"/>
                    <w:tr2bl w:val="nil"/>
                  </w:tcBorders>
                  <w:noWrap w:val="0"/>
                  <w:vAlign w:val="center"/>
                </w:tcPr>
                <w:p w14:paraId="67B10D2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循环量</w:t>
                  </w:r>
                </w:p>
              </w:tc>
              <w:tc>
                <w:tcPr>
                  <w:tcW w:w="679" w:type="pct"/>
                  <w:tcBorders>
                    <w:tl2br w:val="nil"/>
                    <w:tr2bl w:val="nil"/>
                  </w:tcBorders>
                  <w:noWrap w:val="0"/>
                  <w:vAlign w:val="center"/>
                </w:tcPr>
                <w:p w14:paraId="7B551AB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损耗量</w:t>
                  </w:r>
                </w:p>
              </w:tc>
              <w:tc>
                <w:tcPr>
                  <w:tcW w:w="714" w:type="pct"/>
                  <w:tcBorders>
                    <w:tl2br w:val="nil"/>
                    <w:tr2bl w:val="nil"/>
                  </w:tcBorders>
                  <w:noWrap w:val="0"/>
                  <w:vAlign w:val="center"/>
                </w:tcPr>
                <w:p w14:paraId="282B508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排放量</w:t>
                  </w:r>
                </w:p>
              </w:tc>
              <w:tc>
                <w:tcPr>
                  <w:tcW w:w="1479" w:type="pct"/>
                  <w:tcBorders>
                    <w:tl2br w:val="nil"/>
                    <w:tr2bl w:val="nil"/>
                  </w:tcBorders>
                  <w:noWrap w:val="0"/>
                  <w:vAlign w:val="center"/>
                </w:tcPr>
                <w:p w14:paraId="1731DFC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排放去向</w:t>
                  </w:r>
                </w:p>
              </w:tc>
            </w:tr>
            <w:tr w14:paraId="3F138E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pct"/>
                  <w:tcBorders>
                    <w:tl2br w:val="nil"/>
                    <w:tr2bl w:val="nil"/>
                  </w:tcBorders>
                  <w:shd w:val="clear" w:color="auto" w:fill="auto"/>
                  <w:noWrap w:val="0"/>
                  <w:vAlign w:val="center"/>
                </w:tcPr>
                <w:p w14:paraId="7F5C5E5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rPr>
                    <w:t>车辆冲洗用水</w:t>
                  </w:r>
                </w:p>
              </w:tc>
              <w:tc>
                <w:tcPr>
                  <w:tcW w:w="522" w:type="pct"/>
                  <w:tcBorders>
                    <w:tl2br w:val="nil"/>
                    <w:tr2bl w:val="nil"/>
                  </w:tcBorders>
                  <w:shd w:val="clear" w:color="auto" w:fill="auto"/>
                  <w:noWrap w:val="0"/>
                  <w:vAlign w:val="center"/>
                </w:tcPr>
                <w:p w14:paraId="0103AC4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40</w:t>
                  </w:r>
                </w:p>
              </w:tc>
              <w:tc>
                <w:tcPr>
                  <w:tcW w:w="653" w:type="pct"/>
                  <w:tcBorders>
                    <w:tl2br w:val="nil"/>
                    <w:tr2bl w:val="nil"/>
                  </w:tcBorders>
                  <w:shd w:val="clear" w:color="auto" w:fill="auto"/>
                  <w:noWrap w:val="0"/>
                  <w:vAlign w:val="center"/>
                </w:tcPr>
                <w:p w14:paraId="5F7D62E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36</w:t>
                  </w:r>
                </w:p>
              </w:tc>
              <w:tc>
                <w:tcPr>
                  <w:tcW w:w="679" w:type="pct"/>
                  <w:tcBorders>
                    <w:tl2br w:val="nil"/>
                    <w:tr2bl w:val="nil"/>
                  </w:tcBorders>
                  <w:shd w:val="clear" w:color="auto" w:fill="auto"/>
                  <w:noWrap w:val="0"/>
                  <w:vAlign w:val="center"/>
                </w:tcPr>
                <w:p w14:paraId="769075A5">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4</w:t>
                  </w:r>
                </w:p>
              </w:tc>
              <w:tc>
                <w:tcPr>
                  <w:tcW w:w="714" w:type="pct"/>
                  <w:tcBorders>
                    <w:tl2br w:val="nil"/>
                    <w:tr2bl w:val="nil"/>
                  </w:tcBorders>
                  <w:shd w:val="clear" w:color="auto" w:fill="auto"/>
                  <w:noWrap w:val="0"/>
                  <w:vAlign w:val="center"/>
                </w:tcPr>
                <w:p w14:paraId="7931A76C">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0</w:t>
                  </w:r>
                </w:p>
              </w:tc>
              <w:tc>
                <w:tcPr>
                  <w:tcW w:w="1479" w:type="pct"/>
                  <w:tcBorders>
                    <w:tl2br w:val="nil"/>
                    <w:tr2bl w:val="nil"/>
                  </w:tcBorders>
                  <w:noWrap w:val="0"/>
                  <w:vAlign w:val="center"/>
                </w:tcPr>
                <w:p w14:paraId="486071F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经四级沉淀池沉淀后循环使用</w:t>
                  </w:r>
                </w:p>
              </w:tc>
            </w:tr>
            <w:tr w14:paraId="031FAA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pct"/>
                  <w:shd w:val="clear" w:color="auto" w:fill="auto"/>
                  <w:noWrap w:val="0"/>
                  <w:vAlign w:val="center"/>
                </w:tcPr>
                <w:p w14:paraId="1F37B2F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lang w:val="en-US" w:eastAsia="zh-CN"/>
                    </w:rPr>
                    <w:t>喷淋降尘</w:t>
                  </w:r>
                  <w:r>
                    <w:rPr>
                      <w:rFonts w:hint="eastAsia"/>
                      <w:color w:val="auto"/>
                      <w:szCs w:val="21"/>
                      <w:highlight w:val="none"/>
                    </w:rPr>
                    <w:t>用水</w:t>
                  </w:r>
                </w:p>
              </w:tc>
              <w:tc>
                <w:tcPr>
                  <w:tcW w:w="522" w:type="pct"/>
                  <w:shd w:val="clear" w:color="auto" w:fill="auto"/>
                  <w:noWrap w:val="0"/>
                  <w:vAlign w:val="center"/>
                </w:tcPr>
                <w:p w14:paraId="395612E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35</w:t>
                  </w:r>
                </w:p>
              </w:tc>
              <w:tc>
                <w:tcPr>
                  <w:tcW w:w="653" w:type="pct"/>
                  <w:shd w:val="clear" w:color="auto" w:fill="auto"/>
                  <w:noWrap w:val="0"/>
                  <w:vAlign w:val="center"/>
                </w:tcPr>
                <w:p w14:paraId="387DA43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0</w:t>
                  </w:r>
                </w:p>
              </w:tc>
              <w:tc>
                <w:tcPr>
                  <w:tcW w:w="679" w:type="pct"/>
                  <w:shd w:val="clear" w:color="auto" w:fill="auto"/>
                  <w:noWrap w:val="0"/>
                  <w:vAlign w:val="center"/>
                </w:tcPr>
                <w:p w14:paraId="400E663B">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35</w:t>
                  </w:r>
                </w:p>
              </w:tc>
              <w:tc>
                <w:tcPr>
                  <w:tcW w:w="714" w:type="pct"/>
                  <w:shd w:val="clear" w:color="auto" w:fill="auto"/>
                  <w:noWrap w:val="0"/>
                  <w:vAlign w:val="center"/>
                </w:tcPr>
                <w:p w14:paraId="3E868A37">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0</w:t>
                  </w:r>
                </w:p>
              </w:tc>
              <w:tc>
                <w:tcPr>
                  <w:tcW w:w="1479" w:type="pct"/>
                  <w:noWrap w:val="0"/>
                  <w:vAlign w:val="center"/>
                </w:tcPr>
                <w:p w14:paraId="25DFE6A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全部挥发</w:t>
                  </w:r>
                </w:p>
              </w:tc>
            </w:tr>
            <w:tr w14:paraId="1AFC46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pct"/>
                  <w:shd w:val="clear" w:color="auto" w:fill="auto"/>
                  <w:noWrap w:val="0"/>
                  <w:vAlign w:val="center"/>
                </w:tcPr>
                <w:p w14:paraId="10E0C96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olor w:val="auto"/>
                      <w:szCs w:val="21"/>
                    </w:rPr>
                    <w:t>绿化用水</w:t>
                  </w:r>
                </w:p>
              </w:tc>
              <w:tc>
                <w:tcPr>
                  <w:tcW w:w="522" w:type="pct"/>
                  <w:shd w:val="clear" w:color="auto" w:fill="auto"/>
                  <w:noWrap w:val="0"/>
                  <w:vAlign w:val="center"/>
                </w:tcPr>
                <w:p w14:paraId="67F9A85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20</w:t>
                  </w:r>
                </w:p>
              </w:tc>
              <w:tc>
                <w:tcPr>
                  <w:tcW w:w="653" w:type="pct"/>
                  <w:shd w:val="clear" w:color="auto" w:fill="auto"/>
                  <w:noWrap w:val="0"/>
                  <w:vAlign w:val="center"/>
                </w:tcPr>
                <w:p w14:paraId="106F4A0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0</w:t>
                  </w:r>
                </w:p>
              </w:tc>
              <w:tc>
                <w:tcPr>
                  <w:tcW w:w="679" w:type="pct"/>
                  <w:shd w:val="clear" w:color="auto" w:fill="auto"/>
                  <w:noWrap w:val="0"/>
                  <w:vAlign w:val="center"/>
                </w:tcPr>
                <w:p w14:paraId="49A4FCA4">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20</w:t>
                  </w:r>
                </w:p>
              </w:tc>
              <w:tc>
                <w:tcPr>
                  <w:tcW w:w="714" w:type="pct"/>
                  <w:shd w:val="clear" w:color="auto" w:fill="auto"/>
                  <w:noWrap w:val="0"/>
                  <w:vAlign w:val="center"/>
                </w:tcPr>
                <w:p w14:paraId="4E98A07A">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0</w:t>
                  </w:r>
                </w:p>
              </w:tc>
              <w:tc>
                <w:tcPr>
                  <w:tcW w:w="1479" w:type="pct"/>
                  <w:noWrap w:val="0"/>
                  <w:vAlign w:val="center"/>
                </w:tcPr>
                <w:p w14:paraId="5B9DC8D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全部挥发</w:t>
                  </w:r>
                </w:p>
              </w:tc>
            </w:tr>
            <w:tr w14:paraId="792B7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pct"/>
                  <w:shd w:val="clear" w:color="auto" w:fill="auto"/>
                  <w:noWrap w:val="0"/>
                  <w:vAlign w:val="center"/>
                </w:tcPr>
                <w:p w14:paraId="2829619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生活用水</w:t>
                  </w:r>
                </w:p>
              </w:tc>
              <w:tc>
                <w:tcPr>
                  <w:tcW w:w="522" w:type="pct"/>
                  <w:shd w:val="clear" w:color="auto" w:fill="auto"/>
                  <w:noWrap w:val="0"/>
                  <w:vAlign w:val="center"/>
                </w:tcPr>
                <w:p w14:paraId="1A0EA3E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7.6</w:t>
                  </w:r>
                </w:p>
              </w:tc>
              <w:tc>
                <w:tcPr>
                  <w:tcW w:w="653" w:type="pct"/>
                  <w:shd w:val="clear" w:color="auto" w:fill="auto"/>
                  <w:noWrap w:val="0"/>
                  <w:vAlign w:val="center"/>
                </w:tcPr>
                <w:p w14:paraId="6233164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Cs w:val="21"/>
                      <w:lang w:val="en-US" w:eastAsia="zh-CN"/>
                    </w:rPr>
                    <w:t>0</w:t>
                  </w:r>
                </w:p>
              </w:tc>
              <w:tc>
                <w:tcPr>
                  <w:tcW w:w="679" w:type="pct"/>
                  <w:shd w:val="clear" w:color="auto" w:fill="auto"/>
                  <w:noWrap w:val="0"/>
                  <w:vAlign w:val="center"/>
                </w:tcPr>
                <w:p w14:paraId="5149D8D4">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1.52</w:t>
                  </w:r>
                </w:p>
              </w:tc>
              <w:tc>
                <w:tcPr>
                  <w:tcW w:w="714" w:type="pct"/>
                  <w:shd w:val="clear" w:color="auto" w:fill="auto"/>
                  <w:noWrap w:val="0"/>
                  <w:vAlign w:val="center"/>
                </w:tcPr>
                <w:p w14:paraId="1976B78F">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6.08</w:t>
                  </w:r>
                </w:p>
              </w:tc>
              <w:tc>
                <w:tcPr>
                  <w:tcW w:w="1479" w:type="pct"/>
                  <w:noWrap w:val="0"/>
                  <w:vAlign w:val="center"/>
                </w:tcPr>
                <w:p w14:paraId="03B5A36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经隔油池、化粪池处理后由当地农民定期清掏</w:t>
                  </w:r>
                </w:p>
              </w:tc>
            </w:tr>
            <w:tr w14:paraId="6AC9F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pct"/>
                  <w:shd w:val="clear" w:color="auto" w:fill="auto"/>
                  <w:noWrap w:val="0"/>
                  <w:vAlign w:val="center"/>
                </w:tcPr>
                <w:p w14:paraId="5123044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合计</w:t>
                  </w:r>
                </w:p>
              </w:tc>
              <w:tc>
                <w:tcPr>
                  <w:tcW w:w="522" w:type="pct"/>
                  <w:shd w:val="clear" w:color="auto" w:fill="auto"/>
                  <w:noWrap w:val="0"/>
                  <w:vAlign w:val="center"/>
                </w:tcPr>
                <w:p w14:paraId="087E0D5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102.6</w:t>
                  </w:r>
                </w:p>
              </w:tc>
              <w:tc>
                <w:tcPr>
                  <w:tcW w:w="653" w:type="pct"/>
                  <w:shd w:val="clear" w:color="auto" w:fill="auto"/>
                  <w:noWrap w:val="0"/>
                  <w:vAlign w:val="center"/>
                </w:tcPr>
                <w:p w14:paraId="153A102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36</w:t>
                  </w:r>
                </w:p>
              </w:tc>
              <w:tc>
                <w:tcPr>
                  <w:tcW w:w="679" w:type="pct"/>
                  <w:shd w:val="clear" w:color="auto" w:fill="auto"/>
                  <w:noWrap w:val="0"/>
                  <w:vAlign w:val="center"/>
                </w:tcPr>
                <w:p w14:paraId="464FAE35">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60.52</w:t>
                  </w:r>
                </w:p>
              </w:tc>
              <w:tc>
                <w:tcPr>
                  <w:tcW w:w="714" w:type="pct"/>
                  <w:shd w:val="clear" w:color="auto" w:fill="auto"/>
                  <w:noWrap w:val="0"/>
                  <w:vAlign w:val="center"/>
                </w:tcPr>
                <w:p w14:paraId="4E7B5E00">
                  <w:pPr>
                    <w:pStyle w:val="4"/>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6.08</w:t>
                  </w:r>
                </w:p>
              </w:tc>
              <w:tc>
                <w:tcPr>
                  <w:tcW w:w="1479" w:type="pct"/>
                  <w:noWrap w:val="0"/>
                  <w:vAlign w:val="center"/>
                </w:tcPr>
                <w:p w14:paraId="5BEACA1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w:t>
                  </w:r>
                </w:p>
              </w:tc>
            </w:tr>
          </w:tbl>
          <w:p w14:paraId="00BBCD8F">
            <w:pPr>
              <w:pStyle w:val="35"/>
              <w:jc w:val="center"/>
              <w:rPr>
                <w:rFonts w:hint="eastAsia" w:ascii="Times New Roman" w:hAnsi="Times New Roman" w:eastAsia="宋体" w:cs="Times New Roman"/>
                <w:color w:val="auto"/>
                <w:kern w:val="2"/>
                <w:sz w:val="24"/>
                <w:szCs w:val="24"/>
                <w:lang w:val="en-US" w:eastAsia="zh-CN" w:bidi="ar-SA"/>
              </w:rPr>
            </w:pPr>
          </w:p>
          <w:p w14:paraId="619AECA1">
            <w:pPr>
              <w:pStyle w:val="35"/>
              <w:jc w:val="center"/>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drawing>
                <wp:inline distT="0" distB="0" distL="114300" distR="114300">
                  <wp:extent cx="2524125" cy="641985"/>
                  <wp:effectExtent l="0" t="0" r="9525" b="5715"/>
                  <wp:docPr id="3" name="F360BE8B-6686-4F3D-AEAF-501FE73E4058-1" descr="C:/Users/Lenovo/AppData/Local/Temp/绘图1(13).png绘图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360BE8B-6686-4F3D-AEAF-501FE73E4058-1" descr="C:/Users/Lenovo/AppData/Local/Temp/绘图1(13).png绘图1(13)"/>
                          <pic:cNvPicPr>
                            <a:picLocks noChangeAspect="1"/>
                          </pic:cNvPicPr>
                        </pic:nvPicPr>
                        <pic:blipFill>
                          <a:blip r:embed="rId9"/>
                          <a:stretch>
                            <a:fillRect/>
                          </a:stretch>
                        </pic:blipFill>
                        <pic:spPr>
                          <a:xfrm>
                            <a:off x="0" y="0"/>
                            <a:ext cx="2524125" cy="641985"/>
                          </a:xfrm>
                          <a:prstGeom prst="rect">
                            <a:avLst/>
                          </a:prstGeom>
                        </pic:spPr>
                      </pic:pic>
                    </a:graphicData>
                  </a:graphic>
                </wp:inline>
              </w:drawing>
            </w:r>
          </w:p>
          <w:p w14:paraId="69AEAA4F">
            <w:pPr>
              <w:pStyle w:val="35"/>
              <w:jc w:val="center"/>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b/>
                <w:color w:val="auto"/>
                <w:kern w:val="2"/>
                <w:sz w:val="24"/>
                <w:szCs w:val="24"/>
                <w:lang w:val="en-US" w:eastAsia="zh-CN" w:bidi="ar-SA"/>
              </w:rPr>
              <w:t xml:space="preserve">图2-1  </w:t>
            </w:r>
            <w:r>
              <w:rPr>
                <w:rFonts w:hint="eastAsia" w:ascii="Times New Roman" w:hAnsi="Times New Roman" w:eastAsia="宋体" w:cs="Times New Roman"/>
                <w:b/>
                <w:color w:val="auto"/>
                <w:kern w:val="2"/>
                <w:sz w:val="24"/>
                <w:szCs w:val="24"/>
                <w:lang w:val="en-US" w:eastAsia="zh-CN" w:bidi="ar-SA"/>
              </w:rPr>
              <w:t>本项目</w:t>
            </w:r>
            <w:r>
              <w:rPr>
                <w:rFonts w:hint="default" w:ascii="Times New Roman" w:hAnsi="Times New Roman" w:eastAsia="宋体" w:cs="Times New Roman"/>
                <w:b/>
                <w:color w:val="auto"/>
                <w:kern w:val="2"/>
                <w:sz w:val="24"/>
                <w:szCs w:val="24"/>
                <w:lang w:val="en-US" w:eastAsia="zh-CN" w:bidi="ar-SA"/>
              </w:rPr>
              <w:t>水平衡图</w:t>
            </w:r>
            <w:r>
              <w:rPr>
                <w:rFonts w:hint="default" w:ascii="Times New Roman" w:hAnsi="Times New Roman" w:eastAsia="仿宋" w:cs="Times New Roman"/>
                <w:b/>
                <w:bCs/>
                <w:color w:val="auto"/>
                <w:sz w:val="24"/>
                <w:szCs w:val="24"/>
                <w:highlight w:val="none"/>
              </w:rPr>
              <w:t>（</w:t>
            </w:r>
            <w:r>
              <w:rPr>
                <w:rFonts w:hint="default" w:ascii="Times New Roman" w:hAnsi="Times New Roman" w:eastAsia="仿宋" w:cs="Times New Roman"/>
                <w:b/>
                <w:color w:val="auto"/>
                <w:sz w:val="24"/>
                <w:szCs w:val="24"/>
                <w:highlight w:val="none"/>
              </w:rPr>
              <w:t>m</w:t>
            </w:r>
            <w:r>
              <w:rPr>
                <w:rFonts w:hint="default" w:ascii="Times New Roman" w:hAnsi="Times New Roman" w:eastAsia="仿宋" w:cs="Times New Roman"/>
                <w:b/>
                <w:color w:val="auto"/>
                <w:sz w:val="24"/>
                <w:szCs w:val="24"/>
                <w:highlight w:val="none"/>
                <w:vertAlign w:val="superscript"/>
              </w:rPr>
              <w:t>3</w:t>
            </w:r>
            <w:r>
              <w:rPr>
                <w:rFonts w:hint="default" w:ascii="Times New Roman" w:hAnsi="Times New Roman" w:eastAsia="仿宋" w:cs="Times New Roman"/>
                <w:b/>
                <w:color w:val="auto"/>
                <w:sz w:val="24"/>
                <w:szCs w:val="24"/>
                <w:highlight w:val="none"/>
              </w:rPr>
              <w:t>/</w:t>
            </w:r>
            <w:r>
              <w:rPr>
                <w:rFonts w:hint="default" w:ascii="Times New Roman" w:hAnsi="Times New Roman" w:eastAsia="仿宋" w:cs="Times New Roman"/>
                <w:b/>
                <w:color w:val="auto"/>
                <w:sz w:val="24"/>
                <w:szCs w:val="24"/>
                <w:highlight w:val="none"/>
                <w:lang w:val="en-US" w:eastAsia="zh-CN"/>
              </w:rPr>
              <w:t>d</w:t>
            </w:r>
            <w:r>
              <w:rPr>
                <w:rFonts w:hint="default" w:ascii="Times New Roman" w:hAnsi="Times New Roman" w:eastAsia="仿宋" w:cs="Times New Roman"/>
                <w:b/>
                <w:bCs/>
                <w:color w:val="auto"/>
                <w:sz w:val="24"/>
                <w:szCs w:val="24"/>
                <w:highlight w:val="none"/>
              </w:rPr>
              <w:t>）</w:t>
            </w:r>
          </w:p>
          <w:p w14:paraId="3D7474EA">
            <w:pPr>
              <w:pStyle w:val="35"/>
              <w:jc w:val="center"/>
              <w:rPr>
                <w:rFonts w:hint="eastAsia" w:ascii="Times New Roman" w:hAnsi="Times New Roman" w:eastAsia="宋体" w:cs="Times New Roman"/>
                <w:color w:val="auto"/>
                <w:kern w:val="2"/>
                <w:sz w:val="24"/>
                <w:szCs w:val="24"/>
                <w:lang w:val="en-US" w:eastAsia="zh-CN" w:bidi="ar-SA"/>
              </w:rPr>
            </w:pPr>
            <w:r>
              <w:rPr>
                <w:b/>
                <w:bCs/>
                <w:color w:val="auto"/>
                <w:szCs w:val="24"/>
              </w:rPr>
              <w:object>
                <v:shape id="_x0000_i1025" o:spt="75" type="#_x0000_t75" style="height:196.05pt;width:384.4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p>
          <w:p w14:paraId="4356EE1B">
            <w:pPr>
              <w:pStyle w:val="35"/>
              <w:jc w:val="center"/>
              <w:rPr>
                <w:rFonts w:hint="default" w:ascii="Times New Roman" w:hAnsi="Times New Roman" w:eastAsia="仿宋" w:cs="Times New Roman"/>
                <w:b/>
                <w:bCs/>
                <w:color w:val="auto"/>
                <w:sz w:val="24"/>
                <w:szCs w:val="24"/>
                <w:highlight w:val="none"/>
              </w:rPr>
            </w:pPr>
            <w:r>
              <w:rPr>
                <w:rFonts w:hint="default" w:ascii="Times New Roman" w:hAnsi="Times New Roman" w:eastAsia="宋体" w:cs="Times New Roman"/>
                <w:b/>
                <w:color w:val="auto"/>
                <w:kern w:val="2"/>
                <w:sz w:val="24"/>
                <w:szCs w:val="24"/>
                <w:lang w:val="en-US" w:eastAsia="zh-CN" w:bidi="ar-SA"/>
              </w:rPr>
              <w:t>图2-</w:t>
            </w:r>
            <w:r>
              <w:rPr>
                <w:rFonts w:hint="eastAsia" w:ascii="Times New Roman" w:cs="Times New Roman"/>
                <w:b/>
                <w:color w:val="auto"/>
                <w:kern w:val="2"/>
                <w:sz w:val="24"/>
                <w:szCs w:val="24"/>
                <w:lang w:val="en-US" w:eastAsia="zh-CN" w:bidi="ar-SA"/>
              </w:rPr>
              <w:t>2</w:t>
            </w:r>
            <w:r>
              <w:rPr>
                <w:rFonts w:hint="default" w:ascii="Times New Roman" w:hAnsi="Times New Roman" w:eastAsia="宋体" w:cs="Times New Roman"/>
                <w:b/>
                <w:color w:val="auto"/>
                <w:kern w:val="2"/>
                <w:sz w:val="24"/>
                <w:szCs w:val="24"/>
                <w:lang w:val="en-US" w:eastAsia="zh-CN" w:bidi="ar-SA"/>
              </w:rPr>
              <w:t xml:space="preserve">  </w:t>
            </w:r>
            <w:r>
              <w:rPr>
                <w:rFonts w:hint="eastAsia" w:ascii="Times New Roman" w:cs="Times New Roman"/>
                <w:b/>
                <w:color w:val="auto"/>
                <w:kern w:val="2"/>
                <w:sz w:val="24"/>
                <w:szCs w:val="24"/>
                <w:lang w:val="en-US" w:eastAsia="zh-CN" w:bidi="ar-SA"/>
              </w:rPr>
              <w:t>扩建后全厂</w:t>
            </w:r>
            <w:r>
              <w:rPr>
                <w:rFonts w:hint="default" w:ascii="Times New Roman" w:hAnsi="Times New Roman" w:eastAsia="宋体" w:cs="Times New Roman"/>
                <w:b/>
                <w:color w:val="auto"/>
                <w:kern w:val="2"/>
                <w:sz w:val="24"/>
                <w:szCs w:val="24"/>
                <w:lang w:val="en-US" w:eastAsia="zh-CN" w:bidi="ar-SA"/>
              </w:rPr>
              <w:t>水平衡图</w:t>
            </w:r>
            <w:r>
              <w:rPr>
                <w:rFonts w:hint="default" w:ascii="Times New Roman" w:hAnsi="Times New Roman" w:eastAsia="仿宋" w:cs="Times New Roman"/>
                <w:b/>
                <w:bCs/>
                <w:color w:val="auto"/>
                <w:sz w:val="24"/>
                <w:szCs w:val="24"/>
                <w:highlight w:val="none"/>
              </w:rPr>
              <w:t>（</w:t>
            </w:r>
            <w:r>
              <w:rPr>
                <w:rFonts w:hint="default" w:ascii="Times New Roman" w:hAnsi="Times New Roman" w:eastAsia="仿宋" w:cs="Times New Roman"/>
                <w:b/>
                <w:color w:val="auto"/>
                <w:sz w:val="24"/>
                <w:szCs w:val="24"/>
                <w:highlight w:val="none"/>
              </w:rPr>
              <w:t>m</w:t>
            </w:r>
            <w:r>
              <w:rPr>
                <w:rFonts w:hint="default" w:ascii="Times New Roman" w:hAnsi="Times New Roman" w:eastAsia="仿宋" w:cs="Times New Roman"/>
                <w:b/>
                <w:color w:val="auto"/>
                <w:sz w:val="24"/>
                <w:szCs w:val="24"/>
                <w:highlight w:val="none"/>
                <w:vertAlign w:val="superscript"/>
              </w:rPr>
              <w:t>3</w:t>
            </w:r>
            <w:r>
              <w:rPr>
                <w:rFonts w:hint="default" w:ascii="Times New Roman" w:hAnsi="Times New Roman" w:eastAsia="仿宋" w:cs="Times New Roman"/>
                <w:b/>
                <w:color w:val="auto"/>
                <w:sz w:val="24"/>
                <w:szCs w:val="24"/>
                <w:highlight w:val="none"/>
              </w:rPr>
              <w:t>/</w:t>
            </w:r>
            <w:r>
              <w:rPr>
                <w:rFonts w:hint="default" w:ascii="Times New Roman" w:hAnsi="Times New Roman" w:eastAsia="仿宋" w:cs="Times New Roman"/>
                <w:b/>
                <w:color w:val="auto"/>
                <w:sz w:val="24"/>
                <w:szCs w:val="24"/>
                <w:highlight w:val="none"/>
                <w:lang w:val="en-US" w:eastAsia="zh-CN"/>
              </w:rPr>
              <w:t>d</w:t>
            </w:r>
            <w:r>
              <w:rPr>
                <w:rFonts w:hint="default" w:ascii="Times New Roman" w:hAnsi="Times New Roman" w:eastAsia="仿宋" w:cs="Times New Roman"/>
                <w:b/>
                <w:bCs/>
                <w:color w:val="auto"/>
                <w:sz w:val="24"/>
                <w:szCs w:val="24"/>
                <w:highlight w:val="none"/>
              </w:rPr>
              <w:t>）</w:t>
            </w:r>
          </w:p>
          <w:p w14:paraId="3CE390D2">
            <w:pPr>
              <w:pStyle w:val="35"/>
              <w:jc w:val="center"/>
              <w:rPr>
                <w:rFonts w:hint="eastAsia" w:ascii="Times New Roman" w:hAnsi="Times New Roman" w:eastAsia="仿宋" w:cs="Times New Roman"/>
                <w:b/>
                <w:bCs/>
                <w:color w:val="auto"/>
                <w:sz w:val="24"/>
                <w:szCs w:val="24"/>
                <w:highlight w:val="none"/>
                <w:lang w:val="en-US" w:eastAsia="zh-CN"/>
              </w:rPr>
            </w:pPr>
          </w:p>
        </w:tc>
      </w:tr>
      <w:tr w14:paraId="54AE3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vAlign w:val="center"/>
          </w:tcPr>
          <w:p w14:paraId="0BF4F778">
            <w:pPr>
              <w:pStyle w:val="24"/>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工艺流程和产排污环节</w:t>
            </w:r>
          </w:p>
        </w:tc>
        <w:tc>
          <w:tcPr>
            <w:tcW w:w="8843" w:type="dxa"/>
          </w:tcPr>
          <w:p w14:paraId="7CE4D310">
            <w:pPr>
              <w:numPr>
                <w:ilvl w:val="0"/>
                <w:numId w:val="6"/>
              </w:numPr>
              <w:spacing w:line="360" w:lineRule="auto"/>
              <w:ind w:firstLine="482" w:firstLineChars="200"/>
              <w:rPr>
                <w:b/>
                <w:bCs/>
                <w:color w:val="auto"/>
                <w:sz w:val="24"/>
              </w:rPr>
            </w:pPr>
            <w:r>
              <w:rPr>
                <w:b/>
                <w:bCs/>
                <w:color w:val="auto"/>
                <w:sz w:val="24"/>
              </w:rPr>
              <w:t>施工期工艺流程</w:t>
            </w:r>
          </w:p>
          <w:p w14:paraId="21BC4633">
            <w:pPr>
              <w:spacing w:line="360" w:lineRule="auto"/>
              <w:ind w:firstLine="480" w:firstLineChars="200"/>
              <w:rPr>
                <w:b/>
                <w:bCs/>
                <w:color w:val="auto"/>
                <w:sz w:val="24"/>
              </w:rPr>
            </w:pPr>
            <w:r>
              <w:rPr>
                <w:color w:val="auto"/>
                <w:sz w:val="24"/>
              </w:rPr>
              <w:t>本项目车间</w:t>
            </w:r>
            <w:r>
              <w:rPr>
                <w:rFonts w:hint="eastAsia"/>
                <w:color w:val="auto"/>
                <w:sz w:val="24"/>
              </w:rPr>
              <w:t>、</w:t>
            </w:r>
            <w:r>
              <w:rPr>
                <w:rFonts w:hint="eastAsia"/>
                <w:color w:val="auto"/>
                <w:sz w:val="24"/>
                <w:lang w:val="en-US" w:eastAsia="zh-CN"/>
              </w:rPr>
              <w:t>成品</w:t>
            </w:r>
            <w:r>
              <w:rPr>
                <w:color w:val="auto"/>
                <w:sz w:val="24"/>
              </w:rPr>
              <w:t>库</w:t>
            </w:r>
            <w:r>
              <w:rPr>
                <w:rFonts w:hint="eastAsia"/>
                <w:color w:val="auto"/>
                <w:sz w:val="24"/>
              </w:rPr>
              <w:t>、</w:t>
            </w:r>
            <w:r>
              <w:rPr>
                <w:rFonts w:hint="eastAsia"/>
                <w:color w:val="auto"/>
                <w:sz w:val="24"/>
                <w:lang w:val="en-US" w:eastAsia="zh-CN"/>
              </w:rPr>
              <w:t>堆场、</w:t>
            </w:r>
            <w:r>
              <w:rPr>
                <w:rFonts w:hint="eastAsia"/>
                <w:color w:val="auto"/>
                <w:sz w:val="24"/>
              </w:rPr>
              <w:t>办公楼和宿舍</w:t>
            </w:r>
            <w:r>
              <w:rPr>
                <w:rFonts w:hint="eastAsia"/>
                <w:color w:val="auto"/>
                <w:sz w:val="24"/>
                <w:lang w:val="en-US" w:eastAsia="zh-CN"/>
              </w:rPr>
              <w:t>等</w:t>
            </w:r>
            <w:r>
              <w:rPr>
                <w:color w:val="auto"/>
                <w:sz w:val="24"/>
              </w:rPr>
              <w:t>依托原有工程，施工期不进行土建施工，主要为</w:t>
            </w:r>
            <w:r>
              <w:rPr>
                <w:rFonts w:hint="eastAsia"/>
                <w:color w:val="auto"/>
                <w:sz w:val="24"/>
                <w:szCs w:val="32"/>
              </w:rPr>
              <w:t>新</w:t>
            </w:r>
            <w:r>
              <w:rPr>
                <w:color w:val="auto"/>
                <w:sz w:val="24"/>
              </w:rPr>
              <w:t>设备的安装与调试。施工期污染主要为设备安装人员生活污水、设备安装过程产生的噪声、</w:t>
            </w:r>
            <w:r>
              <w:rPr>
                <w:rFonts w:hint="eastAsia"/>
                <w:color w:val="auto"/>
                <w:sz w:val="24"/>
                <w:lang w:val="en-US" w:eastAsia="zh-CN"/>
              </w:rPr>
              <w:t>建筑垃圾</w:t>
            </w:r>
            <w:r>
              <w:rPr>
                <w:color w:val="auto"/>
                <w:sz w:val="24"/>
              </w:rPr>
              <w:t>、生活垃圾等，且所有安装施工在</w:t>
            </w:r>
            <w:r>
              <w:rPr>
                <w:rFonts w:hint="eastAsia"/>
                <w:color w:val="auto"/>
                <w:sz w:val="24"/>
                <w:lang w:val="en-US" w:eastAsia="zh-CN"/>
              </w:rPr>
              <w:t>厂房</w:t>
            </w:r>
            <w:r>
              <w:rPr>
                <w:color w:val="auto"/>
                <w:sz w:val="24"/>
              </w:rPr>
              <w:t>内进行</w:t>
            </w:r>
            <w:r>
              <w:rPr>
                <w:rFonts w:hint="eastAsia"/>
                <w:color w:val="auto"/>
                <w:sz w:val="24"/>
              </w:rPr>
              <w:t>。</w:t>
            </w:r>
            <w:r>
              <w:rPr>
                <w:color w:val="auto"/>
                <w:sz w:val="24"/>
              </w:rPr>
              <w:t>施工期人员生活污水依托厂区现有的卫生间排入化粪池。施工期建筑垃圾收集后统一堆放于指定地点</w:t>
            </w:r>
            <w:r>
              <w:rPr>
                <w:rFonts w:hint="eastAsia"/>
                <w:color w:val="auto"/>
                <w:sz w:val="24"/>
                <w:lang w:val="en-US" w:eastAsia="zh-CN"/>
              </w:rPr>
              <w:t>回用于生产。</w:t>
            </w:r>
          </w:p>
          <w:p w14:paraId="25989CF9">
            <w:pPr>
              <w:spacing w:line="360" w:lineRule="auto"/>
              <w:ind w:left="420" w:leftChars="200"/>
              <w:rPr>
                <w:b/>
                <w:bCs/>
                <w:color w:val="auto"/>
                <w:sz w:val="24"/>
              </w:rPr>
            </w:pPr>
            <w:r>
              <w:rPr>
                <w:b/>
                <w:bCs/>
                <w:color w:val="auto"/>
                <w:sz w:val="24"/>
              </w:rPr>
              <w:t>二、运营期工艺流程</w:t>
            </w:r>
          </w:p>
          <w:p w14:paraId="7C32AFAA">
            <w:pPr>
              <w:widowControl/>
              <w:spacing w:line="360" w:lineRule="auto"/>
              <w:ind w:firstLine="480" w:firstLineChars="200"/>
              <w:jc w:val="left"/>
              <w:rPr>
                <w:color w:val="auto"/>
                <w:sz w:val="24"/>
              </w:rPr>
            </w:pPr>
            <w:r>
              <w:rPr>
                <w:color w:val="auto"/>
                <w:sz w:val="24"/>
              </w:rPr>
              <w:t>生产工艺流程及主要产污环节见图2-</w:t>
            </w:r>
            <w:r>
              <w:rPr>
                <w:rFonts w:hint="eastAsia"/>
                <w:color w:val="auto"/>
                <w:sz w:val="24"/>
                <w:lang w:val="en-US" w:eastAsia="zh-CN"/>
              </w:rPr>
              <w:t>3</w:t>
            </w:r>
            <w:r>
              <w:rPr>
                <w:color w:val="auto"/>
                <w:sz w:val="24"/>
              </w:rPr>
              <w:t>。</w:t>
            </w:r>
          </w:p>
          <w:p w14:paraId="64EE44F9">
            <w:pPr>
              <w:widowControl/>
              <w:spacing w:line="360" w:lineRule="auto"/>
              <w:ind w:firstLine="480" w:firstLineChars="200"/>
              <w:jc w:val="center"/>
              <w:rPr>
                <w:color w:val="auto"/>
                <w:sz w:val="24"/>
              </w:rPr>
            </w:pPr>
            <w:r>
              <w:rPr>
                <w:color w:val="auto"/>
                <w:sz w:val="24"/>
              </w:rPr>
              <w:drawing>
                <wp:inline distT="0" distB="0" distL="114300" distR="114300">
                  <wp:extent cx="3942715" cy="3333750"/>
                  <wp:effectExtent l="0" t="0" r="635" b="0"/>
                  <wp:docPr id="1" name="F360BE8B-6686-4F3D-AEAF-501FE73E4058-2" descr="C:/Users/Lenovo/AppData/Local/Temp/绘图1(14).png绘图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360BE8B-6686-4F3D-AEAF-501FE73E4058-2" descr="C:/Users/Lenovo/AppData/Local/Temp/绘图1(14).png绘图1(14)"/>
                          <pic:cNvPicPr>
                            <a:picLocks noChangeAspect="1"/>
                          </pic:cNvPicPr>
                        </pic:nvPicPr>
                        <pic:blipFill>
                          <a:blip r:embed="rId12"/>
                          <a:stretch>
                            <a:fillRect/>
                          </a:stretch>
                        </pic:blipFill>
                        <pic:spPr>
                          <a:xfrm>
                            <a:off x="0" y="0"/>
                            <a:ext cx="3942715" cy="3333750"/>
                          </a:xfrm>
                          <a:prstGeom prst="rect">
                            <a:avLst/>
                          </a:prstGeom>
                        </pic:spPr>
                      </pic:pic>
                    </a:graphicData>
                  </a:graphic>
                </wp:inline>
              </w:drawing>
            </w:r>
          </w:p>
          <w:p w14:paraId="1C17AD9A">
            <w:pPr>
              <w:widowControl/>
              <w:spacing w:line="360" w:lineRule="auto"/>
              <w:ind w:firstLine="482" w:firstLineChars="200"/>
              <w:jc w:val="center"/>
              <w:rPr>
                <w:rFonts w:hint="default" w:eastAsia="宋体"/>
                <w:b/>
                <w:bCs/>
                <w:color w:val="auto"/>
                <w:sz w:val="24"/>
                <w:lang w:val="en-US" w:eastAsia="zh-CN"/>
              </w:rPr>
            </w:pPr>
            <w:r>
              <w:rPr>
                <w:rFonts w:hint="eastAsia"/>
                <w:b/>
                <w:bCs/>
                <w:color w:val="auto"/>
                <w:sz w:val="24"/>
                <w:lang w:val="en-US" w:eastAsia="zh-CN"/>
              </w:rPr>
              <w:t>图2-3 装修垃圾前处理工艺流程及产污环节图</w:t>
            </w:r>
          </w:p>
          <w:p w14:paraId="29DD1661">
            <w:pPr>
              <w:widowControl/>
              <w:spacing w:line="360" w:lineRule="auto"/>
              <w:ind w:firstLine="480" w:firstLineChars="200"/>
              <w:jc w:val="left"/>
              <w:rPr>
                <w:rFonts w:hint="default" w:eastAsia="宋体"/>
                <w:color w:val="auto"/>
                <w:sz w:val="24"/>
                <w:lang w:val="en-US" w:eastAsia="zh-CN"/>
              </w:rPr>
            </w:pPr>
            <w:r>
              <w:rPr>
                <w:rFonts w:hint="eastAsia"/>
                <w:color w:val="auto"/>
                <w:sz w:val="24"/>
                <w:lang w:val="en-US" w:eastAsia="zh-CN"/>
              </w:rPr>
              <w:t>装修垃圾前处理：装修垃圾通过给料口进入粗选筛分工序，按尺寸分为大于150mm和小于150mm两类。因轻物质含量较少，大于150mm的物料可直接进入现有生产线处理，现有生产线工艺流程见图2-4，小于150mm的物料则通过无轴滚筛进一步筛分，分为小于20mm和20-150mm两种规格，小于20mm的物料直接通过出料口出料后，使用车斗运送至成品库，产品规格按照10-20mm类别放置，而20-150mm的物料依次经过除铁和高压风选，分别去除废铁和轻物质，剩余部分根据用户需求粒径尺寸进入现有生产线继续破碎精细筛分或直接运送至成品库进行售卖。该工艺流程为本项目扩建新增流程。物料从粗选筛分至高压风选设备中间的运输全部采用皮带输送，均位于2#密闭厂房内。</w:t>
            </w:r>
          </w:p>
          <w:p w14:paraId="7F062854">
            <w:pPr>
              <w:keepNext/>
              <w:keepLines/>
              <w:spacing w:line="416" w:lineRule="auto"/>
              <w:jc w:val="center"/>
              <w:rPr>
                <w:color w:val="auto"/>
              </w:rPr>
            </w:pPr>
            <w:r>
              <w:rPr>
                <w:rFonts w:hint="eastAsia" w:ascii="Times New Roman" w:hAnsi="Times New Roman" w:eastAsia="仿宋_GB2312" w:cs="Times New Roman"/>
                <w:color w:val="auto"/>
                <w:spacing w:val="0"/>
                <w:kern w:val="21"/>
                <w:sz w:val="36"/>
                <w:szCs w:val="36"/>
                <w:lang w:eastAsia="zh-CN"/>
              </w:rPr>
              <w:drawing>
                <wp:inline distT="0" distB="0" distL="114300" distR="114300">
                  <wp:extent cx="5200015" cy="6467475"/>
                  <wp:effectExtent l="0" t="0" r="635" b="9525"/>
                  <wp:docPr id="12" name="F360BE8B-6686-4F3D-AEAF-501FE73E4058-3" descr="C:/Users/Lenovo/AppData/Local/Temp/绘图1(16).png绘图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360BE8B-6686-4F3D-AEAF-501FE73E4058-3" descr="C:/Users/Lenovo/AppData/Local/Temp/绘图1(16).png绘图1(16)"/>
                          <pic:cNvPicPr>
                            <a:picLocks noChangeAspect="1"/>
                          </pic:cNvPicPr>
                        </pic:nvPicPr>
                        <pic:blipFill>
                          <a:blip r:embed="rId13"/>
                          <a:stretch>
                            <a:fillRect/>
                          </a:stretch>
                        </pic:blipFill>
                        <pic:spPr>
                          <a:xfrm>
                            <a:off x="0" y="0"/>
                            <a:ext cx="5200015" cy="6467475"/>
                          </a:xfrm>
                          <a:prstGeom prst="rect">
                            <a:avLst/>
                          </a:prstGeom>
                        </pic:spPr>
                      </pic:pic>
                    </a:graphicData>
                  </a:graphic>
                </wp:inline>
              </w:drawing>
            </w:r>
          </w:p>
          <w:p w14:paraId="49D44F12">
            <w:pPr>
              <w:keepNext/>
              <w:keepLines/>
              <w:spacing w:line="416" w:lineRule="auto"/>
              <w:jc w:val="center"/>
              <w:rPr>
                <w:b/>
                <w:bCs/>
                <w:color w:val="auto"/>
                <w:kern w:val="0"/>
                <w:sz w:val="24"/>
                <w:lang w:bidi="ar"/>
              </w:rPr>
            </w:pPr>
            <w:r>
              <w:rPr>
                <w:b/>
                <w:bCs/>
                <w:color w:val="auto"/>
                <w:kern w:val="0"/>
                <w:sz w:val="24"/>
                <w:highlight w:val="none"/>
                <w:lang w:bidi="ar"/>
              </w:rPr>
              <w:t>图</w:t>
            </w:r>
            <w:r>
              <w:rPr>
                <w:rFonts w:hint="eastAsia"/>
                <w:b/>
                <w:bCs/>
                <w:color w:val="auto"/>
                <w:kern w:val="0"/>
                <w:sz w:val="24"/>
                <w:highlight w:val="none"/>
                <w:lang w:bidi="ar"/>
              </w:rPr>
              <w:t>2-</w:t>
            </w:r>
            <w:r>
              <w:rPr>
                <w:rFonts w:hint="eastAsia"/>
                <w:b/>
                <w:bCs/>
                <w:color w:val="auto"/>
                <w:kern w:val="0"/>
                <w:sz w:val="24"/>
                <w:highlight w:val="none"/>
                <w:lang w:val="en-US" w:eastAsia="zh-CN" w:bidi="ar"/>
              </w:rPr>
              <w:t>4</w:t>
            </w:r>
            <w:r>
              <w:rPr>
                <w:b/>
                <w:bCs/>
                <w:color w:val="auto"/>
                <w:kern w:val="0"/>
                <w:sz w:val="24"/>
                <w:highlight w:val="none"/>
                <w:lang w:bidi="ar"/>
              </w:rPr>
              <w:t xml:space="preserve">  </w:t>
            </w:r>
            <w:r>
              <w:rPr>
                <w:rFonts w:hint="eastAsia"/>
                <w:b/>
                <w:bCs/>
                <w:color w:val="auto"/>
                <w:kern w:val="0"/>
                <w:sz w:val="24"/>
                <w:highlight w:val="none"/>
                <w:lang w:val="en-US" w:eastAsia="zh-CN" w:bidi="ar"/>
              </w:rPr>
              <w:t>依托现有工程</w:t>
            </w:r>
            <w:r>
              <w:rPr>
                <w:b/>
                <w:bCs/>
                <w:color w:val="auto"/>
                <w:kern w:val="0"/>
                <w:sz w:val="24"/>
                <w:highlight w:val="none"/>
                <w:lang w:bidi="ar"/>
              </w:rPr>
              <w:t>工艺</w:t>
            </w:r>
            <w:r>
              <w:rPr>
                <w:rFonts w:hint="eastAsia"/>
                <w:b/>
                <w:bCs/>
                <w:color w:val="auto"/>
                <w:kern w:val="0"/>
                <w:sz w:val="24"/>
                <w:highlight w:val="none"/>
                <w:lang w:bidi="ar"/>
              </w:rPr>
              <w:t>流程</w:t>
            </w:r>
            <w:r>
              <w:rPr>
                <w:b/>
                <w:bCs/>
                <w:color w:val="auto"/>
                <w:kern w:val="0"/>
                <w:sz w:val="24"/>
                <w:highlight w:val="none"/>
                <w:lang w:bidi="ar"/>
              </w:rPr>
              <w:t>及产污环</w:t>
            </w:r>
            <w:r>
              <w:rPr>
                <w:b/>
                <w:bCs/>
                <w:color w:val="auto"/>
                <w:kern w:val="0"/>
                <w:sz w:val="24"/>
                <w:lang w:bidi="ar"/>
              </w:rPr>
              <w:t>节图</w:t>
            </w:r>
          </w:p>
          <w:p w14:paraId="33E044FE">
            <w:pPr>
              <w:spacing w:line="360" w:lineRule="auto"/>
              <w:ind w:firstLine="480" w:firstLineChars="200"/>
              <w:rPr>
                <w:color w:val="auto"/>
                <w:sz w:val="24"/>
              </w:rPr>
            </w:pPr>
            <w:r>
              <w:rPr>
                <w:color w:val="auto"/>
                <w:sz w:val="24"/>
              </w:rPr>
              <w:t>工艺说明：</w:t>
            </w:r>
          </w:p>
          <w:p w14:paraId="6F330B76">
            <w:pPr>
              <w:numPr>
                <w:ilvl w:val="0"/>
                <w:numId w:val="7"/>
              </w:num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鄂破筛分</w:t>
            </w:r>
          </w:p>
          <w:p w14:paraId="138778A1">
            <w:pPr>
              <w:numPr>
                <w:ilvl w:val="0"/>
                <w:numId w:val="0"/>
              </w:num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将装修垃圾前处理</w:t>
            </w:r>
            <w:r>
              <w:rPr>
                <w:rFonts w:hint="eastAsia" w:cs="Times New Roman"/>
                <w:color w:val="auto"/>
                <w:sz w:val="24"/>
                <w:lang w:val="en-US" w:eastAsia="zh-CN"/>
              </w:rPr>
              <w:t>生产线工序来料</w:t>
            </w:r>
            <w:r>
              <w:rPr>
                <w:rFonts w:hint="default" w:ascii="Times New Roman" w:hAnsi="Times New Roman" w:cs="Times New Roman"/>
                <w:color w:val="auto"/>
                <w:sz w:val="24"/>
                <w:lang w:val="en-US" w:eastAsia="zh-CN"/>
              </w:rPr>
              <w:t>投入</w:t>
            </w:r>
            <w:r>
              <w:rPr>
                <w:rFonts w:hint="default" w:ascii="Times New Roman" w:hAnsi="Times New Roman" w:cs="Times New Roman"/>
                <w:color w:val="auto"/>
                <w:sz w:val="24"/>
              </w:rPr>
              <w:t>振动给料机</w:t>
            </w:r>
            <w:r>
              <w:rPr>
                <w:rFonts w:hint="default" w:ascii="Times New Roman" w:hAnsi="Times New Roman" w:cs="Times New Roman"/>
                <w:color w:val="auto"/>
                <w:sz w:val="24"/>
                <w:lang w:val="en-US" w:eastAsia="zh-CN"/>
              </w:rPr>
              <w:t>后通过鄂破机鄂破为小于300mm的物料</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通过皮带机运输至筛分机，筛出的小粒径</w:t>
            </w:r>
            <w:r>
              <w:rPr>
                <w:rFonts w:hint="default" w:ascii="Times New Roman" w:hAnsi="Times New Roman" w:cs="Times New Roman"/>
                <w:color w:val="auto"/>
                <w:sz w:val="24"/>
              </w:rPr>
              <w:t>冗余砂</w:t>
            </w:r>
            <w:r>
              <w:rPr>
                <w:rFonts w:hint="default" w:ascii="Times New Roman" w:hAnsi="Times New Roman" w:cs="Times New Roman"/>
                <w:color w:val="auto"/>
                <w:sz w:val="24"/>
                <w:lang w:val="en-US" w:eastAsia="zh-CN"/>
              </w:rPr>
              <w:t>直接入成品库作为</w:t>
            </w:r>
            <w:r>
              <w:rPr>
                <w:rFonts w:hint="eastAsia" w:cs="Times New Roman"/>
                <w:color w:val="auto"/>
                <w:sz w:val="24"/>
                <w:lang w:val="en-US" w:eastAsia="zh-CN"/>
              </w:rPr>
              <w:t>0-5mm</w:t>
            </w:r>
            <w:r>
              <w:rPr>
                <w:rFonts w:hint="default" w:ascii="Times New Roman" w:hAnsi="Times New Roman" w:cs="Times New Roman"/>
                <w:color w:val="auto"/>
                <w:sz w:val="24"/>
                <w:lang w:val="en-US" w:eastAsia="zh-CN"/>
              </w:rPr>
              <w:t>产品出售</w:t>
            </w:r>
            <w:r>
              <w:rPr>
                <w:rFonts w:hint="eastAsia" w:ascii="Times New Roman" w:hAnsi="Times New Roman" w:cs="Times New Roman"/>
                <w:color w:val="auto"/>
                <w:sz w:val="24"/>
                <w:lang w:val="en-US" w:eastAsia="zh-CN"/>
              </w:rPr>
              <w:t>。该过程会产生粉尘。</w:t>
            </w:r>
          </w:p>
          <w:p w14:paraId="5E04CDAD">
            <w:pPr>
              <w:numPr>
                <w:ilvl w:val="0"/>
                <w:numId w:val="7"/>
              </w:numPr>
              <w:spacing w:line="360" w:lineRule="auto"/>
              <w:ind w:left="0" w:leftChars="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反击破</w:t>
            </w:r>
          </w:p>
          <w:p w14:paraId="2194C47C">
            <w:pPr>
              <w:numPr>
                <w:ilvl w:val="0"/>
                <w:numId w:val="0"/>
              </w:num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除冗余砂外其余物料继续通过皮带机运输</w:t>
            </w:r>
            <w:r>
              <w:rPr>
                <w:rFonts w:hint="default" w:ascii="Times New Roman" w:hAnsi="Times New Roman" w:cs="Times New Roman"/>
                <w:color w:val="auto"/>
                <w:sz w:val="24"/>
              </w:rPr>
              <w:t>进入中转</w:t>
            </w:r>
            <w:r>
              <w:rPr>
                <w:rFonts w:hint="default" w:ascii="Times New Roman" w:hAnsi="Times New Roman" w:cs="Times New Roman"/>
                <w:color w:val="auto"/>
                <w:sz w:val="24"/>
                <w:lang w:val="en-US" w:eastAsia="zh-CN"/>
              </w:rPr>
              <w:t>库，</w:t>
            </w:r>
            <w:r>
              <w:rPr>
                <w:rFonts w:hint="default" w:ascii="Times New Roman" w:hAnsi="Times New Roman" w:cs="Times New Roman"/>
                <w:color w:val="auto"/>
                <w:sz w:val="24"/>
              </w:rPr>
              <w:t>在入库前，物料经过除铁器分离废铁，并通过人工分拣平台分拣出</w:t>
            </w:r>
            <w:r>
              <w:rPr>
                <w:rFonts w:hint="default" w:ascii="Times New Roman" w:hAnsi="Times New Roman" w:cs="Times New Roman"/>
                <w:color w:val="auto"/>
                <w:sz w:val="24"/>
                <w:lang w:val="en-US" w:eastAsia="zh-CN"/>
              </w:rPr>
              <w:t>木头</w:t>
            </w:r>
            <w:r>
              <w:rPr>
                <w:rFonts w:hint="default" w:ascii="Times New Roman" w:hAnsi="Times New Roman" w:cs="Times New Roman"/>
                <w:color w:val="auto"/>
                <w:sz w:val="24"/>
              </w:rPr>
              <w:t>、塑料等</w:t>
            </w:r>
            <w:r>
              <w:rPr>
                <w:rFonts w:hint="default" w:ascii="Times New Roman" w:hAnsi="Times New Roman" w:cs="Times New Roman"/>
                <w:color w:val="auto"/>
                <w:sz w:val="24"/>
                <w:lang w:val="en-US" w:eastAsia="zh-CN"/>
              </w:rPr>
              <w:t>轻物质，除铁及人工分拣均在皮带机运输物料至中转库过程中完成，</w:t>
            </w:r>
            <w:r>
              <w:rPr>
                <w:rFonts w:hint="default" w:ascii="Times New Roman" w:hAnsi="Times New Roman" w:cs="Times New Roman"/>
                <w:color w:val="auto"/>
                <w:sz w:val="24"/>
              </w:rPr>
              <w:t>中转库中的物料经</w:t>
            </w:r>
            <w:r>
              <w:rPr>
                <w:rFonts w:hint="default" w:ascii="Times New Roman" w:hAnsi="Times New Roman" w:cs="Times New Roman"/>
                <w:color w:val="auto"/>
                <w:sz w:val="24"/>
                <w:lang w:val="en-US" w:eastAsia="zh-CN"/>
              </w:rPr>
              <w:t>皮带机运输至</w:t>
            </w:r>
            <w:r>
              <w:rPr>
                <w:rFonts w:hint="default" w:ascii="Times New Roman" w:hAnsi="Times New Roman" w:cs="Times New Roman"/>
                <w:color w:val="auto"/>
                <w:sz w:val="24"/>
              </w:rPr>
              <w:t>反击破碎机破碎</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该过程会产生粉尘。</w:t>
            </w:r>
          </w:p>
          <w:p w14:paraId="36EC6A10">
            <w:pPr>
              <w:numPr>
                <w:ilvl w:val="0"/>
                <w:numId w:val="7"/>
              </w:numPr>
              <w:spacing w:line="360" w:lineRule="auto"/>
              <w:ind w:left="0" w:leftChars="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一级振动筛分</w:t>
            </w:r>
          </w:p>
          <w:p w14:paraId="165BC6BA">
            <w:pPr>
              <w:numPr>
                <w:ilvl w:val="0"/>
                <w:numId w:val="0"/>
              </w:numPr>
              <w:spacing w:line="360" w:lineRule="auto"/>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lang w:val="en-US" w:eastAsia="zh-CN"/>
              </w:rPr>
              <w:t>经反击破破碎后运输至一级振动筛，筛出0-150mm物料，大于150mm</w:t>
            </w:r>
            <w:r>
              <w:rPr>
                <w:rFonts w:hint="default" w:ascii="Times New Roman" w:hAnsi="Times New Roman" w:eastAsia="宋体" w:cs="Times New Roman"/>
                <w:color w:val="auto"/>
                <w:sz w:val="24"/>
                <w:szCs w:val="24"/>
              </w:rPr>
              <w:t>的筛上物料返回反击破碎机再次破碎，形成一个破碎筛分闭路循环系统</w:t>
            </w:r>
            <w:r>
              <w:rPr>
                <w:rFonts w:hint="eastAsia" w:ascii="Times New Roman" w:hAnsi="Times New Roman" w:cs="Times New Roman"/>
                <w:color w:val="auto"/>
                <w:sz w:val="24"/>
                <w:lang w:eastAsia="zh-CN"/>
              </w:rPr>
              <w:t>。</w:t>
            </w:r>
            <w:r>
              <w:rPr>
                <w:rFonts w:hint="eastAsia" w:cs="Times New Roman"/>
                <w:color w:val="auto"/>
                <w:sz w:val="24"/>
                <w:lang w:val="en-US" w:eastAsia="zh-CN"/>
              </w:rPr>
              <w:t>根据客户需求，0-150mm混合骨料可直接入库；如若需要精筛，则调整一级振动筛筛孔大小，筛出小于31.5mm物料通过皮带机运送至下一级，大于31.5mm的</w:t>
            </w:r>
            <w:r>
              <w:rPr>
                <w:rFonts w:hint="default" w:ascii="Times New Roman" w:hAnsi="Times New Roman" w:eastAsia="宋体" w:cs="Times New Roman"/>
                <w:color w:val="auto"/>
                <w:sz w:val="24"/>
                <w:szCs w:val="24"/>
              </w:rPr>
              <w:t>筛上物料返回反击破碎机再次破碎</w:t>
            </w:r>
            <w:r>
              <w:rPr>
                <w:rFonts w:hint="eastAsia" w:cs="Times New Roman"/>
                <w:color w:val="auto"/>
                <w:sz w:val="24"/>
                <w:lang w:val="en-US" w:eastAsia="zh-CN"/>
              </w:rPr>
              <w:t>。</w:t>
            </w:r>
            <w:r>
              <w:rPr>
                <w:rFonts w:hint="eastAsia" w:ascii="Times New Roman" w:hAnsi="Times New Roman" w:cs="Times New Roman"/>
                <w:color w:val="auto"/>
                <w:sz w:val="24"/>
                <w:lang w:val="en-US" w:eastAsia="zh-CN"/>
              </w:rPr>
              <w:t>该过程会产生粉尘。</w:t>
            </w:r>
          </w:p>
          <w:p w14:paraId="701434AB">
            <w:pPr>
              <w:numPr>
                <w:ilvl w:val="0"/>
                <w:numId w:val="0"/>
              </w:num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二级振动筛分</w:t>
            </w:r>
          </w:p>
          <w:p w14:paraId="08DDD7C4">
            <w:pPr>
              <w:spacing w:line="360" w:lineRule="auto"/>
              <w:ind w:firstLine="480" w:firstLineChars="200"/>
              <w:rPr>
                <w:color w:val="auto"/>
                <w:sz w:val="24"/>
              </w:rPr>
            </w:pPr>
            <w:r>
              <w:rPr>
                <w:rFonts w:hint="default" w:ascii="Times New Roman" w:hAnsi="Times New Roman" w:eastAsia="宋体" w:cs="Times New Roman"/>
                <w:color w:val="auto"/>
                <w:sz w:val="24"/>
                <w:szCs w:val="24"/>
                <w:lang w:val="en-US" w:eastAsia="zh-CN"/>
              </w:rPr>
              <w:t>根据需求，可</w:t>
            </w:r>
            <w:r>
              <w:rPr>
                <w:rFonts w:hint="default" w:ascii="Times New Roman" w:hAnsi="Times New Roman" w:cs="Times New Roman"/>
                <w:color w:val="auto"/>
                <w:sz w:val="24"/>
              </w:rPr>
              <w:t>再通过轻</w:t>
            </w:r>
            <w:r>
              <w:rPr>
                <w:rFonts w:hint="eastAsia"/>
                <w:color w:val="auto"/>
                <w:sz w:val="24"/>
              </w:rPr>
              <w:t>物质分选机和</w:t>
            </w:r>
            <w:r>
              <w:rPr>
                <w:rFonts w:hint="eastAsia"/>
                <w:color w:val="auto"/>
                <w:sz w:val="24"/>
                <w:lang w:val="en-US" w:eastAsia="zh-CN"/>
              </w:rPr>
              <w:t>二</w:t>
            </w:r>
            <w:r>
              <w:rPr>
                <w:rFonts w:hint="eastAsia"/>
                <w:color w:val="auto"/>
                <w:sz w:val="24"/>
              </w:rPr>
              <w:t>级振动筛精细筛分</w:t>
            </w:r>
            <w:r>
              <w:rPr>
                <w:rFonts w:hint="eastAsia"/>
                <w:color w:val="auto"/>
                <w:sz w:val="24"/>
                <w:lang w:eastAsia="zh-CN"/>
              </w:rPr>
              <w:t>，</w:t>
            </w:r>
            <w:r>
              <w:rPr>
                <w:rFonts w:hint="eastAsia"/>
                <w:color w:val="auto"/>
                <w:sz w:val="24"/>
              </w:rPr>
              <w:t>按0-5mm、5-10mm、10-20mm、16-31.5mm等不同粒径规格的骨料</w:t>
            </w:r>
            <w:r>
              <w:rPr>
                <w:rFonts w:hint="eastAsia"/>
                <w:color w:val="auto"/>
                <w:sz w:val="24"/>
                <w:lang w:val="en-US" w:eastAsia="zh-CN"/>
              </w:rPr>
              <w:t>筛分，筛分后</w:t>
            </w:r>
            <w:r>
              <w:rPr>
                <w:rFonts w:hint="eastAsia"/>
                <w:color w:val="auto"/>
                <w:sz w:val="24"/>
              </w:rPr>
              <w:t>入库</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该过程会产生粉尘。</w:t>
            </w:r>
          </w:p>
          <w:p w14:paraId="4A7D8F93">
            <w:pPr>
              <w:pStyle w:val="7"/>
              <w:spacing w:before="0" w:after="0" w:line="360" w:lineRule="auto"/>
              <w:ind w:right="0" w:firstLine="480" w:firstLineChars="200"/>
              <w:rPr>
                <w:color w:val="auto"/>
                <w:sz w:val="24"/>
                <w:szCs w:val="24"/>
                <w:lang w:bidi="ar"/>
              </w:rPr>
            </w:pPr>
            <w:r>
              <w:rPr>
                <w:color w:val="auto"/>
                <w:sz w:val="24"/>
                <w:szCs w:val="24"/>
                <w:lang w:bidi="ar"/>
              </w:rPr>
              <w:t>项目运营期具体产生污染情况见下表</w:t>
            </w:r>
            <w:r>
              <w:rPr>
                <w:rFonts w:hint="eastAsia"/>
                <w:color w:val="auto"/>
                <w:sz w:val="24"/>
                <w:szCs w:val="24"/>
                <w:lang w:bidi="ar"/>
              </w:rPr>
              <w:t>。</w:t>
            </w:r>
          </w:p>
          <w:p w14:paraId="60D03B3B">
            <w:pPr>
              <w:adjustRightInd w:val="0"/>
              <w:snapToGrid w:val="0"/>
              <w:spacing w:before="120" w:beforeLines="50"/>
              <w:jc w:val="center"/>
              <w:rPr>
                <w:b/>
                <w:color w:val="auto"/>
                <w:sz w:val="24"/>
              </w:rPr>
            </w:pPr>
            <w:r>
              <w:rPr>
                <w:rFonts w:hint="eastAsia"/>
                <w:b/>
                <w:color w:val="auto"/>
                <w:sz w:val="24"/>
              </w:rPr>
              <w:t>表2-</w:t>
            </w:r>
            <w:r>
              <w:rPr>
                <w:rFonts w:hint="eastAsia"/>
                <w:b/>
                <w:color w:val="auto"/>
                <w:sz w:val="24"/>
                <w:lang w:val="en-US" w:eastAsia="zh-CN"/>
              </w:rPr>
              <w:t>7</w:t>
            </w:r>
            <w:r>
              <w:rPr>
                <w:rFonts w:hint="eastAsia"/>
                <w:b/>
                <w:color w:val="auto"/>
                <w:sz w:val="24"/>
              </w:rPr>
              <w:t xml:space="preserve"> 项目运营期污染产生情况一览表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2052"/>
              <w:gridCol w:w="1997"/>
              <w:gridCol w:w="1623"/>
              <w:gridCol w:w="2154"/>
            </w:tblGrid>
            <w:tr w14:paraId="5FA01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noWrap w:val="0"/>
                  <w:vAlign w:val="center"/>
                </w:tcPr>
                <w:p w14:paraId="402E296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污染类别</w:t>
                  </w:r>
                </w:p>
              </w:tc>
              <w:tc>
                <w:tcPr>
                  <w:tcW w:w="1192" w:type="pct"/>
                  <w:noWrap w:val="0"/>
                  <w:vAlign w:val="center"/>
                </w:tcPr>
                <w:p w14:paraId="0FEB0DE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污染源名称</w:t>
                  </w:r>
                </w:p>
              </w:tc>
              <w:tc>
                <w:tcPr>
                  <w:tcW w:w="1160" w:type="pct"/>
                  <w:noWrap w:val="0"/>
                  <w:vAlign w:val="center"/>
                </w:tcPr>
                <w:p w14:paraId="2676037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产生工序</w:t>
                  </w:r>
                </w:p>
              </w:tc>
              <w:tc>
                <w:tcPr>
                  <w:tcW w:w="943" w:type="pct"/>
                  <w:noWrap w:val="0"/>
                  <w:vAlign w:val="center"/>
                </w:tcPr>
                <w:p w14:paraId="47951F3F">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主要污染因子</w:t>
                  </w:r>
                </w:p>
              </w:tc>
              <w:tc>
                <w:tcPr>
                  <w:tcW w:w="1251" w:type="pct"/>
                  <w:noWrap w:val="0"/>
                  <w:vAlign w:val="center"/>
                </w:tcPr>
                <w:p w14:paraId="463CB0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备注</w:t>
                  </w:r>
                </w:p>
              </w:tc>
            </w:tr>
            <w:tr w14:paraId="716AD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51" w:type="pct"/>
                  <w:vMerge w:val="restart"/>
                  <w:noWrap w:val="0"/>
                  <w:vAlign w:val="center"/>
                </w:tcPr>
                <w:p w14:paraId="683594E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废气</w:t>
                  </w:r>
                </w:p>
              </w:tc>
              <w:tc>
                <w:tcPr>
                  <w:tcW w:w="1192" w:type="pct"/>
                  <w:noWrap w:val="0"/>
                  <w:vAlign w:val="center"/>
                </w:tcPr>
                <w:p w14:paraId="10D69B2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鄂破</w:t>
                  </w:r>
                  <w:r>
                    <w:rPr>
                      <w:rFonts w:hint="eastAsia" w:ascii="Times New Roman" w:hAnsi="Times New Roman" w:cs="Times New Roman"/>
                      <w:color w:val="auto"/>
                      <w:sz w:val="21"/>
                      <w:szCs w:val="21"/>
                      <w:lang w:val="en-US" w:eastAsia="zh-CN"/>
                    </w:rPr>
                    <w:t>、筛分粉尘</w:t>
                  </w:r>
                </w:p>
              </w:tc>
              <w:tc>
                <w:tcPr>
                  <w:tcW w:w="1160" w:type="pct"/>
                  <w:noWrap w:val="0"/>
                  <w:vAlign w:val="center"/>
                </w:tcPr>
                <w:p w14:paraId="099E323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鄂破</w:t>
                  </w:r>
                  <w:r>
                    <w:rPr>
                      <w:rFonts w:hint="eastAsia" w:ascii="Times New Roman" w:hAnsi="Times New Roman" w:cs="Times New Roman"/>
                      <w:color w:val="auto"/>
                      <w:sz w:val="21"/>
                      <w:szCs w:val="21"/>
                      <w:lang w:val="en-US" w:eastAsia="zh-CN"/>
                    </w:rPr>
                    <w:t>、筛分工序</w:t>
                  </w:r>
                </w:p>
              </w:tc>
              <w:tc>
                <w:tcPr>
                  <w:tcW w:w="943" w:type="pct"/>
                  <w:noWrap w:val="0"/>
                  <w:vAlign w:val="center"/>
                </w:tcPr>
                <w:p w14:paraId="7D3EE90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1" w:type="pct"/>
                  <w:vMerge w:val="restart"/>
                  <w:noWrap w:val="0"/>
                  <w:vAlign w:val="center"/>
                </w:tcPr>
                <w:p w14:paraId="4FDB3EC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扩建后处理量不变，粉尘量无变化</w:t>
                  </w:r>
                </w:p>
              </w:tc>
            </w:tr>
            <w:tr w14:paraId="67B3AB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51" w:type="pct"/>
                  <w:vMerge w:val="continue"/>
                  <w:noWrap w:val="0"/>
                  <w:vAlign w:val="center"/>
                </w:tcPr>
                <w:p w14:paraId="4FAE4D34">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3CACBF8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反击破粉尘</w:t>
                  </w:r>
                </w:p>
              </w:tc>
              <w:tc>
                <w:tcPr>
                  <w:tcW w:w="1160" w:type="pct"/>
                  <w:noWrap w:val="0"/>
                  <w:vAlign w:val="center"/>
                </w:tcPr>
                <w:p w14:paraId="6D75AD1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反击破工序</w:t>
                  </w:r>
                </w:p>
              </w:tc>
              <w:tc>
                <w:tcPr>
                  <w:tcW w:w="943" w:type="pct"/>
                  <w:shd w:val="clear" w:color="auto" w:fill="auto"/>
                  <w:noWrap w:val="0"/>
                  <w:vAlign w:val="center"/>
                </w:tcPr>
                <w:p w14:paraId="2DBE13C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颗粒物</w:t>
                  </w:r>
                </w:p>
              </w:tc>
              <w:tc>
                <w:tcPr>
                  <w:tcW w:w="1251" w:type="pct"/>
                  <w:vMerge w:val="continue"/>
                  <w:shd w:val="clear" w:color="auto" w:fill="auto"/>
                  <w:noWrap w:val="0"/>
                  <w:vAlign w:val="center"/>
                </w:tcPr>
                <w:p w14:paraId="652F2E4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r>
            <w:tr w14:paraId="49D23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38D9B7A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3BE2361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一级筛分、分选粉尘</w:t>
                  </w:r>
                </w:p>
              </w:tc>
              <w:tc>
                <w:tcPr>
                  <w:tcW w:w="1160" w:type="pct"/>
                  <w:noWrap w:val="0"/>
                  <w:vAlign w:val="center"/>
                </w:tcPr>
                <w:p w14:paraId="31FF31D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一级筛分、分选工序</w:t>
                  </w:r>
                </w:p>
              </w:tc>
              <w:tc>
                <w:tcPr>
                  <w:tcW w:w="943" w:type="pct"/>
                  <w:shd w:val="clear" w:color="auto" w:fill="auto"/>
                  <w:noWrap w:val="0"/>
                  <w:vAlign w:val="center"/>
                </w:tcPr>
                <w:p w14:paraId="42E52AE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1251" w:type="pct"/>
                  <w:vMerge w:val="continue"/>
                  <w:shd w:val="clear" w:color="auto" w:fill="auto"/>
                  <w:noWrap w:val="0"/>
                  <w:vAlign w:val="center"/>
                </w:tcPr>
                <w:p w14:paraId="511246FE">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r>
            <w:tr w14:paraId="454E7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02879060">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7FF94C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二级筛分、分选粉尘</w:t>
                  </w:r>
                </w:p>
              </w:tc>
              <w:tc>
                <w:tcPr>
                  <w:tcW w:w="1160" w:type="pct"/>
                  <w:noWrap w:val="0"/>
                  <w:vAlign w:val="center"/>
                </w:tcPr>
                <w:p w14:paraId="3F610F7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二级筛分、分选工序</w:t>
                  </w:r>
                </w:p>
              </w:tc>
              <w:tc>
                <w:tcPr>
                  <w:tcW w:w="943" w:type="pct"/>
                  <w:shd w:val="clear" w:color="auto" w:fill="auto"/>
                  <w:noWrap w:val="0"/>
                  <w:vAlign w:val="center"/>
                </w:tcPr>
                <w:p w14:paraId="530A0F0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1251" w:type="pct"/>
                  <w:vMerge w:val="continue"/>
                  <w:shd w:val="clear" w:color="auto" w:fill="auto"/>
                  <w:noWrap w:val="0"/>
                  <w:vAlign w:val="center"/>
                </w:tcPr>
                <w:p w14:paraId="0C21076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r>
            <w:tr w14:paraId="0F1DF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563E4ED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0047437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前处理生产线粉尘</w:t>
                  </w:r>
                </w:p>
              </w:tc>
              <w:tc>
                <w:tcPr>
                  <w:tcW w:w="1160" w:type="pct"/>
                  <w:noWrap w:val="0"/>
                  <w:vAlign w:val="center"/>
                </w:tcPr>
                <w:p w14:paraId="3BA60CF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筛分、风选</w:t>
                  </w:r>
                </w:p>
              </w:tc>
              <w:tc>
                <w:tcPr>
                  <w:tcW w:w="943" w:type="pct"/>
                  <w:noWrap w:val="0"/>
                  <w:vAlign w:val="center"/>
                </w:tcPr>
                <w:p w14:paraId="709DD07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颗粒物</w:t>
                  </w:r>
                </w:p>
              </w:tc>
              <w:tc>
                <w:tcPr>
                  <w:tcW w:w="1251" w:type="pct"/>
                  <w:noWrap w:val="0"/>
                  <w:vAlign w:val="center"/>
                </w:tcPr>
                <w:p w14:paraId="5B5DD4F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w:t>
                  </w:r>
                </w:p>
              </w:tc>
            </w:tr>
            <w:tr w14:paraId="25F43B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639763B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0A61255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装卸粉尘</w:t>
                  </w:r>
                </w:p>
              </w:tc>
              <w:tc>
                <w:tcPr>
                  <w:tcW w:w="1160" w:type="pct"/>
                  <w:noWrap w:val="0"/>
                  <w:vAlign w:val="center"/>
                </w:tcPr>
                <w:p w14:paraId="2D87BA7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装卸工序</w:t>
                  </w:r>
                </w:p>
              </w:tc>
              <w:tc>
                <w:tcPr>
                  <w:tcW w:w="943" w:type="pct"/>
                  <w:noWrap w:val="0"/>
                  <w:vAlign w:val="center"/>
                </w:tcPr>
                <w:p w14:paraId="3B79D52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1" w:type="pct"/>
                  <w:vMerge w:val="restart"/>
                  <w:noWrap w:val="0"/>
                  <w:vAlign w:val="center"/>
                </w:tcPr>
                <w:p w14:paraId="35CC8FB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olor w:val="auto"/>
                      <w:szCs w:val="21"/>
                      <w:lang w:val="en-US" w:eastAsia="zh-CN"/>
                    </w:rPr>
                    <w:t>扩建后总量不变，粉尘量无变化</w:t>
                  </w:r>
                </w:p>
              </w:tc>
            </w:tr>
            <w:tr w14:paraId="791C6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79D5CF7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4DC6539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车辆运输扬尘</w:t>
                  </w:r>
                </w:p>
              </w:tc>
              <w:tc>
                <w:tcPr>
                  <w:tcW w:w="1160" w:type="pct"/>
                  <w:noWrap w:val="0"/>
                  <w:vAlign w:val="center"/>
                </w:tcPr>
                <w:p w14:paraId="4AF630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运输过程</w:t>
                  </w:r>
                </w:p>
              </w:tc>
              <w:tc>
                <w:tcPr>
                  <w:tcW w:w="943" w:type="pct"/>
                  <w:noWrap w:val="0"/>
                  <w:vAlign w:val="center"/>
                </w:tcPr>
                <w:p w14:paraId="15E3260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1" w:type="pct"/>
                  <w:vMerge w:val="continue"/>
                  <w:noWrap w:val="0"/>
                  <w:vAlign w:val="center"/>
                </w:tcPr>
                <w:p w14:paraId="7E03021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p>
              </w:tc>
            </w:tr>
            <w:tr w14:paraId="178E84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51" w:type="pct"/>
                  <w:vMerge w:val="continue"/>
                  <w:noWrap w:val="0"/>
                  <w:vAlign w:val="center"/>
                </w:tcPr>
                <w:p w14:paraId="2FF43222">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637193F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皮带输送粉尘</w:t>
                  </w:r>
                </w:p>
              </w:tc>
              <w:tc>
                <w:tcPr>
                  <w:tcW w:w="1160" w:type="pct"/>
                  <w:noWrap w:val="0"/>
                  <w:vAlign w:val="center"/>
                </w:tcPr>
                <w:p w14:paraId="1CD37B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物料输送工序</w:t>
                  </w:r>
                </w:p>
              </w:tc>
              <w:tc>
                <w:tcPr>
                  <w:tcW w:w="943" w:type="pct"/>
                  <w:noWrap w:val="0"/>
                  <w:vAlign w:val="center"/>
                </w:tcPr>
                <w:p w14:paraId="29709EE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1" w:type="pct"/>
                  <w:noWrap w:val="0"/>
                  <w:vAlign w:val="center"/>
                </w:tcPr>
                <w:p w14:paraId="4315176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w:t>
                  </w:r>
                </w:p>
              </w:tc>
            </w:tr>
            <w:tr w14:paraId="600D8B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0ABEE7B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3507209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堆场扬尘</w:t>
                  </w:r>
                </w:p>
              </w:tc>
              <w:tc>
                <w:tcPr>
                  <w:tcW w:w="1160" w:type="pct"/>
                  <w:noWrap w:val="0"/>
                  <w:vAlign w:val="center"/>
                </w:tcPr>
                <w:p w14:paraId="72D0FD4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原料堆放</w:t>
                  </w:r>
                </w:p>
              </w:tc>
              <w:tc>
                <w:tcPr>
                  <w:tcW w:w="943" w:type="pct"/>
                  <w:noWrap w:val="0"/>
                  <w:vAlign w:val="center"/>
                </w:tcPr>
                <w:p w14:paraId="069939B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1251" w:type="pct"/>
                  <w:noWrap w:val="0"/>
                  <w:vAlign w:val="center"/>
                </w:tcPr>
                <w:p w14:paraId="39EDFC0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color w:val="auto"/>
                      <w:szCs w:val="21"/>
                      <w:lang w:val="en-US" w:eastAsia="zh-CN"/>
                    </w:rPr>
                    <w:t>扩建后总量不变，粉尘量无变化</w:t>
                  </w:r>
                </w:p>
              </w:tc>
            </w:tr>
            <w:tr w14:paraId="225087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1B290CF5">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noWrap w:val="0"/>
                  <w:vAlign w:val="center"/>
                </w:tcPr>
                <w:p w14:paraId="0961C53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食堂油烟</w:t>
                  </w:r>
                </w:p>
              </w:tc>
              <w:tc>
                <w:tcPr>
                  <w:tcW w:w="1160" w:type="pct"/>
                  <w:noWrap w:val="0"/>
                  <w:vAlign w:val="center"/>
                </w:tcPr>
                <w:p w14:paraId="40E1E2B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食堂工作过程</w:t>
                  </w:r>
                </w:p>
              </w:tc>
              <w:tc>
                <w:tcPr>
                  <w:tcW w:w="943" w:type="pct"/>
                  <w:noWrap w:val="0"/>
                  <w:vAlign w:val="center"/>
                </w:tcPr>
                <w:p w14:paraId="4FE42BA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油烟</w:t>
                  </w:r>
                </w:p>
              </w:tc>
              <w:tc>
                <w:tcPr>
                  <w:tcW w:w="1251" w:type="pct"/>
                  <w:noWrap w:val="0"/>
                  <w:vAlign w:val="center"/>
                </w:tcPr>
                <w:p w14:paraId="6CEEEB6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cs="Times New Roman"/>
                      <w:color w:val="auto"/>
                      <w:sz w:val="21"/>
                      <w:szCs w:val="21"/>
                      <w:lang w:val="en-US" w:eastAsia="zh-CN"/>
                    </w:rPr>
                  </w:pPr>
                  <w:r>
                    <w:rPr>
                      <w:rFonts w:hint="eastAsia"/>
                      <w:color w:val="auto"/>
                      <w:szCs w:val="21"/>
                      <w:lang w:val="en-US" w:eastAsia="zh-CN"/>
                    </w:rPr>
                    <w:t>无变化，本次扩建不涉及</w:t>
                  </w:r>
                </w:p>
              </w:tc>
            </w:tr>
            <w:tr w14:paraId="6BE0E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noWrap w:val="0"/>
                  <w:vAlign w:val="center"/>
                </w:tcPr>
                <w:p w14:paraId="263F66A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噪声</w:t>
                  </w:r>
                </w:p>
              </w:tc>
              <w:tc>
                <w:tcPr>
                  <w:tcW w:w="1192" w:type="pct"/>
                  <w:noWrap w:val="0"/>
                  <w:vAlign w:val="center"/>
                </w:tcPr>
                <w:p w14:paraId="7BE7E0D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生产设备</w:t>
                  </w:r>
                  <w:r>
                    <w:rPr>
                      <w:rFonts w:hint="eastAsia"/>
                      <w:color w:val="auto"/>
                      <w:szCs w:val="21"/>
                      <w:lang w:eastAsia="zh-CN"/>
                    </w:rPr>
                    <w:t>、</w:t>
                  </w:r>
                  <w:r>
                    <w:rPr>
                      <w:rFonts w:hint="eastAsia"/>
                      <w:color w:val="auto"/>
                      <w:szCs w:val="21"/>
                      <w:lang w:val="en-US" w:eastAsia="zh-CN"/>
                    </w:rPr>
                    <w:t>运输车辆</w:t>
                  </w:r>
                  <w:r>
                    <w:rPr>
                      <w:color w:val="auto"/>
                      <w:szCs w:val="21"/>
                    </w:rPr>
                    <w:t>噪声</w:t>
                  </w:r>
                </w:p>
              </w:tc>
              <w:tc>
                <w:tcPr>
                  <w:tcW w:w="1160" w:type="pct"/>
                  <w:noWrap w:val="0"/>
                  <w:vAlign w:val="center"/>
                </w:tcPr>
                <w:p w14:paraId="339A533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生产活动</w:t>
                  </w:r>
                </w:p>
              </w:tc>
              <w:tc>
                <w:tcPr>
                  <w:tcW w:w="943" w:type="pct"/>
                  <w:noWrap w:val="0"/>
                  <w:vAlign w:val="center"/>
                </w:tcPr>
                <w:p w14:paraId="59918268">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color w:val="auto"/>
                      <w:szCs w:val="21"/>
                    </w:rPr>
                    <w:t>机械噪声</w:t>
                  </w:r>
                </w:p>
              </w:tc>
              <w:tc>
                <w:tcPr>
                  <w:tcW w:w="1251" w:type="pct"/>
                  <w:noWrap w:val="0"/>
                  <w:vAlign w:val="center"/>
                </w:tcPr>
                <w:p w14:paraId="59454B1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w:t>
                  </w:r>
                </w:p>
              </w:tc>
            </w:tr>
            <w:tr w14:paraId="78BE0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noWrap w:val="0"/>
                  <w:vAlign w:val="center"/>
                </w:tcPr>
                <w:p w14:paraId="227E020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固废</w:t>
                  </w:r>
                </w:p>
              </w:tc>
              <w:tc>
                <w:tcPr>
                  <w:tcW w:w="1192" w:type="pct"/>
                  <w:noWrap w:val="0"/>
                  <w:vAlign w:val="center"/>
                </w:tcPr>
                <w:p w14:paraId="5182F501">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生活垃圾</w:t>
                  </w:r>
                </w:p>
              </w:tc>
              <w:tc>
                <w:tcPr>
                  <w:tcW w:w="1160" w:type="pct"/>
                  <w:noWrap w:val="0"/>
                  <w:vAlign w:val="center"/>
                </w:tcPr>
                <w:p w14:paraId="3B215E8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员工生活</w:t>
                  </w:r>
                </w:p>
              </w:tc>
              <w:tc>
                <w:tcPr>
                  <w:tcW w:w="943" w:type="pct"/>
                  <w:noWrap w:val="0"/>
                  <w:vAlign w:val="center"/>
                </w:tcPr>
                <w:p w14:paraId="7225B40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生活垃圾</w:t>
                  </w:r>
                </w:p>
              </w:tc>
              <w:tc>
                <w:tcPr>
                  <w:tcW w:w="1251" w:type="pct"/>
                  <w:noWrap w:val="0"/>
                  <w:vAlign w:val="center"/>
                </w:tcPr>
                <w:p w14:paraId="54EF5C4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无变化，本次扩建不涉及</w:t>
                  </w:r>
                </w:p>
              </w:tc>
            </w:tr>
            <w:tr w14:paraId="5745B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51" w:type="pct"/>
                  <w:vMerge w:val="continue"/>
                  <w:noWrap w:val="0"/>
                  <w:vAlign w:val="center"/>
                </w:tcPr>
                <w:p w14:paraId="5BAFFDC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192" w:type="pct"/>
                  <w:shd w:val="clear" w:color="auto" w:fill="auto"/>
                  <w:noWrap w:val="0"/>
                  <w:vAlign w:val="center"/>
                </w:tcPr>
                <w:p w14:paraId="78EE70B1">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rPr>
                    <w:t>废油脂</w:t>
                  </w:r>
                </w:p>
              </w:tc>
              <w:tc>
                <w:tcPr>
                  <w:tcW w:w="1160" w:type="pct"/>
                  <w:noWrap w:val="0"/>
                  <w:vAlign w:val="center"/>
                </w:tcPr>
                <w:p w14:paraId="53D4DD6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lang w:val="en-US" w:eastAsia="zh-CN"/>
                    </w:rPr>
                    <w:t>食堂工作过程</w:t>
                  </w:r>
                </w:p>
              </w:tc>
              <w:tc>
                <w:tcPr>
                  <w:tcW w:w="943" w:type="pct"/>
                  <w:noWrap w:val="0"/>
                  <w:vAlign w:val="center"/>
                </w:tcPr>
                <w:p w14:paraId="22894A9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val="en-US" w:eastAsia="zh-CN"/>
                    </w:rPr>
                  </w:pPr>
                  <w:r>
                    <w:rPr>
                      <w:rFonts w:hint="eastAsia"/>
                      <w:color w:val="auto"/>
                      <w:szCs w:val="21"/>
                      <w:lang w:val="en-US" w:eastAsia="zh-CN"/>
                    </w:rPr>
                    <w:t>废油脂</w:t>
                  </w:r>
                </w:p>
              </w:tc>
              <w:tc>
                <w:tcPr>
                  <w:tcW w:w="1251" w:type="pct"/>
                  <w:noWrap w:val="0"/>
                  <w:vAlign w:val="center"/>
                </w:tcPr>
                <w:p w14:paraId="14F4C25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无变化，本次扩建不涉及</w:t>
                  </w:r>
                </w:p>
              </w:tc>
            </w:tr>
            <w:tr w14:paraId="755384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1DD49F8A">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2EDE4D3E">
                  <w:pPr>
                    <w:pStyle w:val="24"/>
                    <w:widowControl/>
                    <w:spacing w:before="0" w:beforeAutospacing="0" w:after="0" w:afterAutospacing="0"/>
                    <w:contextualSpacing/>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rPr>
                    <w:t>除尘器收集粉尘</w:t>
                  </w:r>
                </w:p>
              </w:tc>
              <w:tc>
                <w:tcPr>
                  <w:tcW w:w="1160" w:type="pct"/>
                  <w:noWrap w:val="0"/>
                  <w:vAlign w:val="center"/>
                </w:tcPr>
                <w:p w14:paraId="0E08A18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废气处理</w:t>
                  </w:r>
                </w:p>
              </w:tc>
              <w:tc>
                <w:tcPr>
                  <w:tcW w:w="943" w:type="pct"/>
                  <w:noWrap w:val="0"/>
                  <w:vAlign w:val="center"/>
                </w:tcPr>
                <w:p w14:paraId="0B5B764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val="en-US" w:eastAsia="zh-CN"/>
                    </w:rPr>
                    <w:t>粉尘</w:t>
                  </w:r>
                </w:p>
              </w:tc>
              <w:tc>
                <w:tcPr>
                  <w:tcW w:w="1251" w:type="pct"/>
                  <w:noWrap w:val="0"/>
                  <w:vAlign w:val="center"/>
                </w:tcPr>
                <w:p w14:paraId="192A904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1A7E8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32DEE806">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4953F9FB">
                  <w:pPr>
                    <w:pStyle w:val="24"/>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沉淀池沉渣</w:t>
                  </w:r>
                </w:p>
              </w:tc>
              <w:tc>
                <w:tcPr>
                  <w:tcW w:w="1160" w:type="pct"/>
                  <w:noWrap w:val="0"/>
                  <w:vAlign w:val="center"/>
                </w:tcPr>
                <w:p w14:paraId="249CB73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机修工序</w:t>
                  </w:r>
                </w:p>
              </w:tc>
              <w:tc>
                <w:tcPr>
                  <w:tcW w:w="943" w:type="pct"/>
                  <w:noWrap w:val="0"/>
                  <w:vAlign w:val="center"/>
                </w:tcPr>
                <w:p w14:paraId="27698F0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泥沙</w:t>
                  </w:r>
                </w:p>
              </w:tc>
              <w:tc>
                <w:tcPr>
                  <w:tcW w:w="1251" w:type="pct"/>
                  <w:noWrap w:val="0"/>
                  <w:vAlign w:val="center"/>
                </w:tcPr>
                <w:p w14:paraId="077ED51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r w14:paraId="05274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noWrap w:val="0"/>
                  <w:vAlign w:val="center"/>
                </w:tcPr>
                <w:p w14:paraId="195BA12B">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p>
              </w:tc>
              <w:tc>
                <w:tcPr>
                  <w:tcW w:w="1192" w:type="pct"/>
                  <w:shd w:val="clear" w:color="auto" w:fill="auto"/>
                  <w:noWrap w:val="0"/>
                  <w:vAlign w:val="center"/>
                </w:tcPr>
                <w:p w14:paraId="6C18477C">
                  <w:pPr>
                    <w:pStyle w:val="24"/>
                    <w:widowControl/>
                    <w:spacing w:before="0" w:beforeAutospacing="0" w:after="0" w:afterAutospacing="0"/>
                    <w:contextualSpacing/>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rPr>
                    <w:t>废机油</w:t>
                  </w:r>
                </w:p>
              </w:tc>
              <w:tc>
                <w:tcPr>
                  <w:tcW w:w="1160" w:type="pct"/>
                  <w:noWrap w:val="0"/>
                  <w:vAlign w:val="center"/>
                </w:tcPr>
                <w:p w14:paraId="3CD000A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机修工序</w:t>
                  </w:r>
                </w:p>
              </w:tc>
              <w:tc>
                <w:tcPr>
                  <w:tcW w:w="943" w:type="pct"/>
                  <w:noWrap w:val="0"/>
                  <w:vAlign w:val="center"/>
                </w:tcPr>
                <w:p w14:paraId="54769BE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废机油</w:t>
                  </w:r>
                </w:p>
              </w:tc>
              <w:tc>
                <w:tcPr>
                  <w:tcW w:w="1251" w:type="pct"/>
                  <w:noWrap w:val="0"/>
                  <w:vAlign w:val="center"/>
                </w:tcPr>
                <w:p w14:paraId="5C55EB5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zCs w:val="21"/>
                      <w:lang w:val="en-US" w:eastAsia="zh-CN"/>
                    </w:rPr>
                  </w:pPr>
                  <w:r>
                    <w:rPr>
                      <w:rFonts w:hint="eastAsia"/>
                      <w:color w:val="auto"/>
                      <w:szCs w:val="21"/>
                      <w:lang w:val="en-US" w:eastAsia="zh-CN"/>
                    </w:rPr>
                    <w:t>/</w:t>
                  </w:r>
                </w:p>
              </w:tc>
            </w:tr>
          </w:tbl>
          <w:p w14:paraId="7980B817">
            <w:pPr>
              <w:pStyle w:val="7"/>
              <w:rPr>
                <w:color w:val="auto"/>
              </w:rPr>
            </w:pPr>
          </w:p>
        </w:tc>
      </w:tr>
      <w:tr w14:paraId="160C0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0" w:hRule="atLeast"/>
          <w:jc w:val="center"/>
        </w:trPr>
        <w:tc>
          <w:tcPr>
            <w:tcW w:w="436" w:type="dxa"/>
            <w:vAlign w:val="center"/>
          </w:tcPr>
          <w:p w14:paraId="355CC4E5">
            <w:pPr>
              <w:pStyle w:val="24"/>
              <w:adjustRightInd w:val="0"/>
              <w:snapToGrid w:val="0"/>
              <w:spacing w:before="0" w:beforeAutospacing="0" w:after="0" w:afterAutospacing="0"/>
              <w:jc w:val="center"/>
              <w:rPr>
                <w:rFonts w:cs="宋体"/>
                <w:bCs/>
                <w:color w:val="auto"/>
                <w:kern w:val="2"/>
                <w:sz w:val="21"/>
                <w:szCs w:val="21"/>
              </w:rPr>
            </w:pPr>
          </w:p>
          <w:p w14:paraId="1DD338E2">
            <w:pPr>
              <w:pStyle w:val="24"/>
              <w:adjustRightInd w:val="0"/>
              <w:snapToGrid w:val="0"/>
              <w:spacing w:before="0" w:beforeAutospacing="0" w:after="0" w:afterAutospacing="0"/>
              <w:jc w:val="center"/>
              <w:rPr>
                <w:rFonts w:cs="宋体"/>
                <w:color w:val="auto"/>
                <w:sz w:val="21"/>
                <w:szCs w:val="21"/>
              </w:rPr>
            </w:pPr>
            <w:r>
              <w:rPr>
                <w:rFonts w:hint="eastAsia" w:cs="宋体"/>
                <w:bCs/>
                <w:color w:val="auto"/>
                <w:kern w:val="2"/>
                <w:sz w:val="21"/>
                <w:szCs w:val="21"/>
              </w:rPr>
              <w:t>与项目有关的原有环境污染问题</w:t>
            </w:r>
          </w:p>
        </w:tc>
        <w:tc>
          <w:tcPr>
            <w:tcW w:w="8843" w:type="dxa"/>
          </w:tcPr>
          <w:p w14:paraId="6063887C">
            <w:pPr>
              <w:adjustRightInd w:val="0"/>
              <w:snapToGrid w:val="0"/>
              <w:spacing w:line="360" w:lineRule="auto"/>
              <w:ind w:firstLine="482" w:firstLineChars="200"/>
              <w:jc w:val="left"/>
              <w:rPr>
                <w:b/>
                <w:bCs/>
                <w:color w:val="auto"/>
                <w:sz w:val="24"/>
              </w:rPr>
            </w:pPr>
            <w:r>
              <w:rPr>
                <w:b/>
                <w:bCs/>
                <w:color w:val="auto"/>
                <w:sz w:val="24"/>
              </w:rPr>
              <w:t>一、现有项目概况</w:t>
            </w:r>
          </w:p>
          <w:p w14:paraId="1DEF1214">
            <w:pPr>
              <w:widowControl/>
              <w:spacing w:line="360" w:lineRule="auto"/>
              <w:ind w:firstLine="480" w:firstLineChars="200"/>
              <w:rPr>
                <w:color w:val="auto"/>
                <w:sz w:val="24"/>
              </w:rPr>
            </w:pPr>
            <w:r>
              <w:rPr>
                <w:rFonts w:hint="eastAsia"/>
                <w:color w:val="auto"/>
                <w:sz w:val="24"/>
              </w:rPr>
              <w:t>陕西弘伟生态环保有限公司成立于2018年11月</w:t>
            </w:r>
            <w:r>
              <w:rPr>
                <w:color w:val="auto"/>
                <w:sz w:val="24"/>
              </w:rPr>
              <w:t>，</w:t>
            </w:r>
            <w:r>
              <w:rPr>
                <w:rFonts w:hint="eastAsia"/>
                <w:color w:val="auto"/>
                <w:sz w:val="24"/>
              </w:rPr>
              <w:t>以绿色发展为理念，推进环保建设为宗旨，致力于建筑垃圾</w:t>
            </w:r>
            <w:r>
              <w:rPr>
                <w:rFonts w:hint="eastAsia"/>
                <w:color w:val="auto"/>
                <w:sz w:val="24"/>
                <w:lang w:val="en-US" w:eastAsia="zh-CN"/>
              </w:rPr>
              <w:t>的</w:t>
            </w:r>
            <w:r>
              <w:rPr>
                <w:rFonts w:hint="eastAsia"/>
                <w:color w:val="auto"/>
                <w:sz w:val="24"/>
              </w:rPr>
              <w:t>再生</w:t>
            </w:r>
            <w:r>
              <w:rPr>
                <w:rFonts w:hint="eastAsia"/>
                <w:color w:val="auto"/>
                <w:sz w:val="24"/>
                <w:lang w:val="en-US" w:eastAsia="zh-CN"/>
              </w:rPr>
              <w:t>与</w:t>
            </w:r>
            <w:r>
              <w:rPr>
                <w:rFonts w:hint="eastAsia"/>
                <w:color w:val="auto"/>
                <w:sz w:val="24"/>
              </w:rPr>
              <w:t>利用，破解建筑垃圾运输消纳困局</w:t>
            </w:r>
            <w:r>
              <w:rPr>
                <w:color w:val="auto"/>
                <w:sz w:val="24"/>
              </w:rPr>
              <w:t>。</w:t>
            </w:r>
          </w:p>
          <w:p w14:paraId="20B022F4">
            <w:pPr>
              <w:adjustRightInd w:val="0"/>
              <w:snapToGrid w:val="0"/>
              <w:spacing w:line="360" w:lineRule="auto"/>
              <w:ind w:firstLine="480" w:firstLineChars="200"/>
              <w:rPr>
                <w:color w:val="auto"/>
                <w:sz w:val="24"/>
              </w:rPr>
            </w:pPr>
            <w:r>
              <w:rPr>
                <w:rFonts w:hint="eastAsia"/>
                <w:color w:val="auto"/>
                <w:sz w:val="24"/>
                <w:szCs w:val="32"/>
              </w:rPr>
              <w:t>公司于2019年投资1.</w:t>
            </w:r>
            <w:r>
              <w:rPr>
                <w:rFonts w:hint="eastAsia"/>
                <w:color w:val="auto"/>
                <w:sz w:val="24"/>
                <w:szCs w:val="32"/>
                <w:lang w:val="en-US" w:eastAsia="zh-CN"/>
              </w:rPr>
              <w:t>1</w:t>
            </w:r>
            <w:r>
              <w:rPr>
                <w:rFonts w:hint="eastAsia"/>
                <w:color w:val="auto"/>
                <w:sz w:val="24"/>
                <w:szCs w:val="32"/>
              </w:rPr>
              <w:t>亿元建成占地</w:t>
            </w:r>
            <w:r>
              <w:rPr>
                <w:rFonts w:hint="eastAsia"/>
                <w:color w:val="auto"/>
                <w:sz w:val="24"/>
                <w:szCs w:val="32"/>
                <w:lang w:val="en-US" w:eastAsia="zh-CN"/>
              </w:rPr>
              <w:t>79760m</w:t>
            </w:r>
            <w:r>
              <w:rPr>
                <w:rFonts w:hint="eastAsia"/>
                <w:color w:val="auto"/>
                <w:sz w:val="24"/>
                <w:szCs w:val="32"/>
                <w:vertAlign w:val="superscript"/>
                <w:lang w:val="en-US" w:eastAsia="zh-CN"/>
              </w:rPr>
              <w:t>2</w:t>
            </w:r>
            <w:r>
              <w:rPr>
                <w:rFonts w:hint="eastAsia"/>
                <w:color w:val="auto"/>
                <w:sz w:val="24"/>
                <w:szCs w:val="32"/>
              </w:rPr>
              <w:t>的陕西弘伟生态环保产业园</w:t>
            </w:r>
            <w:r>
              <w:rPr>
                <w:rFonts w:hint="eastAsia"/>
                <w:color w:val="auto"/>
                <w:sz w:val="24"/>
                <w:szCs w:val="32"/>
                <w:lang w:val="en-US" w:eastAsia="zh-CN"/>
              </w:rPr>
              <w:t>建筑垃圾资源化利用项目</w:t>
            </w:r>
            <w:r>
              <w:rPr>
                <w:rFonts w:hint="eastAsia"/>
                <w:color w:val="auto"/>
                <w:sz w:val="24"/>
                <w:szCs w:val="32"/>
                <w:lang w:eastAsia="zh-CN"/>
              </w:rPr>
              <w:t>，</w:t>
            </w:r>
            <w:r>
              <w:rPr>
                <w:rFonts w:hint="eastAsia"/>
                <w:color w:val="auto"/>
                <w:sz w:val="24"/>
                <w:szCs w:val="32"/>
                <w:lang w:val="en-US" w:eastAsia="zh-CN"/>
              </w:rPr>
              <w:t>主要建设建筑垃圾再生利用生产线1条</w:t>
            </w:r>
            <w:r>
              <w:rPr>
                <w:rFonts w:hint="eastAsia"/>
                <w:color w:val="auto"/>
                <w:sz w:val="24"/>
                <w:szCs w:val="28"/>
              </w:rPr>
              <w:t>，</w:t>
            </w:r>
            <w:r>
              <w:rPr>
                <w:color w:val="auto"/>
                <w:sz w:val="24"/>
                <w:szCs w:val="28"/>
              </w:rPr>
              <w:t>于</w:t>
            </w:r>
            <w:r>
              <w:rPr>
                <w:rFonts w:hint="eastAsia"/>
                <w:color w:val="auto"/>
                <w:sz w:val="24"/>
                <w:szCs w:val="28"/>
                <w:lang w:val="en-US" w:eastAsia="zh-CN"/>
              </w:rPr>
              <w:t>2021</w:t>
            </w:r>
            <w:r>
              <w:rPr>
                <w:color w:val="auto"/>
                <w:sz w:val="24"/>
                <w:szCs w:val="28"/>
              </w:rPr>
              <w:t>年</w:t>
            </w:r>
            <w:r>
              <w:rPr>
                <w:rFonts w:hint="eastAsia"/>
                <w:color w:val="auto"/>
                <w:sz w:val="24"/>
                <w:szCs w:val="28"/>
                <w:lang w:val="en-US" w:eastAsia="zh-CN"/>
              </w:rPr>
              <w:t>1</w:t>
            </w:r>
            <w:r>
              <w:rPr>
                <w:color w:val="auto"/>
                <w:sz w:val="24"/>
                <w:szCs w:val="28"/>
              </w:rPr>
              <w:t>月</w:t>
            </w:r>
            <w:r>
              <w:rPr>
                <w:rFonts w:hint="eastAsia"/>
                <w:color w:val="auto"/>
                <w:sz w:val="24"/>
                <w:szCs w:val="28"/>
                <w:lang w:val="en-US" w:eastAsia="zh-CN"/>
              </w:rPr>
              <w:t>20日</w:t>
            </w:r>
            <w:r>
              <w:rPr>
                <w:color w:val="auto"/>
                <w:sz w:val="24"/>
                <w:szCs w:val="28"/>
              </w:rPr>
              <w:t>取得了</w:t>
            </w:r>
            <w:r>
              <w:rPr>
                <w:rFonts w:hint="eastAsia"/>
                <w:color w:val="auto"/>
                <w:sz w:val="24"/>
                <w:szCs w:val="28"/>
                <w:lang w:val="en-US" w:eastAsia="zh-CN"/>
              </w:rPr>
              <w:t>陕西省西咸新区沣东新城行政审批与政务服务局</w:t>
            </w:r>
            <w:r>
              <w:rPr>
                <w:color w:val="auto"/>
                <w:sz w:val="24"/>
                <w:szCs w:val="28"/>
              </w:rPr>
              <w:t>关于《</w:t>
            </w:r>
            <w:r>
              <w:rPr>
                <w:rFonts w:hint="eastAsia" w:hAnsi="宋体"/>
                <w:color w:val="auto"/>
                <w:sz w:val="24"/>
                <w:lang w:val="en-US" w:eastAsia="zh-CN"/>
              </w:rPr>
              <w:t>陕西弘伟生态环保产业园建筑垃圾资源化利用项目</w:t>
            </w:r>
            <w:r>
              <w:rPr>
                <w:color w:val="auto"/>
                <w:sz w:val="24"/>
                <w:szCs w:val="28"/>
              </w:rPr>
              <w:t>环境影响报告表》的批复文件（</w:t>
            </w:r>
            <w:r>
              <w:rPr>
                <w:rFonts w:hint="eastAsia"/>
                <w:color w:val="auto"/>
                <w:sz w:val="24"/>
                <w:szCs w:val="28"/>
                <w:lang w:val="en-US" w:eastAsia="zh-CN"/>
              </w:rPr>
              <w:t>陕西咸沣东审服准字</w:t>
            </w:r>
            <w:r>
              <w:rPr>
                <w:color w:val="auto"/>
                <w:sz w:val="24"/>
                <w:szCs w:val="28"/>
              </w:rPr>
              <w:t>[20</w:t>
            </w:r>
            <w:r>
              <w:rPr>
                <w:rFonts w:hint="eastAsia"/>
                <w:color w:val="auto"/>
                <w:sz w:val="24"/>
                <w:szCs w:val="28"/>
                <w:lang w:val="en-US" w:eastAsia="zh-CN"/>
              </w:rPr>
              <w:t>21</w:t>
            </w:r>
            <w:r>
              <w:rPr>
                <w:color w:val="auto"/>
                <w:sz w:val="24"/>
                <w:szCs w:val="28"/>
              </w:rPr>
              <w:t>]</w:t>
            </w:r>
            <w:r>
              <w:rPr>
                <w:rFonts w:hint="eastAsia"/>
                <w:color w:val="auto"/>
                <w:sz w:val="24"/>
                <w:szCs w:val="28"/>
                <w:lang w:val="en-US" w:eastAsia="zh-CN"/>
              </w:rPr>
              <w:t>13</w:t>
            </w:r>
            <w:r>
              <w:rPr>
                <w:color w:val="auto"/>
                <w:sz w:val="24"/>
                <w:szCs w:val="28"/>
              </w:rPr>
              <w:t>号）</w:t>
            </w:r>
            <w:r>
              <w:rPr>
                <w:rFonts w:hint="eastAsia"/>
                <w:color w:val="auto"/>
                <w:sz w:val="24"/>
                <w:szCs w:val="28"/>
              </w:rPr>
              <w:t>，见附件</w:t>
            </w:r>
            <w:r>
              <w:rPr>
                <w:rFonts w:hint="eastAsia"/>
                <w:color w:val="auto"/>
                <w:sz w:val="24"/>
                <w:szCs w:val="28"/>
                <w:lang w:val="en-US" w:eastAsia="zh-CN"/>
              </w:rPr>
              <w:t>3</w:t>
            </w:r>
            <w:r>
              <w:rPr>
                <w:rFonts w:hint="eastAsia"/>
                <w:color w:val="auto"/>
                <w:sz w:val="24"/>
                <w:szCs w:val="28"/>
              </w:rPr>
              <w:t>。20</w:t>
            </w:r>
            <w:r>
              <w:rPr>
                <w:rFonts w:hint="eastAsia"/>
                <w:color w:val="auto"/>
                <w:sz w:val="24"/>
                <w:szCs w:val="28"/>
                <w:lang w:val="en-US" w:eastAsia="zh-CN"/>
              </w:rPr>
              <w:t>21</w:t>
            </w:r>
            <w:r>
              <w:rPr>
                <w:rFonts w:hint="eastAsia"/>
                <w:color w:val="auto"/>
                <w:sz w:val="24"/>
                <w:szCs w:val="28"/>
              </w:rPr>
              <w:t>年</w:t>
            </w:r>
            <w:r>
              <w:rPr>
                <w:rFonts w:hint="eastAsia"/>
                <w:color w:val="auto"/>
                <w:sz w:val="24"/>
                <w:szCs w:val="28"/>
                <w:lang w:val="en-US" w:eastAsia="zh-CN"/>
              </w:rPr>
              <w:t>4</w:t>
            </w:r>
            <w:r>
              <w:rPr>
                <w:rFonts w:hint="eastAsia"/>
                <w:color w:val="auto"/>
                <w:sz w:val="24"/>
                <w:szCs w:val="28"/>
              </w:rPr>
              <w:t>月</w:t>
            </w:r>
            <w:r>
              <w:rPr>
                <w:rFonts w:hint="eastAsia"/>
                <w:color w:val="auto"/>
                <w:sz w:val="24"/>
                <w:szCs w:val="28"/>
                <w:lang w:val="en-US" w:eastAsia="zh-CN"/>
              </w:rPr>
              <w:t>30</w:t>
            </w:r>
            <w:r>
              <w:rPr>
                <w:rFonts w:hint="eastAsia"/>
                <w:color w:val="auto"/>
                <w:sz w:val="24"/>
                <w:szCs w:val="28"/>
              </w:rPr>
              <w:t>日，</w:t>
            </w:r>
            <w:r>
              <w:rPr>
                <w:rFonts w:hint="eastAsia"/>
                <w:color w:val="auto"/>
                <w:sz w:val="24"/>
              </w:rPr>
              <w:t>陕西弘伟生态环保有限公司</w:t>
            </w:r>
            <w:r>
              <w:rPr>
                <w:rFonts w:hint="eastAsia"/>
                <w:color w:val="auto"/>
                <w:sz w:val="24"/>
                <w:szCs w:val="28"/>
              </w:rPr>
              <w:t>在西安组织召开了“</w:t>
            </w:r>
            <w:r>
              <w:rPr>
                <w:rFonts w:hint="eastAsia"/>
                <w:color w:val="auto"/>
                <w:sz w:val="24"/>
              </w:rPr>
              <w:t>陕西弘伟生态环保有限公司</w:t>
            </w:r>
            <w:r>
              <w:rPr>
                <w:rFonts w:hint="eastAsia" w:hAnsi="宋体"/>
                <w:color w:val="auto"/>
                <w:sz w:val="24"/>
                <w:lang w:val="en-US" w:eastAsia="zh-CN"/>
              </w:rPr>
              <w:t>陕西弘伟生态环保产业园建筑垃圾资源化利用项目</w:t>
            </w:r>
            <w:r>
              <w:rPr>
                <w:rFonts w:hint="eastAsia"/>
                <w:color w:val="auto"/>
                <w:sz w:val="24"/>
                <w:szCs w:val="28"/>
              </w:rPr>
              <w:t>”竣工环境保护验收会，竣工环境保护验收意见见附件</w:t>
            </w:r>
            <w:r>
              <w:rPr>
                <w:rFonts w:hint="eastAsia"/>
                <w:color w:val="auto"/>
                <w:sz w:val="24"/>
                <w:szCs w:val="28"/>
                <w:lang w:val="en-US" w:eastAsia="zh-CN"/>
              </w:rPr>
              <w:t>4</w:t>
            </w:r>
            <w:r>
              <w:rPr>
                <w:rFonts w:hint="eastAsia"/>
                <w:color w:val="auto"/>
                <w:sz w:val="24"/>
                <w:szCs w:val="28"/>
              </w:rPr>
              <w:t>。</w:t>
            </w:r>
            <w:r>
              <w:rPr>
                <w:color w:val="auto"/>
                <w:sz w:val="24"/>
              </w:rPr>
              <w:t>20</w:t>
            </w:r>
            <w:r>
              <w:rPr>
                <w:rFonts w:hint="eastAsia"/>
                <w:color w:val="auto"/>
                <w:sz w:val="24"/>
              </w:rPr>
              <w:t>2</w:t>
            </w:r>
            <w:r>
              <w:rPr>
                <w:rFonts w:hint="eastAsia"/>
                <w:color w:val="auto"/>
                <w:sz w:val="24"/>
                <w:lang w:val="en-US" w:eastAsia="zh-CN"/>
              </w:rPr>
              <w:t>1</w:t>
            </w:r>
            <w:r>
              <w:rPr>
                <w:color w:val="auto"/>
                <w:sz w:val="24"/>
              </w:rPr>
              <w:t>年</w:t>
            </w:r>
            <w:r>
              <w:rPr>
                <w:rFonts w:hint="eastAsia"/>
                <w:color w:val="auto"/>
                <w:sz w:val="24"/>
                <w:lang w:val="en-US" w:eastAsia="zh-CN"/>
              </w:rPr>
              <w:t>2</w:t>
            </w:r>
            <w:r>
              <w:rPr>
                <w:color w:val="auto"/>
                <w:sz w:val="24"/>
              </w:rPr>
              <w:t>月</w:t>
            </w:r>
            <w:r>
              <w:rPr>
                <w:rFonts w:hint="eastAsia"/>
                <w:color w:val="auto"/>
                <w:sz w:val="24"/>
                <w:lang w:val="en-US" w:eastAsia="zh-CN"/>
              </w:rPr>
              <w:t>2</w:t>
            </w:r>
            <w:r>
              <w:rPr>
                <w:color w:val="auto"/>
                <w:sz w:val="24"/>
              </w:rPr>
              <w:t>日</w:t>
            </w:r>
            <w:r>
              <w:rPr>
                <w:rFonts w:hint="eastAsia"/>
                <w:color w:val="auto"/>
                <w:sz w:val="24"/>
                <w:lang w:val="en-US" w:eastAsia="zh-CN"/>
              </w:rPr>
              <w:t>公司</w:t>
            </w:r>
            <w:r>
              <w:rPr>
                <w:color w:val="auto"/>
                <w:sz w:val="24"/>
              </w:rPr>
              <w:t>取得</w:t>
            </w:r>
            <w:r>
              <w:rPr>
                <w:rFonts w:hint="eastAsia"/>
                <w:color w:val="auto"/>
                <w:sz w:val="24"/>
              </w:rPr>
              <w:t>了固定污染源</w:t>
            </w:r>
            <w:r>
              <w:rPr>
                <w:color w:val="auto"/>
                <w:sz w:val="24"/>
              </w:rPr>
              <w:t>排污许可</w:t>
            </w:r>
            <w:r>
              <w:rPr>
                <w:rFonts w:hint="eastAsia"/>
                <w:color w:val="auto"/>
                <w:sz w:val="24"/>
              </w:rPr>
              <w:t>登记回执</w:t>
            </w:r>
            <w:r>
              <w:rPr>
                <w:color w:val="auto"/>
                <w:sz w:val="24"/>
              </w:rPr>
              <w:t>，</w:t>
            </w:r>
            <w:r>
              <w:rPr>
                <w:rFonts w:hint="eastAsia"/>
                <w:color w:val="auto"/>
                <w:sz w:val="24"/>
              </w:rPr>
              <w:t>登记</w:t>
            </w:r>
            <w:r>
              <w:rPr>
                <w:color w:val="auto"/>
                <w:sz w:val="24"/>
              </w:rPr>
              <w:t>编号91611105MA6TWNNT54001W，见附件</w:t>
            </w:r>
            <w:r>
              <w:rPr>
                <w:rFonts w:hint="eastAsia"/>
                <w:color w:val="auto"/>
                <w:sz w:val="24"/>
                <w:lang w:val="en-US" w:eastAsia="zh-CN"/>
              </w:rPr>
              <w:t>5</w:t>
            </w:r>
            <w:r>
              <w:rPr>
                <w:color w:val="auto"/>
                <w:sz w:val="24"/>
              </w:rPr>
              <w:t>。</w:t>
            </w:r>
          </w:p>
          <w:p w14:paraId="5AB77D7F">
            <w:pPr>
              <w:widowControl/>
              <w:adjustRightInd w:val="0"/>
              <w:snapToGrid w:val="0"/>
              <w:spacing w:line="360" w:lineRule="auto"/>
              <w:ind w:firstLine="482" w:firstLineChars="200"/>
              <w:jc w:val="left"/>
              <w:rPr>
                <w:color w:val="auto"/>
                <w:sz w:val="24"/>
              </w:rPr>
            </w:pPr>
            <w:r>
              <w:rPr>
                <w:b/>
                <w:bCs/>
                <w:color w:val="auto"/>
                <w:sz w:val="24"/>
              </w:rPr>
              <w:t>二、</w:t>
            </w:r>
            <w:r>
              <w:rPr>
                <w:rFonts w:hint="eastAsia"/>
                <w:b/>
                <w:bCs/>
                <w:color w:val="auto"/>
                <w:sz w:val="24"/>
              </w:rPr>
              <w:t>现有</w:t>
            </w:r>
            <w:r>
              <w:rPr>
                <w:rFonts w:hint="eastAsia" w:ascii="宋体" w:hAnsi="宋体" w:cs="宋体"/>
                <w:b/>
                <w:bCs/>
                <w:color w:val="auto"/>
                <w:kern w:val="0"/>
                <w:sz w:val="24"/>
                <w:lang w:bidi="ar"/>
              </w:rPr>
              <w:t>项目污染治理措施及污染物排放情况</w:t>
            </w:r>
          </w:p>
          <w:p w14:paraId="5FB587DA">
            <w:pPr>
              <w:spacing w:line="360" w:lineRule="auto"/>
              <w:ind w:firstLine="482" w:firstLineChars="200"/>
              <w:rPr>
                <w:b/>
                <w:bCs/>
                <w:color w:val="auto"/>
                <w:sz w:val="24"/>
              </w:rPr>
            </w:pPr>
            <w:r>
              <w:rPr>
                <w:rFonts w:hint="eastAsia"/>
                <w:b/>
                <w:bCs/>
                <w:color w:val="auto"/>
                <w:sz w:val="24"/>
              </w:rPr>
              <w:t>1、废气</w:t>
            </w:r>
          </w:p>
          <w:p w14:paraId="1D88C114">
            <w:pPr>
              <w:spacing w:line="360" w:lineRule="auto"/>
              <w:ind w:firstLine="480" w:firstLineChars="200"/>
              <w:rPr>
                <w:rFonts w:ascii="Times New Roman" w:hAnsi="Times New Roman"/>
                <w:color w:val="auto"/>
                <w:sz w:val="24"/>
                <w:szCs w:val="24"/>
              </w:rPr>
            </w:pPr>
            <w:r>
              <w:rPr>
                <w:rFonts w:hint="eastAsia" w:ascii="Times New Roman" w:hAnsi="Times New Roman" w:eastAsia="宋体" w:cs="Times New Roman"/>
                <w:color w:val="auto"/>
                <w:sz w:val="24"/>
                <w:szCs w:val="24"/>
              </w:rPr>
              <w:t>原有</w:t>
            </w:r>
            <w:r>
              <w:rPr>
                <w:rFonts w:ascii="Times New Roman" w:hAnsi="Times New Roman" w:eastAsia="宋体" w:cs="Times New Roman"/>
                <w:color w:val="auto"/>
                <w:sz w:val="24"/>
                <w:szCs w:val="24"/>
              </w:rPr>
              <w:t>项目运营期</w:t>
            </w:r>
            <w:r>
              <w:rPr>
                <w:rFonts w:hint="eastAsia" w:ascii="Times New Roman" w:hAnsi="Times New Roman" w:eastAsia="宋体" w:cs="Times New Roman"/>
                <w:color w:val="auto"/>
                <w:sz w:val="24"/>
                <w:szCs w:val="24"/>
                <w:lang w:val="en-US" w:eastAsia="zh-CN"/>
              </w:rPr>
              <w:t>鄂破</w:t>
            </w:r>
            <w:r>
              <w:rPr>
                <w:rFonts w:hint="eastAsia" w:cs="Times New Roman"/>
                <w:color w:val="auto"/>
                <w:sz w:val="24"/>
                <w:szCs w:val="24"/>
                <w:lang w:val="en-US" w:eastAsia="zh-CN"/>
              </w:rPr>
              <w:t>及筛分工序</w:t>
            </w:r>
            <w:r>
              <w:rPr>
                <w:rFonts w:hint="eastAsia" w:ascii="Times New Roman" w:hAnsi="Times New Roman" w:eastAsia="宋体" w:cs="Times New Roman"/>
                <w:color w:val="auto"/>
                <w:sz w:val="24"/>
                <w:szCs w:val="24"/>
                <w:lang w:val="en-US" w:eastAsia="zh-CN"/>
              </w:rPr>
              <w:t>产生的粉尘经集气罩和脉冲布袋除尘器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m高排气筒（</w:t>
            </w:r>
            <w:r>
              <w:rPr>
                <w:rFonts w:hint="eastAsia" w:cs="Times New Roman"/>
                <w:color w:val="auto"/>
                <w:sz w:val="24"/>
                <w:szCs w:val="24"/>
                <w:lang w:val="en-US" w:eastAsia="zh-CN"/>
              </w:rPr>
              <w:t>DA001</w:t>
            </w:r>
            <w:r>
              <w:rPr>
                <w:rFonts w:hint="eastAsia" w:ascii="Times New Roman" w:hAnsi="Times New Roman" w:eastAsia="宋体" w:cs="Times New Roman"/>
                <w:color w:val="auto"/>
                <w:sz w:val="24"/>
                <w:szCs w:val="24"/>
                <w:lang w:val="en-US" w:eastAsia="zh-CN"/>
              </w:rPr>
              <w:t>）排放，反击破</w:t>
            </w:r>
            <w:r>
              <w:rPr>
                <w:rFonts w:hint="eastAsia" w:cs="Times New Roman"/>
                <w:color w:val="auto"/>
                <w:sz w:val="24"/>
                <w:szCs w:val="24"/>
                <w:lang w:val="en-US" w:eastAsia="zh-CN"/>
              </w:rPr>
              <w:t>工序</w:t>
            </w:r>
            <w:r>
              <w:rPr>
                <w:rFonts w:hint="eastAsia" w:ascii="Times New Roman" w:hAnsi="Times New Roman" w:eastAsia="宋体" w:cs="Times New Roman"/>
                <w:color w:val="auto"/>
                <w:sz w:val="24"/>
                <w:szCs w:val="24"/>
                <w:lang w:val="en-US" w:eastAsia="zh-CN"/>
              </w:rPr>
              <w:t>产生的粉尘经集气罩和脉冲布袋除尘器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m高排气筒（</w:t>
            </w:r>
            <w:r>
              <w:rPr>
                <w:rFonts w:hint="eastAsia" w:cs="Times New Roman"/>
                <w:color w:val="auto"/>
                <w:sz w:val="24"/>
                <w:szCs w:val="24"/>
                <w:lang w:val="en-US" w:eastAsia="zh-CN"/>
              </w:rPr>
              <w:t>DA002</w:t>
            </w:r>
            <w:r>
              <w:rPr>
                <w:rFonts w:hint="eastAsia" w:ascii="Times New Roman" w:hAnsi="Times New Roman" w:eastAsia="宋体" w:cs="Times New Roman"/>
                <w:color w:val="auto"/>
                <w:sz w:val="24"/>
                <w:szCs w:val="24"/>
                <w:lang w:val="en-US" w:eastAsia="zh-CN"/>
              </w:rPr>
              <w:t>）排放，</w:t>
            </w:r>
            <w:r>
              <w:rPr>
                <w:rFonts w:hint="eastAsia" w:cs="Times New Roman"/>
                <w:color w:val="auto"/>
                <w:sz w:val="24"/>
                <w:szCs w:val="24"/>
                <w:lang w:val="en-US" w:eastAsia="zh-CN"/>
              </w:rPr>
              <w:t>一级</w:t>
            </w:r>
            <w:r>
              <w:rPr>
                <w:rFonts w:hint="eastAsia" w:ascii="Times New Roman" w:hAnsi="Times New Roman" w:eastAsia="宋体" w:cs="Times New Roman"/>
                <w:color w:val="auto"/>
                <w:sz w:val="24"/>
                <w:szCs w:val="24"/>
                <w:lang w:val="en-US" w:eastAsia="zh-CN"/>
              </w:rPr>
              <w:t>振动筛</w:t>
            </w:r>
            <w:r>
              <w:rPr>
                <w:rFonts w:hint="eastAsia" w:cs="Times New Roman"/>
                <w:color w:val="auto"/>
                <w:sz w:val="24"/>
                <w:szCs w:val="24"/>
                <w:lang w:val="en-US" w:eastAsia="zh-CN"/>
              </w:rPr>
              <w:t>和分选工序</w:t>
            </w:r>
            <w:r>
              <w:rPr>
                <w:rFonts w:hint="eastAsia" w:ascii="Times New Roman" w:hAnsi="Times New Roman" w:eastAsia="宋体" w:cs="Times New Roman"/>
                <w:color w:val="auto"/>
                <w:sz w:val="24"/>
                <w:szCs w:val="24"/>
                <w:lang w:val="en-US" w:eastAsia="zh-CN"/>
              </w:rPr>
              <w:t>产生的粉尘经集气罩和脉冲布袋除尘器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m高排气筒（</w:t>
            </w:r>
            <w:r>
              <w:rPr>
                <w:rFonts w:hint="eastAsia" w:cs="Times New Roman"/>
                <w:color w:val="auto"/>
                <w:sz w:val="24"/>
                <w:szCs w:val="24"/>
                <w:lang w:val="en-US" w:eastAsia="zh-CN"/>
              </w:rPr>
              <w:t>DA003</w:t>
            </w:r>
            <w:r>
              <w:rPr>
                <w:rFonts w:hint="eastAsia" w:ascii="Times New Roman" w:hAnsi="Times New Roman" w:eastAsia="宋体" w:cs="Times New Roman"/>
                <w:color w:val="auto"/>
                <w:sz w:val="24"/>
                <w:szCs w:val="24"/>
                <w:lang w:val="en-US" w:eastAsia="zh-CN"/>
              </w:rPr>
              <w:t>）排放，</w:t>
            </w:r>
            <w:r>
              <w:rPr>
                <w:rFonts w:hint="eastAsia" w:cs="Times New Roman"/>
                <w:color w:val="auto"/>
                <w:sz w:val="24"/>
                <w:szCs w:val="24"/>
                <w:lang w:val="en-US" w:eastAsia="zh-CN"/>
              </w:rPr>
              <w:t>二级振动筛和</w:t>
            </w:r>
            <w:r>
              <w:rPr>
                <w:rFonts w:hint="eastAsia" w:ascii="Times New Roman" w:hAnsi="Times New Roman" w:eastAsia="宋体" w:cs="Times New Roman"/>
                <w:color w:val="auto"/>
                <w:sz w:val="24"/>
                <w:szCs w:val="24"/>
                <w:lang w:val="en-US" w:eastAsia="zh-CN"/>
              </w:rPr>
              <w:t>分选</w:t>
            </w:r>
            <w:r>
              <w:rPr>
                <w:rFonts w:hint="eastAsia" w:cs="Times New Roman"/>
                <w:color w:val="auto"/>
                <w:sz w:val="24"/>
                <w:szCs w:val="24"/>
                <w:lang w:val="en-US" w:eastAsia="zh-CN"/>
              </w:rPr>
              <w:t>工序</w:t>
            </w:r>
            <w:r>
              <w:rPr>
                <w:rFonts w:hint="eastAsia" w:ascii="Times New Roman" w:hAnsi="Times New Roman" w:eastAsia="宋体" w:cs="Times New Roman"/>
                <w:color w:val="auto"/>
                <w:sz w:val="24"/>
                <w:szCs w:val="24"/>
                <w:lang w:val="en-US" w:eastAsia="zh-CN"/>
              </w:rPr>
              <w:t>产生的粉尘经集气罩</w:t>
            </w:r>
            <w:r>
              <w:rPr>
                <w:rFonts w:hint="eastAsia" w:cs="Times New Roman"/>
                <w:color w:val="auto"/>
                <w:sz w:val="24"/>
                <w:szCs w:val="24"/>
                <w:lang w:val="en-US" w:eastAsia="zh-CN"/>
              </w:rPr>
              <w:t>和</w:t>
            </w:r>
            <w:r>
              <w:rPr>
                <w:rFonts w:hint="eastAsia" w:ascii="Times New Roman" w:hAnsi="Times New Roman" w:eastAsia="宋体" w:cs="Times New Roman"/>
                <w:color w:val="auto"/>
                <w:sz w:val="24"/>
                <w:szCs w:val="24"/>
                <w:lang w:val="en-US" w:eastAsia="zh-CN"/>
              </w:rPr>
              <w:t>布袋除尘器</w:t>
            </w:r>
            <w:r>
              <w:rPr>
                <w:rFonts w:hint="eastAsia" w:cs="Times New Roman"/>
                <w:color w:val="auto"/>
                <w:sz w:val="24"/>
                <w:szCs w:val="24"/>
                <w:lang w:val="en-US" w:eastAsia="zh-CN"/>
              </w:rPr>
              <w:t>收集</w:t>
            </w:r>
            <w:r>
              <w:rPr>
                <w:rFonts w:hint="eastAsia" w:ascii="Times New Roman" w:hAnsi="Times New Roman" w:eastAsia="宋体" w:cs="Times New Roman"/>
                <w:color w:val="auto"/>
                <w:sz w:val="24"/>
                <w:szCs w:val="24"/>
                <w:lang w:val="en-US" w:eastAsia="zh-CN"/>
              </w:rPr>
              <w:t>处理后经1根1</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m排气筒（</w:t>
            </w:r>
            <w:r>
              <w:rPr>
                <w:rFonts w:hint="eastAsia" w:cs="Times New Roman"/>
                <w:color w:val="auto"/>
                <w:sz w:val="24"/>
                <w:szCs w:val="24"/>
                <w:lang w:val="en-US" w:eastAsia="zh-CN"/>
              </w:rPr>
              <w:t>DA004</w:t>
            </w:r>
            <w:r>
              <w:rPr>
                <w:rFonts w:hint="eastAsia" w:ascii="Times New Roman" w:hAnsi="Times New Roman" w:eastAsia="宋体" w:cs="Times New Roman"/>
                <w:color w:val="auto"/>
                <w:sz w:val="24"/>
                <w:szCs w:val="24"/>
                <w:lang w:val="en-US" w:eastAsia="zh-CN"/>
              </w:rPr>
              <w:t>）排放</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生产工序各产尘点上方设置了喷淋装置，</w:t>
            </w:r>
            <w:r>
              <w:rPr>
                <w:rFonts w:hint="eastAsia" w:cs="Times New Roman"/>
                <w:color w:val="auto"/>
                <w:sz w:val="24"/>
                <w:szCs w:val="24"/>
                <w:lang w:val="en-US" w:eastAsia="zh-CN"/>
              </w:rPr>
              <w:t>室外</w:t>
            </w:r>
            <w:r>
              <w:rPr>
                <w:rFonts w:hint="eastAsia" w:ascii="Times New Roman" w:hAnsi="Times New Roman" w:eastAsia="宋体" w:cs="Times New Roman"/>
                <w:color w:val="auto"/>
                <w:sz w:val="24"/>
                <w:szCs w:val="24"/>
                <w:lang w:val="en-US" w:eastAsia="zh-CN"/>
              </w:rPr>
              <w:t>皮带输送机输送廊道封闭处理，食堂油烟设</w:t>
            </w:r>
            <w:r>
              <w:rPr>
                <w:rFonts w:hint="eastAsia" w:cs="Times New Roman"/>
                <w:color w:val="auto"/>
                <w:sz w:val="24"/>
                <w:szCs w:val="24"/>
                <w:lang w:val="en-US" w:eastAsia="zh-CN"/>
              </w:rPr>
              <w:t>有</w:t>
            </w:r>
            <w:r>
              <w:rPr>
                <w:rFonts w:hint="eastAsia" w:ascii="Times New Roman" w:hAnsi="Times New Roman" w:eastAsia="宋体" w:cs="Times New Roman"/>
                <w:color w:val="auto"/>
                <w:sz w:val="24"/>
                <w:szCs w:val="24"/>
                <w:lang w:val="en-US" w:eastAsia="zh-CN"/>
              </w:rPr>
              <w:t>处理效率不低于75%的油烟净化器。</w:t>
            </w:r>
            <w:r>
              <w:rPr>
                <w:rFonts w:hint="eastAsia" w:ascii="Times New Roman" w:hAnsi="Times New Roman" w:eastAsia="宋体" w:cs="Times New Roman"/>
                <w:color w:val="auto"/>
                <w:sz w:val="24"/>
                <w:szCs w:val="24"/>
              </w:rPr>
              <w:t>根据《</w:t>
            </w:r>
            <w:r>
              <w:rPr>
                <w:rFonts w:hint="eastAsia" w:ascii="Times New Roman" w:hAnsi="Times New Roman" w:eastAsia="宋体" w:cs="Times New Roman"/>
                <w:color w:val="auto"/>
                <w:sz w:val="24"/>
                <w:szCs w:val="24"/>
                <w:lang w:val="en-US" w:eastAsia="zh-CN"/>
              </w:rPr>
              <w:t>陕西弘伟生态环保产业园建筑垃圾资源化利用项目污染物</w:t>
            </w:r>
            <w:r>
              <w:rPr>
                <w:rFonts w:hint="eastAsia" w:ascii="Times New Roman" w:hAnsi="Times New Roman" w:eastAsia="宋体" w:cs="Times New Roman"/>
                <w:color w:val="auto"/>
                <w:sz w:val="24"/>
                <w:szCs w:val="24"/>
              </w:rPr>
              <w:t>监测》</w:t>
            </w:r>
            <w:r>
              <w:rPr>
                <w:rFonts w:hint="eastAsia" w:cs="Times New Roman"/>
                <w:color w:val="auto"/>
                <w:sz w:val="24"/>
                <w:szCs w:val="24"/>
                <w:lang w:eastAsia="zh-CN"/>
              </w:rPr>
              <w:t>（</w:t>
            </w:r>
            <w:r>
              <w:rPr>
                <w:rFonts w:hint="eastAsia" w:cs="Times New Roman"/>
                <w:color w:val="auto"/>
                <w:sz w:val="24"/>
                <w:szCs w:val="24"/>
                <w:lang w:val="en-US" w:eastAsia="zh-CN"/>
              </w:rPr>
              <w:t>源泽监字（2021）第237号</w:t>
            </w:r>
            <w:r>
              <w:rPr>
                <w:rFonts w:hint="eastAsia" w:cs="Times New Roman"/>
                <w:color w:val="auto"/>
                <w:sz w:val="24"/>
                <w:szCs w:val="24"/>
                <w:lang w:eastAsia="zh-CN"/>
              </w:rPr>
              <w:t>）</w:t>
            </w:r>
            <w:r>
              <w:rPr>
                <w:rFonts w:hint="eastAsia" w:ascii="Times New Roman" w:hAnsi="Times New Roman" w:eastAsia="宋体" w:cs="Times New Roman"/>
                <w:color w:val="auto"/>
                <w:sz w:val="24"/>
                <w:szCs w:val="24"/>
              </w:rPr>
              <w:t>（见附件</w:t>
            </w:r>
            <w:r>
              <w:rPr>
                <w:rFonts w:hint="eastAsia" w:cs="Times New Roman"/>
                <w:color w:val="auto"/>
                <w:sz w:val="24"/>
                <w:szCs w:val="24"/>
                <w:lang w:val="en-US" w:eastAsia="zh-CN"/>
              </w:rPr>
              <w:t>6</w:t>
            </w:r>
            <w:r>
              <w:rPr>
                <w:rFonts w:hint="eastAsia" w:ascii="Times New Roman" w:hAnsi="Times New Roman" w:eastAsia="宋体" w:cs="Times New Roman"/>
                <w:color w:val="auto"/>
                <w:sz w:val="24"/>
                <w:szCs w:val="24"/>
              </w:rPr>
              <w:t>）可知，</w:t>
            </w:r>
            <w:r>
              <w:rPr>
                <w:rFonts w:hint="eastAsia" w:ascii="Times New Roman" w:hAnsi="Times New Roman" w:eastAsia="宋体" w:cs="Times New Roman"/>
                <w:color w:val="auto"/>
                <w:sz w:val="24"/>
                <w:szCs w:val="24"/>
                <w:lang w:val="en-US" w:eastAsia="zh-CN"/>
              </w:rPr>
              <w:t>项目废气</w:t>
            </w:r>
            <w:r>
              <w:rPr>
                <w:rFonts w:hint="eastAsia" w:ascii="Times New Roman" w:hAnsi="Times New Roman" w:eastAsia="宋体" w:cs="Times New Roman"/>
                <w:color w:val="auto"/>
                <w:sz w:val="24"/>
                <w:szCs w:val="24"/>
              </w:rPr>
              <w:t>排放情况见下表：</w:t>
            </w:r>
          </w:p>
          <w:p w14:paraId="4C8D5324">
            <w:pPr>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w:t>
            </w:r>
            <w:r>
              <w:rPr>
                <w:rFonts w:hint="eastAsia"/>
                <w:b/>
                <w:color w:val="auto"/>
                <w:sz w:val="24"/>
                <w:szCs w:val="24"/>
                <w:lang w:val="en-US" w:eastAsia="zh-CN"/>
              </w:rPr>
              <w:t>8</w:t>
            </w:r>
            <w:r>
              <w:rPr>
                <w:rFonts w:ascii="Times New Roman" w:hAnsi="Times New Roman"/>
                <w:b/>
                <w:color w:val="auto"/>
                <w:sz w:val="24"/>
                <w:szCs w:val="24"/>
              </w:rPr>
              <w:t xml:space="preserve">  </w:t>
            </w:r>
            <w:r>
              <w:rPr>
                <w:rFonts w:hint="eastAsia" w:ascii="Times New Roman" w:hAnsi="Times New Roman"/>
                <w:b/>
                <w:color w:val="auto"/>
                <w:sz w:val="24"/>
                <w:szCs w:val="24"/>
              </w:rPr>
              <w:t>鄂破</w:t>
            </w:r>
            <w:r>
              <w:rPr>
                <w:rFonts w:hint="eastAsia"/>
                <w:b/>
                <w:color w:val="auto"/>
                <w:sz w:val="24"/>
                <w:szCs w:val="24"/>
                <w:lang w:val="en-US" w:eastAsia="zh-CN"/>
              </w:rPr>
              <w:t>筛分</w:t>
            </w:r>
            <w:r>
              <w:rPr>
                <w:rFonts w:hint="eastAsia" w:ascii="Times New Roman" w:hAnsi="Times New Roman"/>
                <w:b/>
                <w:color w:val="auto"/>
                <w:sz w:val="24"/>
                <w:szCs w:val="24"/>
              </w:rPr>
              <w:t>工序</w:t>
            </w:r>
            <w:r>
              <w:rPr>
                <w:rFonts w:ascii="Times New Roman" w:hAnsi="Times New Roman"/>
                <w:b/>
                <w:color w:val="auto"/>
                <w:sz w:val="24"/>
                <w:szCs w:val="24"/>
              </w:rPr>
              <w:t>废气监测结果</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835"/>
              <w:gridCol w:w="726"/>
              <w:gridCol w:w="726"/>
              <w:gridCol w:w="1717"/>
              <w:gridCol w:w="788"/>
              <w:gridCol w:w="789"/>
              <w:gridCol w:w="789"/>
              <w:gridCol w:w="791"/>
              <w:gridCol w:w="720"/>
            </w:tblGrid>
            <w:tr w14:paraId="7B1A1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6" w:type="pct"/>
                  <w:vMerge w:val="restart"/>
                  <w:noWrap w:val="0"/>
                  <w:vAlign w:val="center"/>
                </w:tcPr>
                <w:p w14:paraId="73A3C1F6">
                  <w:pPr>
                    <w:jc w:val="center"/>
                    <w:rPr>
                      <w:rFonts w:hint="eastAsia" w:ascii="Times New Roman" w:hAnsi="Times New Roman"/>
                      <w:b w:val="0"/>
                      <w:bCs w:val="0"/>
                      <w:color w:val="auto"/>
                      <w:kern w:val="0"/>
                      <w:szCs w:val="21"/>
                    </w:rPr>
                  </w:pPr>
                  <w:r>
                    <w:rPr>
                      <w:rFonts w:hint="eastAsia" w:ascii="Times New Roman" w:hAnsi="Times New Roman"/>
                      <w:b w:val="0"/>
                      <w:bCs w:val="0"/>
                      <w:color w:val="auto"/>
                      <w:kern w:val="0"/>
                      <w:szCs w:val="21"/>
                    </w:rPr>
                    <w:t>监测日期</w:t>
                  </w:r>
                </w:p>
              </w:tc>
              <w:tc>
                <w:tcPr>
                  <w:tcW w:w="427" w:type="pct"/>
                  <w:vMerge w:val="restart"/>
                  <w:noWrap w:val="0"/>
                  <w:vAlign w:val="center"/>
                </w:tcPr>
                <w:p w14:paraId="0F0CBFA6">
                  <w:pPr>
                    <w:jc w:val="center"/>
                    <w:rPr>
                      <w:rFonts w:hint="eastAsia" w:ascii="Times New Roman" w:hAnsi="Times New Roman" w:eastAsia="宋体"/>
                      <w:b w:val="0"/>
                      <w:bCs w:val="0"/>
                      <w:color w:val="auto"/>
                      <w:kern w:val="0"/>
                      <w:szCs w:val="21"/>
                      <w:lang w:val="en-US" w:eastAsia="zh-CN"/>
                    </w:rPr>
                  </w:pPr>
                  <w:r>
                    <w:rPr>
                      <w:rFonts w:hint="eastAsia"/>
                      <w:b w:val="0"/>
                      <w:bCs w:val="0"/>
                      <w:color w:val="auto"/>
                      <w:kern w:val="0"/>
                      <w:szCs w:val="21"/>
                      <w:lang w:val="en-US" w:eastAsia="zh-CN"/>
                    </w:rPr>
                    <w:t>排气筒</w:t>
                  </w:r>
                </w:p>
              </w:tc>
              <w:tc>
                <w:tcPr>
                  <w:tcW w:w="428" w:type="pct"/>
                  <w:vMerge w:val="restart"/>
                  <w:noWrap w:val="0"/>
                  <w:vAlign w:val="center"/>
                </w:tcPr>
                <w:p w14:paraId="661A0C60">
                  <w:pPr>
                    <w:jc w:val="center"/>
                    <w:rPr>
                      <w:rFonts w:ascii="Times New Roman" w:hAnsi="Times New Roman"/>
                      <w:b w:val="0"/>
                      <w:bCs w:val="0"/>
                      <w:color w:val="auto"/>
                      <w:kern w:val="0"/>
                      <w:szCs w:val="21"/>
                    </w:rPr>
                  </w:pPr>
                  <w:r>
                    <w:rPr>
                      <w:rFonts w:hint="eastAsia" w:ascii="Times New Roman" w:hAnsi="Times New Roman"/>
                      <w:b w:val="0"/>
                      <w:bCs w:val="0"/>
                      <w:color w:val="auto"/>
                      <w:kern w:val="0"/>
                      <w:szCs w:val="21"/>
                    </w:rPr>
                    <w:t>监测点位</w:t>
                  </w:r>
                </w:p>
              </w:tc>
              <w:tc>
                <w:tcPr>
                  <w:tcW w:w="1431" w:type="pct"/>
                  <w:gridSpan w:val="2"/>
                  <w:noWrap w:val="0"/>
                  <w:vAlign w:val="center"/>
                </w:tcPr>
                <w:p w14:paraId="20327ECC">
                  <w:pPr>
                    <w:jc w:val="center"/>
                    <w:rPr>
                      <w:rFonts w:hint="eastAsia" w:ascii="Times New Roman" w:hAnsi="Times New Roman"/>
                      <w:b w:val="0"/>
                      <w:bCs w:val="0"/>
                      <w:color w:val="auto"/>
                      <w:kern w:val="0"/>
                      <w:szCs w:val="21"/>
                    </w:rPr>
                  </w:pPr>
                  <w:r>
                    <w:rPr>
                      <w:rFonts w:hint="eastAsia" w:ascii="Times New Roman" w:hAnsi="Times New Roman"/>
                      <w:b w:val="0"/>
                      <w:bCs w:val="0"/>
                      <w:color w:val="auto"/>
                      <w:kern w:val="0"/>
                      <w:szCs w:val="21"/>
                    </w:rPr>
                    <w:t>监测项目</w:t>
                  </w:r>
                </w:p>
              </w:tc>
              <w:tc>
                <w:tcPr>
                  <w:tcW w:w="1860" w:type="pct"/>
                  <w:gridSpan w:val="4"/>
                  <w:noWrap w:val="0"/>
                  <w:vAlign w:val="center"/>
                </w:tcPr>
                <w:p w14:paraId="2327061D">
                  <w:pPr>
                    <w:snapToGrid w:val="0"/>
                    <w:jc w:val="center"/>
                    <w:rPr>
                      <w:rFonts w:ascii="Times New Roman" w:hAnsi="Times New Roman"/>
                      <w:b w:val="0"/>
                      <w:bCs w:val="0"/>
                      <w:color w:val="auto"/>
                      <w:szCs w:val="21"/>
                    </w:rPr>
                  </w:pPr>
                  <w:r>
                    <w:rPr>
                      <w:rFonts w:hint="eastAsia" w:ascii="Times New Roman" w:hAnsi="Times New Roman"/>
                      <w:b w:val="0"/>
                      <w:bCs w:val="0"/>
                      <w:color w:val="auto"/>
                      <w:szCs w:val="21"/>
                    </w:rPr>
                    <w:t>监测结果</w:t>
                  </w:r>
                </w:p>
              </w:tc>
              <w:tc>
                <w:tcPr>
                  <w:tcW w:w="425" w:type="pct"/>
                  <w:vMerge w:val="restart"/>
                  <w:noWrap w:val="0"/>
                  <w:vAlign w:val="center"/>
                </w:tcPr>
                <w:p w14:paraId="27C51519">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5BA3E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6" w:type="pct"/>
                  <w:vMerge w:val="continue"/>
                  <w:noWrap w:val="0"/>
                  <w:vAlign w:val="center"/>
                </w:tcPr>
                <w:p w14:paraId="4FEBB402">
                  <w:pPr>
                    <w:jc w:val="center"/>
                    <w:rPr>
                      <w:rFonts w:hint="eastAsia" w:ascii="Times New Roman" w:hAnsi="Times New Roman"/>
                      <w:b w:val="0"/>
                      <w:bCs w:val="0"/>
                      <w:color w:val="auto"/>
                      <w:kern w:val="0"/>
                      <w:szCs w:val="21"/>
                    </w:rPr>
                  </w:pPr>
                </w:p>
              </w:tc>
              <w:tc>
                <w:tcPr>
                  <w:tcW w:w="427" w:type="pct"/>
                  <w:vMerge w:val="continue"/>
                  <w:noWrap w:val="0"/>
                  <w:vAlign w:val="center"/>
                </w:tcPr>
                <w:p w14:paraId="04A37706">
                  <w:pPr>
                    <w:jc w:val="center"/>
                    <w:rPr>
                      <w:rFonts w:hint="eastAsia" w:ascii="Times New Roman" w:hAnsi="Times New Roman"/>
                      <w:b w:val="0"/>
                      <w:bCs w:val="0"/>
                      <w:color w:val="auto"/>
                      <w:kern w:val="0"/>
                      <w:szCs w:val="21"/>
                    </w:rPr>
                  </w:pPr>
                </w:p>
              </w:tc>
              <w:tc>
                <w:tcPr>
                  <w:tcW w:w="428" w:type="pct"/>
                  <w:vMerge w:val="continue"/>
                  <w:noWrap w:val="0"/>
                  <w:vAlign w:val="center"/>
                </w:tcPr>
                <w:p w14:paraId="5FD897BD">
                  <w:pPr>
                    <w:jc w:val="center"/>
                    <w:rPr>
                      <w:rFonts w:hint="eastAsia" w:ascii="Times New Roman" w:hAnsi="Times New Roman"/>
                      <w:b w:val="0"/>
                      <w:bCs w:val="0"/>
                      <w:color w:val="auto"/>
                      <w:kern w:val="0"/>
                      <w:szCs w:val="21"/>
                    </w:rPr>
                  </w:pPr>
                </w:p>
              </w:tc>
              <w:tc>
                <w:tcPr>
                  <w:tcW w:w="1431" w:type="pct"/>
                  <w:gridSpan w:val="2"/>
                  <w:noWrap w:val="0"/>
                  <w:vAlign w:val="center"/>
                </w:tcPr>
                <w:p w14:paraId="78ED53AD">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464" w:type="pct"/>
                  <w:noWrap w:val="0"/>
                  <w:vAlign w:val="center"/>
                </w:tcPr>
                <w:p w14:paraId="7470BAA3">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465" w:type="pct"/>
                  <w:noWrap w:val="0"/>
                  <w:vAlign w:val="center"/>
                </w:tcPr>
                <w:p w14:paraId="0E992D86">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5" w:type="pct"/>
                  <w:noWrap w:val="0"/>
                  <w:vAlign w:val="center"/>
                </w:tcPr>
                <w:p w14:paraId="47F1F0D6">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6" w:type="pct"/>
                  <w:noWrap w:val="0"/>
                  <w:vAlign w:val="center"/>
                </w:tcPr>
                <w:p w14:paraId="5D84E0ED">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5" w:type="pct"/>
                  <w:vMerge w:val="continue"/>
                  <w:noWrap w:val="0"/>
                  <w:vAlign w:val="center"/>
                </w:tcPr>
                <w:p w14:paraId="77AB1773">
                  <w:pPr>
                    <w:snapToGrid w:val="0"/>
                    <w:jc w:val="center"/>
                    <w:rPr>
                      <w:rFonts w:ascii="Times New Roman" w:hAnsi="Times New Roman"/>
                      <w:b w:val="0"/>
                      <w:bCs w:val="0"/>
                      <w:color w:val="auto"/>
                      <w:szCs w:val="21"/>
                    </w:rPr>
                  </w:pPr>
                </w:p>
              </w:tc>
            </w:tr>
            <w:tr w14:paraId="32318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restart"/>
                  <w:noWrap w:val="0"/>
                  <w:vAlign w:val="center"/>
                </w:tcPr>
                <w:p w14:paraId="2DBA94BA">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w:t>
                  </w:r>
                  <w:r>
                    <w:rPr>
                      <w:rFonts w:hint="eastAsia" w:ascii="Times New Roman" w:hAnsi="Times New Roman"/>
                      <w:b w:val="0"/>
                      <w:bCs w:val="0"/>
                      <w:color w:val="auto"/>
                      <w:szCs w:val="21"/>
                    </w:rPr>
                    <w:t>月2</w:t>
                  </w:r>
                  <w:r>
                    <w:rPr>
                      <w:rFonts w:ascii="Times New Roman" w:hAnsi="Times New Roman"/>
                      <w:b w:val="0"/>
                      <w:bCs w:val="0"/>
                      <w:color w:val="auto"/>
                      <w:szCs w:val="21"/>
                    </w:rPr>
                    <w:t>7</w:t>
                  </w:r>
                  <w:r>
                    <w:rPr>
                      <w:rFonts w:hint="eastAsia" w:ascii="Times New Roman" w:hAnsi="Times New Roman"/>
                      <w:b w:val="0"/>
                      <w:bCs w:val="0"/>
                      <w:color w:val="auto"/>
                      <w:szCs w:val="21"/>
                    </w:rPr>
                    <w:t>日</w:t>
                  </w:r>
                </w:p>
              </w:tc>
              <w:tc>
                <w:tcPr>
                  <w:tcW w:w="427" w:type="pct"/>
                  <w:vMerge w:val="restart"/>
                  <w:noWrap w:val="0"/>
                  <w:vAlign w:val="center"/>
                </w:tcPr>
                <w:p w14:paraId="7594F5E5">
                  <w:pPr>
                    <w:widowControl/>
                    <w:jc w:val="center"/>
                    <w:textAlignment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DA001</w:t>
                  </w:r>
                </w:p>
              </w:tc>
              <w:tc>
                <w:tcPr>
                  <w:tcW w:w="428" w:type="pct"/>
                  <w:vMerge w:val="restart"/>
                  <w:noWrap w:val="0"/>
                  <w:vAlign w:val="center"/>
                </w:tcPr>
                <w:p w14:paraId="07A7759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鄂破工序除尘器进口</w:t>
                  </w:r>
                </w:p>
              </w:tc>
              <w:tc>
                <w:tcPr>
                  <w:tcW w:w="1431" w:type="pct"/>
                  <w:gridSpan w:val="2"/>
                  <w:noWrap w:val="0"/>
                  <w:vAlign w:val="center"/>
                </w:tcPr>
                <w:p w14:paraId="2D33E05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4" w:type="pct"/>
                  <w:gridSpan w:val="3"/>
                  <w:noWrap w:val="0"/>
                  <w:vAlign w:val="center"/>
                </w:tcPr>
                <w:p w14:paraId="48F70BFA">
                  <w:pPr>
                    <w:widowControl/>
                    <w:jc w:val="center"/>
                    <w:rPr>
                      <w:rFonts w:ascii="Times New Roman" w:hAnsi="Times New Roman"/>
                      <w:b w:val="0"/>
                      <w:bCs w:val="0"/>
                      <w:color w:val="auto"/>
                      <w:szCs w:val="21"/>
                    </w:rPr>
                  </w:pPr>
                  <w:r>
                    <w:rPr>
                      <w:rFonts w:ascii="Times New Roman" w:hAnsi="Times New Roman"/>
                      <w:b w:val="0"/>
                      <w:bCs w:val="0"/>
                      <w:color w:val="auto"/>
                      <w:szCs w:val="21"/>
                    </w:rPr>
                    <w:t>1.131</w:t>
                  </w:r>
                </w:p>
              </w:tc>
              <w:tc>
                <w:tcPr>
                  <w:tcW w:w="466" w:type="pct"/>
                  <w:noWrap w:val="0"/>
                  <w:vAlign w:val="center"/>
                </w:tcPr>
                <w:p w14:paraId="77801136">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5" w:type="pct"/>
                  <w:vMerge w:val="restart"/>
                  <w:noWrap w:val="0"/>
                  <w:vAlign w:val="center"/>
                </w:tcPr>
                <w:p w14:paraId="7AB2DCC1">
                  <w:pPr>
                    <w:widowControl/>
                    <w:jc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16267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0BDCE808">
                  <w:pPr>
                    <w:jc w:val="center"/>
                    <w:rPr>
                      <w:rFonts w:ascii="Times New Roman" w:hAnsi="Times New Roman"/>
                      <w:b w:val="0"/>
                      <w:bCs w:val="0"/>
                      <w:color w:val="auto"/>
                      <w:szCs w:val="21"/>
                    </w:rPr>
                  </w:pPr>
                </w:p>
              </w:tc>
              <w:tc>
                <w:tcPr>
                  <w:tcW w:w="427" w:type="pct"/>
                  <w:vMerge w:val="continue"/>
                  <w:noWrap w:val="0"/>
                  <w:vAlign w:val="center"/>
                </w:tcPr>
                <w:p w14:paraId="24FC6F27">
                  <w:pPr>
                    <w:jc w:val="center"/>
                    <w:rPr>
                      <w:rFonts w:ascii="Times New Roman" w:hAnsi="Times New Roman"/>
                      <w:b w:val="0"/>
                      <w:bCs w:val="0"/>
                      <w:color w:val="auto"/>
                      <w:szCs w:val="21"/>
                    </w:rPr>
                  </w:pPr>
                </w:p>
              </w:tc>
              <w:tc>
                <w:tcPr>
                  <w:tcW w:w="428" w:type="pct"/>
                  <w:vMerge w:val="continue"/>
                  <w:noWrap w:val="0"/>
                  <w:vAlign w:val="center"/>
                </w:tcPr>
                <w:p w14:paraId="32B416A4">
                  <w:pPr>
                    <w:jc w:val="center"/>
                    <w:rPr>
                      <w:rFonts w:ascii="Times New Roman" w:hAnsi="Times New Roman"/>
                      <w:b w:val="0"/>
                      <w:bCs w:val="0"/>
                      <w:color w:val="auto"/>
                      <w:szCs w:val="21"/>
                    </w:rPr>
                  </w:pPr>
                </w:p>
              </w:tc>
              <w:tc>
                <w:tcPr>
                  <w:tcW w:w="1431" w:type="pct"/>
                  <w:gridSpan w:val="2"/>
                  <w:noWrap w:val="0"/>
                  <w:vAlign w:val="center"/>
                </w:tcPr>
                <w:p w14:paraId="7053851B">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4" w:type="pct"/>
                  <w:noWrap w:val="0"/>
                  <w:vAlign w:val="center"/>
                </w:tcPr>
                <w:p w14:paraId="4E879E0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21.6</w:t>
                  </w:r>
                </w:p>
              </w:tc>
              <w:tc>
                <w:tcPr>
                  <w:tcW w:w="465" w:type="pct"/>
                  <w:noWrap w:val="0"/>
                  <w:vAlign w:val="center"/>
                </w:tcPr>
                <w:p w14:paraId="796074BD">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21.5</w:t>
                  </w:r>
                </w:p>
              </w:tc>
              <w:tc>
                <w:tcPr>
                  <w:tcW w:w="465" w:type="pct"/>
                  <w:noWrap w:val="0"/>
                  <w:vAlign w:val="center"/>
                </w:tcPr>
                <w:p w14:paraId="5B40FAB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22.1</w:t>
                  </w:r>
                </w:p>
              </w:tc>
              <w:tc>
                <w:tcPr>
                  <w:tcW w:w="466" w:type="pct"/>
                  <w:noWrap w:val="0"/>
                  <w:vAlign w:val="center"/>
                </w:tcPr>
                <w:p w14:paraId="648EDE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21.7</w:t>
                  </w:r>
                </w:p>
              </w:tc>
              <w:tc>
                <w:tcPr>
                  <w:tcW w:w="425" w:type="pct"/>
                  <w:vMerge w:val="continue"/>
                  <w:noWrap w:val="0"/>
                  <w:vAlign w:val="center"/>
                </w:tcPr>
                <w:p w14:paraId="74B5021C">
                  <w:pPr>
                    <w:widowControl/>
                    <w:jc w:val="center"/>
                    <w:textAlignment w:val="center"/>
                    <w:rPr>
                      <w:rFonts w:ascii="Times New Roman" w:hAnsi="Times New Roman"/>
                      <w:b w:val="0"/>
                      <w:bCs w:val="0"/>
                      <w:color w:val="auto"/>
                      <w:szCs w:val="21"/>
                    </w:rPr>
                  </w:pPr>
                </w:p>
              </w:tc>
            </w:tr>
            <w:tr w14:paraId="20D02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032E8FFE">
                  <w:pPr>
                    <w:jc w:val="center"/>
                    <w:rPr>
                      <w:rFonts w:ascii="Times New Roman" w:hAnsi="Times New Roman"/>
                      <w:b w:val="0"/>
                      <w:bCs w:val="0"/>
                      <w:color w:val="auto"/>
                      <w:szCs w:val="21"/>
                    </w:rPr>
                  </w:pPr>
                </w:p>
              </w:tc>
              <w:tc>
                <w:tcPr>
                  <w:tcW w:w="427" w:type="pct"/>
                  <w:vMerge w:val="continue"/>
                  <w:noWrap w:val="0"/>
                  <w:vAlign w:val="center"/>
                </w:tcPr>
                <w:p w14:paraId="34E771DA">
                  <w:pPr>
                    <w:jc w:val="center"/>
                    <w:rPr>
                      <w:rFonts w:ascii="Times New Roman" w:hAnsi="Times New Roman"/>
                      <w:b w:val="0"/>
                      <w:bCs w:val="0"/>
                      <w:color w:val="auto"/>
                      <w:szCs w:val="21"/>
                    </w:rPr>
                  </w:pPr>
                </w:p>
              </w:tc>
              <w:tc>
                <w:tcPr>
                  <w:tcW w:w="428" w:type="pct"/>
                  <w:vMerge w:val="continue"/>
                  <w:noWrap w:val="0"/>
                  <w:vAlign w:val="center"/>
                </w:tcPr>
                <w:p w14:paraId="730489BA">
                  <w:pPr>
                    <w:jc w:val="center"/>
                    <w:rPr>
                      <w:rFonts w:ascii="Times New Roman" w:hAnsi="Times New Roman"/>
                      <w:b w:val="0"/>
                      <w:bCs w:val="0"/>
                      <w:color w:val="auto"/>
                      <w:szCs w:val="21"/>
                    </w:rPr>
                  </w:pPr>
                </w:p>
              </w:tc>
              <w:tc>
                <w:tcPr>
                  <w:tcW w:w="1431" w:type="pct"/>
                  <w:gridSpan w:val="2"/>
                  <w:noWrap w:val="0"/>
                  <w:vAlign w:val="center"/>
                </w:tcPr>
                <w:p w14:paraId="367B5C5F">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4" w:type="pct"/>
                  <w:noWrap w:val="0"/>
                  <w:vAlign w:val="center"/>
                </w:tcPr>
                <w:p w14:paraId="69BDC7F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10.3</w:t>
                  </w:r>
                </w:p>
              </w:tc>
              <w:tc>
                <w:tcPr>
                  <w:tcW w:w="465" w:type="pct"/>
                  <w:noWrap w:val="0"/>
                  <w:vAlign w:val="center"/>
                </w:tcPr>
                <w:p w14:paraId="7D90073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10.2</w:t>
                  </w:r>
                </w:p>
              </w:tc>
              <w:tc>
                <w:tcPr>
                  <w:tcW w:w="465" w:type="pct"/>
                  <w:noWrap w:val="0"/>
                  <w:vAlign w:val="center"/>
                </w:tcPr>
                <w:p w14:paraId="0A02341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10.5</w:t>
                  </w:r>
                </w:p>
              </w:tc>
              <w:tc>
                <w:tcPr>
                  <w:tcW w:w="466" w:type="pct"/>
                  <w:noWrap w:val="0"/>
                  <w:vAlign w:val="center"/>
                </w:tcPr>
                <w:p w14:paraId="32994A9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10.3</w:t>
                  </w:r>
                </w:p>
              </w:tc>
              <w:tc>
                <w:tcPr>
                  <w:tcW w:w="425" w:type="pct"/>
                  <w:vMerge w:val="continue"/>
                  <w:noWrap w:val="0"/>
                  <w:vAlign w:val="center"/>
                </w:tcPr>
                <w:p w14:paraId="6815E05D">
                  <w:pPr>
                    <w:widowControl/>
                    <w:jc w:val="center"/>
                    <w:textAlignment w:val="center"/>
                    <w:rPr>
                      <w:rFonts w:ascii="Times New Roman" w:hAnsi="Times New Roman"/>
                      <w:b w:val="0"/>
                      <w:bCs w:val="0"/>
                      <w:color w:val="auto"/>
                      <w:szCs w:val="21"/>
                    </w:rPr>
                  </w:pPr>
                </w:p>
              </w:tc>
            </w:tr>
            <w:tr w14:paraId="03E19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6" w:type="pct"/>
                  <w:vMerge w:val="continue"/>
                  <w:noWrap w:val="0"/>
                  <w:vAlign w:val="center"/>
                </w:tcPr>
                <w:p w14:paraId="7EAF872A">
                  <w:pPr>
                    <w:jc w:val="center"/>
                    <w:rPr>
                      <w:rFonts w:ascii="Times New Roman" w:hAnsi="Times New Roman"/>
                      <w:b w:val="0"/>
                      <w:bCs w:val="0"/>
                      <w:color w:val="auto"/>
                      <w:szCs w:val="21"/>
                    </w:rPr>
                  </w:pPr>
                </w:p>
              </w:tc>
              <w:tc>
                <w:tcPr>
                  <w:tcW w:w="427" w:type="pct"/>
                  <w:vMerge w:val="continue"/>
                  <w:noWrap w:val="0"/>
                  <w:vAlign w:val="center"/>
                </w:tcPr>
                <w:p w14:paraId="2C6D1CC7">
                  <w:pPr>
                    <w:jc w:val="center"/>
                    <w:rPr>
                      <w:rFonts w:ascii="Times New Roman" w:hAnsi="Times New Roman"/>
                      <w:b w:val="0"/>
                      <w:bCs w:val="0"/>
                      <w:color w:val="auto"/>
                      <w:szCs w:val="21"/>
                    </w:rPr>
                  </w:pPr>
                </w:p>
              </w:tc>
              <w:tc>
                <w:tcPr>
                  <w:tcW w:w="428" w:type="pct"/>
                  <w:vMerge w:val="continue"/>
                  <w:noWrap w:val="0"/>
                  <w:vAlign w:val="center"/>
                </w:tcPr>
                <w:p w14:paraId="2F75DDCA">
                  <w:pPr>
                    <w:jc w:val="center"/>
                    <w:rPr>
                      <w:rFonts w:ascii="Times New Roman" w:hAnsi="Times New Roman"/>
                      <w:b w:val="0"/>
                      <w:bCs w:val="0"/>
                      <w:color w:val="auto"/>
                      <w:szCs w:val="21"/>
                    </w:rPr>
                  </w:pPr>
                </w:p>
              </w:tc>
              <w:tc>
                <w:tcPr>
                  <w:tcW w:w="1431" w:type="pct"/>
                  <w:gridSpan w:val="2"/>
                  <w:noWrap w:val="0"/>
                  <w:vAlign w:val="center"/>
                </w:tcPr>
                <w:p w14:paraId="10FD38EF">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4" w:type="pct"/>
                  <w:noWrap w:val="0"/>
                  <w:vAlign w:val="center"/>
                </w:tcPr>
                <w:p w14:paraId="20C6FBC8">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36061</w:t>
                  </w:r>
                </w:p>
              </w:tc>
              <w:tc>
                <w:tcPr>
                  <w:tcW w:w="465" w:type="pct"/>
                  <w:noWrap w:val="0"/>
                  <w:vAlign w:val="center"/>
                </w:tcPr>
                <w:p w14:paraId="14F8E80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35642</w:t>
                  </w:r>
                </w:p>
              </w:tc>
              <w:tc>
                <w:tcPr>
                  <w:tcW w:w="465" w:type="pct"/>
                  <w:noWrap w:val="0"/>
                  <w:vAlign w:val="center"/>
                </w:tcPr>
                <w:p w14:paraId="219EA14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36533</w:t>
                  </w:r>
                </w:p>
              </w:tc>
              <w:tc>
                <w:tcPr>
                  <w:tcW w:w="466" w:type="pct"/>
                  <w:noWrap w:val="0"/>
                  <w:vAlign w:val="center"/>
                </w:tcPr>
                <w:p w14:paraId="00E797D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36079</w:t>
                  </w:r>
                </w:p>
              </w:tc>
              <w:tc>
                <w:tcPr>
                  <w:tcW w:w="425" w:type="pct"/>
                  <w:vMerge w:val="continue"/>
                  <w:noWrap w:val="0"/>
                  <w:vAlign w:val="center"/>
                </w:tcPr>
                <w:p w14:paraId="5CD0C325">
                  <w:pPr>
                    <w:widowControl/>
                    <w:jc w:val="center"/>
                    <w:textAlignment w:val="center"/>
                    <w:rPr>
                      <w:rFonts w:ascii="Times New Roman" w:hAnsi="Times New Roman"/>
                      <w:b w:val="0"/>
                      <w:bCs w:val="0"/>
                      <w:color w:val="auto"/>
                      <w:szCs w:val="21"/>
                    </w:rPr>
                  </w:pPr>
                </w:p>
              </w:tc>
            </w:tr>
            <w:tr w14:paraId="72BCC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2C699401">
                  <w:pPr>
                    <w:jc w:val="center"/>
                    <w:rPr>
                      <w:rFonts w:ascii="Times New Roman" w:hAnsi="Times New Roman"/>
                      <w:b w:val="0"/>
                      <w:bCs w:val="0"/>
                      <w:color w:val="auto"/>
                      <w:szCs w:val="21"/>
                    </w:rPr>
                  </w:pPr>
                </w:p>
              </w:tc>
              <w:tc>
                <w:tcPr>
                  <w:tcW w:w="427" w:type="pct"/>
                  <w:vMerge w:val="continue"/>
                  <w:noWrap w:val="0"/>
                  <w:vAlign w:val="center"/>
                </w:tcPr>
                <w:p w14:paraId="21CEE2D1">
                  <w:pPr>
                    <w:jc w:val="center"/>
                    <w:rPr>
                      <w:rFonts w:ascii="Times New Roman" w:hAnsi="Times New Roman"/>
                      <w:b w:val="0"/>
                      <w:bCs w:val="0"/>
                      <w:color w:val="auto"/>
                      <w:szCs w:val="21"/>
                    </w:rPr>
                  </w:pPr>
                </w:p>
              </w:tc>
              <w:tc>
                <w:tcPr>
                  <w:tcW w:w="428" w:type="pct"/>
                  <w:vMerge w:val="continue"/>
                  <w:noWrap w:val="0"/>
                  <w:vAlign w:val="center"/>
                </w:tcPr>
                <w:p w14:paraId="68CA945A">
                  <w:pPr>
                    <w:jc w:val="center"/>
                    <w:rPr>
                      <w:rFonts w:ascii="Times New Roman" w:hAnsi="Times New Roman"/>
                      <w:b w:val="0"/>
                      <w:bCs w:val="0"/>
                      <w:color w:val="auto"/>
                      <w:szCs w:val="21"/>
                    </w:rPr>
                  </w:pPr>
                </w:p>
              </w:tc>
              <w:tc>
                <w:tcPr>
                  <w:tcW w:w="428" w:type="pct"/>
                  <w:vMerge w:val="restart"/>
                  <w:noWrap w:val="0"/>
                  <w:vAlign w:val="center"/>
                </w:tcPr>
                <w:p w14:paraId="744691A7">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72CE6496">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4" w:type="pct"/>
                  <w:noWrap w:val="0"/>
                  <w:vAlign w:val="center"/>
                </w:tcPr>
                <w:p w14:paraId="4B4A048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371</w:t>
                  </w:r>
                </w:p>
              </w:tc>
              <w:tc>
                <w:tcPr>
                  <w:tcW w:w="465" w:type="pct"/>
                  <w:noWrap w:val="0"/>
                  <w:vAlign w:val="center"/>
                </w:tcPr>
                <w:p w14:paraId="0061F57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348</w:t>
                  </w:r>
                </w:p>
              </w:tc>
              <w:tc>
                <w:tcPr>
                  <w:tcW w:w="465" w:type="pct"/>
                  <w:noWrap w:val="0"/>
                  <w:vAlign w:val="center"/>
                </w:tcPr>
                <w:p w14:paraId="633A4D4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392</w:t>
                  </w:r>
                </w:p>
              </w:tc>
              <w:tc>
                <w:tcPr>
                  <w:tcW w:w="466" w:type="pct"/>
                  <w:noWrap w:val="0"/>
                  <w:vAlign w:val="center"/>
                </w:tcPr>
                <w:p w14:paraId="14DA180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370</w:t>
                  </w:r>
                </w:p>
              </w:tc>
              <w:tc>
                <w:tcPr>
                  <w:tcW w:w="425" w:type="pct"/>
                  <w:vMerge w:val="continue"/>
                  <w:noWrap w:val="0"/>
                  <w:vAlign w:val="center"/>
                </w:tcPr>
                <w:p w14:paraId="4F87B357">
                  <w:pPr>
                    <w:widowControl/>
                    <w:jc w:val="center"/>
                    <w:textAlignment w:val="center"/>
                    <w:rPr>
                      <w:rFonts w:ascii="Times New Roman" w:hAnsi="Times New Roman"/>
                      <w:b w:val="0"/>
                      <w:bCs w:val="0"/>
                      <w:color w:val="auto"/>
                      <w:szCs w:val="21"/>
                    </w:rPr>
                  </w:pPr>
                </w:p>
              </w:tc>
            </w:tr>
            <w:tr w14:paraId="6B9B3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5A82E99D">
                  <w:pPr>
                    <w:jc w:val="center"/>
                    <w:rPr>
                      <w:rFonts w:ascii="Times New Roman" w:hAnsi="Times New Roman"/>
                      <w:b w:val="0"/>
                      <w:bCs w:val="0"/>
                      <w:color w:val="auto"/>
                      <w:szCs w:val="21"/>
                    </w:rPr>
                  </w:pPr>
                </w:p>
              </w:tc>
              <w:tc>
                <w:tcPr>
                  <w:tcW w:w="427" w:type="pct"/>
                  <w:vMerge w:val="continue"/>
                  <w:noWrap w:val="0"/>
                  <w:vAlign w:val="center"/>
                </w:tcPr>
                <w:p w14:paraId="73665AE7">
                  <w:pPr>
                    <w:jc w:val="center"/>
                    <w:rPr>
                      <w:rFonts w:ascii="Times New Roman" w:hAnsi="Times New Roman"/>
                      <w:b w:val="0"/>
                      <w:bCs w:val="0"/>
                      <w:color w:val="auto"/>
                      <w:szCs w:val="21"/>
                    </w:rPr>
                  </w:pPr>
                </w:p>
              </w:tc>
              <w:tc>
                <w:tcPr>
                  <w:tcW w:w="428" w:type="pct"/>
                  <w:vMerge w:val="continue"/>
                  <w:noWrap w:val="0"/>
                  <w:vAlign w:val="center"/>
                </w:tcPr>
                <w:p w14:paraId="73863EE7">
                  <w:pPr>
                    <w:jc w:val="center"/>
                    <w:rPr>
                      <w:rFonts w:ascii="Times New Roman" w:hAnsi="Times New Roman"/>
                      <w:b w:val="0"/>
                      <w:bCs w:val="0"/>
                      <w:color w:val="auto"/>
                      <w:szCs w:val="21"/>
                    </w:rPr>
                  </w:pPr>
                </w:p>
              </w:tc>
              <w:tc>
                <w:tcPr>
                  <w:tcW w:w="428" w:type="pct"/>
                  <w:vMerge w:val="continue"/>
                  <w:noWrap w:val="0"/>
                  <w:vAlign w:val="center"/>
                </w:tcPr>
                <w:p w14:paraId="19BA4D0C">
                  <w:pPr>
                    <w:jc w:val="center"/>
                    <w:rPr>
                      <w:rFonts w:ascii="Times New Roman" w:hAnsi="Times New Roman"/>
                      <w:b w:val="0"/>
                      <w:bCs w:val="0"/>
                      <w:color w:val="auto"/>
                      <w:szCs w:val="21"/>
                    </w:rPr>
                  </w:pPr>
                </w:p>
              </w:tc>
              <w:tc>
                <w:tcPr>
                  <w:tcW w:w="1003" w:type="pct"/>
                  <w:noWrap w:val="0"/>
                  <w:vAlign w:val="center"/>
                </w:tcPr>
                <w:p w14:paraId="52C8D66F">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速率（kg/h）</w:t>
                  </w:r>
                </w:p>
              </w:tc>
              <w:tc>
                <w:tcPr>
                  <w:tcW w:w="464" w:type="pct"/>
                  <w:noWrap w:val="0"/>
                  <w:vAlign w:val="center"/>
                </w:tcPr>
                <w:p w14:paraId="313A347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13.4</w:t>
                  </w:r>
                </w:p>
              </w:tc>
              <w:tc>
                <w:tcPr>
                  <w:tcW w:w="465" w:type="pct"/>
                  <w:noWrap w:val="0"/>
                  <w:vAlign w:val="center"/>
                </w:tcPr>
                <w:p w14:paraId="5206217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12.4</w:t>
                  </w:r>
                </w:p>
              </w:tc>
              <w:tc>
                <w:tcPr>
                  <w:tcW w:w="465" w:type="pct"/>
                  <w:noWrap w:val="0"/>
                  <w:vAlign w:val="center"/>
                </w:tcPr>
                <w:p w14:paraId="157C6A3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14.3</w:t>
                  </w:r>
                </w:p>
              </w:tc>
              <w:tc>
                <w:tcPr>
                  <w:tcW w:w="466" w:type="pct"/>
                  <w:noWrap w:val="0"/>
                  <w:vAlign w:val="center"/>
                </w:tcPr>
                <w:p w14:paraId="26419F4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13.4</w:t>
                  </w:r>
                </w:p>
              </w:tc>
              <w:tc>
                <w:tcPr>
                  <w:tcW w:w="425" w:type="pct"/>
                  <w:vMerge w:val="continue"/>
                  <w:noWrap w:val="0"/>
                  <w:vAlign w:val="center"/>
                </w:tcPr>
                <w:p w14:paraId="7133E14A">
                  <w:pPr>
                    <w:widowControl/>
                    <w:jc w:val="center"/>
                    <w:textAlignment w:val="center"/>
                    <w:rPr>
                      <w:rFonts w:ascii="Times New Roman" w:hAnsi="Times New Roman"/>
                      <w:b w:val="0"/>
                      <w:bCs w:val="0"/>
                      <w:color w:val="auto"/>
                      <w:szCs w:val="21"/>
                    </w:rPr>
                  </w:pPr>
                </w:p>
              </w:tc>
            </w:tr>
            <w:tr w14:paraId="2E5F2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0834F293">
                  <w:pPr>
                    <w:widowControl/>
                    <w:jc w:val="center"/>
                    <w:textAlignment w:val="center"/>
                    <w:rPr>
                      <w:rFonts w:hint="eastAsia" w:ascii="Times New Roman" w:hAnsi="Times New Roman"/>
                      <w:b w:val="0"/>
                      <w:bCs w:val="0"/>
                      <w:color w:val="auto"/>
                      <w:szCs w:val="21"/>
                    </w:rPr>
                  </w:pPr>
                </w:p>
              </w:tc>
              <w:tc>
                <w:tcPr>
                  <w:tcW w:w="427" w:type="pct"/>
                  <w:vMerge w:val="continue"/>
                  <w:noWrap w:val="0"/>
                  <w:vAlign w:val="center"/>
                </w:tcPr>
                <w:p w14:paraId="39FE2941">
                  <w:pPr>
                    <w:widowControl/>
                    <w:jc w:val="center"/>
                    <w:textAlignment w:val="center"/>
                    <w:rPr>
                      <w:rFonts w:hint="eastAsia" w:ascii="Times New Roman" w:hAnsi="Times New Roman"/>
                      <w:b w:val="0"/>
                      <w:bCs w:val="0"/>
                      <w:color w:val="auto"/>
                      <w:szCs w:val="21"/>
                    </w:rPr>
                  </w:pPr>
                </w:p>
              </w:tc>
              <w:tc>
                <w:tcPr>
                  <w:tcW w:w="428" w:type="pct"/>
                  <w:vMerge w:val="restart"/>
                  <w:noWrap w:val="0"/>
                  <w:vAlign w:val="center"/>
                </w:tcPr>
                <w:p w14:paraId="4229C332">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鄂破工序除尘器出口</w:t>
                  </w:r>
                </w:p>
              </w:tc>
              <w:tc>
                <w:tcPr>
                  <w:tcW w:w="1431" w:type="pct"/>
                  <w:gridSpan w:val="2"/>
                  <w:noWrap w:val="0"/>
                  <w:vAlign w:val="center"/>
                </w:tcPr>
                <w:p w14:paraId="43B2958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464" w:type="pct"/>
                  <w:noWrap w:val="0"/>
                  <w:vAlign w:val="center"/>
                </w:tcPr>
                <w:p w14:paraId="6728A96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465" w:type="pct"/>
                  <w:noWrap w:val="0"/>
                  <w:vAlign w:val="center"/>
                </w:tcPr>
                <w:p w14:paraId="0F40D45D">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5" w:type="pct"/>
                  <w:noWrap w:val="0"/>
                  <w:vAlign w:val="center"/>
                </w:tcPr>
                <w:p w14:paraId="06A1F3EF">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6" w:type="pct"/>
                  <w:noWrap w:val="0"/>
                  <w:vAlign w:val="center"/>
                </w:tcPr>
                <w:p w14:paraId="32FCB70C">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5" w:type="pct"/>
                  <w:vMerge w:val="continue"/>
                  <w:noWrap w:val="0"/>
                  <w:vAlign w:val="center"/>
                </w:tcPr>
                <w:p w14:paraId="05EB0907">
                  <w:pPr>
                    <w:widowControl/>
                    <w:jc w:val="center"/>
                    <w:rPr>
                      <w:rFonts w:ascii="Times New Roman" w:hAnsi="Times New Roman"/>
                      <w:b w:val="0"/>
                      <w:bCs w:val="0"/>
                      <w:color w:val="auto"/>
                      <w:szCs w:val="21"/>
                    </w:rPr>
                  </w:pPr>
                </w:p>
              </w:tc>
            </w:tr>
            <w:tr w14:paraId="4C50C0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2172F24D">
                  <w:pPr>
                    <w:jc w:val="center"/>
                    <w:rPr>
                      <w:rFonts w:ascii="Times New Roman" w:hAnsi="Times New Roman"/>
                      <w:b w:val="0"/>
                      <w:bCs w:val="0"/>
                      <w:color w:val="auto"/>
                      <w:szCs w:val="21"/>
                    </w:rPr>
                  </w:pPr>
                </w:p>
              </w:tc>
              <w:tc>
                <w:tcPr>
                  <w:tcW w:w="427" w:type="pct"/>
                  <w:vMerge w:val="continue"/>
                  <w:noWrap w:val="0"/>
                  <w:vAlign w:val="center"/>
                </w:tcPr>
                <w:p w14:paraId="1836B041">
                  <w:pPr>
                    <w:jc w:val="center"/>
                    <w:rPr>
                      <w:rFonts w:ascii="Times New Roman" w:hAnsi="Times New Roman"/>
                      <w:b w:val="0"/>
                      <w:bCs w:val="0"/>
                      <w:color w:val="auto"/>
                      <w:szCs w:val="21"/>
                    </w:rPr>
                  </w:pPr>
                </w:p>
              </w:tc>
              <w:tc>
                <w:tcPr>
                  <w:tcW w:w="428" w:type="pct"/>
                  <w:vMerge w:val="continue"/>
                  <w:noWrap w:val="0"/>
                  <w:vAlign w:val="center"/>
                </w:tcPr>
                <w:p w14:paraId="41D3924B">
                  <w:pPr>
                    <w:jc w:val="center"/>
                    <w:rPr>
                      <w:rFonts w:ascii="Times New Roman" w:hAnsi="Times New Roman"/>
                      <w:b w:val="0"/>
                      <w:bCs w:val="0"/>
                      <w:color w:val="auto"/>
                      <w:szCs w:val="21"/>
                    </w:rPr>
                  </w:pPr>
                </w:p>
              </w:tc>
              <w:tc>
                <w:tcPr>
                  <w:tcW w:w="1431" w:type="pct"/>
                  <w:gridSpan w:val="2"/>
                  <w:noWrap w:val="0"/>
                  <w:vAlign w:val="center"/>
                </w:tcPr>
                <w:p w14:paraId="702F72CD">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4" w:type="pct"/>
                  <w:gridSpan w:val="3"/>
                  <w:noWrap w:val="0"/>
                  <w:vAlign w:val="center"/>
                </w:tcPr>
                <w:p w14:paraId="5EC74AE9">
                  <w:pPr>
                    <w:jc w:val="center"/>
                    <w:rPr>
                      <w:rFonts w:ascii="Times New Roman" w:hAnsi="Times New Roman"/>
                      <w:b w:val="0"/>
                      <w:bCs w:val="0"/>
                      <w:color w:val="auto"/>
                      <w:szCs w:val="21"/>
                    </w:rPr>
                  </w:pPr>
                  <w:r>
                    <w:rPr>
                      <w:rFonts w:ascii="Times New Roman" w:hAnsi="Times New Roman"/>
                      <w:b w:val="0"/>
                      <w:bCs w:val="0"/>
                      <w:color w:val="auto"/>
                      <w:szCs w:val="21"/>
                    </w:rPr>
                    <w:t>0.785</w:t>
                  </w:r>
                </w:p>
              </w:tc>
              <w:tc>
                <w:tcPr>
                  <w:tcW w:w="466" w:type="pct"/>
                  <w:noWrap w:val="0"/>
                  <w:vAlign w:val="center"/>
                </w:tcPr>
                <w:p w14:paraId="00E6C4C1">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5" w:type="pct"/>
                  <w:vMerge w:val="continue"/>
                  <w:noWrap w:val="0"/>
                  <w:vAlign w:val="center"/>
                </w:tcPr>
                <w:p w14:paraId="2B4D6C81">
                  <w:pPr>
                    <w:jc w:val="center"/>
                    <w:rPr>
                      <w:rFonts w:ascii="Times New Roman" w:hAnsi="Times New Roman"/>
                      <w:b w:val="0"/>
                      <w:bCs w:val="0"/>
                      <w:color w:val="auto"/>
                      <w:szCs w:val="21"/>
                    </w:rPr>
                  </w:pPr>
                </w:p>
              </w:tc>
            </w:tr>
            <w:tr w14:paraId="167C7E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788EC666">
                  <w:pPr>
                    <w:jc w:val="center"/>
                    <w:rPr>
                      <w:rFonts w:ascii="Times New Roman" w:hAnsi="Times New Roman"/>
                      <w:b w:val="0"/>
                      <w:bCs w:val="0"/>
                      <w:color w:val="auto"/>
                      <w:szCs w:val="21"/>
                    </w:rPr>
                  </w:pPr>
                </w:p>
              </w:tc>
              <w:tc>
                <w:tcPr>
                  <w:tcW w:w="427" w:type="pct"/>
                  <w:vMerge w:val="continue"/>
                  <w:noWrap w:val="0"/>
                  <w:vAlign w:val="center"/>
                </w:tcPr>
                <w:p w14:paraId="401C7FAF">
                  <w:pPr>
                    <w:jc w:val="center"/>
                    <w:rPr>
                      <w:rFonts w:ascii="Times New Roman" w:hAnsi="Times New Roman"/>
                      <w:b w:val="0"/>
                      <w:bCs w:val="0"/>
                      <w:color w:val="auto"/>
                      <w:szCs w:val="21"/>
                    </w:rPr>
                  </w:pPr>
                </w:p>
              </w:tc>
              <w:tc>
                <w:tcPr>
                  <w:tcW w:w="428" w:type="pct"/>
                  <w:vMerge w:val="continue"/>
                  <w:noWrap w:val="0"/>
                  <w:vAlign w:val="center"/>
                </w:tcPr>
                <w:p w14:paraId="2E9D4264">
                  <w:pPr>
                    <w:jc w:val="center"/>
                    <w:rPr>
                      <w:rFonts w:ascii="Times New Roman" w:hAnsi="Times New Roman"/>
                      <w:b w:val="0"/>
                      <w:bCs w:val="0"/>
                      <w:color w:val="auto"/>
                      <w:szCs w:val="21"/>
                    </w:rPr>
                  </w:pPr>
                </w:p>
              </w:tc>
              <w:tc>
                <w:tcPr>
                  <w:tcW w:w="1431" w:type="pct"/>
                  <w:gridSpan w:val="2"/>
                  <w:noWrap w:val="0"/>
                  <w:vAlign w:val="center"/>
                </w:tcPr>
                <w:p w14:paraId="60E37F28">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4" w:type="pct"/>
                  <w:noWrap w:val="0"/>
                  <w:vAlign w:val="center"/>
                </w:tcPr>
                <w:p w14:paraId="78450FC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w:t>
                  </w:r>
                  <w:r>
                    <w:rPr>
                      <w:rStyle w:val="85"/>
                      <w:rFonts w:hint="default" w:ascii="Times New Roman" w:hAnsi="Times New Roman" w:cs="Times New Roman"/>
                      <w:b w:val="0"/>
                      <w:bCs w:val="0"/>
                      <w:color w:val="auto"/>
                      <w:sz w:val="21"/>
                      <w:szCs w:val="21"/>
                      <w:lang w:bidi="ar"/>
                    </w:rPr>
                    <w:t>8</w:t>
                  </w:r>
                  <w:r>
                    <w:rPr>
                      <w:rStyle w:val="86"/>
                      <w:b w:val="0"/>
                      <w:bCs w:val="0"/>
                      <w:color w:val="auto"/>
                      <w:sz w:val="21"/>
                      <w:szCs w:val="21"/>
                      <w:lang w:bidi="ar"/>
                    </w:rPr>
                    <w:t xml:space="preserve"> </w:t>
                  </w:r>
                </w:p>
              </w:tc>
              <w:tc>
                <w:tcPr>
                  <w:tcW w:w="465" w:type="pct"/>
                  <w:noWrap w:val="0"/>
                  <w:vAlign w:val="center"/>
                </w:tcPr>
                <w:p w14:paraId="782AEE2B">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18.2</w:t>
                  </w:r>
                </w:p>
              </w:tc>
              <w:tc>
                <w:tcPr>
                  <w:tcW w:w="465" w:type="pct"/>
                  <w:noWrap w:val="0"/>
                  <w:vAlign w:val="center"/>
                </w:tcPr>
                <w:p w14:paraId="5889C93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19.3</w:t>
                  </w:r>
                </w:p>
              </w:tc>
              <w:tc>
                <w:tcPr>
                  <w:tcW w:w="466" w:type="pct"/>
                  <w:noWrap w:val="0"/>
                  <w:vAlign w:val="center"/>
                </w:tcPr>
                <w:p w14:paraId="0331D78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18.8 </w:t>
                  </w:r>
                </w:p>
              </w:tc>
              <w:tc>
                <w:tcPr>
                  <w:tcW w:w="425" w:type="pct"/>
                  <w:vMerge w:val="continue"/>
                  <w:noWrap w:val="0"/>
                  <w:vAlign w:val="center"/>
                </w:tcPr>
                <w:p w14:paraId="1C0E2280">
                  <w:pPr>
                    <w:widowControl/>
                    <w:jc w:val="center"/>
                    <w:textAlignment w:val="center"/>
                    <w:rPr>
                      <w:rFonts w:ascii="Times New Roman" w:hAnsi="Times New Roman"/>
                      <w:b w:val="0"/>
                      <w:bCs w:val="0"/>
                      <w:color w:val="auto"/>
                      <w:szCs w:val="21"/>
                    </w:rPr>
                  </w:pPr>
                </w:p>
              </w:tc>
            </w:tr>
            <w:tr w14:paraId="4388C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0203CBC0">
                  <w:pPr>
                    <w:jc w:val="center"/>
                    <w:rPr>
                      <w:rFonts w:ascii="Times New Roman" w:hAnsi="Times New Roman"/>
                      <w:b w:val="0"/>
                      <w:bCs w:val="0"/>
                      <w:color w:val="auto"/>
                      <w:szCs w:val="21"/>
                    </w:rPr>
                  </w:pPr>
                </w:p>
              </w:tc>
              <w:tc>
                <w:tcPr>
                  <w:tcW w:w="427" w:type="pct"/>
                  <w:vMerge w:val="continue"/>
                  <w:noWrap w:val="0"/>
                  <w:vAlign w:val="center"/>
                </w:tcPr>
                <w:p w14:paraId="61DBDCC5">
                  <w:pPr>
                    <w:jc w:val="center"/>
                    <w:rPr>
                      <w:rFonts w:ascii="Times New Roman" w:hAnsi="Times New Roman"/>
                      <w:b w:val="0"/>
                      <w:bCs w:val="0"/>
                      <w:color w:val="auto"/>
                      <w:szCs w:val="21"/>
                    </w:rPr>
                  </w:pPr>
                </w:p>
              </w:tc>
              <w:tc>
                <w:tcPr>
                  <w:tcW w:w="428" w:type="pct"/>
                  <w:vMerge w:val="continue"/>
                  <w:noWrap w:val="0"/>
                  <w:vAlign w:val="center"/>
                </w:tcPr>
                <w:p w14:paraId="55C0F741">
                  <w:pPr>
                    <w:jc w:val="center"/>
                    <w:rPr>
                      <w:rFonts w:ascii="Times New Roman" w:hAnsi="Times New Roman"/>
                      <w:b w:val="0"/>
                      <w:bCs w:val="0"/>
                      <w:color w:val="auto"/>
                      <w:szCs w:val="21"/>
                    </w:rPr>
                  </w:pPr>
                </w:p>
              </w:tc>
              <w:tc>
                <w:tcPr>
                  <w:tcW w:w="1431" w:type="pct"/>
                  <w:gridSpan w:val="2"/>
                  <w:noWrap w:val="0"/>
                  <w:vAlign w:val="center"/>
                </w:tcPr>
                <w:p w14:paraId="61D8C8CD">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4" w:type="pct"/>
                  <w:noWrap w:val="0"/>
                  <w:vAlign w:val="center"/>
                </w:tcPr>
                <w:p w14:paraId="2113A76D">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17.1</w:t>
                  </w:r>
                </w:p>
              </w:tc>
              <w:tc>
                <w:tcPr>
                  <w:tcW w:w="465" w:type="pct"/>
                  <w:noWrap w:val="0"/>
                  <w:vAlign w:val="center"/>
                </w:tcPr>
                <w:p w14:paraId="681382D4">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17.1</w:t>
                  </w:r>
                </w:p>
              </w:tc>
              <w:tc>
                <w:tcPr>
                  <w:tcW w:w="465" w:type="pct"/>
                  <w:noWrap w:val="0"/>
                  <w:vAlign w:val="center"/>
                </w:tcPr>
                <w:p w14:paraId="2B8A4A2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17.1</w:t>
                  </w:r>
                </w:p>
              </w:tc>
              <w:tc>
                <w:tcPr>
                  <w:tcW w:w="466" w:type="pct"/>
                  <w:noWrap w:val="0"/>
                  <w:vAlign w:val="center"/>
                </w:tcPr>
                <w:p w14:paraId="36FD7C3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17.1 </w:t>
                  </w:r>
                </w:p>
              </w:tc>
              <w:tc>
                <w:tcPr>
                  <w:tcW w:w="425" w:type="pct"/>
                  <w:vMerge w:val="continue"/>
                  <w:noWrap w:val="0"/>
                  <w:vAlign w:val="center"/>
                </w:tcPr>
                <w:p w14:paraId="6B1F9BE5">
                  <w:pPr>
                    <w:widowControl/>
                    <w:jc w:val="center"/>
                    <w:textAlignment w:val="center"/>
                    <w:rPr>
                      <w:rFonts w:ascii="Times New Roman" w:hAnsi="Times New Roman"/>
                      <w:b w:val="0"/>
                      <w:bCs w:val="0"/>
                      <w:color w:val="auto"/>
                      <w:szCs w:val="21"/>
                    </w:rPr>
                  </w:pPr>
                </w:p>
              </w:tc>
            </w:tr>
            <w:tr w14:paraId="45F99A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6" w:type="pct"/>
                  <w:vMerge w:val="continue"/>
                  <w:noWrap w:val="0"/>
                  <w:vAlign w:val="center"/>
                </w:tcPr>
                <w:p w14:paraId="5E1A918E">
                  <w:pPr>
                    <w:jc w:val="center"/>
                    <w:rPr>
                      <w:rFonts w:ascii="Times New Roman" w:hAnsi="Times New Roman"/>
                      <w:b w:val="0"/>
                      <w:bCs w:val="0"/>
                      <w:color w:val="auto"/>
                      <w:szCs w:val="21"/>
                    </w:rPr>
                  </w:pPr>
                </w:p>
              </w:tc>
              <w:tc>
                <w:tcPr>
                  <w:tcW w:w="427" w:type="pct"/>
                  <w:vMerge w:val="continue"/>
                  <w:noWrap w:val="0"/>
                  <w:vAlign w:val="center"/>
                </w:tcPr>
                <w:p w14:paraId="2E5B01C6">
                  <w:pPr>
                    <w:jc w:val="center"/>
                    <w:rPr>
                      <w:rFonts w:ascii="Times New Roman" w:hAnsi="Times New Roman"/>
                      <w:b w:val="0"/>
                      <w:bCs w:val="0"/>
                      <w:color w:val="auto"/>
                      <w:szCs w:val="21"/>
                    </w:rPr>
                  </w:pPr>
                </w:p>
              </w:tc>
              <w:tc>
                <w:tcPr>
                  <w:tcW w:w="428" w:type="pct"/>
                  <w:vMerge w:val="continue"/>
                  <w:noWrap w:val="0"/>
                  <w:vAlign w:val="center"/>
                </w:tcPr>
                <w:p w14:paraId="28D9548C">
                  <w:pPr>
                    <w:jc w:val="center"/>
                    <w:rPr>
                      <w:rFonts w:ascii="Times New Roman" w:hAnsi="Times New Roman"/>
                      <w:b w:val="0"/>
                      <w:bCs w:val="0"/>
                      <w:color w:val="auto"/>
                      <w:szCs w:val="21"/>
                    </w:rPr>
                  </w:pPr>
                </w:p>
              </w:tc>
              <w:tc>
                <w:tcPr>
                  <w:tcW w:w="1431" w:type="pct"/>
                  <w:gridSpan w:val="2"/>
                  <w:noWrap w:val="0"/>
                  <w:vAlign w:val="center"/>
                </w:tcPr>
                <w:p w14:paraId="097C90D5">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4" w:type="pct"/>
                  <w:noWrap w:val="0"/>
                  <w:vAlign w:val="center"/>
                </w:tcPr>
                <w:p w14:paraId="7C4E822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41685</w:t>
                  </w:r>
                </w:p>
              </w:tc>
              <w:tc>
                <w:tcPr>
                  <w:tcW w:w="465" w:type="pct"/>
                  <w:noWrap w:val="0"/>
                  <w:vAlign w:val="center"/>
                </w:tcPr>
                <w:p w14:paraId="1D1BF9B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41480</w:t>
                  </w:r>
                </w:p>
              </w:tc>
              <w:tc>
                <w:tcPr>
                  <w:tcW w:w="465" w:type="pct"/>
                  <w:noWrap w:val="0"/>
                  <w:vAlign w:val="center"/>
                </w:tcPr>
                <w:p w14:paraId="31ACC9BC">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41545</w:t>
                  </w:r>
                </w:p>
              </w:tc>
              <w:tc>
                <w:tcPr>
                  <w:tcW w:w="466" w:type="pct"/>
                  <w:noWrap w:val="0"/>
                  <w:vAlign w:val="center"/>
                </w:tcPr>
                <w:p w14:paraId="52FECE3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41570 </w:t>
                  </w:r>
                </w:p>
              </w:tc>
              <w:tc>
                <w:tcPr>
                  <w:tcW w:w="425" w:type="pct"/>
                  <w:vMerge w:val="continue"/>
                  <w:noWrap w:val="0"/>
                  <w:vAlign w:val="center"/>
                </w:tcPr>
                <w:p w14:paraId="44982079">
                  <w:pPr>
                    <w:widowControl/>
                    <w:jc w:val="center"/>
                    <w:textAlignment w:val="center"/>
                    <w:rPr>
                      <w:rFonts w:ascii="Times New Roman" w:hAnsi="Times New Roman"/>
                      <w:b w:val="0"/>
                      <w:bCs w:val="0"/>
                      <w:color w:val="auto"/>
                      <w:szCs w:val="21"/>
                    </w:rPr>
                  </w:pPr>
                </w:p>
              </w:tc>
            </w:tr>
            <w:tr w14:paraId="18F5C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2A88A9CD">
                  <w:pPr>
                    <w:jc w:val="center"/>
                    <w:rPr>
                      <w:rFonts w:ascii="Times New Roman" w:hAnsi="Times New Roman"/>
                      <w:b w:val="0"/>
                      <w:bCs w:val="0"/>
                      <w:color w:val="auto"/>
                      <w:szCs w:val="21"/>
                    </w:rPr>
                  </w:pPr>
                </w:p>
              </w:tc>
              <w:tc>
                <w:tcPr>
                  <w:tcW w:w="427" w:type="pct"/>
                  <w:vMerge w:val="continue"/>
                  <w:noWrap w:val="0"/>
                  <w:vAlign w:val="center"/>
                </w:tcPr>
                <w:p w14:paraId="18E611D7">
                  <w:pPr>
                    <w:jc w:val="center"/>
                    <w:rPr>
                      <w:rFonts w:ascii="Times New Roman" w:hAnsi="Times New Roman"/>
                      <w:b w:val="0"/>
                      <w:bCs w:val="0"/>
                      <w:color w:val="auto"/>
                      <w:szCs w:val="21"/>
                    </w:rPr>
                  </w:pPr>
                </w:p>
              </w:tc>
              <w:tc>
                <w:tcPr>
                  <w:tcW w:w="428" w:type="pct"/>
                  <w:vMerge w:val="continue"/>
                  <w:noWrap w:val="0"/>
                  <w:vAlign w:val="center"/>
                </w:tcPr>
                <w:p w14:paraId="4B46734F">
                  <w:pPr>
                    <w:jc w:val="center"/>
                    <w:rPr>
                      <w:rFonts w:ascii="Times New Roman" w:hAnsi="Times New Roman"/>
                      <w:b w:val="0"/>
                      <w:bCs w:val="0"/>
                      <w:color w:val="auto"/>
                      <w:szCs w:val="21"/>
                    </w:rPr>
                  </w:pPr>
                </w:p>
              </w:tc>
              <w:tc>
                <w:tcPr>
                  <w:tcW w:w="428" w:type="pct"/>
                  <w:vMerge w:val="restart"/>
                  <w:noWrap w:val="0"/>
                  <w:vAlign w:val="center"/>
                </w:tcPr>
                <w:p w14:paraId="1326E407">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6E823AB2">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4" w:type="pct"/>
                  <w:noWrap w:val="0"/>
                  <w:vAlign w:val="center"/>
                </w:tcPr>
                <w:p w14:paraId="7BC063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40.8</w:t>
                  </w:r>
                </w:p>
              </w:tc>
              <w:tc>
                <w:tcPr>
                  <w:tcW w:w="465" w:type="pct"/>
                  <w:noWrap w:val="0"/>
                  <w:vAlign w:val="center"/>
                </w:tcPr>
                <w:p w14:paraId="2C37D5D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36.7</w:t>
                  </w:r>
                </w:p>
              </w:tc>
              <w:tc>
                <w:tcPr>
                  <w:tcW w:w="465" w:type="pct"/>
                  <w:noWrap w:val="0"/>
                  <w:vAlign w:val="center"/>
                </w:tcPr>
                <w:p w14:paraId="7245B8F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38.3</w:t>
                  </w:r>
                </w:p>
              </w:tc>
              <w:tc>
                <w:tcPr>
                  <w:tcW w:w="466" w:type="pct"/>
                  <w:noWrap w:val="0"/>
                  <w:vAlign w:val="center"/>
                </w:tcPr>
                <w:p w14:paraId="004AD81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38.6 </w:t>
                  </w:r>
                </w:p>
              </w:tc>
              <w:tc>
                <w:tcPr>
                  <w:tcW w:w="425" w:type="pct"/>
                  <w:noWrap w:val="0"/>
                  <w:vAlign w:val="center"/>
                </w:tcPr>
                <w:p w14:paraId="030AF9A6">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1</w:t>
                  </w:r>
                  <w:r>
                    <w:rPr>
                      <w:rFonts w:ascii="Times New Roman" w:hAnsi="Times New Roman"/>
                      <w:b w:val="0"/>
                      <w:bCs w:val="0"/>
                      <w:color w:val="auto"/>
                      <w:szCs w:val="21"/>
                    </w:rPr>
                    <w:t>20</w:t>
                  </w:r>
                </w:p>
              </w:tc>
            </w:tr>
            <w:tr w14:paraId="1CFAA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395E57DC">
                  <w:pPr>
                    <w:jc w:val="center"/>
                    <w:rPr>
                      <w:rFonts w:ascii="Times New Roman" w:hAnsi="Times New Roman"/>
                      <w:b w:val="0"/>
                      <w:bCs w:val="0"/>
                      <w:color w:val="auto"/>
                      <w:szCs w:val="21"/>
                    </w:rPr>
                  </w:pPr>
                </w:p>
              </w:tc>
              <w:tc>
                <w:tcPr>
                  <w:tcW w:w="427" w:type="pct"/>
                  <w:vMerge w:val="continue"/>
                  <w:noWrap w:val="0"/>
                  <w:vAlign w:val="center"/>
                </w:tcPr>
                <w:p w14:paraId="779EBE46">
                  <w:pPr>
                    <w:jc w:val="center"/>
                    <w:rPr>
                      <w:rFonts w:ascii="Times New Roman" w:hAnsi="Times New Roman"/>
                      <w:b w:val="0"/>
                      <w:bCs w:val="0"/>
                      <w:color w:val="auto"/>
                      <w:szCs w:val="21"/>
                    </w:rPr>
                  </w:pPr>
                </w:p>
              </w:tc>
              <w:tc>
                <w:tcPr>
                  <w:tcW w:w="428" w:type="pct"/>
                  <w:vMerge w:val="continue"/>
                  <w:noWrap w:val="0"/>
                  <w:vAlign w:val="center"/>
                </w:tcPr>
                <w:p w14:paraId="7D32BDFF">
                  <w:pPr>
                    <w:jc w:val="center"/>
                    <w:rPr>
                      <w:rFonts w:ascii="Times New Roman" w:hAnsi="Times New Roman"/>
                      <w:b w:val="0"/>
                      <w:bCs w:val="0"/>
                      <w:color w:val="auto"/>
                      <w:szCs w:val="21"/>
                    </w:rPr>
                  </w:pPr>
                </w:p>
              </w:tc>
              <w:tc>
                <w:tcPr>
                  <w:tcW w:w="428" w:type="pct"/>
                  <w:vMerge w:val="continue"/>
                  <w:noWrap w:val="0"/>
                  <w:vAlign w:val="center"/>
                </w:tcPr>
                <w:p w14:paraId="681DBB39">
                  <w:pPr>
                    <w:jc w:val="center"/>
                    <w:rPr>
                      <w:rFonts w:ascii="Times New Roman" w:hAnsi="Times New Roman"/>
                      <w:b w:val="0"/>
                      <w:bCs w:val="0"/>
                      <w:color w:val="auto"/>
                      <w:szCs w:val="21"/>
                    </w:rPr>
                  </w:pPr>
                </w:p>
              </w:tc>
              <w:tc>
                <w:tcPr>
                  <w:tcW w:w="1003" w:type="pct"/>
                  <w:noWrap w:val="0"/>
                  <w:vAlign w:val="center"/>
                </w:tcPr>
                <w:p w14:paraId="152E1DC9">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4" w:type="pct"/>
                  <w:noWrap w:val="0"/>
                  <w:vAlign w:val="center"/>
                </w:tcPr>
                <w:p w14:paraId="0A5F715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1.70 </w:t>
                  </w:r>
                </w:p>
              </w:tc>
              <w:tc>
                <w:tcPr>
                  <w:tcW w:w="465" w:type="pct"/>
                  <w:noWrap w:val="0"/>
                  <w:vAlign w:val="center"/>
                </w:tcPr>
                <w:p w14:paraId="585449FC">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1.52 </w:t>
                  </w:r>
                </w:p>
              </w:tc>
              <w:tc>
                <w:tcPr>
                  <w:tcW w:w="465" w:type="pct"/>
                  <w:noWrap w:val="0"/>
                  <w:vAlign w:val="center"/>
                </w:tcPr>
                <w:p w14:paraId="1CB270F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1.59 </w:t>
                  </w:r>
                </w:p>
              </w:tc>
              <w:tc>
                <w:tcPr>
                  <w:tcW w:w="466" w:type="pct"/>
                  <w:noWrap w:val="0"/>
                  <w:vAlign w:val="center"/>
                </w:tcPr>
                <w:p w14:paraId="62A384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1.60 </w:t>
                  </w:r>
                </w:p>
              </w:tc>
              <w:tc>
                <w:tcPr>
                  <w:tcW w:w="425" w:type="pct"/>
                  <w:noWrap w:val="0"/>
                  <w:vAlign w:val="center"/>
                </w:tcPr>
                <w:p w14:paraId="2333706E">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3</w:t>
                  </w:r>
                  <w:r>
                    <w:rPr>
                      <w:rFonts w:ascii="Times New Roman" w:hAnsi="Times New Roman"/>
                      <w:b w:val="0"/>
                      <w:bCs w:val="0"/>
                      <w:color w:val="auto"/>
                      <w:szCs w:val="21"/>
                    </w:rPr>
                    <w:t>.5</w:t>
                  </w:r>
                </w:p>
              </w:tc>
            </w:tr>
            <w:tr w14:paraId="16D8A1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392266E5">
                  <w:pPr>
                    <w:jc w:val="center"/>
                    <w:rPr>
                      <w:rFonts w:ascii="Times New Roman" w:hAnsi="Times New Roman"/>
                      <w:b w:val="0"/>
                      <w:bCs w:val="0"/>
                      <w:color w:val="auto"/>
                      <w:szCs w:val="21"/>
                    </w:rPr>
                  </w:pPr>
                </w:p>
              </w:tc>
              <w:tc>
                <w:tcPr>
                  <w:tcW w:w="427" w:type="pct"/>
                  <w:vMerge w:val="continue"/>
                  <w:noWrap w:val="0"/>
                  <w:vAlign w:val="center"/>
                </w:tcPr>
                <w:p w14:paraId="1C2D9C53">
                  <w:pPr>
                    <w:jc w:val="center"/>
                    <w:rPr>
                      <w:rFonts w:ascii="Times New Roman" w:hAnsi="Times New Roman"/>
                      <w:b w:val="0"/>
                      <w:bCs w:val="0"/>
                      <w:color w:val="auto"/>
                      <w:szCs w:val="21"/>
                    </w:rPr>
                  </w:pPr>
                </w:p>
              </w:tc>
              <w:tc>
                <w:tcPr>
                  <w:tcW w:w="1860" w:type="pct"/>
                  <w:gridSpan w:val="3"/>
                  <w:noWrap w:val="0"/>
                  <w:vAlign w:val="center"/>
                </w:tcPr>
                <w:p w14:paraId="20787472">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464" w:type="pct"/>
                  <w:noWrap w:val="0"/>
                  <w:vAlign w:val="center"/>
                </w:tcPr>
                <w:p w14:paraId="6749C8E3">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87.3 </w:t>
                  </w:r>
                </w:p>
              </w:tc>
              <w:tc>
                <w:tcPr>
                  <w:tcW w:w="465" w:type="pct"/>
                  <w:noWrap w:val="0"/>
                  <w:vAlign w:val="center"/>
                </w:tcPr>
                <w:p w14:paraId="7A211513">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87.7 </w:t>
                  </w:r>
                </w:p>
              </w:tc>
              <w:tc>
                <w:tcPr>
                  <w:tcW w:w="465" w:type="pct"/>
                  <w:noWrap w:val="0"/>
                  <w:vAlign w:val="center"/>
                </w:tcPr>
                <w:p w14:paraId="12B562C8">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88.9 </w:t>
                  </w:r>
                </w:p>
              </w:tc>
              <w:tc>
                <w:tcPr>
                  <w:tcW w:w="466" w:type="pct"/>
                  <w:noWrap w:val="0"/>
                  <w:vAlign w:val="center"/>
                </w:tcPr>
                <w:p w14:paraId="0080C8E5">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88.0 </w:t>
                  </w:r>
                </w:p>
              </w:tc>
              <w:tc>
                <w:tcPr>
                  <w:tcW w:w="425" w:type="pct"/>
                  <w:noWrap w:val="0"/>
                  <w:vAlign w:val="center"/>
                </w:tcPr>
                <w:p w14:paraId="332B9376">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7BB51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restart"/>
                  <w:noWrap w:val="0"/>
                  <w:vAlign w:val="center"/>
                </w:tcPr>
                <w:p w14:paraId="4ABDFA0F">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3月</w:t>
                  </w:r>
                  <w:r>
                    <w:rPr>
                      <w:rFonts w:ascii="Times New Roman" w:hAnsi="Times New Roman"/>
                      <w:b w:val="0"/>
                      <w:bCs w:val="0"/>
                      <w:color w:val="auto"/>
                      <w:szCs w:val="21"/>
                    </w:rPr>
                    <w:t>28</w:t>
                  </w:r>
                  <w:r>
                    <w:rPr>
                      <w:rFonts w:hint="eastAsia" w:ascii="Times New Roman" w:hAnsi="Times New Roman"/>
                      <w:b w:val="0"/>
                      <w:bCs w:val="0"/>
                      <w:color w:val="auto"/>
                      <w:szCs w:val="21"/>
                    </w:rPr>
                    <w:t>日</w:t>
                  </w:r>
                </w:p>
              </w:tc>
              <w:tc>
                <w:tcPr>
                  <w:tcW w:w="427" w:type="pct"/>
                  <w:vMerge w:val="restart"/>
                  <w:noWrap w:val="0"/>
                  <w:vAlign w:val="center"/>
                </w:tcPr>
                <w:p w14:paraId="572D427C">
                  <w:pPr>
                    <w:widowControl/>
                    <w:jc w:val="center"/>
                    <w:textAlignment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DA001</w:t>
                  </w:r>
                </w:p>
              </w:tc>
              <w:tc>
                <w:tcPr>
                  <w:tcW w:w="428" w:type="pct"/>
                  <w:vMerge w:val="restart"/>
                  <w:noWrap w:val="0"/>
                  <w:vAlign w:val="center"/>
                </w:tcPr>
                <w:p w14:paraId="30DF82C2">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鄂破工序除尘器进口</w:t>
                  </w:r>
                </w:p>
              </w:tc>
              <w:tc>
                <w:tcPr>
                  <w:tcW w:w="1431" w:type="pct"/>
                  <w:gridSpan w:val="2"/>
                  <w:noWrap w:val="0"/>
                  <w:vAlign w:val="center"/>
                </w:tcPr>
                <w:p w14:paraId="14EEAFA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464" w:type="pct"/>
                  <w:noWrap w:val="0"/>
                  <w:vAlign w:val="center"/>
                </w:tcPr>
                <w:p w14:paraId="6995DBF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465" w:type="pct"/>
                  <w:noWrap w:val="0"/>
                  <w:vAlign w:val="center"/>
                </w:tcPr>
                <w:p w14:paraId="3DD5AA3E">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5" w:type="pct"/>
                  <w:noWrap w:val="0"/>
                  <w:vAlign w:val="center"/>
                </w:tcPr>
                <w:p w14:paraId="5DFAA3CE">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6" w:type="pct"/>
                  <w:noWrap w:val="0"/>
                  <w:vAlign w:val="center"/>
                </w:tcPr>
                <w:p w14:paraId="662C42F3">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5" w:type="pct"/>
                  <w:vMerge w:val="restart"/>
                  <w:noWrap w:val="0"/>
                  <w:vAlign w:val="center"/>
                </w:tcPr>
                <w:p w14:paraId="1892B05D">
                  <w:pPr>
                    <w:widowControl/>
                    <w:jc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29DFF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6AD7BE68">
                  <w:pPr>
                    <w:jc w:val="center"/>
                    <w:rPr>
                      <w:rFonts w:ascii="Times New Roman" w:hAnsi="Times New Roman"/>
                      <w:b w:val="0"/>
                      <w:bCs w:val="0"/>
                      <w:color w:val="auto"/>
                      <w:szCs w:val="21"/>
                    </w:rPr>
                  </w:pPr>
                </w:p>
              </w:tc>
              <w:tc>
                <w:tcPr>
                  <w:tcW w:w="427" w:type="pct"/>
                  <w:vMerge w:val="continue"/>
                  <w:noWrap w:val="0"/>
                  <w:vAlign w:val="center"/>
                </w:tcPr>
                <w:p w14:paraId="558602D7">
                  <w:pPr>
                    <w:jc w:val="center"/>
                    <w:rPr>
                      <w:rFonts w:ascii="Times New Roman" w:hAnsi="Times New Roman"/>
                      <w:b w:val="0"/>
                      <w:bCs w:val="0"/>
                      <w:color w:val="auto"/>
                      <w:szCs w:val="21"/>
                    </w:rPr>
                  </w:pPr>
                </w:p>
              </w:tc>
              <w:tc>
                <w:tcPr>
                  <w:tcW w:w="428" w:type="pct"/>
                  <w:vMerge w:val="continue"/>
                  <w:noWrap w:val="0"/>
                  <w:vAlign w:val="center"/>
                </w:tcPr>
                <w:p w14:paraId="0D000DD0">
                  <w:pPr>
                    <w:jc w:val="center"/>
                    <w:rPr>
                      <w:rFonts w:ascii="Times New Roman" w:hAnsi="Times New Roman"/>
                      <w:b w:val="0"/>
                      <w:bCs w:val="0"/>
                      <w:color w:val="auto"/>
                      <w:szCs w:val="21"/>
                    </w:rPr>
                  </w:pPr>
                </w:p>
              </w:tc>
              <w:tc>
                <w:tcPr>
                  <w:tcW w:w="1431" w:type="pct"/>
                  <w:gridSpan w:val="2"/>
                  <w:noWrap w:val="0"/>
                  <w:vAlign w:val="center"/>
                </w:tcPr>
                <w:p w14:paraId="5E46A43E">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4" w:type="pct"/>
                  <w:gridSpan w:val="3"/>
                  <w:noWrap w:val="0"/>
                  <w:vAlign w:val="center"/>
                </w:tcPr>
                <w:p w14:paraId="54CE6F14">
                  <w:pPr>
                    <w:jc w:val="center"/>
                    <w:rPr>
                      <w:rFonts w:ascii="Times New Roman" w:hAnsi="Times New Roman"/>
                      <w:b w:val="0"/>
                      <w:bCs w:val="0"/>
                      <w:color w:val="auto"/>
                      <w:szCs w:val="21"/>
                    </w:rPr>
                  </w:pPr>
                  <w:r>
                    <w:rPr>
                      <w:rFonts w:ascii="Times New Roman" w:hAnsi="Times New Roman"/>
                      <w:b w:val="0"/>
                      <w:bCs w:val="0"/>
                      <w:color w:val="auto"/>
                      <w:szCs w:val="21"/>
                    </w:rPr>
                    <w:t>1.131</w:t>
                  </w:r>
                </w:p>
              </w:tc>
              <w:tc>
                <w:tcPr>
                  <w:tcW w:w="466" w:type="pct"/>
                  <w:noWrap w:val="0"/>
                  <w:vAlign w:val="center"/>
                </w:tcPr>
                <w:p w14:paraId="2C75A277">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5" w:type="pct"/>
                  <w:vMerge w:val="continue"/>
                  <w:noWrap w:val="0"/>
                  <w:vAlign w:val="center"/>
                </w:tcPr>
                <w:p w14:paraId="5603679B">
                  <w:pPr>
                    <w:jc w:val="center"/>
                    <w:rPr>
                      <w:rFonts w:ascii="Times New Roman" w:hAnsi="Times New Roman"/>
                      <w:b w:val="0"/>
                      <w:bCs w:val="0"/>
                      <w:color w:val="auto"/>
                      <w:szCs w:val="21"/>
                    </w:rPr>
                  </w:pPr>
                </w:p>
              </w:tc>
            </w:tr>
            <w:tr w14:paraId="24A96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3267D23E">
                  <w:pPr>
                    <w:jc w:val="center"/>
                    <w:rPr>
                      <w:rFonts w:ascii="Times New Roman" w:hAnsi="Times New Roman"/>
                      <w:b w:val="0"/>
                      <w:bCs w:val="0"/>
                      <w:color w:val="auto"/>
                      <w:szCs w:val="21"/>
                    </w:rPr>
                  </w:pPr>
                </w:p>
              </w:tc>
              <w:tc>
                <w:tcPr>
                  <w:tcW w:w="427" w:type="pct"/>
                  <w:vMerge w:val="continue"/>
                  <w:noWrap w:val="0"/>
                  <w:vAlign w:val="center"/>
                </w:tcPr>
                <w:p w14:paraId="3B2A5EC7">
                  <w:pPr>
                    <w:jc w:val="center"/>
                    <w:rPr>
                      <w:rFonts w:ascii="Times New Roman" w:hAnsi="Times New Roman"/>
                      <w:b w:val="0"/>
                      <w:bCs w:val="0"/>
                      <w:color w:val="auto"/>
                      <w:szCs w:val="21"/>
                    </w:rPr>
                  </w:pPr>
                </w:p>
              </w:tc>
              <w:tc>
                <w:tcPr>
                  <w:tcW w:w="428" w:type="pct"/>
                  <w:vMerge w:val="continue"/>
                  <w:noWrap w:val="0"/>
                  <w:vAlign w:val="center"/>
                </w:tcPr>
                <w:p w14:paraId="2892FFAD">
                  <w:pPr>
                    <w:jc w:val="center"/>
                    <w:rPr>
                      <w:rFonts w:ascii="Times New Roman" w:hAnsi="Times New Roman"/>
                      <w:b w:val="0"/>
                      <w:bCs w:val="0"/>
                      <w:color w:val="auto"/>
                      <w:szCs w:val="21"/>
                    </w:rPr>
                  </w:pPr>
                </w:p>
              </w:tc>
              <w:tc>
                <w:tcPr>
                  <w:tcW w:w="1431" w:type="pct"/>
                  <w:gridSpan w:val="2"/>
                  <w:noWrap w:val="0"/>
                  <w:vAlign w:val="center"/>
                </w:tcPr>
                <w:p w14:paraId="04A918C1">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4" w:type="pct"/>
                  <w:noWrap w:val="0"/>
                  <w:vAlign w:val="center"/>
                </w:tcPr>
                <w:p w14:paraId="278A67E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20.1</w:t>
                  </w:r>
                </w:p>
              </w:tc>
              <w:tc>
                <w:tcPr>
                  <w:tcW w:w="465" w:type="pct"/>
                  <w:noWrap w:val="0"/>
                  <w:vAlign w:val="center"/>
                </w:tcPr>
                <w:p w14:paraId="3355701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19.7</w:t>
                  </w:r>
                </w:p>
              </w:tc>
              <w:tc>
                <w:tcPr>
                  <w:tcW w:w="465" w:type="pct"/>
                  <w:noWrap w:val="0"/>
                  <w:vAlign w:val="center"/>
                </w:tcPr>
                <w:p w14:paraId="7F4A709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19.5</w:t>
                  </w:r>
                </w:p>
              </w:tc>
              <w:tc>
                <w:tcPr>
                  <w:tcW w:w="466" w:type="pct"/>
                  <w:noWrap w:val="0"/>
                  <w:vAlign w:val="center"/>
                </w:tcPr>
                <w:p w14:paraId="4D07C7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19.8</w:t>
                  </w:r>
                </w:p>
              </w:tc>
              <w:tc>
                <w:tcPr>
                  <w:tcW w:w="425" w:type="pct"/>
                  <w:vMerge w:val="continue"/>
                  <w:noWrap w:val="0"/>
                  <w:vAlign w:val="center"/>
                </w:tcPr>
                <w:p w14:paraId="69505706">
                  <w:pPr>
                    <w:widowControl/>
                    <w:jc w:val="center"/>
                    <w:textAlignment w:val="center"/>
                    <w:rPr>
                      <w:rFonts w:ascii="Times New Roman" w:hAnsi="Times New Roman"/>
                      <w:b w:val="0"/>
                      <w:bCs w:val="0"/>
                      <w:color w:val="auto"/>
                      <w:szCs w:val="21"/>
                    </w:rPr>
                  </w:pPr>
                </w:p>
              </w:tc>
            </w:tr>
            <w:tr w14:paraId="24BD5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6" w:type="pct"/>
                  <w:vMerge w:val="continue"/>
                  <w:noWrap w:val="0"/>
                  <w:vAlign w:val="center"/>
                </w:tcPr>
                <w:p w14:paraId="196429E5">
                  <w:pPr>
                    <w:jc w:val="center"/>
                    <w:rPr>
                      <w:rFonts w:ascii="Times New Roman" w:hAnsi="Times New Roman"/>
                      <w:b w:val="0"/>
                      <w:bCs w:val="0"/>
                      <w:color w:val="auto"/>
                      <w:szCs w:val="21"/>
                    </w:rPr>
                  </w:pPr>
                </w:p>
              </w:tc>
              <w:tc>
                <w:tcPr>
                  <w:tcW w:w="427" w:type="pct"/>
                  <w:vMerge w:val="continue"/>
                  <w:noWrap w:val="0"/>
                  <w:vAlign w:val="center"/>
                </w:tcPr>
                <w:p w14:paraId="4A9C567C">
                  <w:pPr>
                    <w:jc w:val="center"/>
                    <w:rPr>
                      <w:rFonts w:ascii="Times New Roman" w:hAnsi="Times New Roman"/>
                      <w:b w:val="0"/>
                      <w:bCs w:val="0"/>
                      <w:color w:val="auto"/>
                      <w:szCs w:val="21"/>
                    </w:rPr>
                  </w:pPr>
                </w:p>
              </w:tc>
              <w:tc>
                <w:tcPr>
                  <w:tcW w:w="428" w:type="pct"/>
                  <w:vMerge w:val="continue"/>
                  <w:noWrap w:val="0"/>
                  <w:vAlign w:val="center"/>
                </w:tcPr>
                <w:p w14:paraId="37F46538">
                  <w:pPr>
                    <w:jc w:val="center"/>
                    <w:rPr>
                      <w:rFonts w:ascii="Times New Roman" w:hAnsi="Times New Roman"/>
                      <w:b w:val="0"/>
                      <w:bCs w:val="0"/>
                      <w:color w:val="auto"/>
                      <w:szCs w:val="21"/>
                    </w:rPr>
                  </w:pPr>
                </w:p>
              </w:tc>
              <w:tc>
                <w:tcPr>
                  <w:tcW w:w="1431" w:type="pct"/>
                  <w:gridSpan w:val="2"/>
                  <w:noWrap w:val="0"/>
                  <w:vAlign w:val="center"/>
                </w:tcPr>
                <w:p w14:paraId="011C4E67">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4" w:type="pct"/>
                  <w:noWrap w:val="0"/>
                  <w:vAlign w:val="center"/>
                </w:tcPr>
                <w:p w14:paraId="3CA40DC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10.8</w:t>
                  </w:r>
                </w:p>
              </w:tc>
              <w:tc>
                <w:tcPr>
                  <w:tcW w:w="465" w:type="pct"/>
                  <w:noWrap w:val="0"/>
                  <w:vAlign w:val="center"/>
                </w:tcPr>
                <w:p w14:paraId="3ACD6E2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10.9</w:t>
                  </w:r>
                </w:p>
              </w:tc>
              <w:tc>
                <w:tcPr>
                  <w:tcW w:w="465" w:type="pct"/>
                  <w:noWrap w:val="0"/>
                  <w:vAlign w:val="center"/>
                </w:tcPr>
                <w:p w14:paraId="7C18500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10.2</w:t>
                  </w:r>
                </w:p>
              </w:tc>
              <w:tc>
                <w:tcPr>
                  <w:tcW w:w="466" w:type="pct"/>
                  <w:noWrap w:val="0"/>
                  <w:vAlign w:val="center"/>
                </w:tcPr>
                <w:p w14:paraId="682833B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10.6</w:t>
                  </w:r>
                </w:p>
              </w:tc>
              <w:tc>
                <w:tcPr>
                  <w:tcW w:w="425" w:type="pct"/>
                  <w:vMerge w:val="continue"/>
                  <w:noWrap w:val="0"/>
                  <w:vAlign w:val="center"/>
                </w:tcPr>
                <w:p w14:paraId="715AFAEC">
                  <w:pPr>
                    <w:widowControl/>
                    <w:jc w:val="center"/>
                    <w:textAlignment w:val="center"/>
                    <w:rPr>
                      <w:rFonts w:ascii="Times New Roman" w:hAnsi="Times New Roman"/>
                      <w:b w:val="0"/>
                      <w:bCs w:val="0"/>
                      <w:color w:val="auto"/>
                      <w:szCs w:val="21"/>
                    </w:rPr>
                  </w:pPr>
                </w:p>
              </w:tc>
            </w:tr>
            <w:tr w14:paraId="5F62CB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6A164002">
                  <w:pPr>
                    <w:jc w:val="center"/>
                    <w:rPr>
                      <w:rFonts w:ascii="Times New Roman" w:hAnsi="Times New Roman"/>
                      <w:b w:val="0"/>
                      <w:bCs w:val="0"/>
                      <w:color w:val="auto"/>
                      <w:szCs w:val="21"/>
                    </w:rPr>
                  </w:pPr>
                </w:p>
              </w:tc>
              <w:tc>
                <w:tcPr>
                  <w:tcW w:w="427" w:type="pct"/>
                  <w:vMerge w:val="continue"/>
                  <w:noWrap w:val="0"/>
                  <w:vAlign w:val="center"/>
                </w:tcPr>
                <w:p w14:paraId="0185DC83">
                  <w:pPr>
                    <w:jc w:val="center"/>
                    <w:rPr>
                      <w:rFonts w:ascii="Times New Roman" w:hAnsi="Times New Roman"/>
                      <w:b w:val="0"/>
                      <w:bCs w:val="0"/>
                      <w:color w:val="auto"/>
                      <w:szCs w:val="21"/>
                    </w:rPr>
                  </w:pPr>
                </w:p>
              </w:tc>
              <w:tc>
                <w:tcPr>
                  <w:tcW w:w="428" w:type="pct"/>
                  <w:vMerge w:val="continue"/>
                  <w:noWrap w:val="0"/>
                  <w:vAlign w:val="center"/>
                </w:tcPr>
                <w:p w14:paraId="04596D46">
                  <w:pPr>
                    <w:jc w:val="center"/>
                    <w:rPr>
                      <w:rFonts w:ascii="Times New Roman" w:hAnsi="Times New Roman"/>
                      <w:b w:val="0"/>
                      <w:bCs w:val="0"/>
                      <w:color w:val="auto"/>
                      <w:szCs w:val="21"/>
                    </w:rPr>
                  </w:pPr>
                </w:p>
              </w:tc>
              <w:tc>
                <w:tcPr>
                  <w:tcW w:w="1431" w:type="pct"/>
                  <w:gridSpan w:val="2"/>
                  <w:noWrap w:val="0"/>
                  <w:vAlign w:val="center"/>
                </w:tcPr>
                <w:p w14:paraId="40DDB9CB">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4" w:type="pct"/>
                  <w:noWrap w:val="0"/>
                  <w:vAlign w:val="center"/>
                </w:tcPr>
                <w:p w14:paraId="3E25762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37804</w:t>
                  </w:r>
                </w:p>
              </w:tc>
              <w:tc>
                <w:tcPr>
                  <w:tcW w:w="465" w:type="pct"/>
                  <w:noWrap w:val="0"/>
                  <w:vAlign w:val="center"/>
                </w:tcPr>
                <w:p w14:paraId="35C4CD8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38404</w:t>
                  </w:r>
                </w:p>
              </w:tc>
              <w:tc>
                <w:tcPr>
                  <w:tcW w:w="465" w:type="pct"/>
                  <w:noWrap w:val="0"/>
                  <w:vAlign w:val="center"/>
                </w:tcPr>
                <w:p w14:paraId="3904BEDB">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35798</w:t>
                  </w:r>
                </w:p>
              </w:tc>
              <w:tc>
                <w:tcPr>
                  <w:tcW w:w="466" w:type="pct"/>
                  <w:noWrap w:val="0"/>
                  <w:vAlign w:val="center"/>
                </w:tcPr>
                <w:p w14:paraId="601B121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37335</w:t>
                  </w:r>
                </w:p>
              </w:tc>
              <w:tc>
                <w:tcPr>
                  <w:tcW w:w="425" w:type="pct"/>
                  <w:vMerge w:val="continue"/>
                  <w:noWrap w:val="0"/>
                  <w:vAlign w:val="center"/>
                </w:tcPr>
                <w:p w14:paraId="03F74B45">
                  <w:pPr>
                    <w:widowControl/>
                    <w:jc w:val="center"/>
                    <w:textAlignment w:val="center"/>
                    <w:rPr>
                      <w:rFonts w:ascii="Times New Roman" w:hAnsi="Times New Roman"/>
                      <w:b w:val="0"/>
                      <w:bCs w:val="0"/>
                      <w:color w:val="auto"/>
                      <w:szCs w:val="21"/>
                    </w:rPr>
                  </w:pPr>
                </w:p>
              </w:tc>
            </w:tr>
            <w:tr w14:paraId="4B299E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509A3B7D">
                  <w:pPr>
                    <w:jc w:val="center"/>
                    <w:rPr>
                      <w:rFonts w:ascii="Times New Roman" w:hAnsi="Times New Roman"/>
                      <w:b w:val="0"/>
                      <w:bCs w:val="0"/>
                      <w:color w:val="auto"/>
                      <w:szCs w:val="21"/>
                    </w:rPr>
                  </w:pPr>
                </w:p>
              </w:tc>
              <w:tc>
                <w:tcPr>
                  <w:tcW w:w="427" w:type="pct"/>
                  <w:vMerge w:val="continue"/>
                  <w:noWrap w:val="0"/>
                  <w:vAlign w:val="center"/>
                </w:tcPr>
                <w:p w14:paraId="1FD001C3">
                  <w:pPr>
                    <w:jc w:val="center"/>
                    <w:rPr>
                      <w:rFonts w:ascii="Times New Roman" w:hAnsi="Times New Roman"/>
                      <w:b w:val="0"/>
                      <w:bCs w:val="0"/>
                      <w:color w:val="auto"/>
                      <w:szCs w:val="21"/>
                    </w:rPr>
                  </w:pPr>
                </w:p>
              </w:tc>
              <w:tc>
                <w:tcPr>
                  <w:tcW w:w="428" w:type="pct"/>
                  <w:vMerge w:val="continue"/>
                  <w:noWrap w:val="0"/>
                  <w:vAlign w:val="center"/>
                </w:tcPr>
                <w:p w14:paraId="5862EB0C">
                  <w:pPr>
                    <w:jc w:val="center"/>
                    <w:rPr>
                      <w:rFonts w:ascii="Times New Roman" w:hAnsi="Times New Roman"/>
                      <w:b w:val="0"/>
                      <w:bCs w:val="0"/>
                      <w:color w:val="auto"/>
                      <w:szCs w:val="21"/>
                    </w:rPr>
                  </w:pPr>
                </w:p>
              </w:tc>
              <w:tc>
                <w:tcPr>
                  <w:tcW w:w="428" w:type="pct"/>
                  <w:vMerge w:val="restart"/>
                  <w:noWrap w:val="0"/>
                  <w:vAlign w:val="center"/>
                </w:tcPr>
                <w:p w14:paraId="4CD92B99">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1D6A5C03">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4" w:type="pct"/>
                  <w:noWrap w:val="0"/>
                  <w:vAlign w:val="center"/>
                </w:tcPr>
                <w:p w14:paraId="1A859BC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364</w:t>
                  </w:r>
                </w:p>
              </w:tc>
              <w:tc>
                <w:tcPr>
                  <w:tcW w:w="465" w:type="pct"/>
                  <w:noWrap w:val="0"/>
                  <w:vAlign w:val="center"/>
                </w:tcPr>
                <w:p w14:paraId="6238DB71">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383</w:t>
                  </w:r>
                </w:p>
              </w:tc>
              <w:tc>
                <w:tcPr>
                  <w:tcW w:w="465" w:type="pct"/>
                  <w:noWrap w:val="0"/>
                  <w:vAlign w:val="center"/>
                </w:tcPr>
                <w:p w14:paraId="060B09C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351</w:t>
                  </w:r>
                </w:p>
              </w:tc>
              <w:tc>
                <w:tcPr>
                  <w:tcW w:w="466" w:type="pct"/>
                  <w:noWrap w:val="0"/>
                  <w:vAlign w:val="center"/>
                </w:tcPr>
                <w:p w14:paraId="5C9DA19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366</w:t>
                  </w:r>
                </w:p>
              </w:tc>
              <w:tc>
                <w:tcPr>
                  <w:tcW w:w="425" w:type="pct"/>
                  <w:vMerge w:val="continue"/>
                  <w:noWrap w:val="0"/>
                  <w:vAlign w:val="center"/>
                </w:tcPr>
                <w:p w14:paraId="3A8ABA91">
                  <w:pPr>
                    <w:widowControl/>
                    <w:jc w:val="center"/>
                    <w:textAlignment w:val="center"/>
                    <w:rPr>
                      <w:rFonts w:ascii="Times New Roman" w:hAnsi="Times New Roman"/>
                      <w:b w:val="0"/>
                      <w:bCs w:val="0"/>
                      <w:color w:val="auto"/>
                      <w:szCs w:val="21"/>
                    </w:rPr>
                  </w:pPr>
                </w:p>
              </w:tc>
            </w:tr>
            <w:tr w14:paraId="088B9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530A4E41">
                  <w:pPr>
                    <w:jc w:val="center"/>
                    <w:rPr>
                      <w:rFonts w:ascii="Times New Roman" w:hAnsi="Times New Roman"/>
                      <w:b w:val="0"/>
                      <w:bCs w:val="0"/>
                      <w:color w:val="auto"/>
                      <w:szCs w:val="21"/>
                    </w:rPr>
                  </w:pPr>
                </w:p>
              </w:tc>
              <w:tc>
                <w:tcPr>
                  <w:tcW w:w="427" w:type="pct"/>
                  <w:vMerge w:val="continue"/>
                  <w:noWrap w:val="0"/>
                  <w:vAlign w:val="center"/>
                </w:tcPr>
                <w:p w14:paraId="16C38DDE">
                  <w:pPr>
                    <w:jc w:val="center"/>
                    <w:rPr>
                      <w:rFonts w:ascii="Times New Roman" w:hAnsi="Times New Roman"/>
                      <w:b w:val="0"/>
                      <w:bCs w:val="0"/>
                      <w:color w:val="auto"/>
                      <w:szCs w:val="21"/>
                    </w:rPr>
                  </w:pPr>
                </w:p>
              </w:tc>
              <w:tc>
                <w:tcPr>
                  <w:tcW w:w="428" w:type="pct"/>
                  <w:vMerge w:val="continue"/>
                  <w:noWrap w:val="0"/>
                  <w:vAlign w:val="center"/>
                </w:tcPr>
                <w:p w14:paraId="43E9D274">
                  <w:pPr>
                    <w:jc w:val="center"/>
                    <w:rPr>
                      <w:rFonts w:ascii="Times New Roman" w:hAnsi="Times New Roman"/>
                      <w:b w:val="0"/>
                      <w:bCs w:val="0"/>
                      <w:color w:val="auto"/>
                      <w:szCs w:val="21"/>
                    </w:rPr>
                  </w:pPr>
                </w:p>
              </w:tc>
              <w:tc>
                <w:tcPr>
                  <w:tcW w:w="428" w:type="pct"/>
                  <w:vMerge w:val="continue"/>
                  <w:noWrap w:val="0"/>
                  <w:vAlign w:val="center"/>
                </w:tcPr>
                <w:p w14:paraId="3209DC88">
                  <w:pPr>
                    <w:jc w:val="center"/>
                    <w:rPr>
                      <w:rFonts w:ascii="Times New Roman" w:hAnsi="Times New Roman"/>
                      <w:b w:val="0"/>
                      <w:bCs w:val="0"/>
                      <w:color w:val="auto"/>
                      <w:szCs w:val="21"/>
                    </w:rPr>
                  </w:pPr>
                </w:p>
              </w:tc>
              <w:tc>
                <w:tcPr>
                  <w:tcW w:w="1003" w:type="pct"/>
                  <w:noWrap w:val="0"/>
                  <w:vAlign w:val="center"/>
                </w:tcPr>
                <w:p w14:paraId="756E5BE2">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速率（kg/h）</w:t>
                  </w:r>
                </w:p>
              </w:tc>
              <w:tc>
                <w:tcPr>
                  <w:tcW w:w="464" w:type="pct"/>
                  <w:noWrap w:val="0"/>
                  <w:vAlign w:val="center"/>
                </w:tcPr>
                <w:p w14:paraId="772C96F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13.8</w:t>
                  </w:r>
                </w:p>
              </w:tc>
              <w:tc>
                <w:tcPr>
                  <w:tcW w:w="465" w:type="pct"/>
                  <w:noWrap w:val="0"/>
                  <w:vAlign w:val="center"/>
                </w:tcPr>
                <w:p w14:paraId="219963E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14.7</w:t>
                  </w:r>
                </w:p>
              </w:tc>
              <w:tc>
                <w:tcPr>
                  <w:tcW w:w="465" w:type="pct"/>
                  <w:noWrap w:val="0"/>
                  <w:vAlign w:val="center"/>
                </w:tcPr>
                <w:p w14:paraId="20D574F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12.6</w:t>
                  </w:r>
                </w:p>
              </w:tc>
              <w:tc>
                <w:tcPr>
                  <w:tcW w:w="466" w:type="pct"/>
                  <w:noWrap w:val="0"/>
                  <w:vAlign w:val="center"/>
                </w:tcPr>
                <w:p w14:paraId="3C83BAC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13.7</w:t>
                  </w:r>
                </w:p>
              </w:tc>
              <w:tc>
                <w:tcPr>
                  <w:tcW w:w="425" w:type="pct"/>
                  <w:vMerge w:val="continue"/>
                  <w:noWrap w:val="0"/>
                  <w:vAlign w:val="center"/>
                </w:tcPr>
                <w:p w14:paraId="5EBE7E03">
                  <w:pPr>
                    <w:widowControl/>
                    <w:jc w:val="center"/>
                    <w:textAlignment w:val="center"/>
                    <w:rPr>
                      <w:rFonts w:ascii="Times New Roman" w:hAnsi="Times New Roman"/>
                      <w:b w:val="0"/>
                      <w:bCs w:val="0"/>
                      <w:color w:val="auto"/>
                      <w:szCs w:val="21"/>
                    </w:rPr>
                  </w:pPr>
                </w:p>
              </w:tc>
            </w:tr>
            <w:tr w14:paraId="70776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3D5E8004">
                  <w:pPr>
                    <w:jc w:val="center"/>
                    <w:rPr>
                      <w:rFonts w:ascii="Times New Roman" w:hAnsi="Times New Roman"/>
                      <w:b w:val="0"/>
                      <w:bCs w:val="0"/>
                      <w:color w:val="auto"/>
                      <w:szCs w:val="21"/>
                    </w:rPr>
                  </w:pPr>
                </w:p>
              </w:tc>
              <w:tc>
                <w:tcPr>
                  <w:tcW w:w="427" w:type="pct"/>
                  <w:vMerge w:val="continue"/>
                  <w:noWrap w:val="0"/>
                  <w:vAlign w:val="center"/>
                </w:tcPr>
                <w:p w14:paraId="479A0A7E">
                  <w:pPr>
                    <w:jc w:val="center"/>
                    <w:rPr>
                      <w:rFonts w:hint="eastAsia" w:ascii="Times New Roman" w:hAnsi="Times New Roman"/>
                      <w:b w:val="0"/>
                      <w:bCs w:val="0"/>
                      <w:color w:val="auto"/>
                      <w:szCs w:val="21"/>
                    </w:rPr>
                  </w:pPr>
                </w:p>
              </w:tc>
              <w:tc>
                <w:tcPr>
                  <w:tcW w:w="428" w:type="pct"/>
                  <w:vMerge w:val="restart"/>
                  <w:noWrap w:val="0"/>
                  <w:vAlign w:val="center"/>
                </w:tcPr>
                <w:p w14:paraId="3B2BF05C">
                  <w:pPr>
                    <w:jc w:val="center"/>
                    <w:rPr>
                      <w:rFonts w:ascii="Times New Roman" w:hAnsi="Times New Roman"/>
                      <w:b w:val="0"/>
                      <w:bCs w:val="0"/>
                      <w:color w:val="auto"/>
                      <w:szCs w:val="21"/>
                    </w:rPr>
                  </w:pPr>
                  <w:r>
                    <w:rPr>
                      <w:rFonts w:hint="eastAsia" w:ascii="Times New Roman" w:hAnsi="Times New Roman"/>
                      <w:b w:val="0"/>
                      <w:bCs w:val="0"/>
                      <w:color w:val="auto"/>
                      <w:szCs w:val="21"/>
                    </w:rPr>
                    <w:t>鄂破工序除尘器出口</w:t>
                  </w:r>
                </w:p>
              </w:tc>
              <w:tc>
                <w:tcPr>
                  <w:tcW w:w="1431" w:type="pct"/>
                  <w:gridSpan w:val="2"/>
                  <w:noWrap w:val="0"/>
                  <w:vAlign w:val="center"/>
                </w:tcPr>
                <w:p w14:paraId="0BF4A14D">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464" w:type="pct"/>
                  <w:noWrap w:val="0"/>
                  <w:vAlign w:val="center"/>
                </w:tcPr>
                <w:p w14:paraId="5201FF6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465" w:type="pct"/>
                  <w:noWrap w:val="0"/>
                  <w:vAlign w:val="center"/>
                </w:tcPr>
                <w:p w14:paraId="04523BC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第二次</w:t>
                  </w:r>
                </w:p>
              </w:tc>
              <w:tc>
                <w:tcPr>
                  <w:tcW w:w="465" w:type="pct"/>
                  <w:noWrap w:val="0"/>
                  <w:vAlign w:val="center"/>
                </w:tcPr>
                <w:p w14:paraId="45E62B1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第三次</w:t>
                  </w:r>
                </w:p>
              </w:tc>
              <w:tc>
                <w:tcPr>
                  <w:tcW w:w="466" w:type="pct"/>
                  <w:noWrap w:val="0"/>
                  <w:vAlign w:val="center"/>
                </w:tcPr>
                <w:p w14:paraId="761DBB8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平均值</w:t>
                  </w:r>
                </w:p>
              </w:tc>
              <w:tc>
                <w:tcPr>
                  <w:tcW w:w="425" w:type="pct"/>
                  <w:vMerge w:val="continue"/>
                  <w:noWrap w:val="0"/>
                  <w:vAlign w:val="center"/>
                </w:tcPr>
                <w:p w14:paraId="75B5D60B">
                  <w:pPr>
                    <w:widowControl/>
                    <w:jc w:val="center"/>
                    <w:textAlignment w:val="center"/>
                    <w:rPr>
                      <w:rFonts w:ascii="Times New Roman" w:hAnsi="Times New Roman"/>
                      <w:b w:val="0"/>
                      <w:bCs w:val="0"/>
                      <w:color w:val="auto"/>
                      <w:szCs w:val="21"/>
                    </w:rPr>
                  </w:pPr>
                </w:p>
              </w:tc>
            </w:tr>
            <w:tr w14:paraId="7C8449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5A8193A8">
                  <w:pPr>
                    <w:jc w:val="center"/>
                    <w:rPr>
                      <w:rFonts w:ascii="Times New Roman" w:hAnsi="Times New Roman"/>
                      <w:b w:val="0"/>
                      <w:bCs w:val="0"/>
                      <w:color w:val="auto"/>
                      <w:szCs w:val="21"/>
                    </w:rPr>
                  </w:pPr>
                </w:p>
              </w:tc>
              <w:tc>
                <w:tcPr>
                  <w:tcW w:w="427" w:type="pct"/>
                  <w:vMerge w:val="continue"/>
                  <w:noWrap w:val="0"/>
                  <w:vAlign w:val="center"/>
                </w:tcPr>
                <w:p w14:paraId="0C6BB149">
                  <w:pPr>
                    <w:jc w:val="center"/>
                    <w:rPr>
                      <w:rFonts w:ascii="Times New Roman" w:hAnsi="Times New Roman"/>
                      <w:b w:val="0"/>
                      <w:bCs w:val="0"/>
                      <w:color w:val="auto"/>
                      <w:szCs w:val="21"/>
                    </w:rPr>
                  </w:pPr>
                </w:p>
              </w:tc>
              <w:tc>
                <w:tcPr>
                  <w:tcW w:w="428" w:type="pct"/>
                  <w:vMerge w:val="continue"/>
                  <w:noWrap w:val="0"/>
                  <w:vAlign w:val="center"/>
                </w:tcPr>
                <w:p w14:paraId="4F8B42EC">
                  <w:pPr>
                    <w:jc w:val="center"/>
                    <w:rPr>
                      <w:rFonts w:ascii="Times New Roman" w:hAnsi="Times New Roman"/>
                      <w:b w:val="0"/>
                      <w:bCs w:val="0"/>
                      <w:color w:val="auto"/>
                      <w:szCs w:val="21"/>
                    </w:rPr>
                  </w:pPr>
                </w:p>
              </w:tc>
              <w:tc>
                <w:tcPr>
                  <w:tcW w:w="1431" w:type="pct"/>
                  <w:gridSpan w:val="2"/>
                  <w:noWrap w:val="0"/>
                  <w:vAlign w:val="center"/>
                </w:tcPr>
                <w:p w14:paraId="00FAC6F4">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4" w:type="pct"/>
                  <w:gridSpan w:val="3"/>
                  <w:noWrap w:val="0"/>
                  <w:vAlign w:val="center"/>
                </w:tcPr>
                <w:p w14:paraId="67DAF81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0.785</w:t>
                  </w:r>
                </w:p>
              </w:tc>
              <w:tc>
                <w:tcPr>
                  <w:tcW w:w="466" w:type="pct"/>
                  <w:noWrap w:val="0"/>
                  <w:vAlign w:val="center"/>
                </w:tcPr>
                <w:p w14:paraId="4B016F6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25" w:type="pct"/>
                  <w:vMerge w:val="continue"/>
                  <w:noWrap w:val="0"/>
                  <w:vAlign w:val="center"/>
                </w:tcPr>
                <w:p w14:paraId="4EE0E815">
                  <w:pPr>
                    <w:widowControl/>
                    <w:jc w:val="center"/>
                    <w:textAlignment w:val="center"/>
                    <w:rPr>
                      <w:rFonts w:ascii="Times New Roman" w:hAnsi="Times New Roman"/>
                      <w:b w:val="0"/>
                      <w:bCs w:val="0"/>
                      <w:color w:val="auto"/>
                      <w:szCs w:val="21"/>
                    </w:rPr>
                  </w:pPr>
                </w:p>
              </w:tc>
            </w:tr>
            <w:tr w14:paraId="69D3D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24C79D6C">
                  <w:pPr>
                    <w:jc w:val="center"/>
                    <w:rPr>
                      <w:rFonts w:ascii="Times New Roman" w:hAnsi="Times New Roman"/>
                      <w:b w:val="0"/>
                      <w:bCs w:val="0"/>
                      <w:color w:val="auto"/>
                      <w:szCs w:val="21"/>
                    </w:rPr>
                  </w:pPr>
                </w:p>
              </w:tc>
              <w:tc>
                <w:tcPr>
                  <w:tcW w:w="427" w:type="pct"/>
                  <w:vMerge w:val="continue"/>
                  <w:noWrap w:val="0"/>
                  <w:vAlign w:val="center"/>
                </w:tcPr>
                <w:p w14:paraId="7C9F3C5E">
                  <w:pPr>
                    <w:jc w:val="center"/>
                    <w:rPr>
                      <w:rFonts w:ascii="Times New Roman" w:hAnsi="Times New Roman"/>
                      <w:b w:val="0"/>
                      <w:bCs w:val="0"/>
                      <w:color w:val="auto"/>
                      <w:szCs w:val="21"/>
                    </w:rPr>
                  </w:pPr>
                </w:p>
              </w:tc>
              <w:tc>
                <w:tcPr>
                  <w:tcW w:w="428" w:type="pct"/>
                  <w:vMerge w:val="continue"/>
                  <w:noWrap w:val="0"/>
                  <w:vAlign w:val="center"/>
                </w:tcPr>
                <w:p w14:paraId="7968DDDF">
                  <w:pPr>
                    <w:jc w:val="center"/>
                    <w:rPr>
                      <w:rFonts w:ascii="Times New Roman" w:hAnsi="Times New Roman"/>
                      <w:b w:val="0"/>
                      <w:bCs w:val="0"/>
                      <w:color w:val="auto"/>
                      <w:szCs w:val="21"/>
                    </w:rPr>
                  </w:pPr>
                </w:p>
              </w:tc>
              <w:tc>
                <w:tcPr>
                  <w:tcW w:w="1431" w:type="pct"/>
                  <w:gridSpan w:val="2"/>
                  <w:noWrap w:val="0"/>
                  <w:vAlign w:val="center"/>
                </w:tcPr>
                <w:p w14:paraId="2D3D5D27">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4" w:type="pct"/>
                  <w:noWrap w:val="0"/>
                  <w:vAlign w:val="center"/>
                </w:tcPr>
                <w:p w14:paraId="39F9400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17.0 </w:t>
                  </w:r>
                </w:p>
              </w:tc>
              <w:tc>
                <w:tcPr>
                  <w:tcW w:w="465" w:type="pct"/>
                  <w:noWrap w:val="0"/>
                  <w:vAlign w:val="center"/>
                </w:tcPr>
                <w:p w14:paraId="3B267E9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17.0 </w:t>
                  </w:r>
                </w:p>
              </w:tc>
              <w:tc>
                <w:tcPr>
                  <w:tcW w:w="465" w:type="pct"/>
                  <w:noWrap w:val="0"/>
                  <w:vAlign w:val="center"/>
                </w:tcPr>
                <w:p w14:paraId="0D38B04F">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16.5</w:t>
                  </w:r>
                </w:p>
              </w:tc>
              <w:tc>
                <w:tcPr>
                  <w:tcW w:w="466" w:type="pct"/>
                  <w:noWrap w:val="0"/>
                  <w:vAlign w:val="center"/>
                </w:tcPr>
                <w:p w14:paraId="760097B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16.8 </w:t>
                  </w:r>
                </w:p>
              </w:tc>
              <w:tc>
                <w:tcPr>
                  <w:tcW w:w="425" w:type="pct"/>
                  <w:vMerge w:val="continue"/>
                  <w:noWrap w:val="0"/>
                  <w:vAlign w:val="center"/>
                </w:tcPr>
                <w:p w14:paraId="7A27B705">
                  <w:pPr>
                    <w:widowControl/>
                    <w:jc w:val="center"/>
                    <w:textAlignment w:val="center"/>
                    <w:rPr>
                      <w:rFonts w:ascii="Times New Roman" w:hAnsi="Times New Roman"/>
                      <w:b w:val="0"/>
                      <w:bCs w:val="0"/>
                      <w:color w:val="auto"/>
                      <w:szCs w:val="21"/>
                    </w:rPr>
                  </w:pPr>
                </w:p>
              </w:tc>
            </w:tr>
            <w:tr w14:paraId="68A24B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5483D230">
                  <w:pPr>
                    <w:jc w:val="center"/>
                    <w:rPr>
                      <w:rFonts w:ascii="Times New Roman" w:hAnsi="Times New Roman"/>
                      <w:b w:val="0"/>
                      <w:bCs w:val="0"/>
                      <w:color w:val="auto"/>
                      <w:szCs w:val="21"/>
                    </w:rPr>
                  </w:pPr>
                </w:p>
              </w:tc>
              <w:tc>
                <w:tcPr>
                  <w:tcW w:w="427" w:type="pct"/>
                  <w:vMerge w:val="continue"/>
                  <w:noWrap w:val="0"/>
                  <w:vAlign w:val="center"/>
                </w:tcPr>
                <w:p w14:paraId="509286AB">
                  <w:pPr>
                    <w:jc w:val="center"/>
                    <w:rPr>
                      <w:rFonts w:ascii="Times New Roman" w:hAnsi="Times New Roman"/>
                      <w:b w:val="0"/>
                      <w:bCs w:val="0"/>
                      <w:color w:val="auto"/>
                      <w:szCs w:val="21"/>
                    </w:rPr>
                  </w:pPr>
                </w:p>
              </w:tc>
              <w:tc>
                <w:tcPr>
                  <w:tcW w:w="428" w:type="pct"/>
                  <w:vMerge w:val="continue"/>
                  <w:noWrap w:val="0"/>
                  <w:vAlign w:val="center"/>
                </w:tcPr>
                <w:p w14:paraId="7CFE8C77">
                  <w:pPr>
                    <w:jc w:val="center"/>
                    <w:rPr>
                      <w:rFonts w:ascii="Times New Roman" w:hAnsi="Times New Roman"/>
                      <w:b w:val="0"/>
                      <w:bCs w:val="0"/>
                      <w:color w:val="auto"/>
                      <w:szCs w:val="21"/>
                    </w:rPr>
                  </w:pPr>
                </w:p>
              </w:tc>
              <w:tc>
                <w:tcPr>
                  <w:tcW w:w="1431" w:type="pct"/>
                  <w:gridSpan w:val="2"/>
                  <w:noWrap w:val="0"/>
                  <w:vAlign w:val="center"/>
                </w:tcPr>
                <w:p w14:paraId="6A3E0660">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4" w:type="pct"/>
                  <w:noWrap w:val="0"/>
                  <w:vAlign w:val="center"/>
                </w:tcPr>
                <w:p w14:paraId="3DA4CD5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465" w:type="pct"/>
                  <w:noWrap w:val="0"/>
                  <w:vAlign w:val="center"/>
                </w:tcPr>
                <w:p w14:paraId="75A27CF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465" w:type="pct"/>
                  <w:noWrap w:val="0"/>
                  <w:vAlign w:val="center"/>
                </w:tcPr>
                <w:p w14:paraId="007C516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17.0 </w:t>
                  </w:r>
                </w:p>
              </w:tc>
              <w:tc>
                <w:tcPr>
                  <w:tcW w:w="466" w:type="pct"/>
                  <w:noWrap w:val="0"/>
                  <w:vAlign w:val="center"/>
                </w:tcPr>
                <w:p w14:paraId="4FE47FA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16.9 </w:t>
                  </w:r>
                </w:p>
              </w:tc>
              <w:tc>
                <w:tcPr>
                  <w:tcW w:w="425" w:type="pct"/>
                  <w:vMerge w:val="continue"/>
                  <w:noWrap w:val="0"/>
                  <w:vAlign w:val="center"/>
                </w:tcPr>
                <w:p w14:paraId="3A08F151">
                  <w:pPr>
                    <w:widowControl/>
                    <w:jc w:val="center"/>
                    <w:textAlignment w:val="center"/>
                    <w:rPr>
                      <w:rFonts w:ascii="Times New Roman" w:hAnsi="Times New Roman"/>
                      <w:b w:val="0"/>
                      <w:bCs w:val="0"/>
                      <w:color w:val="auto"/>
                      <w:szCs w:val="21"/>
                    </w:rPr>
                  </w:pPr>
                </w:p>
              </w:tc>
            </w:tr>
            <w:tr w14:paraId="24A91A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6" w:type="pct"/>
                  <w:vMerge w:val="continue"/>
                  <w:noWrap w:val="0"/>
                  <w:vAlign w:val="center"/>
                </w:tcPr>
                <w:p w14:paraId="6DA8736A">
                  <w:pPr>
                    <w:jc w:val="center"/>
                    <w:rPr>
                      <w:rFonts w:ascii="Times New Roman" w:hAnsi="Times New Roman"/>
                      <w:b w:val="0"/>
                      <w:bCs w:val="0"/>
                      <w:color w:val="auto"/>
                      <w:szCs w:val="21"/>
                    </w:rPr>
                  </w:pPr>
                </w:p>
              </w:tc>
              <w:tc>
                <w:tcPr>
                  <w:tcW w:w="427" w:type="pct"/>
                  <w:vMerge w:val="continue"/>
                  <w:noWrap w:val="0"/>
                  <w:vAlign w:val="center"/>
                </w:tcPr>
                <w:p w14:paraId="03673DDE">
                  <w:pPr>
                    <w:jc w:val="center"/>
                    <w:rPr>
                      <w:rFonts w:ascii="Times New Roman" w:hAnsi="Times New Roman"/>
                      <w:b w:val="0"/>
                      <w:bCs w:val="0"/>
                      <w:color w:val="auto"/>
                      <w:szCs w:val="21"/>
                    </w:rPr>
                  </w:pPr>
                </w:p>
              </w:tc>
              <w:tc>
                <w:tcPr>
                  <w:tcW w:w="428" w:type="pct"/>
                  <w:vMerge w:val="continue"/>
                  <w:noWrap w:val="0"/>
                  <w:vAlign w:val="center"/>
                </w:tcPr>
                <w:p w14:paraId="63DE0730">
                  <w:pPr>
                    <w:jc w:val="center"/>
                    <w:rPr>
                      <w:rFonts w:ascii="Times New Roman" w:hAnsi="Times New Roman"/>
                      <w:b w:val="0"/>
                      <w:bCs w:val="0"/>
                      <w:color w:val="auto"/>
                      <w:szCs w:val="21"/>
                    </w:rPr>
                  </w:pPr>
                </w:p>
              </w:tc>
              <w:tc>
                <w:tcPr>
                  <w:tcW w:w="1431" w:type="pct"/>
                  <w:gridSpan w:val="2"/>
                  <w:noWrap w:val="0"/>
                  <w:vAlign w:val="center"/>
                </w:tcPr>
                <w:p w14:paraId="07E4F2C3">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4" w:type="pct"/>
                  <w:noWrap w:val="0"/>
                  <w:vAlign w:val="center"/>
                </w:tcPr>
                <w:p w14:paraId="0EE3D13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42422</w:t>
                  </w:r>
                </w:p>
              </w:tc>
              <w:tc>
                <w:tcPr>
                  <w:tcW w:w="465" w:type="pct"/>
                  <w:noWrap w:val="0"/>
                  <w:vAlign w:val="center"/>
                </w:tcPr>
                <w:p w14:paraId="418D5BE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41258</w:t>
                  </w:r>
                </w:p>
              </w:tc>
              <w:tc>
                <w:tcPr>
                  <w:tcW w:w="465" w:type="pct"/>
                  <w:noWrap w:val="0"/>
                  <w:vAlign w:val="center"/>
                </w:tcPr>
                <w:p w14:paraId="78CBD99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41539</w:t>
                  </w:r>
                </w:p>
              </w:tc>
              <w:tc>
                <w:tcPr>
                  <w:tcW w:w="466" w:type="pct"/>
                  <w:noWrap w:val="0"/>
                  <w:vAlign w:val="center"/>
                </w:tcPr>
                <w:p w14:paraId="7E8ADF7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41739 </w:t>
                  </w:r>
                </w:p>
              </w:tc>
              <w:tc>
                <w:tcPr>
                  <w:tcW w:w="425" w:type="pct"/>
                  <w:vMerge w:val="continue"/>
                  <w:noWrap w:val="0"/>
                  <w:vAlign w:val="center"/>
                </w:tcPr>
                <w:p w14:paraId="246C6852">
                  <w:pPr>
                    <w:widowControl/>
                    <w:jc w:val="center"/>
                    <w:textAlignment w:val="center"/>
                    <w:rPr>
                      <w:rFonts w:ascii="Times New Roman" w:hAnsi="Times New Roman"/>
                      <w:b w:val="0"/>
                      <w:bCs w:val="0"/>
                      <w:color w:val="auto"/>
                      <w:szCs w:val="21"/>
                    </w:rPr>
                  </w:pPr>
                </w:p>
              </w:tc>
            </w:tr>
            <w:tr w14:paraId="3223B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74382F8A">
                  <w:pPr>
                    <w:jc w:val="center"/>
                    <w:rPr>
                      <w:rFonts w:ascii="Times New Roman" w:hAnsi="Times New Roman"/>
                      <w:b w:val="0"/>
                      <w:bCs w:val="0"/>
                      <w:color w:val="auto"/>
                      <w:szCs w:val="21"/>
                    </w:rPr>
                  </w:pPr>
                </w:p>
              </w:tc>
              <w:tc>
                <w:tcPr>
                  <w:tcW w:w="427" w:type="pct"/>
                  <w:vMerge w:val="continue"/>
                  <w:noWrap w:val="0"/>
                  <w:vAlign w:val="center"/>
                </w:tcPr>
                <w:p w14:paraId="106B979B">
                  <w:pPr>
                    <w:jc w:val="center"/>
                    <w:rPr>
                      <w:rFonts w:ascii="Times New Roman" w:hAnsi="Times New Roman"/>
                      <w:b w:val="0"/>
                      <w:bCs w:val="0"/>
                      <w:color w:val="auto"/>
                      <w:szCs w:val="21"/>
                    </w:rPr>
                  </w:pPr>
                </w:p>
              </w:tc>
              <w:tc>
                <w:tcPr>
                  <w:tcW w:w="428" w:type="pct"/>
                  <w:vMerge w:val="continue"/>
                  <w:noWrap w:val="0"/>
                  <w:vAlign w:val="center"/>
                </w:tcPr>
                <w:p w14:paraId="37DD4ACC">
                  <w:pPr>
                    <w:jc w:val="center"/>
                    <w:rPr>
                      <w:rFonts w:ascii="Times New Roman" w:hAnsi="Times New Roman"/>
                      <w:b w:val="0"/>
                      <w:bCs w:val="0"/>
                      <w:color w:val="auto"/>
                      <w:szCs w:val="21"/>
                    </w:rPr>
                  </w:pPr>
                </w:p>
              </w:tc>
              <w:tc>
                <w:tcPr>
                  <w:tcW w:w="428" w:type="pct"/>
                  <w:vMerge w:val="restart"/>
                  <w:noWrap w:val="0"/>
                  <w:vAlign w:val="center"/>
                </w:tcPr>
                <w:p w14:paraId="13699B4E">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6BD6B8A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4" w:type="pct"/>
                  <w:noWrap w:val="0"/>
                  <w:vAlign w:val="center"/>
                </w:tcPr>
                <w:p w14:paraId="0F6C7EC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35.9</w:t>
                  </w:r>
                </w:p>
              </w:tc>
              <w:tc>
                <w:tcPr>
                  <w:tcW w:w="465" w:type="pct"/>
                  <w:noWrap w:val="0"/>
                  <w:vAlign w:val="center"/>
                </w:tcPr>
                <w:p w14:paraId="75EED08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37.6</w:t>
                  </w:r>
                </w:p>
              </w:tc>
              <w:tc>
                <w:tcPr>
                  <w:tcW w:w="465" w:type="pct"/>
                  <w:noWrap w:val="0"/>
                  <w:vAlign w:val="center"/>
                </w:tcPr>
                <w:p w14:paraId="59E926F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41.2</w:t>
                  </w:r>
                </w:p>
              </w:tc>
              <w:tc>
                <w:tcPr>
                  <w:tcW w:w="466" w:type="pct"/>
                  <w:noWrap w:val="0"/>
                  <w:vAlign w:val="center"/>
                </w:tcPr>
                <w:p w14:paraId="4BB8D9D7">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38.2 </w:t>
                  </w:r>
                </w:p>
              </w:tc>
              <w:tc>
                <w:tcPr>
                  <w:tcW w:w="425" w:type="pct"/>
                  <w:noWrap w:val="0"/>
                  <w:vAlign w:val="center"/>
                </w:tcPr>
                <w:p w14:paraId="5F1A9283">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1</w:t>
                  </w:r>
                  <w:r>
                    <w:rPr>
                      <w:rFonts w:ascii="Times New Roman" w:hAnsi="Times New Roman"/>
                      <w:b w:val="0"/>
                      <w:bCs w:val="0"/>
                      <w:color w:val="auto"/>
                      <w:szCs w:val="21"/>
                    </w:rPr>
                    <w:t>20</w:t>
                  </w:r>
                </w:p>
              </w:tc>
            </w:tr>
            <w:tr w14:paraId="1A8077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434E700E">
                  <w:pPr>
                    <w:jc w:val="center"/>
                    <w:rPr>
                      <w:rFonts w:ascii="Times New Roman" w:hAnsi="Times New Roman"/>
                      <w:b w:val="0"/>
                      <w:bCs w:val="0"/>
                      <w:color w:val="auto"/>
                      <w:szCs w:val="21"/>
                    </w:rPr>
                  </w:pPr>
                </w:p>
              </w:tc>
              <w:tc>
                <w:tcPr>
                  <w:tcW w:w="427" w:type="pct"/>
                  <w:vMerge w:val="continue"/>
                  <w:noWrap w:val="0"/>
                  <w:vAlign w:val="center"/>
                </w:tcPr>
                <w:p w14:paraId="131E5D9E">
                  <w:pPr>
                    <w:jc w:val="center"/>
                    <w:rPr>
                      <w:rFonts w:ascii="Times New Roman" w:hAnsi="Times New Roman"/>
                      <w:b w:val="0"/>
                      <w:bCs w:val="0"/>
                      <w:color w:val="auto"/>
                      <w:szCs w:val="21"/>
                    </w:rPr>
                  </w:pPr>
                </w:p>
              </w:tc>
              <w:tc>
                <w:tcPr>
                  <w:tcW w:w="428" w:type="pct"/>
                  <w:vMerge w:val="continue"/>
                  <w:noWrap w:val="0"/>
                  <w:vAlign w:val="center"/>
                </w:tcPr>
                <w:p w14:paraId="779C270D">
                  <w:pPr>
                    <w:jc w:val="center"/>
                    <w:rPr>
                      <w:rFonts w:ascii="Times New Roman" w:hAnsi="Times New Roman"/>
                      <w:b w:val="0"/>
                      <w:bCs w:val="0"/>
                      <w:color w:val="auto"/>
                      <w:szCs w:val="21"/>
                    </w:rPr>
                  </w:pPr>
                </w:p>
              </w:tc>
              <w:tc>
                <w:tcPr>
                  <w:tcW w:w="428" w:type="pct"/>
                  <w:vMerge w:val="continue"/>
                  <w:noWrap w:val="0"/>
                  <w:vAlign w:val="center"/>
                </w:tcPr>
                <w:p w14:paraId="62ACAB92">
                  <w:pPr>
                    <w:jc w:val="center"/>
                    <w:rPr>
                      <w:rFonts w:ascii="Times New Roman" w:hAnsi="Times New Roman"/>
                      <w:b w:val="0"/>
                      <w:bCs w:val="0"/>
                      <w:color w:val="auto"/>
                      <w:szCs w:val="21"/>
                    </w:rPr>
                  </w:pPr>
                </w:p>
              </w:tc>
              <w:tc>
                <w:tcPr>
                  <w:tcW w:w="1003" w:type="pct"/>
                  <w:noWrap w:val="0"/>
                  <w:vAlign w:val="center"/>
                </w:tcPr>
                <w:p w14:paraId="6BED2DAB">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4" w:type="pct"/>
                  <w:noWrap w:val="0"/>
                  <w:vAlign w:val="center"/>
                </w:tcPr>
                <w:p w14:paraId="4B9D41C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1.52 </w:t>
                  </w:r>
                </w:p>
              </w:tc>
              <w:tc>
                <w:tcPr>
                  <w:tcW w:w="465" w:type="pct"/>
                  <w:noWrap w:val="0"/>
                  <w:vAlign w:val="center"/>
                </w:tcPr>
                <w:p w14:paraId="6D7B19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1.55 </w:t>
                  </w:r>
                </w:p>
              </w:tc>
              <w:tc>
                <w:tcPr>
                  <w:tcW w:w="465" w:type="pct"/>
                  <w:noWrap w:val="0"/>
                  <w:vAlign w:val="center"/>
                </w:tcPr>
                <w:p w14:paraId="17C1136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1.71 </w:t>
                  </w:r>
                </w:p>
              </w:tc>
              <w:tc>
                <w:tcPr>
                  <w:tcW w:w="466" w:type="pct"/>
                  <w:noWrap w:val="0"/>
                  <w:vAlign w:val="center"/>
                </w:tcPr>
                <w:p w14:paraId="0D840DB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1.60 </w:t>
                  </w:r>
                </w:p>
              </w:tc>
              <w:tc>
                <w:tcPr>
                  <w:tcW w:w="425" w:type="pct"/>
                  <w:noWrap w:val="0"/>
                  <w:vAlign w:val="center"/>
                </w:tcPr>
                <w:p w14:paraId="12473B7A">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3</w:t>
                  </w:r>
                  <w:r>
                    <w:rPr>
                      <w:rFonts w:ascii="Times New Roman" w:hAnsi="Times New Roman"/>
                      <w:b w:val="0"/>
                      <w:bCs w:val="0"/>
                      <w:color w:val="auto"/>
                      <w:szCs w:val="21"/>
                    </w:rPr>
                    <w:t>.5</w:t>
                  </w:r>
                </w:p>
              </w:tc>
            </w:tr>
            <w:tr w14:paraId="049EA0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vMerge w:val="continue"/>
                  <w:noWrap w:val="0"/>
                  <w:vAlign w:val="center"/>
                </w:tcPr>
                <w:p w14:paraId="53C043CE">
                  <w:pPr>
                    <w:jc w:val="center"/>
                    <w:rPr>
                      <w:rFonts w:ascii="Times New Roman" w:hAnsi="Times New Roman"/>
                      <w:b w:val="0"/>
                      <w:bCs w:val="0"/>
                      <w:color w:val="auto"/>
                      <w:szCs w:val="21"/>
                    </w:rPr>
                  </w:pPr>
                </w:p>
              </w:tc>
              <w:tc>
                <w:tcPr>
                  <w:tcW w:w="427" w:type="pct"/>
                  <w:vMerge w:val="continue"/>
                  <w:noWrap w:val="0"/>
                  <w:vAlign w:val="center"/>
                </w:tcPr>
                <w:p w14:paraId="1E721589">
                  <w:pPr>
                    <w:jc w:val="center"/>
                    <w:rPr>
                      <w:rFonts w:ascii="Times New Roman" w:hAnsi="Times New Roman"/>
                      <w:b w:val="0"/>
                      <w:bCs w:val="0"/>
                      <w:color w:val="auto"/>
                      <w:szCs w:val="21"/>
                    </w:rPr>
                  </w:pPr>
                </w:p>
              </w:tc>
              <w:tc>
                <w:tcPr>
                  <w:tcW w:w="1860" w:type="pct"/>
                  <w:gridSpan w:val="3"/>
                  <w:noWrap w:val="0"/>
                  <w:vAlign w:val="center"/>
                </w:tcPr>
                <w:p w14:paraId="36332230">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464" w:type="pct"/>
                  <w:noWrap w:val="0"/>
                  <w:vAlign w:val="center"/>
                </w:tcPr>
                <w:p w14:paraId="03AA5EFF">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88.9 </w:t>
                  </w:r>
                </w:p>
              </w:tc>
              <w:tc>
                <w:tcPr>
                  <w:tcW w:w="465" w:type="pct"/>
                  <w:noWrap w:val="0"/>
                  <w:vAlign w:val="center"/>
                </w:tcPr>
                <w:p w14:paraId="0211C348">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89.5 </w:t>
                  </w:r>
                </w:p>
              </w:tc>
              <w:tc>
                <w:tcPr>
                  <w:tcW w:w="465" w:type="pct"/>
                  <w:noWrap w:val="0"/>
                  <w:vAlign w:val="center"/>
                </w:tcPr>
                <w:p w14:paraId="2A2E2859">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86.4 </w:t>
                  </w:r>
                </w:p>
              </w:tc>
              <w:tc>
                <w:tcPr>
                  <w:tcW w:w="466" w:type="pct"/>
                  <w:noWrap w:val="0"/>
                  <w:vAlign w:val="center"/>
                </w:tcPr>
                <w:p w14:paraId="70137E1D">
                  <w:pPr>
                    <w:widowControl/>
                    <w:jc w:val="center"/>
                    <w:textAlignment w:val="center"/>
                    <w:rPr>
                      <w:rFonts w:ascii="Times New Roman" w:hAnsi="Times New Roman"/>
                      <w:b w:val="0"/>
                      <w:bCs w:val="0"/>
                      <w:color w:val="auto"/>
                      <w:kern w:val="0"/>
                      <w:szCs w:val="21"/>
                      <w:lang w:bidi="ar"/>
                    </w:rPr>
                  </w:pPr>
                  <w:r>
                    <w:rPr>
                      <w:rFonts w:ascii="Times New Roman" w:hAnsi="Times New Roman" w:eastAsia="微软雅黑"/>
                      <w:b w:val="0"/>
                      <w:bCs w:val="0"/>
                      <w:color w:val="auto"/>
                      <w:kern w:val="0"/>
                      <w:szCs w:val="21"/>
                      <w:lang w:bidi="ar"/>
                    </w:rPr>
                    <w:t xml:space="preserve">88.3 </w:t>
                  </w:r>
                </w:p>
              </w:tc>
              <w:tc>
                <w:tcPr>
                  <w:tcW w:w="425" w:type="pct"/>
                  <w:noWrap w:val="0"/>
                  <w:vAlign w:val="center"/>
                </w:tcPr>
                <w:p w14:paraId="0AC8EF79">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w:t>
                  </w:r>
                </w:p>
              </w:tc>
            </w:tr>
          </w:tbl>
          <w:p w14:paraId="493B3C91">
            <w:pPr>
              <w:spacing w:before="120" w:beforeLines="50"/>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w:t>
            </w:r>
            <w:r>
              <w:rPr>
                <w:rFonts w:hint="eastAsia"/>
                <w:b/>
                <w:color w:val="auto"/>
                <w:sz w:val="24"/>
                <w:szCs w:val="24"/>
                <w:lang w:val="en-US" w:eastAsia="zh-CN"/>
              </w:rPr>
              <w:t>9</w:t>
            </w:r>
            <w:r>
              <w:rPr>
                <w:rFonts w:ascii="Times New Roman" w:hAnsi="Times New Roman"/>
                <w:b/>
                <w:color w:val="auto"/>
                <w:sz w:val="24"/>
                <w:szCs w:val="24"/>
              </w:rPr>
              <w:t xml:space="preserve">  </w:t>
            </w:r>
            <w:r>
              <w:rPr>
                <w:rFonts w:hint="eastAsia" w:ascii="Times New Roman" w:hAnsi="Times New Roman"/>
                <w:b/>
                <w:color w:val="auto"/>
                <w:sz w:val="24"/>
                <w:szCs w:val="24"/>
              </w:rPr>
              <w:t>反击破工序</w:t>
            </w:r>
            <w:r>
              <w:rPr>
                <w:rFonts w:ascii="Times New Roman" w:hAnsi="Times New Roman"/>
                <w:b/>
                <w:color w:val="auto"/>
                <w:sz w:val="24"/>
                <w:szCs w:val="24"/>
              </w:rPr>
              <w:t>废气监测结果</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835"/>
              <w:gridCol w:w="725"/>
              <w:gridCol w:w="725"/>
              <w:gridCol w:w="1717"/>
              <w:gridCol w:w="784"/>
              <w:gridCol w:w="788"/>
              <w:gridCol w:w="793"/>
              <w:gridCol w:w="796"/>
              <w:gridCol w:w="720"/>
            </w:tblGrid>
            <w:tr w14:paraId="1D501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restart"/>
                  <w:noWrap w:val="0"/>
                  <w:vAlign w:val="center"/>
                </w:tcPr>
                <w:p w14:paraId="188D94EF">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监测日期</w:t>
                  </w:r>
                </w:p>
              </w:tc>
              <w:tc>
                <w:tcPr>
                  <w:tcW w:w="426" w:type="pct"/>
                  <w:vMerge w:val="restart"/>
                  <w:noWrap w:val="0"/>
                  <w:vAlign w:val="center"/>
                </w:tcPr>
                <w:p w14:paraId="1A9AC377">
                  <w:pPr>
                    <w:jc w:val="center"/>
                    <w:rPr>
                      <w:rFonts w:hint="eastAsia" w:ascii="Times New Roman" w:hAnsi="Times New Roman" w:eastAsia="宋体"/>
                      <w:b w:val="0"/>
                      <w:bCs w:val="0"/>
                      <w:color w:val="auto"/>
                      <w:kern w:val="0"/>
                      <w:szCs w:val="21"/>
                      <w:lang w:val="en-US" w:eastAsia="zh-CN"/>
                    </w:rPr>
                  </w:pPr>
                  <w:r>
                    <w:rPr>
                      <w:rFonts w:hint="eastAsia"/>
                      <w:b w:val="0"/>
                      <w:bCs w:val="0"/>
                      <w:color w:val="auto"/>
                      <w:kern w:val="0"/>
                      <w:szCs w:val="21"/>
                      <w:lang w:val="en-US" w:eastAsia="zh-CN"/>
                    </w:rPr>
                    <w:t>排气筒</w:t>
                  </w:r>
                </w:p>
              </w:tc>
              <w:tc>
                <w:tcPr>
                  <w:tcW w:w="428" w:type="pct"/>
                  <w:vMerge w:val="restart"/>
                  <w:noWrap w:val="0"/>
                  <w:vAlign w:val="center"/>
                </w:tcPr>
                <w:p w14:paraId="011CB1D3">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监测点位</w:t>
                  </w:r>
                </w:p>
              </w:tc>
              <w:tc>
                <w:tcPr>
                  <w:tcW w:w="1431" w:type="pct"/>
                  <w:gridSpan w:val="2"/>
                  <w:noWrap w:val="0"/>
                  <w:vAlign w:val="center"/>
                </w:tcPr>
                <w:p w14:paraId="74D20195">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监测项目</w:t>
                  </w:r>
                </w:p>
              </w:tc>
              <w:tc>
                <w:tcPr>
                  <w:tcW w:w="1862" w:type="pct"/>
                  <w:gridSpan w:val="4"/>
                  <w:noWrap w:val="0"/>
                  <w:vAlign w:val="center"/>
                </w:tcPr>
                <w:p w14:paraId="4998E5F1">
                  <w:pPr>
                    <w:snapToGrid w:val="0"/>
                    <w:jc w:val="center"/>
                    <w:rPr>
                      <w:rFonts w:ascii="Times New Roman" w:hAnsi="Times New Roman"/>
                      <w:b w:val="0"/>
                      <w:bCs w:val="0"/>
                      <w:color w:val="auto"/>
                      <w:szCs w:val="21"/>
                    </w:rPr>
                  </w:pPr>
                  <w:r>
                    <w:rPr>
                      <w:rFonts w:ascii="Times New Roman" w:hAnsi="Times New Roman"/>
                      <w:b w:val="0"/>
                      <w:bCs w:val="0"/>
                      <w:color w:val="auto"/>
                      <w:szCs w:val="21"/>
                    </w:rPr>
                    <w:t>监测结果</w:t>
                  </w:r>
                </w:p>
              </w:tc>
              <w:tc>
                <w:tcPr>
                  <w:tcW w:w="425" w:type="pct"/>
                  <w:vMerge w:val="restart"/>
                  <w:noWrap w:val="0"/>
                  <w:vAlign w:val="center"/>
                </w:tcPr>
                <w:p w14:paraId="30AB221B">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0F286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0D4EDB29">
                  <w:pPr>
                    <w:jc w:val="center"/>
                    <w:rPr>
                      <w:rFonts w:ascii="Times New Roman" w:hAnsi="Times New Roman"/>
                      <w:b w:val="0"/>
                      <w:bCs w:val="0"/>
                      <w:color w:val="auto"/>
                      <w:kern w:val="0"/>
                      <w:szCs w:val="21"/>
                    </w:rPr>
                  </w:pPr>
                </w:p>
              </w:tc>
              <w:tc>
                <w:tcPr>
                  <w:tcW w:w="426" w:type="pct"/>
                  <w:vMerge w:val="continue"/>
                  <w:noWrap w:val="0"/>
                  <w:vAlign w:val="center"/>
                </w:tcPr>
                <w:p w14:paraId="371AB928">
                  <w:pPr>
                    <w:jc w:val="center"/>
                    <w:rPr>
                      <w:rFonts w:ascii="Times New Roman" w:hAnsi="Times New Roman"/>
                      <w:b w:val="0"/>
                      <w:bCs w:val="0"/>
                      <w:color w:val="auto"/>
                      <w:kern w:val="0"/>
                      <w:szCs w:val="21"/>
                    </w:rPr>
                  </w:pPr>
                </w:p>
              </w:tc>
              <w:tc>
                <w:tcPr>
                  <w:tcW w:w="428" w:type="pct"/>
                  <w:vMerge w:val="continue"/>
                  <w:noWrap w:val="0"/>
                  <w:vAlign w:val="center"/>
                </w:tcPr>
                <w:p w14:paraId="39C267E3">
                  <w:pPr>
                    <w:jc w:val="center"/>
                    <w:rPr>
                      <w:rFonts w:ascii="Times New Roman" w:hAnsi="Times New Roman"/>
                      <w:b w:val="0"/>
                      <w:bCs w:val="0"/>
                      <w:color w:val="auto"/>
                      <w:kern w:val="0"/>
                      <w:szCs w:val="21"/>
                    </w:rPr>
                  </w:pPr>
                </w:p>
              </w:tc>
              <w:tc>
                <w:tcPr>
                  <w:tcW w:w="1431" w:type="pct"/>
                  <w:gridSpan w:val="2"/>
                  <w:noWrap w:val="0"/>
                  <w:vAlign w:val="center"/>
                </w:tcPr>
                <w:p w14:paraId="0FE6A1D6">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462" w:type="pct"/>
                  <w:noWrap w:val="0"/>
                  <w:vAlign w:val="center"/>
                </w:tcPr>
                <w:p w14:paraId="6A4967BF">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464" w:type="pct"/>
                  <w:noWrap w:val="0"/>
                  <w:vAlign w:val="center"/>
                </w:tcPr>
                <w:p w14:paraId="27653613">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7" w:type="pct"/>
                  <w:noWrap w:val="0"/>
                  <w:vAlign w:val="center"/>
                </w:tcPr>
                <w:p w14:paraId="530CD387">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8" w:type="pct"/>
                  <w:noWrap w:val="0"/>
                  <w:vAlign w:val="center"/>
                </w:tcPr>
                <w:p w14:paraId="074B7E69">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5" w:type="pct"/>
                  <w:vMerge w:val="continue"/>
                  <w:noWrap w:val="0"/>
                  <w:vAlign w:val="center"/>
                </w:tcPr>
                <w:p w14:paraId="79D8EECE">
                  <w:pPr>
                    <w:snapToGrid w:val="0"/>
                    <w:jc w:val="center"/>
                    <w:rPr>
                      <w:rFonts w:ascii="Times New Roman" w:hAnsi="Times New Roman"/>
                      <w:b w:val="0"/>
                      <w:bCs w:val="0"/>
                      <w:color w:val="auto"/>
                      <w:szCs w:val="21"/>
                    </w:rPr>
                  </w:pPr>
                </w:p>
              </w:tc>
            </w:tr>
            <w:tr w14:paraId="2EF01A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restart"/>
                  <w:noWrap w:val="0"/>
                  <w:vAlign w:val="center"/>
                </w:tcPr>
                <w:p w14:paraId="6E23131C">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3月27日</w:t>
                  </w:r>
                </w:p>
              </w:tc>
              <w:tc>
                <w:tcPr>
                  <w:tcW w:w="426" w:type="pct"/>
                  <w:vMerge w:val="restart"/>
                  <w:noWrap w:val="0"/>
                  <w:vAlign w:val="center"/>
                </w:tcPr>
                <w:p w14:paraId="5D5AD68A">
                  <w:pPr>
                    <w:widowControl/>
                    <w:jc w:val="center"/>
                    <w:textAlignment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DA002</w:t>
                  </w:r>
                </w:p>
              </w:tc>
              <w:tc>
                <w:tcPr>
                  <w:tcW w:w="428" w:type="pct"/>
                  <w:vMerge w:val="restart"/>
                  <w:noWrap w:val="0"/>
                  <w:vAlign w:val="center"/>
                </w:tcPr>
                <w:p w14:paraId="32AEC258">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反击破工序除尘器进口</w:t>
                  </w:r>
                </w:p>
              </w:tc>
              <w:tc>
                <w:tcPr>
                  <w:tcW w:w="1431" w:type="pct"/>
                  <w:gridSpan w:val="2"/>
                  <w:noWrap w:val="0"/>
                  <w:vAlign w:val="center"/>
                </w:tcPr>
                <w:p w14:paraId="78F39A5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3" w:type="pct"/>
                  <w:gridSpan w:val="3"/>
                  <w:noWrap w:val="0"/>
                  <w:vAlign w:val="center"/>
                </w:tcPr>
                <w:p w14:paraId="3F9FA83B">
                  <w:pPr>
                    <w:widowControl/>
                    <w:jc w:val="center"/>
                    <w:rPr>
                      <w:rFonts w:ascii="Times New Roman" w:hAnsi="Times New Roman"/>
                      <w:b w:val="0"/>
                      <w:bCs w:val="0"/>
                      <w:color w:val="auto"/>
                      <w:szCs w:val="21"/>
                    </w:rPr>
                  </w:pPr>
                  <w:r>
                    <w:rPr>
                      <w:rFonts w:ascii="Times New Roman" w:hAnsi="Times New Roman"/>
                      <w:b w:val="0"/>
                      <w:bCs w:val="0"/>
                      <w:color w:val="auto"/>
                      <w:szCs w:val="21"/>
                    </w:rPr>
                    <w:t>0.385</w:t>
                  </w:r>
                </w:p>
              </w:tc>
              <w:tc>
                <w:tcPr>
                  <w:tcW w:w="468" w:type="pct"/>
                  <w:noWrap w:val="0"/>
                  <w:vAlign w:val="center"/>
                </w:tcPr>
                <w:p w14:paraId="27BD49A2">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5" w:type="pct"/>
                  <w:vMerge w:val="restart"/>
                  <w:noWrap w:val="0"/>
                  <w:vAlign w:val="center"/>
                </w:tcPr>
                <w:p w14:paraId="1EEEFF8A">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r>
            <w:tr w14:paraId="5D53F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5721DD8B">
                  <w:pPr>
                    <w:jc w:val="center"/>
                    <w:rPr>
                      <w:rFonts w:ascii="Times New Roman" w:hAnsi="Times New Roman"/>
                      <w:b w:val="0"/>
                      <w:bCs w:val="0"/>
                      <w:color w:val="auto"/>
                      <w:szCs w:val="21"/>
                    </w:rPr>
                  </w:pPr>
                </w:p>
              </w:tc>
              <w:tc>
                <w:tcPr>
                  <w:tcW w:w="426" w:type="pct"/>
                  <w:vMerge w:val="continue"/>
                  <w:noWrap w:val="0"/>
                  <w:vAlign w:val="center"/>
                </w:tcPr>
                <w:p w14:paraId="42BAFAC0">
                  <w:pPr>
                    <w:jc w:val="center"/>
                    <w:rPr>
                      <w:rFonts w:ascii="Times New Roman" w:hAnsi="Times New Roman"/>
                      <w:b w:val="0"/>
                      <w:bCs w:val="0"/>
                      <w:color w:val="auto"/>
                      <w:szCs w:val="21"/>
                    </w:rPr>
                  </w:pPr>
                </w:p>
              </w:tc>
              <w:tc>
                <w:tcPr>
                  <w:tcW w:w="428" w:type="pct"/>
                  <w:vMerge w:val="continue"/>
                  <w:noWrap w:val="0"/>
                  <w:vAlign w:val="center"/>
                </w:tcPr>
                <w:p w14:paraId="0A8AF53F">
                  <w:pPr>
                    <w:jc w:val="center"/>
                    <w:rPr>
                      <w:rFonts w:ascii="Times New Roman" w:hAnsi="Times New Roman"/>
                      <w:b w:val="0"/>
                      <w:bCs w:val="0"/>
                      <w:color w:val="auto"/>
                      <w:szCs w:val="21"/>
                    </w:rPr>
                  </w:pPr>
                </w:p>
              </w:tc>
              <w:tc>
                <w:tcPr>
                  <w:tcW w:w="1431" w:type="pct"/>
                  <w:gridSpan w:val="2"/>
                  <w:noWrap w:val="0"/>
                  <w:vAlign w:val="center"/>
                </w:tcPr>
                <w:p w14:paraId="737C167D">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2" w:type="pct"/>
                  <w:noWrap w:val="0"/>
                  <w:vAlign w:val="center"/>
                </w:tcPr>
                <w:p w14:paraId="3271DA3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21.3</w:t>
                  </w:r>
                </w:p>
              </w:tc>
              <w:tc>
                <w:tcPr>
                  <w:tcW w:w="464" w:type="pct"/>
                  <w:noWrap w:val="0"/>
                  <w:vAlign w:val="center"/>
                </w:tcPr>
                <w:p w14:paraId="2E276A8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22.7</w:t>
                  </w:r>
                </w:p>
              </w:tc>
              <w:tc>
                <w:tcPr>
                  <w:tcW w:w="467" w:type="pct"/>
                  <w:noWrap w:val="0"/>
                  <w:vAlign w:val="center"/>
                </w:tcPr>
                <w:p w14:paraId="3137141C">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21.6</w:t>
                  </w:r>
                </w:p>
              </w:tc>
              <w:tc>
                <w:tcPr>
                  <w:tcW w:w="468" w:type="pct"/>
                  <w:noWrap w:val="0"/>
                  <w:vAlign w:val="center"/>
                </w:tcPr>
                <w:p w14:paraId="2DF9ED6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21.9</w:t>
                  </w:r>
                </w:p>
              </w:tc>
              <w:tc>
                <w:tcPr>
                  <w:tcW w:w="425" w:type="pct"/>
                  <w:vMerge w:val="continue"/>
                  <w:noWrap w:val="0"/>
                  <w:vAlign w:val="center"/>
                </w:tcPr>
                <w:p w14:paraId="6527FD77">
                  <w:pPr>
                    <w:widowControl/>
                    <w:jc w:val="center"/>
                    <w:textAlignment w:val="center"/>
                    <w:rPr>
                      <w:rFonts w:ascii="Times New Roman" w:hAnsi="Times New Roman"/>
                      <w:b w:val="0"/>
                      <w:bCs w:val="0"/>
                      <w:color w:val="auto"/>
                      <w:szCs w:val="21"/>
                    </w:rPr>
                  </w:pPr>
                </w:p>
              </w:tc>
            </w:tr>
            <w:tr w14:paraId="2E8B2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456BEC2D">
                  <w:pPr>
                    <w:jc w:val="center"/>
                    <w:rPr>
                      <w:rFonts w:ascii="Times New Roman" w:hAnsi="Times New Roman"/>
                      <w:b w:val="0"/>
                      <w:bCs w:val="0"/>
                      <w:color w:val="auto"/>
                      <w:szCs w:val="21"/>
                    </w:rPr>
                  </w:pPr>
                </w:p>
              </w:tc>
              <w:tc>
                <w:tcPr>
                  <w:tcW w:w="426" w:type="pct"/>
                  <w:vMerge w:val="continue"/>
                  <w:noWrap w:val="0"/>
                  <w:vAlign w:val="center"/>
                </w:tcPr>
                <w:p w14:paraId="2FC0710B">
                  <w:pPr>
                    <w:jc w:val="center"/>
                    <w:rPr>
                      <w:rFonts w:ascii="Times New Roman" w:hAnsi="Times New Roman"/>
                      <w:b w:val="0"/>
                      <w:bCs w:val="0"/>
                      <w:color w:val="auto"/>
                      <w:szCs w:val="21"/>
                    </w:rPr>
                  </w:pPr>
                </w:p>
              </w:tc>
              <w:tc>
                <w:tcPr>
                  <w:tcW w:w="428" w:type="pct"/>
                  <w:vMerge w:val="continue"/>
                  <w:noWrap w:val="0"/>
                  <w:vAlign w:val="center"/>
                </w:tcPr>
                <w:p w14:paraId="3AF56115">
                  <w:pPr>
                    <w:jc w:val="center"/>
                    <w:rPr>
                      <w:rFonts w:ascii="Times New Roman" w:hAnsi="Times New Roman"/>
                      <w:b w:val="0"/>
                      <w:bCs w:val="0"/>
                      <w:color w:val="auto"/>
                      <w:szCs w:val="21"/>
                    </w:rPr>
                  </w:pPr>
                </w:p>
              </w:tc>
              <w:tc>
                <w:tcPr>
                  <w:tcW w:w="1431" w:type="pct"/>
                  <w:gridSpan w:val="2"/>
                  <w:noWrap w:val="0"/>
                  <w:vAlign w:val="center"/>
                </w:tcPr>
                <w:p w14:paraId="1DAAB702">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2" w:type="pct"/>
                  <w:noWrap w:val="0"/>
                  <w:vAlign w:val="center"/>
                </w:tcPr>
                <w:p w14:paraId="5CDB1CA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464" w:type="pct"/>
                  <w:noWrap w:val="0"/>
                  <w:vAlign w:val="center"/>
                </w:tcPr>
                <w:p w14:paraId="246A2C2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12.1</w:t>
                  </w:r>
                </w:p>
              </w:tc>
              <w:tc>
                <w:tcPr>
                  <w:tcW w:w="467" w:type="pct"/>
                  <w:noWrap w:val="0"/>
                  <w:vAlign w:val="center"/>
                </w:tcPr>
                <w:p w14:paraId="4AF5263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11.9</w:t>
                  </w:r>
                </w:p>
              </w:tc>
              <w:tc>
                <w:tcPr>
                  <w:tcW w:w="468" w:type="pct"/>
                  <w:noWrap w:val="0"/>
                  <w:vAlign w:val="center"/>
                </w:tcPr>
                <w:p w14:paraId="28374321">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11.9</w:t>
                  </w:r>
                </w:p>
              </w:tc>
              <w:tc>
                <w:tcPr>
                  <w:tcW w:w="425" w:type="pct"/>
                  <w:vMerge w:val="continue"/>
                  <w:noWrap w:val="0"/>
                  <w:vAlign w:val="center"/>
                </w:tcPr>
                <w:p w14:paraId="43978065">
                  <w:pPr>
                    <w:widowControl/>
                    <w:jc w:val="center"/>
                    <w:textAlignment w:val="center"/>
                    <w:rPr>
                      <w:rFonts w:ascii="Times New Roman" w:hAnsi="Times New Roman"/>
                      <w:b w:val="0"/>
                      <w:bCs w:val="0"/>
                      <w:color w:val="auto"/>
                      <w:szCs w:val="21"/>
                    </w:rPr>
                  </w:pPr>
                </w:p>
              </w:tc>
            </w:tr>
            <w:tr w14:paraId="12D28D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796DE7E8">
                  <w:pPr>
                    <w:jc w:val="center"/>
                    <w:rPr>
                      <w:rFonts w:ascii="Times New Roman" w:hAnsi="Times New Roman"/>
                      <w:b w:val="0"/>
                      <w:bCs w:val="0"/>
                      <w:color w:val="auto"/>
                      <w:szCs w:val="21"/>
                    </w:rPr>
                  </w:pPr>
                </w:p>
              </w:tc>
              <w:tc>
                <w:tcPr>
                  <w:tcW w:w="426" w:type="pct"/>
                  <w:vMerge w:val="continue"/>
                  <w:noWrap w:val="0"/>
                  <w:vAlign w:val="center"/>
                </w:tcPr>
                <w:p w14:paraId="78E29B04">
                  <w:pPr>
                    <w:jc w:val="center"/>
                    <w:rPr>
                      <w:rFonts w:ascii="Times New Roman" w:hAnsi="Times New Roman"/>
                      <w:b w:val="0"/>
                      <w:bCs w:val="0"/>
                      <w:color w:val="auto"/>
                      <w:szCs w:val="21"/>
                    </w:rPr>
                  </w:pPr>
                </w:p>
              </w:tc>
              <w:tc>
                <w:tcPr>
                  <w:tcW w:w="428" w:type="pct"/>
                  <w:vMerge w:val="continue"/>
                  <w:noWrap w:val="0"/>
                  <w:vAlign w:val="center"/>
                </w:tcPr>
                <w:p w14:paraId="22BB8821">
                  <w:pPr>
                    <w:jc w:val="center"/>
                    <w:rPr>
                      <w:rFonts w:ascii="Times New Roman" w:hAnsi="Times New Roman"/>
                      <w:b w:val="0"/>
                      <w:bCs w:val="0"/>
                      <w:color w:val="auto"/>
                      <w:szCs w:val="21"/>
                    </w:rPr>
                  </w:pPr>
                </w:p>
              </w:tc>
              <w:tc>
                <w:tcPr>
                  <w:tcW w:w="1431" w:type="pct"/>
                  <w:gridSpan w:val="2"/>
                  <w:noWrap w:val="0"/>
                  <w:vAlign w:val="center"/>
                </w:tcPr>
                <w:p w14:paraId="26FD6493">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2" w:type="pct"/>
                  <w:noWrap w:val="0"/>
                  <w:vAlign w:val="center"/>
                </w:tcPr>
                <w:p w14:paraId="30AE79B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14020</w:t>
                  </w:r>
                </w:p>
              </w:tc>
              <w:tc>
                <w:tcPr>
                  <w:tcW w:w="464" w:type="pct"/>
                  <w:noWrap w:val="0"/>
                  <w:vAlign w:val="center"/>
                </w:tcPr>
                <w:p w14:paraId="3365B4F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14279</w:t>
                  </w:r>
                </w:p>
              </w:tc>
              <w:tc>
                <w:tcPr>
                  <w:tcW w:w="467" w:type="pct"/>
                  <w:noWrap w:val="0"/>
                  <w:vAlign w:val="center"/>
                </w:tcPr>
                <w:p w14:paraId="7553B87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14136</w:t>
                  </w:r>
                </w:p>
              </w:tc>
              <w:tc>
                <w:tcPr>
                  <w:tcW w:w="468" w:type="pct"/>
                  <w:noWrap w:val="0"/>
                  <w:vAlign w:val="center"/>
                </w:tcPr>
                <w:p w14:paraId="753D218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14145</w:t>
                  </w:r>
                </w:p>
              </w:tc>
              <w:tc>
                <w:tcPr>
                  <w:tcW w:w="425" w:type="pct"/>
                  <w:vMerge w:val="continue"/>
                  <w:noWrap w:val="0"/>
                  <w:vAlign w:val="center"/>
                </w:tcPr>
                <w:p w14:paraId="6503EE65">
                  <w:pPr>
                    <w:widowControl/>
                    <w:jc w:val="center"/>
                    <w:textAlignment w:val="center"/>
                    <w:rPr>
                      <w:rFonts w:ascii="Times New Roman" w:hAnsi="Times New Roman"/>
                      <w:b w:val="0"/>
                      <w:bCs w:val="0"/>
                      <w:color w:val="auto"/>
                      <w:szCs w:val="21"/>
                    </w:rPr>
                  </w:pPr>
                </w:p>
              </w:tc>
            </w:tr>
            <w:tr w14:paraId="19313E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76C4FC33">
                  <w:pPr>
                    <w:jc w:val="center"/>
                    <w:rPr>
                      <w:rFonts w:ascii="Times New Roman" w:hAnsi="Times New Roman"/>
                      <w:b w:val="0"/>
                      <w:bCs w:val="0"/>
                      <w:color w:val="auto"/>
                      <w:szCs w:val="21"/>
                    </w:rPr>
                  </w:pPr>
                </w:p>
              </w:tc>
              <w:tc>
                <w:tcPr>
                  <w:tcW w:w="426" w:type="pct"/>
                  <w:vMerge w:val="continue"/>
                  <w:noWrap w:val="0"/>
                  <w:vAlign w:val="center"/>
                </w:tcPr>
                <w:p w14:paraId="6B51D007">
                  <w:pPr>
                    <w:jc w:val="center"/>
                    <w:rPr>
                      <w:rFonts w:ascii="Times New Roman" w:hAnsi="Times New Roman"/>
                      <w:b w:val="0"/>
                      <w:bCs w:val="0"/>
                      <w:color w:val="auto"/>
                      <w:szCs w:val="21"/>
                    </w:rPr>
                  </w:pPr>
                </w:p>
              </w:tc>
              <w:tc>
                <w:tcPr>
                  <w:tcW w:w="428" w:type="pct"/>
                  <w:vMerge w:val="continue"/>
                  <w:noWrap w:val="0"/>
                  <w:vAlign w:val="center"/>
                </w:tcPr>
                <w:p w14:paraId="20BBB359">
                  <w:pPr>
                    <w:jc w:val="center"/>
                    <w:rPr>
                      <w:rFonts w:ascii="Times New Roman" w:hAnsi="Times New Roman"/>
                      <w:b w:val="0"/>
                      <w:bCs w:val="0"/>
                      <w:color w:val="auto"/>
                      <w:szCs w:val="21"/>
                    </w:rPr>
                  </w:pPr>
                </w:p>
              </w:tc>
              <w:tc>
                <w:tcPr>
                  <w:tcW w:w="428" w:type="pct"/>
                  <w:vMerge w:val="restart"/>
                  <w:noWrap w:val="0"/>
                  <w:vAlign w:val="center"/>
                </w:tcPr>
                <w:p w14:paraId="081B8366">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0C42788F">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2" w:type="pct"/>
                  <w:noWrap w:val="0"/>
                  <w:vAlign w:val="center"/>
                </w:tcPr>
                <w:p w14:paraId="112FA3B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14041</w:t>
                  </w:r>
                </w:p>
              </w:tc>
              <w:tc>
                <w:tcPr>
                  <w:tcW w:w="464" w:type="pct"/>
                  <w:noWrap w:val="0"/>
                  <w:vAlign w:val="center"/>
                </w:tcPr>
                <w:p w14:paraId="2811DDD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8429</w:t>
                  </w:r>
                </w:p>
              </w:tc>
              <w:tc>
                <w:tcPr>
                  <w:tcW w:w="467" w:type="pct"/>
                  <w:noWrap w:val="0"/>
                  <w:vAlign w:val="center"/>
                </w:tcPr>
                <w:p w14:paraId="6C17AD0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11434</w:t>
                  </w:r>
                </w:p>
              </w:tc>
              <w:tc>
                <w:tcPr>
                  <w:tcW w:w="468" w:type="pct"/>
                  <w:noWrap w:val="0"/>
                  <w:vAlign w:val="center"/>
                </w:tcPr>
                <w:p w14:paraId="78A595D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11301</w:t>
                  </w:r>
                </w:p>
              </w:tc>
              <w:tc>
                <w:tcPr>
                  <w:tcW w:w="425" w:type="pct"/>
                  <w:vMerge w:val="continue"/>
                  <w:noWrap w:val="0"/>
                  <w:vAlign w:val="center"/>
                </w:tcPr>
                <w:p w14:paraId="35B01888">
                  <w:pPr>
                    <w:widowControl/>
                    <w:jc w:val="center"/>
                    <w:textAlignment w:val="center"/>
                    <w:rPr>
                      <w:rFonts w:ascii="Times New Roman" w:hAnsi="Times New Roman"/>
                      <w:b w:val="0"/>
                      <w:bCs w:val="0"/>
                      <w:color w:val="auto"/>
                      <w:szCs w:val="21"/>
                    </w:rPr>
                  </w:pPr>
                </w:p>
              </w:tc>
            </w:tr>
            <w:tr w14:paraId="3CAF5C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420DE455">
                  <w:pPr>
                    <w:jc w:val="center"/>
                    <w:rPr>
                      <w:rFonts w:ascii="Times New Roman" w:hAnsi="Times New Roman"/>
                      <w:b w:val="0"/>
                      <w:bCs w:val="0"/>
                      <w:color w:val="auto"/>
                      <w:szCs w:val="21"/>
                    </w:rPr>
                  </w:pPr>
                </w:p>
              </w:tc>
              <w:tc>
                <w:tcPr>
                  <w:tcW w:w="426" w:type="pct"/>
                  <w:vMerge w:val="continue"/>
                  <w:noWrap w:val="0"/>
                  <w:vAlign w:val="center"/>
                </w:tcPr>
                <w:p w14:paraId="5E9BB4B8">
                  <w:pPr>
                    <w:jc w:val="center"/>
                    <w:rPr>
                      <w:rFonts w:ascii="Times New Roman" w:hAnsi="Times New Roman"/>
                      <w:b w:val="0"/>
                      <w:bCs w:val="0"/>
                      <w:color w:val="auto"/>
                      <w:szCs w:val="21"/>
                    </w:rPr>
                  </w:pPr>
                </w:p>
              </w:tc>
              <w:tc>
                <w:tcPr>
                  <w:tcW w:w="428" w:type="pct"/>
                  <w:vMerge w:val="continue"/>
                  <w:noWrap w:val="0"/>
                  <w:vAlign w:val="center"/>
                </w:tcPr>
                <w:p w14:paraId="01021F78">
                  <w:pPr>
                    <w:jc w:val="center"/>
                    <w:rPr>
                      <w:rFonts w:ascii="Times New Roman" w:hAnsi="Times New Roman"/>
                      <w:b w:val="0"/>
                      <w:bCs w:val="0"/>
                      <w:color w:val="auto"/>
                      <w:szCs w:val="21"/>
                    </w:rPr>
                  </w:pPr>
                </w:p>
              </w:tc>
              <w:tc>
                <w:tcPr>
                  <w:tcW w:w="428" w:type="pct"/>
                  <w:vMerge w:val="continue"/>
                  <w:noWrap w:val="0"/>
                  <w:vAlign w:val="center"/>
                </w:tcPr>
                <w:p w14:paraId="3C32B8AD">
                  <w:pPr>
                    <w:jc w:val="center"/>
                    <w:rPr>
                      <w:rFonts w:ascii="Times New Roman" w:hAnsi="Times New Roman"/>
                      <w:b w:val="0"/>
                      <w:bCs w:val="0"/>
                      <w:color w:val="auto"/>
                      <w:szCs w:val="21"/>
                    </w:rPr>
                  </w:pPr>
                </w:p>
              </w:tc>
              <w:tc>
                <w:tcPr>
                  <w:tcW w:w="1003" w:type="pct"/>
                  <w:noWrap w:val="0"/>
                  <w:vAlign w:val="center"/>
                </w:tcPr>
                <w:p w14:paraId="40AD39EC">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速率（kg/h）</w:t>
                  </w:r>
                </w:p>
              </w:tc>
              <w:tc>
                <w:tcPr>
                  <w:tcW w:w="462" w:type="pct"/>
                  <w:noWrap w:val="0"/>
                  <w:vAlign w:val="center"/>
                </w:tcPr>
                <w:p w14:paraId="2F0B466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197</w:t>
                  </w:r>
                </w:p>
              </w:tc>
              <w:tc>
                <w:tcPr>
                  <w:tcW w:w="464" w:type="pct"/>
                  <w:noWrap w:val="0"/>
                  <w:vAlign w:val="center"/>
                </w:tcPr>
                <w:p w14:paraId="75B2B292">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120</w:t>
                  </w:r>
                </w:p>
              </w:tc>
              <w:tc>
                <w:tcPr>
                  <w:tcW w:w="467" w:type="pct"/>
                  <w:noWrap w:val="0"/>
                  <w:vAlign w:val="center"/>
                </w:tcPr>
                <w:p w14:paraId="313F506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162</w:t>
                  </w:r>
                </w:p>
              </w:tc>
              <w:tc>
                <w:tcPr>
                  <w:tcW w:w="468" w:type="pct"/>
                  <w:noWrap w:val="0"/>
                  <w:vAlign w:val="center"/>
                </w:tcPr>
                <w:p w14:paraId="6B23AC1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160</w:t>
                  </w:r>
                </w:p>
              </w:tc>
              <w:tc>
                <w:tcPr>
                  <w:tcW w:w="425" w:type="pct"/>
                  <w:vMerge w:val="continue"/>
                  <w:noWrap w:val="0"/>
                  <w:vAlign w:val="center"/>
                </w:tcPr>
                <w:p w14:paraId="6B1C5759">
                  <w:pPr>
                    <w:widowControl/>
                    <w:jc w:val="center"/>
                    <w:textAlignment w:val="center"/>
                    <w:rPr>
                      <w:rFonts w:ascii="Times New Roman" w:hAnsi="Times New Roman"/>
                      <w:b w:val="0"/>
                      <w:bCs w:val="0"/>
                      <w:color w:val="auto"/>
                      <w:szCs w:val="21"/>
                    </w:rPr>
                  </w:pPr>
                </w:p>
              </w:tc>
            </w:tr>
            <w:tr w14:paraId="008D4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034A87F4">
                  <w:pPr>
                    <w:widowControl/>
                    <w:jc w:val="center"/>
                    <w:textAlignment w:val="center"/>
                    <w:rPr>
                      <w:rFonts w:ascii="Times New Roman" w:hAnsi="Times New Roman"/>
                      <w:b w:val="0"/>
                      <w:bCs w:val="0"/>
                      <w:color w:val="auto"/>
                      <w:szCs w:val="21"/>
                    </w:rPr>
                  </w:pPr>
                </w:p>
              </w:tc>
              <w:tc>
                <w:tcPr>
                  <w:tcW w:w="426" w:type="pct"/>
                  <w:vMerge w:val="continue"/>
                  <w:noWrap w:val="0"/>
                  <w:vAlign w:val="center"/>
                </w:tcPr>
                <w:p w14:paraId="09B52AF4">
                  <w:pPr>
                    <w:widowControl/>
                    <w:jc w:val="center"/>
                    <w:textAlignment w:val="center"/>
                    <w:rPr>
                      <w:rFonts w:ascii="Times New Roman" w:hAnsi="Times New Roman"/>
                      <w:b w:val="0"/>
                      <w:bCs w:val="0"/>
                      <w:color w:val="auto"/>
                      <w:szCs w:val="21"/>
                    </w:rPr>
                  </w:pPr>
                </w:p>
              </w:tc>
              <w:tc>
                <w:tcPr>
                  <w:tcW w:w="428" w:type="pct"/>
                  <w:vMerge w:val="restart"/>
                  <w:noWrap w:val="0"/>
                  <w:vAlign w:val="center"/>
                </w:tcPr>
                <w:p w14:paraId="78FB5C28">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反击破工序除尘器出口</w:t>
                  </w:r>
                </w:p>
              </w:tc>
              <w:tc>
                <w:tcPr>
                  <w:tcW w:w="1431" w:type="pct"/>
                  <w:gridSpan w:val="2"/>
                  <w:noWrap w:val="0"/>
                  <w:vAlign w:val="center"/>
                </w:tcPr>
                <w:p w14:paraId="64BED42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462" w:type="pct"/>
                  <w:noWrap w:val="0"/>
                  <w:vAlign w:val="center"/>
                </w:tcPr>
                <w:p w14:paraId="5C9FE57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464" w:type="pct"/>
                  <w:noWrap w:val="0"/>
                  <w:vAlign w:val="center"/>
                </w:tcPr>
                <w:p w14:paraId="7828D7E2">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7" w:type="pct"/>
                  <w:noWrap w:val="0"/>
                  <w:vAlign w:val="center"/>
                </w:tcPr>
                <w:p w14:paraId="13C117E8">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8" w:type="pct"/>
                  <w:noWrap w:val="0"/>
                  <w:vAlign w:val="center"/>
                </w:tcPr>
                <w:p w14:paraId="59B1534F">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5" w:type="pct"/>
                  <w:vMerge w:val="continue"/>
                  <w:noWrap w:val="0"/>
                  <w:vAlign w:val="center"/>
                </w:tcPr>
                <w:p w14:paraId="4C2D84A5">
                  <w:pPr>
                    <w:widowControl/>
                    <w:jc w:val="center"/>
                    <w:rPr>
                      <w:rFonts w:ascii="Times New Roman" w:hAnsi="Times New Roman"/>
                      <w:b w:val="0"/>
                      <w:bCs w:val="0"/>
                      <w:color w:val="auto"/>
                      <w:szCs w:val="21"/>
                    </w:rPr>
                  </w:pPr>
                </w:p>
              </w:tc>
            </w:tr>
            <w:tr w14:paraId="7BC7C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101A9F3B">
                  <w:pPr>
                    <w:jc w:val="center"/>
                    <w:rPr>
                      <w:rFonts w:ascii="Times New Roman" w:hAnsi="Times New Roman"/>
                      <w:b w:val="0"/>
                      <w:bCs w:val="0"/>
                      <w:color w:val="auto"/>
                      <w:szCs w:val="21"/>
                    </w:rPr>
                  </w:pPr>
                </w:p>
              </w:tc>
              <w:tc>
                <w:tcPr>
                  <w:tcW w:w="426" w:type="pct"/>
                  <w:vMerge w:val="continue"/>
                  <w:noWrap w:val="0"/>
                  <w:vAlign w:val="center"/>
                </w:tcPr>
                <w:p w14:paraId="7D6B9251">
                  <w:pPr>
                    <w:jc w:val="center"/>
                    <w:rPr>
                      <w:rFonts w:ascii="Times New Roman" w:hAnsi="Times New Roman"/>
                      <w:b w:val="0"/>
                      <w:bCs w:val="0"/>
                      <w:color w:val="auto"/>
                      <w:szCs w:val="21"/>
                    </w:rPr>
                  </w:pPr>
                </w:p>
              </w:tc>
              <w:tc>
                <w:tcPr>
                  <w:tcW w:w="428" w:type="pct"/>
                  <w:vMerge w:val="continue"/>
                  <w:noWrap w:val="0"/>
                  <w:vAlign w:val="center"/>
                </w:tcPr>
                <w:p w14:paraId="1F34FADE">
                  <w:pPr>
                    <w:jc w:val="center"/>
                    <w:rPr>
                      <w:rFonts w:ascii="Times New Roman" w:hAnsi="Times New Roman"/>
                      <w:b w:val="0"/>
                      <w:bCs w:val="0"/>
                      <w:color w:val="auto"/>
                      <w:szCs w:val="21"/>
                    </w:rPr>
                  </w:pPr>
                </w:p>
              </w:tc>
              <w:tc>
                <w:tcPr>
                  <w:tcW w:w="1431" w:type="pct"/>
                  <w:gridSpan w:val="2"/>
                  <w:noWrap w:val="0"/>
                  <w:vAlign w:val="center"/>
                </w:tcPr>
                <w:p w14:paraId="3721ABDB">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3" w:type="pct"/>
                  <w:gridSpan w:val="3"/>
                  <w:noWrap w:val="0"/>
                  <w:vAlign w:val="center"/>
                </w:tcPr>
                <w:p w14:paraId="501510E5">
                  <w:pPr>
                    <w:jc w:val="center"/>
                    <w:rPr>
                      <w:rFonts w:ascii="Times New Roman" w:hAnsi="Times New Roman"/>
                      <w:b w:val="0"/>
                      <w:bCs w:val="0"/>
                      <w:color w:val="auto"/>
                      <w:szCs w:val="21"/>
                    </w:rPr>
                  </w:pPr>
                  <w:r>
                    <w:rPr>
                      <w:rFonts w:ascii="Times New Roman" w:hAnsi="Times New Roman"/>
                      <w:b w:val="0"/>
                      <w:bCs w:val="0"/>
                      <w:color w:val="auto"/>
                      <w:szCs w:val="21"/>
                    </w:rPr>
                    <w:t>0.385</w:t>
                  </w:r>
                </w:p>
              </w:tc>
              <w:tc>
                <w:tcPr>
                  <w:tcW w:w="468" w:type="pct"/>
                  <w:noWrap w:val="0"/>
                  <w:vAlign w:val="center"/>
                </w:tcPr>
                <w:p w14:paraId="66E62A4B">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5" w:type="pct"/>
                  <w:vMerge w:val="continue"/>
                  <w:noWrap w:val="0"/>
                  <w:vAlign w:val="center"/>
                </w:tcPr>
                <w:p w14:paraId="4940886A">
                  <w:pPr>
                    <w:jc w:val="center"/>
                    <w:rPr>
                      <w:rFonts w:ascii="Times New Roman" w:hAnsi="Times New Roman"/>
                      <w:b w:val="0"/>
                      <w:bCs w:val="0"/>
                      <w:color w:val="auto"/>
                      <w:szCs w:val="21"/>
                    </w:rPr>
                  </w:pPr>
                </w:p>
              </w:tc>
            </w:tr>
            <w:tr w14:paraId="0533C4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474BC3AA">
                  <w:pPr>
                    <w:jc w:val="center"/>
                    <w:rPr>
                      <w:rFonts w:ascii="Times New Roman" w:hAnsi="Times New Roman"/>
                      <w:b w:val="0"/>
                      <w:bCs w:val="0"/>
                      <w:color w:val="auto"/>
                      <w:szCs w:val="21"/>
                    </w:rPr>
                  </w:pPr>
                </w:p>
              </w:tc>
              <w:tc>
                <w:tcPr>
                  <w:tcW w:w="426" w:type="pct"/>
                  <w:vMerge w:val="continue"/>
                  <w:noWrap w:val="0"/>
                  <w:vAlign w:val="center"/>
                </w:tcPr>
                <w:p w14:paraId="0001CCCD">
                  <w:pPr>
                    <w:jc w:val="center"/>
                    <w:rPr>
                      <w:rFonts w:ascii="Times New Roman" w:hAnsi="Times New Roman"/>
                      <w:b w:val="0"/>
                      <w:bCs w:val="0"/>
                      <w:color w:val="auto"/>
                      <w:szCs w:val="21"/>
                    </w:rPr>
                  </w:pPr>
                </w:p>
              </w:tc>
              <w:tc>
                <w:tcPr>
                  <w:tcW w:w="428" w:type="pct"/>
                  <w:vMerge w:val="continue"/>
                  <w:noWrap w:val="0"/>
                  <w:vAlign w:val="center"/>
                </w:tcPr>
                <w:p w14:paraId="1EDD17DD">
                  <w:pPr>
                    <w:jc w:val="center"/>
                    <w:rPr>
                      <w:rFonts w:ascii="Times New Roman" w:hAnsi="Times New Roman"/>
                      <w:b w:val="0"/>
                      <w:bCs w:val="0"/>
                      <w:color w:val="auto"/>
                      <w:szCs w:val="21"/>
                    </w:rPr>
                  </w:pPr>
                </w:p>
              </w:tc>
              <w:tc>
                <w:tcPr>
                  <w:tcW w:w="1431" w:type="pct"/>
                  <w:gridSpan w:val="2"/>
                  <w:noWrap w:val="0"/>
                  <w:vAlign w:val="center"/>
                </w:tcPr>
                <w:p w14:paraId="1262D88F">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2" w:type="pct"/>
                  <w:noWrap w:val="0"/>
                  <w:vAlign w:val="center"/>
                </w:tcPr>
                <w:p w14:paraId="6BE19A5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18.4</w:t>
                  </w:r>
                </w:p>
              </w:tc>
              <w:tc>
                <w:tcPr>
                  <w:tcW w:w="464" w:type="pct"/>
                  <w:noWrap w:val="0"/>
                  <w:vAlign w:val="center"/>
                </w:tcPr>
                <w:p w14:paraId="65561E0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19.5</w:t>
                  </w:r>
                </w:p>
              </w:tc>
              <w:tc>
                <w:tcPr>
                  <w:tcW w:w="467" w:type="pct"/>
                  <w:noWrap w:val="0"/>
                  <w:vAlign w:val="center"/>
                </w:tcPr>
                <w:p w14:paraId="1108B002">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18.3</w:t>
                  </w:r>
                </w:p>
              </w:tc>
              <w:tc>
                <w:tcPr>
                  <w:tcW w:w="468" w:type="pct"/>
                  <w:noWrap w:val="0"/>
                  <w:vAlign w:val="center"/>
                </w:tcPr>
                <w:p w14:paraId="0804F43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18.7 </w:t>
                  </w:r>
                </w:p>
              </w:tc>
              <w:tc>
                <w:tcPr>
                  <w:tcW w:w="425" w:type="pct"/>
                  <w:vMerge w:val="continue"/>
                  <w:noWrap w:val="0"/>
                  <w:vAlign w:val="center"/>
                </w:tcPr>
                <w:p w14:paraId="07B715B5">
                  <w:pPr>
                    <w:widowControl/>
                    <w:jc w:val="center"/>
                    <w:textAlignment w:val="center"/>
                    <w:rPr>
                      <w:rFonts w:ascii="Times New Roman" w:hAnsi="Times New Roman"/>
                      <w:b w:val="0"/>
                      <w:bCs w:val="0"/>
                      <w:color w:val="auto"/>
                      <w:szCs w:val="21"/>
                    </w:rPr>
                  </w:pPr>
                </w:p>
              </w:tc>
            </w:tr>
            <w:tr w14:paraId="09E8DB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1ADB7335">
                  <w:pPr>
                    <w:jc w:val="center"/>
                    <w:rPr>
                      <w:rFonts w:ascii="Times New Roman" w:hAnsi="Times New Roman"/>
                      <w:b w:val="0"/>
                      <w:bCs w:val="0"/>
                      <w:color w:val="auto"/>
                      <w:szCs w:val="21"/>
                    </w:rPr>
                  </w:pPr>
                </w:p>
              </w:tc>
              <w:tc>
                <w:tcPr>
                  <w:tcW w:w="426" w:type="pct"/>
                  <w:vMerge w:val="continue"/>
                  <w:noWrap w:val="0"/>
                  <w:vAlign w:val="center"/>
                </w:tcPr>
                <w:p w14:paraId="43B4F581">
                  <w:pPr>
                    <w:jc w:val="center"/>
                    <w:rPr>
                      <w:rFonts w:ascii="Times New Roman" w:hAnsi="Times New Roman"/>
                      <w:b w:val="0"/>
                      <w:bCs w:val="0"/>
                      <w:color w:val="auto"/>
                      <w:szCs w:val="21"/>
                    </w:rPr>
                  </w:pPr>
                </w:p>
              </w:tc>
              <w:tc>
                <w:tcPr>
                  <w:tcW w:w="428" w:type="pct"/>
                  <w:vMerge w:val="continue"/>
                  <w:noWrap w:val="0"/>
                  <w:vAlign w:val="center"/>
                </w:tcPr>
                <w:p w14:paraId="58050586">
                  <w:pPr>
                    <w:jc w:val="center"/>
                    <w:rPr>
                      <w:rFonts w:ascii="Times New Roman" w:hAnsi="Times New Roman"/>
                      <w:b w:val="0"/>
                      <w:bCs w:val="0"/>
                      <w:color w:val="auto"/>
                      <w:szCs w:val="21"/>
                    </w:rPr>
                  </w:pPr>
                </w:p>
              </w:tc>
              <w:tc>
                <w:tcPr>
                  <w:tcW w:w="1431" w:type="pct"/>
                  <w:gridSpan w:val="2"/>
                  <w:noWrap w:val="0"/>
                  <w:vAlign w:val="center"/>
                </w:tcPr>
                <w:p w14:paraId="4F895E62">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2" w:type="pct"/>
                  <w:noWrap w:val="0"/>
                  <w:vAlign w:val="center"/>
                </w:tcPr>
                <w:p w14:paraId="18EA0AA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13.5</w:t>
                  </w:r>
                </w:p>
              </w:tc>
              <w:tc>
                <w:tcPr>
                  <w:tcW w:w="464" w:type="pct"/>
                  <w:noWrap w:val="0"/>
                  <w:vAlign w:val="center"/>
                </w:tcPr>
                <w:p w14:paraId="1E453E6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13.7</w:t>
                  </w:r>
                </w:p>
              </w:tc>
              <w:tc>
                <w:tcPr>
                  <w:tcW w:w="467" w:type="pct"/>
                  <w:noWrap w:val="0"/>
                  <w:vAlign w:val="center"/>
                </w:tcPr>
                <w:p w14:paraId="119419C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13.5</w:t>
                  </w:r>
                </w:p>
              </w:tc>
              <w:tc>
                <w:tcPr>
                  <w:tcW w:w="468" w:type="pct"/>
                  <w:noWrap w:val="0"/>
                  <w:vAlign w:val="center"/>
                </w:tcPr>
                <w:p w14:paraId="575DE94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13.6 </w:t>
                  </w:r>
                </w:p>
              </w:tc>
              <w:tc>
                <w:tcPr>
                  <w:tcW w:w="425" w:type="pct"/>
                  <w:vMerge w:val="continue"/>
                  <w:noWrap w:val="0"/>
                  <w:vAlign w:val="center"/>
                </w:tcPr>
                <w:p w14:paraId="2821D1BC">
                  <w:pPr>
                    <w:widowControl/>
                    <w:jc w:val="center"/>
                    <w:textAlignment w:val="center"/>
                    <w:rPr>
                      <w:rFonts w:ascii="Times New Roman" w:hAnsi="Times New Roman"/>
                      <w:b w:val="0"/>
                      <w:bCs w:val="0"/>
                      <w:color w:val="auto"/>
                      <w:szCs w:val="21"/>
                    </w:rPr>
                  </w:pPr>
                </w:p>
              </w:tc>
            </w:tr>
            <w:tr w14:paraId="003A4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3F93FBBE">
                  <w:pPr>
                    <w:jc w:val="center"/>
                    <w:rPr>
                      <w:rFonts w:ascii="Times New Roman" w:hAnsi="Times New Roman"/>
                      <w:b w:val="0"/>
                      <w:bCs w:val="0"/>
                      <w:color w:val="auto"/>
                      <w:szCs w:val="21"/>
                    </w:rPr>
                  </w:pPr>
                </w:p>
              </w:tc>
              <w:tc>
                <w:tcPr>
                  <w:tcW w:w="426" w:type="pct"/>
                  <w:vMerge w:val="continue"/>
                  <w:noWrap w:val="0"/>
                  <w:vAlign w:val="center"/>
                </w:tcPr>
                <w:p w14:paraId="2A58E374">
                  <w:pPr>
                    <w:jc w:val="center"/>
                    <w:rPr>
                      <w:rFonts w:ascii="Times New Roman" w:hAnsi="Times New Roman"/>
                      <w:b w:val="0"/>
                      <w:bCs w:val="0"/>
                      <w:color w:val="auto"/>
                      <w:szCs w:val="21"/>
                    </w:rPr>
                  </w:pPr>
                </w:p>
              </w:tc>
              <w:tc>
                <w:tcPr>
                  <w:tcW w:w="428" w:type="pct"/>
                  <w:vMerge w:val="continue"/>
                  <w:noWrap w:val="0"/>
                  <w:vAlign w:val="center"/>
                </w:tcPr>
                <w:p w14:paraId="47A64817">
                  <w:pPr>
                    <w:jc w:val="center"/>
                    <w:rPr>
                      <w:rFonts w:ascii="Times New Roman" w:hAnsi="Times New Roman"/>
                      <w:b w:val="0"/>
                      <w:bCs w:val="0"/>
                      <w:color w:val="auto"/>
                      <w:szCs w:val="21"/>
                    </w:rPr>
                  </w:pPr>
                </w:p>
              </w:tc>
              <w:tc>
                <w:tcPr>
                  <w:tcW w:w="1431" w:type="pct"/>
                  <w:gridSpan w:val="2"/>
                  <w:noWrap w:val="0"/>
                  <w:vAlign w:val="center"/>
                </w:tcPr>
                <w:p w14:paraId="7482858E">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2" w:type="pct"/>
                  <w:noWrap w:val="0"/>
                  <w:vAlign w:val="center"/>
                </w:tcPr>
                <w:p w14:paraId="5A6E53D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16101</w:t>
                  </w:r>
                </w:p>
              </w:tc>
              <w:tc>
                <w:tcPr>
                  <w:tcW w:w="464" w:type="pct"/>
                  <w:noWrap w:val="0"/>
                  <w:vAlign w:val="center"/>
                </w:tcPr>
                <w:p w14:paraId="2DB694E6">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16243</w:t>
                  </w:r>
                </w:p>
              </w:tc>
              <w:tc>
                <w:tcPr>
                  <w:tcW w:w="467" w:type="pct"/>
                  <w:noWrap w:val="0"/>
                  <w:vAlign w:val="center"/>
                </w:tcPr>
                <w:p w14:paraId="482C897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16095</w:t>
                  </w:r>
                </w:p>
              </w:tc>
              <w:tc>
                <w:tcPr>
                  <w:tcW w:w="468" w:type="pct"/>
                  <w:noWrap w:val="0"/>
                  <w:vAlign w:val="center"/>
                </w:tcPr>
                <w:p w14:paraId="6007F7C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16146 </w:t>
                  </w:r>
                </w:p>
              </w:tc>
              <w:tc>
                <w:tcPr>
                  <w:tcW w:w="425" w:type="pct"/>
                  <w:vMerge w:val="continue"/>
                  <w:noWrap w:val="0"/>
                  <w:vAlign w:val="center"/>
                </w:tcPr>
                <w:p w14:paraId="4F469788">
                  <w:pPr>
                    <w:widowControl/>
                    <w:jc w:val="center"/>
                    <w:textAlignment w:val="center"/>
                    <w:rPr>
                      <w:rFonts w:ascii="Times New Roman" w:hAnsi="Times New Roman"/>
                      <w:b w:val="0"/>
                      <w:bCs w:val="0"/>
                      <w:color w:val="auto"/>
                      <w:szCs w:val="21"/>
                    </w:rPr>
                  </w:pPr>
                </w:p>
              </w:tc>
            </w:tr>
            <w:tr w14:paraId="09E6E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21D1BAD7">
                  <w:pPr>
                    <w:jc w:val="center"/>
                    <w:rPr>
                      <w:rFonts w:ascii="Times New Roman" w:hAnsi="Times New Roman"/>
                      <w:b w:val="0"/>
                      <w:bCs w:val="0"/>
                      <w:color w:val="auto"/>
                      <w:szCs w:val="21"/>
                    </w:rPr>
                  </w:pPr>
                </w:p>
              </w:tc>
              <w:tc>
                <w:tcPr>
                  <w:tcW w:w="426" w:type="pct"/>
                  <w:vMerge w:val="continue"/>
                  <w:noWrap w:val="0"/>
                  <w:vAlign w:val="center"/>
                </w:tcPr>
                <w:p w14:paraId="460CD98C">
                  <w:pPr>
                    <w:jc w:val="center"/>
                    <w:rPr>
                      <w:rFonts w:ascii="Times New Roman" w:hAnsi="Times New Roman"/>
                      <w:b w:val="0"/>
                      <w:bCs w:val="0"/>
                      <w:color w:val="auto"/>
                      <w:szCs w:val="21"/>
                    </w:rPr>
                  </w:pPr>
                </w:p>
              </w:tc>
              <w:tc>
                <w:tcPr>
                  <w:tcW w:w="428" w:type="pct"/>
                  <w:vMerge w:val="continue"/>
                  <w:noWrap w:val="0"/>
                  <w:vAlign w:val="center"/>
                </w:tcPr>
                <w:p w14:paraId="7A0942AF">
                  <w:pPr>
                    <w:jc w:val="center"/>
                    <w:rPr>
                      <w:rFonts w:ascii="Times New Roman" w:hAnsi="Times New Roman"/>
                      <w:b w:val="0"/>
                      <w:bCs w:val="0"/>
                      <w:color w:val="auto"/>
                      <w:szCs w:val="21"/>
                    </w:rPr>
                  </w:pPr>
                </w:p>
              </w:tc>
              <w:tc>
                <w:tcPr>
                  <w:tcW w:w="428" w:type="pct"/>
                  <w:vMerge w:val="restart"/>
                  <w:noWrap w:val="0"/>
                  <w:vAlign w:val="center"/>
                </w:tcPr>
                <w:p w14:paraId="69362C11">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48A1DC30">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2" w:type="pct"/>
                  <w:noWrap w:val="0"/>
                  <w:vAlign w:val="center"/>
                </w:tcPr>
                <w:p w14:paraId="6FCCB984">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6.6</w:t>
                  </w:r>
                </w:p>
              </w:tc>
              <w:tc>
                <w:tcPr>
                  <w:tcW w:w="464" w:type="pct"/>
                  <w:noWrap w:val="0"/>
                  <w:vAlign w:val="center"/>
                </w:tcPr>
                <w:p w14:paraId="3D870F8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8.4</w:t>
                  </w:r>
                </w:p>
              </w:tc>
              <w:tc>
                <w:tcPr>
                  <w:tcW w:w="467" w:type="pct"/>
                  <w:noWrap w:val="0"/>
                  <w:vAlign w:val="center"/>
                </w:tcPr>
                <w:p w14:paraId="3F6E55F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10.3</w:t>
                  </w:r>
                </w:p>
              </w:tc>
              <w:tc>
                <w:tcPr>
                  <w:tcW w:w="468" w:type="pct"/>
                  <w:noWrap w:val="0"/>
                  <w:vAlign w:val="center"/>
                </w:tcPr>
                <w:p w14:paraId="4FD5C176">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8.4 </w:t>
                  </w:r>
                </w:p>
              </w:tc>
              <w:tc>
                <w:tcPr>
                  <w:tcW w:w="425" w:type="pct"/>
                  <w:noWrap w:val="0"/>
                  <w:vAlign w:val="center"/>
                </w:tcPr>
                <w:p w14:paraId="52F8F0B1">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2ABAB5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20AF2E58">
                  <w:pPr>
                    <w:jc w:val="center"/>
                    <w:rPr>
                      <w:rFonts w:ascii="Times New Roman" w:hAnsi="Times New Roman"/>
                      <w:b w:val="0"/>
                      <w:bCs w:val="0"/>
                      <w:color w:val="auto"/>
                      <w:szCs w:val="21"/>
                    </w:rPr>
                  </w:pPr>
                </w:p>
              </w:tc>
              <w:tc>
                <w:tcPr>
                  <w:tcW w:w="426" w:type="pct"/>
                  <w:vMerge w:val="continue"/>
                  <w:noWrap w:val="0"/>
                  <w:vAlign w:val="center"/>
                </w:tcPr>
                <w:p w14:paraId="6EDB4274">
                  <w:pPr>
                    <w:jc w:val="center"/>
                    <w:rPr>
                      <w:rFonts w:ascii="Times New Roman" w:hAnsi="Times New Roman"/>
                      <w:b w:val="0"/>
                      <w:bCs w:val="0"/>
                      <w:color w:val="auto"/>
                      <w:szCs w:val="21"/>
                    </w:rPr>
                  </w:pPr>
                </w:p>
              </w:tc>
              <w:tc>
                <w:tcPr>
                  <w:tcW w:w="428" w:type="pct"/>
                  <w:vMerge w:val="continue"/>
                  <w:noWrap w:val="0"/>
                  <w:vAlign w:val="center"/>
                </w:tcPr>
                <w:p w14:paraId="1B43B0E7">
                  <w:pPr>
                    <w:jc w:val="center"/>
                    <w:rPr>
                      <w:rFonts w:ascii="Times New Roman" w:hAnsi="Times New Roman"/>
                      <w:b w:val="0"/>
                      <w:bCs w:val="0"/>
                      <w:color w:val="auto"/>
                      <w:szCs w:val="21"/>
                    </w:rPr>
                  </w:pPr>
                </w:p>
              </w:tc>
              <w:tc>
                <w:tcPr>
                  <w:tcW w:w="428" w:type="pct"/>
                  <w:vMerge w:val="continue"/>
                  <w:noWrap w:val="0"/>
                  <w:vAlign w:val="center"/>
                </w:tcPr>
                <w:p w14:paraId="0C22EAA5">
                  <w:pPr>
                    <w:jc w:val="center"/>
                    <w:rPr>
                      <w:rFonts w:ascii="Times New Roman" w:hAnsi="Times New Roman"/>
                      <w:b w:val="0"/>
                      <w:bCs w:val="0"/>
                      <w:color w:val="auto"/>
                      <w:szCs w:val="21"/>
                    </w:rPr>
                  </w:pPr>
                </w:p>
              </w:tc>
              <w:tc>
                <w:tcPr>
                  <w:tcW w:w="1003" w:type="pct"/>
                  <w:noWrap w:val="0"/>
                  <w:vAlign w:val="center"/>
                </w:tcPr>
                <w:p w14:paraId="5869F8E0">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2" w:type="pct"/>
                  <w:noWrap w:val="0"/>
                  <w:vAlign w:val="center"/>
                </w:tcPr>
                <w:p w14:paraId="4FC8126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0.106 </w:t>
                  </w:r>
                </w:p>
              </w:tc>
              <w:tc>
                <w:tcPr>
                  <w:tcW w:w="464" w:type="pct"/>
                  <w:noWrap w:val="0"/>
                  <w:vAlign w:val="center"/>
                </w:tcPr>
                <w:p w14:paraId="64E88BE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0.136 </w:t>
                  </w:r>
                </w:p>
              </w:tc>
              <w:tc>
                <w:tcPr>
                  <w:tcW w:w="467" w:type="pct"/>
                  <w:noWrap w:val="0"/>
                  <w:vAlign w:val="center"/>
                </w:tcPr>
                <w:p w14:paraId="2F0C0D6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0.166 </w:t>
                  </w:r>
                </w:p>
              </w:tc>
              <w:tc>
                <w:tcPr>
                  <w:tcW w:w="468" w:type="pct"/>
                  <w:noWrap w:val="0"/>
                  <w:vAlign w:val="center"/>
                </w:tcPr>
                <w:p w14:paraId="73434B7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0.136 </w:t>
                  </w:r>
                </w:p>
              </w:tc>
              <w:tc>
                <w:tcPr>
                  <w:tcW w:w="425" w:type="pct"/>
                  <w:noWrap w:val="0"/>
                  <w:vAlign w:val="center"/>
                </w:tcPr>
                <w:p w14:paraId="58FCB411">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4AE2A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1CF7444C">
                  <w:pPr>
                    <w:jc w:val="center"/>
                    <w:rPr>
                      <w:rFonts w:ascii="Times New Roman" w:hAnsi="Times New Roman"/>
                      <w:b w:val="0"/>
                      <w:bCs w:val="0"/>
                      <w:color w:val="auto"/>
                      <w:szCs w:val="21"/>
                    </w:rPr>
                  </w:pPr>
                </w:p>
              </w:tc>
              <w:tc>
                <w:tcPr>
                  <w:tcW w:w="426" w:type="pct"/>
                  <w:vMerge w:val="continue"/>
                  <w:noWrap w:val="0"/>
                  <w:vAlign w:val="center"/>
                </w:tcPr>
                <w:p w14:paraId="4F097A44">
                  <w:pPr>
                    <w:jc w:val="center"/>
                    <w:rPr>
                      <w:rFonts w:ascii="Times New Roman" w:hAnsi="Times New Roman"/>
                      <w:b w:val="0"/>
                      <w:bCs w:val="0"/>
                      <w:color w:val="auto"/>
                      <w:szCs w:val="21"/>
                    </w:rPr>
                  </w:pPr>
                </w:p>
              </w:tc>
              <w:tc>
                <w:tcPr>
                  <w:tcW w:w="1860" w:type="pct"/>
                  <w:gridSpan w:val="3"/>
                  <w:noWrap w:val="0"/>
                  <w:vAlign w:val="center"/>
                </w:tcPr>
                <w:p w14:paraId="433FB190">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462" w:type="pct"/>
                  <w:noWrap w:val="0"/>
                  <w:vAlign w:val="center"/>
                </w:tcPr>
                <w:p w14:paraId="1751C37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4" w:type="pct"/>
                  <w:noWrap w:val="0"/>
                  <w:vAlign w:val="center"/>
                </w:tcPr>
                <w:p w14:paraId="00413AE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7" w:type="pct"/>
                  <w:noWrap w:val="0"/>
                  <w:vAlign w:val="center"/>
                </w:tcPr>
                <w:p w14:paraId="47D83BF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8" w:type="pct"/>
                  <w:noWrap w:val="0"/>
                  <w:vAlign w:val="center"/>
                </w:tcPr>
                <w:p w14:paraId="62ED21D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25" w:type="pct"/>
                  <w:noWrap w:val="0"/>
                  <w:vAlign w:val="center"/>
                </w:tcPr>
                <w:p w14:paraId="6297D800">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w:t>
                  </w:r>
                </w:p>
              </w:tc>
            </w:tr>
            <w:tr w14:paraId="55CF7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restart"/>
                  <w:noWrap w:val="0"/>
                  <w:vAlign w:val="center"/>
                </w:tcPr>
                <w:p w14:paraId="21468655">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3月28日</w:t>
                  </w:r>
                </w:p>
              </w:tc>
              <w:tc>
                <w:tcPr>
                  <w:tcW w:w="426" w:type="pct"/>
                  <w:vMerge w:val="restart"/>
                  <w:noWrap w:val="0"/>
                  <w:vAlign w:val="center"/>
                </w:tcPr>
                <w:p w14:paraId="72BB7AD2">
                  <w:pPr>
                    <w:widowControl/>
                    <w:jc w:val="center"/>
                    <w:textAlignment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DA002</w:t>
                  </w:r>
                </w:p>
              </w:tc>
              <w:tc>
                <w:tcPr>
                  <w:tcW w:w="428" w:type="pct"/>
                  <w:vMerge w:val="restart"/>
                  <w:noWrap w:val="0"/>
                  <w:vAlign w:val="center"/>
                </w:tcPr>
                <w:p w14:paraId="4A750CBF">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反击破工序除尘器进口</w:t>
                  </w:r>
                </w:p>
              </w:tc>
              <w:tc>
                <w:tcPr>
                  <w:tcW w:w="1431" w:type="pct"/>
                  <w:gridSpan w:val="2"/>
                  <w:noWrap w:val="0"/>
                  <w:vAlign w:val="center"/>
                </w:tcPr>
                <w:p w14:paraId="05446C1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监测次数</w:t>
                  </w:r>
                </w:p>
              </w:tc>
              <w:tc>
                <w:tcPr>
                  <w:tcW w:w="462" w:type="pct"/>
                  <w:noWrap w:val="0"/>
                  <w:vAlign w:val="center"/>
                </w:tcPr>
                <w:p w14:paraId="7A9884A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464" w:type="pct"/>
                  <w:noWrap w:val="0"/>
                  <w:vAlign w:val="center"/>
                </w:tcPr>
                <w:p w14:paraId="6640C3AF">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7" w:type="pct"/>
                  <w:noWrap w:val="0"/>
                  <w:vAlign w:val="center"/>
                </w:tcPr>
                <w:p w14:paraId="2F8D518B">
                  <w:pPr>
                    <w:widowControl/>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8" w:type="pct"/>
                  <w:noWrap w:val="0"/>
                  <w:vAlign w:val="center"/>
                </w:tcPr>
                <w:p w14:paraId="6116574C">
                  <w:pPr>
                    <w:widowControl/>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5" w:type="pct"/>
                  <w:vMerge w:val="restart"/>
                  <w:noWrap w:val="0"/>
                  <w:vAlign w:val="center"/>
                </w:tcPr>
                <w:p w14:paraId="21F136F1">
                  <w:pPr>
                    <w:widowControl/>
                    <w:jc w:val="center"/>
                    <w:rPr>
                      <w:rFonts w:ascii="Times New Roman" w:hAnsi="Times New Roman"/>
                      <w:b w:val="0"/>
                      <w:bCs w:val="0"/>
                      <w:color w:val="auto"/>
                      <w:szCs w:val="21"/>
                    </w:rPr>
                  </w:pPr>
                  <w:r>
                    <w:rPr>
                      <w:rFonts w:ascii="Times New Roman" w:hAnsi="Times New Roman"/>
                      <w:b w:val="0"/>
                      <w:bCs w:val="0"/>
                      <w:color w:val="auto"/>
                      <w:szCs w:val="21"/>
                    </w:rPr>
                    <w:t>/</w:t>
                  </w:r>
                </w:p>
              </w:tc>
            </w:tr>
            <w:tr w14:paraId="12C6E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0160F5C6">
                  <w:pPr>
                    <w:jc w:val="center"/>
                    <w:rPr>
                      <w:rFonts w:ascii="Times New Roman" w:hAnsi="Times New Roman"/>
                      <w:b w:val="0"/>
                      <w:bCs w:val="0"/>
                      <w:color w:val="auto"/>
                      <w:szCs w:val="21"/>
                    </w:rPr>
                  </w:pPr>
                </w:p>
              </w:tc>
              <w:tc>
                <w:tcPr>
                  <w:tcW w:w="426" w:type="pct"/>
                  <w:vMerge w:val="continue"/>
                  <w:noWrap w:val="0"/>
                  <w:vAlign w:val="center"/>
                </w:tcPr>
                <w:p w14:paraId="2591C369">
                  <w:pPr>
                    <w:jc w:val="center"/>
                    <w:rPr>
                      <w:rFonts w:ascii="Times New Roman" w:hAnsi="Times New Roman"/>
                      <w:b w:val="0"/>
                      <w:bCs w:val="0"/>
                      <w:color w:val="auto"/>
                      <w:szCs w:val="21"/>
                    </w:rPr>
                  </w:pPr>
                </w:p>
              </w:tc>
              <w:tc>
                <w:tcPr>
                  <w:tcW w:w="428" w:type="pct"/>
                  <w:vMerge w:val="continue"/>
                  <w:noWrap w:val="0"/>
                  <w:vAlign w:val="center"/>
                </w:tcPr>
                <w:p w14:paraId="1B11CEF5">
                  <w:pPr>
                    <w:jc w:val="center"/>
                    <w:rPr>
                      <w:rFonts w:ascii="Times New Roman" w:hAnsi="Times New Roman"/>
                      <w:b w:val="0"/>
                      <w:bCs w:val="0"/>
                      <w:color w:val="auto"/>
                      <w:szCs w:val="21"/>
                    </w:rPr>
                  </w:pPr>
                </w:p>
              </w:tc>
              <w:tc>
                <w:tcPr>
                  <w:tcW w:w="1431" w:type="pct"/>
                  <w:gridSpan w:val="2"/>
                  <w:noWrap w:val="0"/>
                  <w:vAlign w:val="center"/>
                </w:tcPr>
                <w:p w14:paraId="449FEDD9">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3" w:type="pct"/>
                  <w:gridSpan w:val="3"/>
                  <w:noWrap w:val="0"/>
                  <w:vAlign w:val="center"/>
                </w:tcPr>
                <w:p w14:paraId="6D259D8C">
                  <w:pPr>
                    <w:jc w:val="center"/>
                    <w:rPr>
                      <w:rFonts w:ascii="Times New Roman" w:hAnsi="Times New Roman"/>
                      <w:b w:val="0"/>
                      <w:bCs w:val="0"/>
                      <w:color w:val="auto"/>
                      <w:szCs w:val="21"/>
                    </w:rPr>
                  </w:pPr>
                  <w:r>
                    <w:rPr>
                      <w:rFonts w:ascii="Times New Roman" w:hAnsi="Times New Roman"/>
                      <w:b w:val="0"/>
                      <w:bCs w:val="0"/>
                      <w:color w:val="auto"/>
                      <w:szCs w:val="21"/>
                    </w:rPr>
                    <w:t>0.385</w:t>
                  </w:r>
                </w:p>
              </w:tc>
              <w:tc>
                <w:tcPr>
                  <w:tcW w:w="468" w:type="pct"/>
                  <w:noWrap w:val="0"/>
                  <w:vAlign w:val="center"/>
                </w:tcPr>
                <w:p w14:paraId="40ABBB78">
                  <w:pPr>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5" w:type="pct"/>
                  <w:vMerge w:val="continue"/>
                  <w:noWrap w:val="0"/>
                  <w:vAlign w:val="center"/>
                </w:tcPr>
                <w:p w14:paraId="35F0EBB0">
                  <w:pPr>
                    <w:jc w:val="center"/>
                    <w:rPr>
                      <w:rFonts w:ascii="Times New Roman" w:hAnsi="Times New Roman"/>
                      <w:b w:val="0"/>
                      <w:bCs w:val="0"/>
                      <w:color w:val="auto"/>
                      <w:szCs w:val="21"/>
                    </w:rPr>
                  </w:pPr>
                </w:p>
              </w:tc>
            </w:tr>
            <w:tr w14:paraId="45FAF2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13438A92">
                  <w:pPr>
                    <w:jc w:val="center"/>
                    <w:rPr>
                      <w:rFonts w:ascii="Times New Roman" w:hAnsi="Times New Roman"/>
                      <w:b w:val="0"/>
                      <w:bCs w:val="0"/>
                      <w:color w:val="auto"/>
                      <w:szCs w:val="21"/>
                    </w:rPr>
                  </w:pPr>
                </w:p>
              </w:tc>
              <w:tc>
                <w:tcPr>
                  <w:tcW w:w="426" w:type="pct"/>
                  <w:vMerge w:val="continue"/>
                  <w:noWrap w:val="0"/>
                  <w:vAlign w:val="center"/>
                </w:tcPr>
                <w:p w14:paraId="698F717E">
                  <w:pPr>
                    <w:jc w:val="center"/>
                    <w:rPr>
                      <w:rFonts w:ascii="Times New Roman" w:hAnsi="Times New Roman"/>
                      <w:b w:val="0"/>
                      <w:bCs w:val="0"/>
                      <w:color w:val="auto"/>
                      <w:szCs w:val="21"/>
                    </w:rPr>
                  </w:pPr>
                </w:p>
              </w:tc>
              <w:tc>
                <w:tcPr>
                  <w:tcW w:w="428" w:type="pct"/>
                  <w:vMerge w:val="continue"/>
                  <w:noWrap w:val="0"/>
                  <w:vAlign w:val="center"/>
                </w:tcPr>
                <w:p w14:paraId="70C2E19B">
                  <w:pPr>
                    <w:jc w:val="center"/>
                    <w:rPr>
                      <w:rFonts w:ascii="Times New Roman" w:hAnsi="Times New Roman"/>
                      <w:b w:val="0"/>
                      <w:bCs w:val="0"/>
                      <w:color w:val="auto"/>
                      <w:szCs w:val="21"/>
                    </w:rPr>
                  </w:pPr>
                </w:p>
              </w:tc>
              <w:tc>
                <w:tcPr>
                  <w:tcW w:w="1431" w:type="pct"/>
                  <w:gridSpan w:val="2"/>
                  <w:noWrap w:val="0"/>
                  <w:vAlign w:val="center"/>
                </w:tcPr>
                <w:p w14:paraId="1EC187EC">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2" w:type="pct"/>
                  <w:noWrap w:val="0"/>
                  <w:vAlign w:val="center"/>
                </w:tcPr>
                <w:p w14:paraId="118C2744">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18.9</w:t>
                  </w:r>
                </w:p>
              </w:tc>
              <w:tc>
                <w:tcPr>
                  <w:tcW w:w="464" w:type="pct"/>
                  <w:noWrap w:val="0"/>
                  <w:vAlign w:val="center"/>
                </w:tcPr>
                <w:p w14:paraId="7EABFEB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19.3</w:t>
                  </w:r>
                </w:p>
              </w:tc>
              <w:tc>
                <w:tcPr>
                  <w:tcW w:w="467" w:type="pct"/>
                  <w:noWrap w:val="0"/>
                  <w:vAlign w:val="center"/>
                </w:tcPr>
                <w:p w14:paraId="66DEB293">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19.7</w:t>
                  </w:r>
                </w:p>
              </w:tc>
              <w:tc>
                <w:tcPr>
                  <w:tcW w:w="468" w:type="pct"/>
                  <w:noWrap w:val="0"/>
                  <w:vAlign w:val="center"/>
                </w:tcPr>
                <w:p w14:paraId="1317DEF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19.3</w:t>
                  </w:r>
                </w:p>
              </w:tc>
              <w:tc>
                <w:tcPr>
                  <w:tcW w:w="425" w:type="pct"/>
                  <w:vMerge w:val="continue"/>
                  <w:noWrap w:val="0"/>
                  <w:vAlign w:val="center"/>
                </w:tcPr>
                <w:p w14:paraId="35C3A1C3">
                  <w:pPr>
                    <w:widowControl/>
                    <w:jc w:val="center"/>
                    <w:textAlignment w:val="center"/>
                    <w:rPr>
                      <w:rFonts w:ascii="Times New Roman" w:hAnsi="Times New Roman"/>
                      <w:b w:val="0"/>
                      <w:bCs w:val="0"/>
                      <w:color w:val="auto"/>
                      <w:szCs w:val="21"/>
                    </w:rPr>
                  </w:pPr>
                </w:p>
              </w:tc>
            </w:tr>
            <w:tr w14:paraId="19B14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35A79E78">
                  <w:pPr>
                    <w:jc w:val="center"/>
                    <w:rPr>
                      <w:rFonts w:ascii="Times New Roman" w:hAnsi="Times New Roman"/>
                      <w:b w:val="0"/>
                      <w:bCs w:val="0"/>
                      <w:color w:val="auto"/>
                      <w:szCs w:val="21"/>
                    </w:rPr>
                  </w:pPr>
                </w:p>
              </w:tc>
              <w:tc>
                <w:tcPr>
                  <w:tcW w:w="426" w:type="pct"/>
                  <w:vMerge w:val="continue"/>
                  <w:noWrap w:val="0"/>
                  <w:vAlign w:val="center"/>
                </w:tcPr>
                <w:p w14:paraId="05B1EE89">
                  <w:pPr>
                    <w:jc w:val="center"/>
                    <w:rPr>
                      <w:rFonts w:ascii="Times New Roman" w:hAnsi="Times New Roman"/>
                      <w:b w:val="0"/>
                      <w:bCs w:val="0"/>
                      <w:color w:val="auto"/>
                      <w:szCs w:val="21"/>
                    </w:rPr>
                  </w:pPr>
                </w:p>
              </w:tc>
              <w:tc>
                <w:tcPr>
                  <w:tcW w:w="428" w:type="pct"/>
                  <w:vMerge w:val="continue"/>
                  <w:noWrap w:val="0"/>
                  <w:vAlign w:val="center"/>
                </w:tcPr>
                <w:p w14:paraId="6DF87242">
                  <w:pPr>
                    <w:jc w:val="center"/>
                    <w:rPr>
                      <w:rFonts w:ascii="Times New Roman" w:hAnsi="Times New Roman"/>
                      <w:b w:val="0"/>
                      <w:bCs w:val="0"/>
                      <w:color w:val="auto"/>
                      <w:szCs w:val="21"/>
                    </w:rPr>
                  </w:pPr>
                </w:p>
              </w:tc>
              <w:tc>
                <w:tcPr>
                  <w:tcW w:w="1431" w:type="pct"/>
                  <w:gridSpan w:val="2"/>
                  <w:noWrap w:val="0"/>
                  <w:vAlign w:val="center"/>
                </w:tcPr>
                <w:p w14:paraId="3E25AF69">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2" w:type="pct"/>
                  <w:noWrap w:val="0"/>
                  <w:vAlign w:val="center"/>
                </w:tcPr>
                <w:p w14:paraId="6A59E4A7">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464" w:type="pct"/>
                  <w:noWrap w:val="0"/>
                  <w:vAlign w:val="center"/>
                </w:tcPr>
                <w:p w14:paraId="2A05C27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11.6</w:t>
                  </w:r>
                </w:p>
              </w:tc>
              <w:tc>
                <w:tcPr>
                  <w:tcW w:w="467" w:type="pct"/>
                  <w:noWrap w:val="0"/>
                  <w:vAlign w:val="center"/>
                </w:tcPr>
                <w:p w14:paraId="5602C97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468" w:type="pct"/>
                  <w:noWrap w:val="0"/>
                  <w:vAlign w:val="center"/>
                </w:tcPr>
                <w:p w14:paraId="7D6F731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11.7</w:t>
                  </w:r>
                </w:p>
              </w:tc>
              <w:tc>
                <w:tcPr>
                  <w:tcW w:w="425" w:type="pct"/>
                  <w:vMerge w:val="continue"/>
                  <w:noWrap w:val="0"/>
                  <w:vAlign w:val="center"/>
                </w:tcPr>
                <w:p w14:paraId="62E13471">
                  <w:pPr>
                    <w:widowControl/>
                    <w:jc w:val="center"/>
                    <w:textAlignment w:val="center"/>
                    <w:rPr>
                      <w:rFonts w:ascii="Times New Roman" w:hAnsi="Times New Roman"/>
                      <w:b w:val="0"/>
                      <w:bCs w:val="0"/>
                      <w:color w:val="auto"/>
                      <w:szCs w:val="21"/>
                    </w:rPr>
                  </w:pPr>
                </w:p>
              </w:tc>
            </w:tr>
            <w:tr w14:paraId="3A292D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404F7274">
                  <w:pPr>
                    <w:jc w:val="center"/>
                    <w:rPr>
                      <w:rFonts w:ascii="Times New Roman" w:hAnsi="Times New Roman"/>
                      <w:b w:val="0"/>
                      <w:bCs w:val="0"/>
                      <w:color w:val="auto"/>
                      <w:szCs w:val="21"/>
                    </w:rPr>
                  </w:pPr>
                </w:p>
              </w:tc>
              <w:tc>
                <w:tcPr>
                  <w:tcW w:w="426" w:type="pct"/>
                  <w:vMerge w:val="continue"/>
                  <w:noWrap w:val="0"/>
                  <w:vAlign w:val="center"/>
                </w:tcPr>
                <w:p w14:paraId="625259FC">
                  <w:pPr>
                    <w:jc w:val="center"/>
                    <w:rPr>
                      <w:rFonts w:ascii="Times New Roman" w:hAnsi="Times New Roman"/>
                      <w:b w:val="0"/>
                      <w:bCs w:val="0"/>
                      <w:color w:val="auto"/>
                      <w:szCs w:val="21"/>
                    </w:rPr>
                  </w:pPr>
                </w:p>
              </w:tc>
              <w:tc>
                <w:tcPr>
                  <w:tcW w:w="428" w:type="pct"/>
                  <w:vMerge w:val="continue"/>
                  <w:noWrap w:val="0"/>
                  <w:vAlign w:val="center"/>
                </w:tcPr>
                <w:p w14:paraId="30A31927">
                  <w:pPr>
                    <w:jc w:val="center"/>
                    <w:rPr>
                      <w:rFonts w:ascii="Times New Roman" w:hAnsi="Times New Roman"/>
                      <w:b w:val="0"/>
                      <w:bCs w:val="0"/>
                      <w:color w:val="auto"/>
                      <w:szCs w:val="21"/>
                    </w:rPr>
                  </w:pPr>
                </w:p>
              </w:tc>
              <w:tc>
                <w:tcPr>
                  <w:tcW w:w="1431" w:type="pct"/>
                  <w:gridSpan w:val="2"/>
                  <w:noWrap w:val="0"/>
                  <w:vAlign w:val="center"/>
                </w:tcPr>
                <w:p w14:paraId="64B4E75D">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2" w:type="pct"/>
                  <w:noWrap w:val="0"/>
                  <w:vAlign w:val="center"/>
                </w:tcPr>
                <w:p w14:paraId="783FF40F">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14241</w:t>
                  </w:r>
                </w:p>
              </w:tc>
              <w:tc>
                <w:tcPr>
                  <w:tcW w:w="464" w:type="pct"/>
                  <w:noWrap w:val="0"/>
                  <w:vAlign w:val="center"/>
                </w:tcPr>
                <w:p w14:paraId="4A923329">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14010</w:t>
                  </w:r>
                </w:p>
              </w:tc>
              <w:tc>
                <w:tcPr>
                  <w:tcW w:w="467" w:type="pct"/>
                  <w:noWrap w:val="0"/>
                  <w:vAlign w:val="center"/>
                </w:tcPr>
                <w:p w14:paraId="34EF3E3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14147</w:t>
                  </w:r>
                </w:p>
              </w:tc>
              <w:tc>
                <w:tcPr>
                  <w:tcW w:w="468" w:type="pct"/>
                  <w:noWrap w:val="0"/>
                  <w:vAlign w:val="center"/>
                </w:tcPr>
                <w:p w14:paraId="0AC34DC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14133</w:t>
                  </w:r>
                </w:p>
              </w:tc>
              <w:tc>
                <w:tcPr>
                  <w:tcW w:w="425" w:type="pct"/>
                  <w:vMerge w:val="continue"/>
                  <w:noWrap w:val="0"/>
                  <w:vAlign w:val="center"/>
                </w:tcPr>
                <w:p w14:paraId="0440D730">
                  <w:pPr>
                    <w:widowControl/>
                    <w:jc w:val="center"/>
                    <w:textAlignment w:val="center"/>
                    <w:rPr>
                      <w:rFonts w:ascii="Times New Roman" w:hAnsi="Times New Roman"/>
                      <w:b w:val="0"/>
                      <w:bCs w:val="0"/>
                      <w:color w:val="auto"/>
                      <w:szCs w:val="21"/>
                    </w:rPr>
                  </w:pPr>
                </w:p>
              </w:tc>
            </w:tr>
            <w:tr w14:paraId="40FA8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6B39F1F4">
                  <w:pPr>
                    <w:jc w:val="center"/>
                    <w:rPr>
                      <w:rFonts w:ascii="Times New Roman" w:hAnsi="Times New Roman"/>
                      <w:b w:val="0"/>
                      <w:bCs w:val="0"/>
                      <w:color w:val="auto"/>
                      <w:szCs w:val="21"/>
                    </w:rPr>
                  </w:pPr>
                </w:p>
              </w:tc>
              <w:tc>
                <w:tcPr>
                  <w:tcW w:w="426" w:type="pct"/>
                  <w:vMerge w:val="continue"/>
                  <w:noWrap w:val="0"/>
                  <w:vAlign w:val="center"/>
                </w:tcPr>
                <w:p w14:paraId="02EC5FF5">
                  <w:pPr>
                    <w:jc w:val="center"/>
                    <w:rPr>
                      <w:rFonts w:ascii="Times New Roman" w:hAnsi="Times New Roman"/>
                      <w:b w:val="0"/>
                      <w:bCs w:val="0"/>
                      <w:color w:val="auto"/>
                      <w:szCs w:val="21"/>
                    </w:rPr>
                  </w:pPr>
                </w:p>
              </w:tc>
              <w:tc>
                <w:tcPr>
                  <w:tcW w:w="428" w:type="pct"/>
                  <w:vMerge w:val="continue"/>
                  <w:noWrap w:val="0"/>
                  <w:vAlign w:val="center"/>
                </w:tcPr>
                <w:p w14:paraId="56B5D7B2">
                  <w:pPr>
                    <w:jc w:val="center"/>
                    <w:rPr>
                      <w:rFonts w:ascii="Times New Roman" w:hAnsi="Times New Roman"/>
                      <w:b w:val="0"/>
                      <w:bCs w:val="0"/>
                      <w:color w:val="auto"/>
                      <w:szCs w:val="21"/>
                    </w:rPr>
                  </w:pPr>
                </w:p>
              </w:tc>
              <w:tc>
                <w:tcPr>
                  <w:tcW w:w="428" w:type="pct"/>
                  <w:vMerge w:val="restart"/>
                  <w:noWrap w:val="0"/>
                  <w:vAlign w:val="center"/>
                </w:tcPr>
                <w:p w14:paraId="57E207E0">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49D66A38">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2" w:type="pct"/>
                  <w:noWrap w:val="0"/>
                  <w:vAlign w:val="center"/>
                </w:tcPr>
                <w:p w14:paraId="3A4537F4">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12746</w:t>
                  </w:r>
                </w:p>
              </w:tc>
              <w:tc>
                <w:tcPr>
                  <w:tcW w:w="464" w:type="pct"/>
                  <w:noWrap w:val="0"/>
                  <w:vAlign w:val="center"/>
                </w:tcPr>
                <w:p w14:paraId="2ED0ED4F">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17411</w:t>
                  </w:r>
                </w:p>
              </w:tc>
              <w:tc>
                <w:tcPr>
                  <w:tcW w:w="467" w:type="pct"/>
                  <w:noWrap w:val="0"/>
                  <w:vAlign w:val="center"/>
                </w:tcPr>
                <w:p w14:paraId="4D1DAA72">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15576</w:t>
                  </w:r>
                </w:p>
              </w:tc>
              <w:tc>
                <w:tcPr>
                  <w:tcW w:w="468" w:type="pct"/>
                  <w:noWrap w:val="0"/>
                  <w:vAlign w:val="center"/>
                </w:tcPr>
                <w:p w14:paraId="086168A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15244</w:t>
                  </w:r>
                </w:p>
              </w:tc>
              <w:tc>
                <w:tcPr>
                  <w:tcW w:w="425" w:type="pct"/>
                  <w:vMerge w:val="continue"/>
                  <w:noWrap w:val="0"/>
                  <w:vAlign w:val="center"/>
                </w:tcPr>
                <w:p w14:paraId="4E8819C1">
                  <w:pPr>
                    <w:widowControl/>
                    <w:jc w:val="center"/>
                    <w:textAlignment w:val="center"/>
                    <w:rPr>
                      <w:rFonts w:ascii="Times New Roman" w:hAnsi="Times New Roman"/>
                      <w:b w:val="0"/>
                      <w:bCs w:val="0"/>
                      <w:color w:val="auto"/>
                      <w:szCs w:val="21"/>
                    </w:rPr>
                  </w:pPr>
                </w:p>
              </w:tc>
            </w:tr>
            <w:tr w14:paraId="179C6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0F45A7E6">
                  <w:pPr>
                    <w:jc w:val="center"/>
                    <w:rPr>
                      <w:rFonts w:ascii="Times New Roman" w:hAnsi="Times New Roman"/>
                      <w:b w:val="0"/>
                      <w:bCs w:val="0"/>
                      <w:color w:val="auto"/>
                      <w:szCs w:val="21"/>
                    </w:rPr>
                  </w:pPr>
                </w:p>
              </w:tc>
              <w:tc>
                <w:tcPr>
                  <w:tcW w:w="426" w:type="pct"/>
                  <w:vMerge w:val="continue"/>
                  <w:noWrap w:val="0"/>
                  <w:vAlign w:val="center"/>
                </w:tcPr>
                <w:p w14:paraId="25823878">
                  <w:pPr>
                    <w:jc w:val="center"/>
                    <w:rPr>
                      <w:rFonts w:ascii="Times New Roman" w:hAnsi="Times New Roman"/>
                      <w:b w:val="0"/>
                      <w:bCs w:val="0"/>
                      <w:color w:val="auto"/>
                      <w:szCs w:val="21"/>
                    </w:rPr>
                  </w:pPr>
                </w:p>
              </w:tc>
              <w:tc>
                <w:tcPr>
                  <w:tcW w:w="428" w:type="pct"/>
                  <w:vMerge w:val="continue"/>
                  <w:noWrap w:val="0"/>
                  <w:vAlign w:val="center"/>
                </w:tcPr>
                <w:p w14:paraId="2F05EEC5">
                  <w:pPr>
                    <w:jc w:val="center"/>
                    <w:rPr>
                      <w:rFonts w:ascii="Times New Roman" w:hAnsi="Times New Roman"/>
                      <w:b w:val="0"/>
                      <w:bCs w:val="0"/>
                      <w:color w:val="auto"/>
                      <w:szCs w:val="21"/>
                    </w:rPr>
                  </w:pPr>
                </w:p>
              </w:tc>
              <w:tc>
                <w:tcPr>
                  <w:tcW w:w="428" w:type="pct"/>
                  <w:vMerge w:val="continue"/>
                  <w:noWrap w:val="0"/>
                  <w:vAlign w:val="center"/>
                </w:tcPr>
                <w:p w14:paraId="7DC5A1D2">
                  <w:pPr>
                    <w:jc w:val="center"/>
                    <w:rPr>
                      <w:rFonts w:ascii="Times New Roman" w:hAnsi="Times New Roman"/>
                      <w:b w:val="0"/>
                      <w:bCs w:val="0"/>
                      <w:color w:val="auto"/>
                      <w:szCs w:val="21"/>
                    </w:rPr>
                  </w:pPr>
                </w:p>
              </w:tc>
              <w:tc>
                <w:tcPr>
                  <w:tcW w:w="1003" w:type="pct"/>
                  <w:noWrap w:val="0"/>
                  <w:vAlign w:val="center"/>
                </w:tcPr>
                <w:p w14:paraId="0DFA20E2">
                  <w:pPr>
                    <w:jc w:val="center"/>
                    <w:rPr>
                      <w:rFonts w:ascii="Times New Roman" w:hAnsi="Times New Roman"/>
                      <w:b w:val="0"/>
                      <w:bCs w:val="0"/>
                      <w:color w:val="auto"/>
                      <w:szCs w:val="21"/>
                    </w:rPr>
                  </w:pPr>
                  <w:r>
                    <w:rPr>
                      <w:rFonts w:hint="eastAsia"/>
                      <w:b w:val="0"/>
                      <w:bCs w:val="0"/>
                      <w:color w:val="auto"/>
                      <w:szCs w:val="21"/>
                      <w:lang w:val="en-US" w:eastAsia="zh-CN"/>
                    </w:rPr>
                    <w:t>产生</w:t>
                  </w:r>
                  <w:r>
                    <w:rPr>
                      <w:rFonts w:ascii="Times New Roman" w:hAnsi="Times New Roman"/>
                      <w:b w:val="0"/>
                      <w:bCs w:val="0"/>
                      <w:color w:val="auto"/>
                      <w:szCs w:val="21"/>
                    </w:rPr>
                    <w:t>速率（kg/h）</w:t>
                  </w:r>
                </w:p>
              </w:tc>
              <w:tc>
                <w:tcPr>
                  <w:tcW w:w="462" w:type="pct"/>
                  <w:noWrap w:val="0"/>
                  <w:vAlign w:val="center"/>
                </w:tcPr>
                <w:p w14:paraId="1FCF41D1">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182</w:t>
                  </w:r>
                </w:p>
              </w:tc>
              <w:tc>
                <w:tcPr>
                  <w:tcW w:w="464" w:type="pct"/>
                  <w:noWrap w:val="0"/>
                  <w:vAlign w:val="center"/>
                </w:tcPr>
                <w:p w14:paraId="356773C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244</w:t>
                  </w:r>
                </w:p>
              </w:tc>
              <w:tc>
                <w:tcPr>
                  <w:tcW w:w="467" w:type="pct"/>
                  <w:noWrap w:val="0"/>
                  <w:vAlign w:val="center"/>
                </w:tcPr>
                <w:p w14:paraId="13C9706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220</w:t>
                  </w:r>
                </w:p>
              </w:tc>
              <w:tc>
                <w:tcPr>
                  <w:tcW w:w="468" w:type="pct"/>
                  <w:noWrap w:val="0"/>
                  <w:vAlign w:val="center"/>
                </w:tcPr>
                <w:p w14:paraId="09E8861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215</w:t>
                  </w:r>
                </w:p>
              </w:tc>
              <w:tc>
                <w:tcPr>
                  <w:tcW w:w="425" w:type="pct"/>
                  <w:vMerge w:val="continue"/>
                  <w:noWrap w:val="0"/>
                  <w:vAlign w:val="center"/>
                </w:tcPr>
                <w:p w14:paraId="4223D337">
                  <w:pPr>
                    <w:widowControl/>
                    <w:jc w:val="center"/>
                    <w:textAlignment w:val="center"/>
                    <w:rPr>
                      <w:rFonts w:ascii="Times New Roman" w:hAnsi="Times New Roman"/>
                      <w:b w:val="0"/>
                      <w:bCs w:val="0"/>
                      <w:color w:val="auto"/>
                      <w:szCs w:val="21"/>
                    </w:rPr>
                  </w:pPr>
                </w:p>
              </w:tc>
            </w:tr>
            <w:tr w14:paraId="6C392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12AF849A">
                  <w:pPr>
                    <w:jc w:val="center"/>
                    <w:rPr>
                      <w:rFonts w:ascii="Times New Roman" w:hAnsi="Times New Roman"/>
                      <w:b w:val="0"/>
                      <w:bCs w:val="0"/>
                      <w:color w:val="auto"/>
                      <w:szCs w:val="21"/>
                    </w:rPr>
                  </w:pPr>
                </w:p>
              </w:tc>
              <w:tc>
                <w:tcPr>
                  <w:tcW w:w="426" w:type="pct"/>
                  <w:vMerge w:val="continue"/>
                  <w:noWrap w:val="0"/>
                  <w:vAlign w:val="center"/>
                </w:tcPr>
                <w:p w14:paraId="1C741064">
                  <w:pPr>
                    <w:jc w:val="center"/>
                    <w:rPr>
                      <w:rFonts w:ascii="Times New Roman" w:hAnsi="Times New Roman"/>
                      <w:b w:val="0"/>
                      <w:bCs w:val="0"/>
                      <w:color w:val="auto"/>
                      <w:szCs w:val="21"/>
                    </w:rPr>
                  </w:pPr>
                </w:p>
              </w:tc>
              <w:tc>
                <w:tcPr>
                  <w:tcW w:w="428" w:type="pct"/>
                  <w:vMerge w:val="restart"/>
                  <w:noWrap w:val="0"/>
                  <w:vAlign w:val="center"/>
                </w:tcPr>
                <w:p w14:paraId="44FC4656">
                  <w:pPr>
                    <w:jc w:val="center"/>
                    <w:rPr>
                      <w:rFonts w:ascii="Times New Roman" w:hAnsi="Times New Roman"/>
                      <w:b w:val="0"/>
                      <w:bCs w:val="0"/>
                      <w:color w:val="auto"/>
                      <w:szCs w:val="21"/>
                    </w:rPr>
                  </w:pPr>
                  <w:r>
                    <w:rPr>
                      <w:rFonts w:ascii="Times New Roman" w:hAnsi="Times New Roman"/>
                      <w:b w:val="0"/>
                      <w:bCs w:val="0"/>
                      <w:color w:val="auto"/>
                      <w:szCs w:val="21"/>
                    </w:rPr>
                    <w:t>反击破工序除尘器出口</w:t>
                  </w:r>
                </w:p>
              </w:tc>
              <w:tc>
                <w:tcPr>
                  <w:tcW w:w="1431" w:type="pct"/>
                  <w:gridSpan w:val="2"/>
                  <w:noWrap w:val="0"/>
                  <w:vAlign w:val="center"/>
                </w:tcPr>
                <w:p w14:paraId="0FA51B5F">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462" w:type="pct"/>
                  <w:noWrap w:val="0"/>
                  <w:vAlign w:val="center"/>
                </w:tcPr>
                <w:p w14:paraId="1505379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第一次</w:t>
                  </w:r>
                </w:p>
              </w:tc>
              <w:tc>
                <w:tcPr>
                  <w:tcW w:w="464" w:type="pct"/>
                  <w:noWrap w:val="0"/>
                  <w:vAlign w:val="center"/>
                </w:tcPr>
                <w:p w14:paraId="00FEF6F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第二次</w:t>
                  </w:r>
                </w:p>
              </w:tc>
              <w:tc>
                <w:tcPr>
                  <w:tcW w:w="467" w:type="pct"/>
                  <w:noWrap w:val="0"/>
                  <w:vAlign w:val="center"/>
                </w:tcPr>
                <w:p w14:paraId="713C6BB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第三次</w:t>
                  </w:r>
                </w:p>
              </w:tc>
              <w:tc>
                <w:tcPr>
                  <w:tcW w:w="468" w:type="pct"/>
                  <w:noWrap w:val="0"/>
                  <w:vAlign w:val="center"/>
                </w:tcPr>
                <w:p w14:paraId="6AA5A8D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平均值</w:t>
                  </w:r>
                </w:p>
              </w:tc>
              <w:tc>
                <w:tcPr>
                  <w:tcW w:w="425" w:type="pct"/>
                  <w:vMerge w:val="continue"/>
                  <w:noWrap w:val="0"/>
                  <w:vAlign w:val="center"/>
                </w:tcPr>
                <w:p w14:paraId="083C891D">
                  <w:pPr>
                    <w:widowControl/>
                    <w:jc w:val="center"/>
                    <w:textAlignment w:val="center"/>
                    <w:rPr>
                      <w:rFonts w:ascii="Times New Roman" w:hAnsi="Times New Roman"/>
                      <w:b w:val="0"/>
                      <w:bCs w:val="0"/>
                      <w:color w:val="auto"/>
                      <w:szCs w:val="21"/>
                    </w:rPr>
                  </w:pPr>
                </w:p>
              </w:tc>
            </w:tr>
            <w:tr w14:paraId="106663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26713C9F">
                  <w:pPr>
                    <w:jc w:val="center"/>
                    <w:rPr>
                      <w:rFonts w:ascii="Times New Roman" w:hAnsi="Times New Roman"/>
                      <w:b w:val="0"/>
                      <w:bCs w:val="0"/>
                      <w:color w:val="auto"/>
                      <w:szCs w:val="21"/>
                    </w:rPr>
                  </w:pPr>
                </w:p>
              </w:tc>
              <w:tc>
                <w:tcPr>
                  <w:tcW w:w="426" w:type="pct"/>
                  <w:vMerge w:val="continue"/>
                  <w:noWrap w:val="0"/>
                  <w:vAlign w:val="center"/>
                </w:tcPr>
                <w:p w14:paraId="27C4FB4A">
                  <w:pPr>
                    <w:jc w:val="center"/>
                    <w:rPr>
                      <w:rFonts w:ascii="Times New Roman" w:hAnsi="Times New Roman"/>
                      <w:b w:val="0"/>
                      <w:bCs w:val="0"/>
                      <w:color w:val="auto"/>
                      <w:szCs w:val="21"/>
                    </w:rPr>
                  </w:pPr>
                </w:p>
              </w:tc>
              <w:tc>
                <w:tcPr>
                  <w:tcW w:w="428" w:type="pct"/>
                  <w:vMerge w:val="continue"/>
                  <w:noWrap w:val="0"/>
                  <w:vAlign w:val="center"/>
                </w:tcPr>
                <w:p w14:paraId="4818E1CF">
                  <w:pPr>
                    <w:jc w:val="center"/>
                    <w:rPr>
                      <w:rFonts w:ascii="Times New Roman" w:hAnsi="Times New Roman"/>
                      <w:b w:val="0"/>
                      <w:bCs w:val="0"/>
                      <w:color w:val="auto"/>
                      <w:szCs w:val="21"/>
                    </w:rPr>
                  </w:pPr>
                </w:p>
              </w:tc>
              <w:tc>
                <w:tcPr>
                  <w:tcW w:w="1431" w:type="pct"/>
                  <w:gridSpan w:val="2"/>
                  <w:noWrap w:val="0"/>
                  <w:vAlign w:val="center"/>
                </w:tcPr>
                <w:p w14:paraId="138EDA71">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3" w:type="pct"/>
                  <w:gridSpan w:val="3"/>
                  <w:noWrap w:val="0"/>
                  <w:vAlign w:val="center"/>
                </w:tcPr>
                <w:p w14:paraId="5043CE2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0.385</w:t>
                  </w:r>
                </w:p>
              </w:tc>
              <w:tc>
                <w:tcPr>
                  <w:tcW w:w="468" w:type="pct"/>
                  <w:noWrap w:val="0"/>
                  <w:vAlign w:val="center"/>
                </w:tcPr>
                <w:p w14:paraId="0A2D8CF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25" w:type="pct"/>
                  <w:vMerge w:val="continue"/>
                  <w:noWrap w:val="0"/>
                  <w:vAlign w:val="center"/>
                </w:tcPr>
                <w:p w14:paraId="2C990AC7">
                  <w:pPr>
                    <w:widowControl/>
                    <w:jc w:val="center"/>
                    <w:textAlignment w:val="center"/>
                    <w:rPr>
                      <w:rFonts w:ascii="Times New Roman" w:hAnsi="Times New Roman"/>
                      <w:b w:val="0"/>
                      <w:bCs w:val="0"/>
                      <w:color w:val="auto"/>
                      <w:szCs w:val="21"/>
                    </w:rPr>
                  </w:pPr>
                </w:p>
              </w:tc>
            </w:tr>
            <w:tr w14:paraId="726D95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1E8F3BA0">
                  <w:pPr>
                    <w:jc w:val="center"/>
                    <w:rPr>
                      <w:rFonts w:ascii="Times New Roman" w:hAnsi="Times New Roman"/>
                      <w:b w:val="0"/>
                      <w:bCs w:val="0"/>
                      <w:color w:val="auto"/>
                      <w:szCs w:val="21"/>
                    </w:rPr>
                  </w:pPr>
                </w:p>
              </w:tc>
              <w:tc>
                <w:tcPr>
                  <w:tcW w:w="426" w:type="pct"/>
                  <w:vMerge w:val="continue"/>
                  <w:noWrap w:val="0"/>
                  <w:vAlign w:val="center"/>
                </w:tcPr>
                <w:p w14:paraId="6AB629EA">
                  <w:pPr>
                    <w:jc w:val="center"/>
                    <w:rPr>
                      <w:rFonts w:ascii="Times New Roman" w:hAnsi="Times New Roman"/>
                      <w:b w:val="0"/>
                      <w:bCs w:val="0"/>
                      <w:color w:val="auto"/>
                      <w:szCs w:val="21"/>
                    </w:rPr>
                  </w:pPr>
                </w:p>
              </w:tc>
              <w:tc>
                <w:tcPr>
                  <w:tcW w:w="428" w:type="pct"/>
                  <w:vMerge w:val="continue"/>
                  <w:noWrap w:val="0"/>
                  <w:vAlign w:val="center"/>
                </w:tcPr>
                <w:p w14:paraId="752E9120">
                  <w:pPr>
                    <w:jc w:val="center"/>
                    <w:rPr>
                      <w:rFonts w:ascii="Times New Roman" w:hAnsi="Times New Roman"/>
                      <w:b w:val="0"/>
                      <w:bCs w:val="0"/>
                      <w:color w:val="auto"/>
                      <w:szCs w:val="21"/>
                    </w:rPr>
                  </w:pPr>
                </w:p>
              </w:tc>
              <w:tc>
                <w:tcPr>
                  <w:tcW w:w="1431" w:type="pct"/>
                  <w:gridSpan w:val="2"/>
                  <w:noWrap w:val="0"/>
                  <w:vAlign w:val="center"/>
                </w:tcPr>
                <w:p w14:paraId="6DFA1B83">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2" w:type="pct"/>
                  <w:noWrap w:val="0"/>
                  <w:vAlign w:val="center"/>
                </w:tcPr>
                <w:p w14:paraId="445DFA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464" w:type="pct"/>
                  <w:noWrap w:val="0"/>
                  <w:vAlign w:val="center"/>
                </w:tcPr>
                <w:p w14:paraId="64D1F84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467" w:type="pct"/>
                  <w:noWrap w:val="0"/>
                  <w:vAlign w:val="center"/>
                </w:tcPr>
                <w:p w14:paraId="742EEC1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468" w:type="pct"/>
                  <w:noWrap w:val="0"/>
                  <w:vAlign w:val="center"/>
                </w:tcPr>
                <w:p w14:paraId="1146772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17.4 </w:t>
                  </w:r>
                </w:p>
              </w:tc>
              <w:tc>
                <w:tcPr>
                  <w:tcW w:w="425" w:type="pct"/>
                  <w:vMerge w:val="continue"/>
                  <w:noWrap w:val="0"/>
                  <w:vAlign w:val="center"/>
                </w:tcPr>
                <w:p w14:paraId="24215B1E">
                  <w:pPr>
                    <w:widowControl/>
                    <w:jc w:val="center"/>
                    <w:textAlignment w:val="center"/>
                    <w:rPr>
                      <w:rFonts w:ascii="Times New Roman" w:hAnsi="Times New Roman"/>
                      <w:b w:val="0"/>
                      <w:bCs w:val="0"/>
                      <w:color w:val="auto"/>
                      <w:szCs w:val="21"/>
                    </w:rPr>
                  </w:pPr>
                </w:p>
              </w:tc>
            </w:tr>
            <w:tr w14:paraId="181F5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39A9C8E4">
                  <w:pPr>
                    <w:jc w:val="center"/>
                    <w:rPr>
                      <w:rFonts w:ascii="Times New Roman" w:hAnsi="Times New Roman"/>
                      <w:b w:val="0"/>
                      <w:bCs w:val="0"/>
                      <w:color w:val="auto"/>
                      <w:szCs w:val="21"/>
                    </w:rPr>
                  </w:pPr>
                </w:p>
              </w:tc>
              <w:tc>
                <w:tcPr>
                  <w:tcW w:w="426" w:type="pct"/>
                  <w:vMerge w:val="continue"/>
                  <w:noWrap w:val="0"/>
                  <w:vAlign w:val="center"/>
                </w:tcPr>
                <w:p w14:paraId="44D68406">
                  <w:pPr>
                    <w:jc w:val="center"/>
                    <w:rPr>
                      <w:rFonts w:ascii="Times New Roman" w:hAnsi="Times New Roman"/>
                      <w:b w:val="0"/>
                      <w:bCs w:val="0"/>
                      <w:color w:val="auto"/>
                      <w:szCs w:val="21"/>
                    </w:rPr>
                  </w:pPr>
                </w:p>
              </w:tc>
              <w:tc>
                <w:tcPr>
                  <w:tcW w:w="428" w:type="pct"/>
                  <w:vMerge w:val="continue"/>
                  <w:noWrap w:val="0"/>
                  <w:vAlign w:val="center"/>
                </w:tcPr>
                <w:p w14:paraId="6970973A">
                  <w:pPr>
                    <w:jc w:val="center"/>
                    <w:rPr>
                      <w:rFonts w:ascii="Times New Roman" w:hAnsi="Times New Roman"/>
                      <w:b w:val="0"/>
                      <w:bCs w:val="0"/>
                      <w:color w:val="auto"/>
                      <w:szCs w:val="21"/>
                    </w:rPr>
                  </w:pPr>
                </w:p>
              </w:tc>
              <w:tc>
                <w:tcPr>
                  <w:tcW w:w="1431" w:type="pct"/>
                  <w:gridSpan w:val="2"/>
                  <w:noWrap w:val="0"/>
                  <w:vAlign w:val="center"/>
                </w:tcPr>
                <w:p w14:paraId="19C5F025">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2" w:type="pct"/>
                  <w:noWrap w:val="0"/>
                  <w:vAlign w:val="center"/>
                </w:tcPr>
                <w:p w14:paraId="63A96CA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13.4</w:t>
                  </w:r>
                </w:p>
              </w:tc>
              <w:tc>
                <w:tcPr>
                  <w:tcW w:w="464" w:type="pct"/>
                  <w:noWrap w:val="0"/>
                  <w:vAlign w:val="center"/>
                </w:tcPr>
                <w:p w14:paraId="2FE59E3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13.5</w:t>
                  </w:r>
                </w:p>
              </w:tc>
              <w:tc>
                <w:tcPr>
                  <w:tcW w:w="467" w:type="pct"/>
                  <w:noWrap w:val="0"/>
                  <w:vAlign w:val="center"/>
                </w:tcPr>
                <w:p w14:paraId="5528FA2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13.5</w:t>
                  </w:r>
                </w:p>
              </w:tc>
              <w:tc>
                <w:tcPr>
                  <w:tcW w:w="468" w:type="pct"/>
                  <w:noWrap w:val="0"/>
                  <w:vAlign w:val="center"/>
                </w:tcPr>
                <w:p w14:paraId="52541AF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13.5 </w:t>
                  </w:r>
                </w:p>
              </w:tc>
              <w:tc>
                <w:tcPr>
                  <w:tcW w:w="425" w:type="pct"/>
                  <w:vMerge w:val="continue"/>
                  <w:noWrap w:val="0"/>
                  <w:vAlign w:val="center"/>
                </w:tcPr>
                <w:p w14:paraId="56682C73">
                  <w:pPr>
                    <w:widowControl/>
                    <w:jc w:val="center"/>
                    <w:textAlignment w:val="center"/>
                    <w:rPr>
                      <w:rFonts w:ascii="Times New Roman" w:hAnsi="Times New Roman"/>
                      <w:b w:val="0"/>
                      <w:bCs w:val="0"/>
                      <w:color w:val="auto"/>
                      <w:szCs w:val="21"/>
                    </w:rPr>
                  </w:pPr>
                </w:p>
              </w:tc>
            </w:tr>
            <w:tr w14:paraId="5A14A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25" w:type="pct"/>
                  <w:vMerge w:val="continue"/>
                  <w:noWrap w:val="0"/>
                  <w:vAlign w:val="center"/>
                </w:tcPr>
                <w:p w14:paraId="79133CBC">
                  <w:pPr>
                    <w:jc w:val="center"/>
                    <w:rPr>
                      <w:rFonts w:ascii="Times New Roman" w:hAnsi="Times New Roman"/>
                      <w:b w:val="0"/>
                      <w:bCs w:val="0"/>
                      <w:color w:val="auto"/>
                      <w:szCs w:val="21"/>
                    </w:rPr>
                  </w:pPr>
                </w:p>
              </w:tc>
              <w:tc>
                <w:tcPr>
                  <w:tcW w:w="426" w:type="pct"/>
                  <w:vMerge w:val="continue"/>
                  <w:noWrap w:val="0"/>
                  <w:vAlign w:val="center"/>
                </w:tcPr>
                <w:p w14:paraId="391AE2BF">
                  <w:pPr>
                    <w:jc w:val="center"/>
                    <w:rPr>
                      <w:rFonts w:ascii="Times New Roman" w:hAnsi="Times New Roman"/>
                      <w:b w:val="0"/>
                      <w:bCs w:val="0"/>
                      <w:color w:val="auto"/>
                      <w:szCs w:val="21"/>
                    </w:rPr>
                  </w:pPr>
                </w:p>
              </w:tc>
              <w:tc>
                <w:tcPr>
                  <w:tcW w:w="428" w:type="pct"/>
                  <w:vMerge w:val="continue"/>
                  <w:noWrap w:val="0"/>
                  <w:vAlign w:val="center"/>
                </w:tcPr>
                <w:p w14:paraId="1275C186">
                  <w:pPr>
                    <w:jc w:val="center"/>
                    <w:rPr>
                      <w:rFonts w:ascii="Times New Roman" w:hAnsi="Times New Roman"/>
                      <w:b w:val="0"/>
                      <w:bCs w:val="0"/>
                      <w:color w:val="auto"/>
                      <w:szCs w:val="21"/>
                    </w:rPr>
                  </w:pPr>
                </w:p>
              </w:tc>
              <w:tc>
                <w:tcPr>
                  <w:tcW w:w="1431" w:type="pct"/>
                  <w:gridSpan w:val="2"/>
                  <w:noWrap w:val="0"/>
                  <w:vAlign w:val="center"/>
                </w:tcPr>
                <w:p w14:paraId="2333F3EB">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2" w:type="pct"/>
                  <w:noWrap w:val="0"/>
                  <w:vAlign w:val="center"/>
                </w:tcPr>
                <w:p w14:paraId="57913CA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16056</w:t>
                  </w:r>
                </w:p>
              </w:tc>
              <w:tc>
                <w:tcPr>
                  <w:tcW w:w="464" w:type="pct"/>
                  <w:noWrap w:val="0"/>
                  <w:vAlign w:val="center"/>
                </w:tcPr>
                <w:p w14:paraId="0486BFB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16108</w:t>
                  </w:r>
                </w:p>
              </w:tc>
              <w:tc>
                <w:tcPr>
                  <w:tcW w:w="467" w:type="pct"/>
                  <w:noWrap w:val="0"/>
                  <w:vAlign w:val="center"/>
                </w:tcPr>
                <w:p w14:paraId="6F53103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16133</w:t>
                  </w:r>
                </w:p>
              </w:tc>
              <w:tc>
                <w:tcPr>
                  <w:tcW w:w="468" w:type="pct"/>
                  <w:noWrap w:val="0"/>
                  <w:vAlign w:val="center"/>
                </w:tcPr>
                <w:p w14:paraId="10A70C7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16099 </w:t>
                  </w:r>
                </w:p>
              </w:tc>
              <w:tc>
                <w:tcPr>
                  <w:tcW w:w="425" w:type="pct"/>
                  <w:vMerge w:val="continue"/>
                  <w:noWrap w:val="0"/>
                  <w:vAlign w:val="center"/>
                </w:tcPr>
                <w:p w14:paraId="1E20647F">
                  <w:pPr>
                    <w:widowControl/>
                    <w:jc w:val="center"/>
                    <w:textAlignment w:val="center"/>
                    <w:rPr>
                      <w:rFonts w:ascii="Times New Roman" w:hAnsi="Times New Roman"/>
                      <w:b w:val="0"/>
                      <w:bCs w:val="0"/>
                      <w:color w:val="auto"/>
                      <w:szCs w:val="21"/>
                    </w:rPr>
                  </w:pPr>
                </w:p>
              </w:tc>
            </w:tr>
            <w:tr w14:paraId="2E8089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3CB6AA07">
                  <w:pPr>
                    <w:jc w:val="center"/>
                    <w:rPr>
                      <w:rFonts w:ascii="Times New Roman" w:hAnsi="Times New Roman"/>
                      <w:b w:val="0"/>
                      <w:bCs w:val="0"/>
                      <w:color w:val="auto"/>
                      <w:szCs w:val="21"/>
                    </w:rPr>
                  </w:pPr>
                </w:p>
              </w:tc>
              <w:tc>
                <w:tcPr>
                  <w:tcW w:w="426" w:type="pct"/>
                  <w:vMerge w:val="continue"/>
                  <w:noWrap w:val="0"/>
                  <w:vAlign w:val="center"/>
                </w:tcPr>
                <w:p w14:paraId="3DFEFADE">
                  <w:pPr>
                    <w:jc w:val="center"/>
                    <w:rPr>
                      <w:rFonts w:ascii="Times New Roman" w:hAnsi="Times New Roman"/>
                      <w:b w:val="0"/>
                      <w:bCs w:val="0"/>
                      <w:color w:val="auto"/>
                      <w:szCs w:val="21"/>
                    </w:rPr>
                  </w:pPr>
                </w:p>
              </w:tc>
              <w:tc>
                <w:tcPr>
                  <w:tcW w:w="428" w:type="pct"/>
                  <w:vMerge w:val="continue"/>
                  <w:noWrap w:val="0"/>
                  <w:vAlign w:val="center"/>
                </w:tcPr>
                <w:p w14:paraId="451151B0">
                  <w:pPr>
                    <w:jc w:val="center"/>
                    <w:rPr>
                      <w:rFonts w:ascii="Times New Roman" w:hAnsi="Times New Roman"/>
                      <w:b w:val="0"/>
                      <w:bCs w:val="0"/>
                      <w:color w:val="auto"/>
                      <w:szCs w:val="21"/>
                    </w:rPr>
                  </w:pPr>
                </w:p>
              </w:tc>
              <w:tc>
                <w:tcPr>
                  <w:tcW w:w="428" w:type="pct"/>
                  <w:vMerge w:val="restart"/>
                  <w:noWrap w:val="0"/>
                  <w:vAlign w:val="center"/>
                </w:tcPr>
                <w:p w14:paraId="0C0A793B">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7479C4C7">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2" w:type="pct"/>
                  <w:noWrap w:val="0"/>
                  <w:vAlign w:val="center"/>
                </w:tcPr>
                <w:p w14:paraId="772B596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9.6</w:t>
                  </w:r>
                </w:p>
              </w:tc>
              <w:tc>
                <w:tcPr>
                  <w:tcW w:w="464" w:type="pct"/>
                  <w:noWrap w:val="0"/>
                  <w:vAlign w:val="center"/>
                </w:tcPr>
                <w:p w14:paraId="654F50B4">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7.2</w:t>
                  </w:r>
                </w:p>
              </w:tc>
              <w:tc>
                <w:tcPr>
                  <w:tcW w:w="467" w:type="pct"/>
                  <w:noWrap w:val="0"/>
                  <w:vAlign w:val="center"/>
                </w:tcPr>
                <w:p w14:paraId="3DE719D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8.1</w:t>
                  </w:r>
                </w:p>
              </w:tc>
              <w:tc>
                <w:tcPr>
                  <w:tcW w:w="468" w:type="pct"/>
                  <w:noWrap w:val="0"/>
                  <w:vAlign w:val="center"/>
                </w:tcPr>
                <w:p w14:paraId="65BF76C3">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8.3 </w:t>
                  </w:r>
                </w:p>
              </w:tc>
              <w:tc>
                <w:tcPr>
                  <w:tcW w:w="425" w:type="pct"/>
                  <w:noWrap w:val="0"/>
                  <w:vAlign w:val="center"/>
                </w:tcPr>
                <w:p w14:paraId="28AC8DF3">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36737E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45A1A9E3">
                  <w:pPr>
                    <w:jc w:val="center"/>
                    <w:rPr>
                      <w:rFonts w:ascii="Times New Roman" w:hAnsi="Times New Roman"/>
                      <w:b w:val="0"/>
                      <w:bCs w:val="0"/>
                      <w:color w:val="auto"/>
                      <w:szCs w:val="21"/>
                    </w:rPr>
                  </w:pPr>
                </w:p>
              </w:tc>
              <w:tc>
                <w:tcPr>
                  <w:tcW w:w="426" w:type="pct"/>
                  <w:vMerge w:val="continue"/>
                  <w:noWrap w:val="0"/>
                  <w:vAlign w:val="center"/>
                </w:tcPr>
                <w:p w14:paraId="39C7259B">
                  <w:pPr>
                    <w:jc w:val="center"/>
                    <w:rPr>
                      <w:rFonts w:ascii="Times New Roman" w:hAnsi="Times New Roman"/>
                      <w:b w:val="0"/>
                      <w:bCs w:val="0"/>
                      <w:color w:val="auto"/>
                      <w:szCs w:val="21"/>
                    </w:rPr>
                  </w:pPr>
                </w:p>
              </w:tc>
              <w:tc>
                <w:tcPr>
                  <w:tcW w:w="428" w:type="pct"/>
                  <w:vMerge w:val="continue"/>
                  <w:noWrap w:val="0"/>
                  <w:vAlign w:val="center"/>
                </w:tcPr>
                <w:p w14:paraId="32DCCB8F">
                  <w:pPr>
                    <w:jc w:val="center"/>
                    <w:rPr>
                      <w:rFonts w:ascii="Times New Roman" w:hAnsi="Times New Roman"/>
                      <w:b w:val="0"/>
                      <w:bCs w:val="0"/>
                      <w:color w:val="auto"/>
                      <w:szCs w:val="21"/>
                    </w:rPr>
                  </w:pPr>
                </w:p>
              </w:tc>
              <w:tc>
                <w:tcPr>
                  <w:tcW w:w="428" w:type="pct"/>
                  <w:vMerge w:val="continue"/>
                  <w:noWrap w:val="0"/>
                  <w:vAlign w:val="center"/>
                </w:tcPr>
                <w:p w14:paraId="257CBBB7">
                  <w:pPr>
                    <w:jc w:val="center"/>
                    <w:rPr>
                      <w:rFonts w:ascii="Times New Roman" w:hAnsi="Times New Roman"/>
                      <w:b w:val="0"/>
                      <w:bCs w:val="0"/>
                      <w:color w:val="auto"/>
                      <w:szCs w:val="21"/>
                    </w:rPr>
                  </w:pPr>
                </w:p>
              </w:tc>
              <w:tc>
                <w:tcPr>
                  <w:tcW w:w="1003" w:type="pct"/>
                  <w:noWrap w:val="0"/>
                  <w:vAlign w:val="center"/>
                </w:tcPr>
                <w:p w14:paraId="3E83FFF7">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2" w:type="pct"/>
                  <w:noWrap w:val="0"/>
                  <w:vAlign w:val="center"/>
                </w:tcPr>
                <w:p w14:paraId="5FCB704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0.154 </w:t>
                  </w:r>
                </w:p>
              </w:tc>
              <w:tc>
                <w:tcPr>
                  <w:tcW w:w="464" w:type="pct"/>
                  <w:noWrap w:val="0"/>
                  <w:vAlign w:val="center"/>
                </w:tcPr>
                <w:p w14:paraId="2245035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0.116 </w:t>
                  </w:r>
                </w:p>
              </w:tc>
              <w:tc>
                <w:tcPr>
                  <w:tcW w:w="467" w:type="pct"/>
                  <w:noWrap w:val="0"/>
                  <w:vAlign w:val="center"/>
                </w:tcPr>
                <w:p w14:paraId="40A934E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0.131 </w:t>
                  </w:r>
                </w:p>
              </w:tc>
              <w:tc>
                <w:tcPr>
                  <w:tcW w:w="468" w:type="pct"/>
                  <w:noWrap w:val="0"/>
                  <w:vAlign w:val="center"/>
                </w:tcPr>
                <w:p w14:paraId="4F72090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0.134 </w:t>
                  </w:r>
                </w:p>
              </w:tc>
              <w:tc>
                <w:tcPr>
                  <w:tcW w:w="425" w:type="pct"/>
                  <w:noWrap w:val="0"/>
                  <w:vAlign w:val="center"/>
                </w:tcPr>
                <w:p w14:paraId="14AA2B1C">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36B66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 w:type="pct"/>
                  <w:vMerge w:val="continue"/>
                  <w:noWrap w:val="0"/>
                  <w:vAlign w:val="center"/>
                </w:tcPr>
                <w:p w14:paraId="6A9633C2">
                  <w:pPr>
                    <w:jc w:val="center"/>
                    <w:rPr>
                      <w:rFonts w:ascii="Times New Roman" w:hAnsi="Times New Roman"/>
                      <w:b w:val="0"/>
                      <w:bCs w:val="0"/>
                      <w:color w:val="auto"/>
                      <w:szCs w:val="21"/>
                    </w:rPr>
                  </w:pPr>
                </w:p>
              </w:tc>
              <w:tc>
                <w:tcPr>
                  <w:tcW w:w="426" w:type="pct"/>
                  <w:vMerge w:val="continue"/>
                  <w:noWrap w:val="0"/>
                  <w:vAlign w:val="center"/>
                </w:tcPr>
                <w:p w14:paraId="33C82607">
                  <w:pPr>
                    <w:jc w:val="center"/>
                    <w:rPr>
                      <w:rFonts w:ascii="Times New Roman" w:hAnsi="Times New Roman"/>
                      <w:b w:val="0"/>
                      <w:bCs w:val="0"/>
                      <w:color w:val="auto"/>
                      <w:szCs w:val="21"/>
                    </w:rPr>
                  </w:pPr>
                </w:p>
              </w:tc>
              <w:tc>
                <w:tcPr>
                  <w:tcW w:w="1860" w:type="pct"/>
                  <w:gridSpan w:val="3"/>
                  <w:noWrap w:val="0"/>
                  <w:vAlign w:val="center"/>
                </w:tcPr>
                <w:p w14:paraId="4078F8ED">
                  <w:pPr>
                    <w:jc w:val="center"/>
                    <w:rPr>
                      <w:rFonts w:ascii="Times New Roman" w:hAnsi="Times New Roman"/>
                      <w:b w:val="0"/>
                      <w:bCs w:val="0"/>
                      <w:color w:val="auto"/>
                      <w:szCs w:val="21"/>
                    </w:rPr>
                  </w:pPr>
                  <w:r>
                    <w:rPr>
                      <w:rFonts w:ascii="Times New Roman" w:hAnsi="Times New Roman"/>
                      <w:b w:val="0"/>
                      <w:bCs w:val="0"/>
                      <w:color w:val="auto"/>
                      <w:szCs w:val="21"/>
                    </w:rPr>
                    <w:t>去除效率（%）</w:t>
                  </w:r>
                </w:p>
              </w:tc>
              <w:tc>
                <w:tcPr>
                  <w:tcW w:w="462" w:type="pct"/>
                  <w:noWrap w:val="0"/>
                  <w:vAlign w:val="center"/>
                </w:tcPr>
                <w:p w14:paraId="2E7E07A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4" w:type="pct"/>
                  <w:noWrap w:val="0"/>
                  <w:vAlign w:val="center"/>
                </w:tcPr>
                <w:p w14:paraId="1B993557">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99.9</w:t>
                  </w:r>
                </w:p>
              </w:tc>
              <w:tc>
                <w:tcPr>
                  <w:tcW w:w="467" w:type="pct"/>
                  <w:noWrap w:val="0"/>
                  <w:vAlign w:val="center"/>
                </w:tcPr>
                <w:p w14:paraId="273E536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68" w:type="pct"/>
                  <w:noWrap w:val="0"/>
                  <w:vAlign w:val="center"/>
                </w:tcPr>
                <w:p w14:paraId="6519D53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99.9 </w:t>
                  </w:r>
                </w:p>
              </w:tc>
              <w:tc>
                <w:tcPr>
                  <w:tcW w:w="425" w:type="pct"/>
                  <w:noWrap w:val="0"/>
                  <w:vAlign w:val="center"/>
                </w:tcPr>
                <w:p w14:paraId="4FC0E39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w:t>
                  </w:r>
                </w:p>
              </w:tc>
            </w:tr>
          </w:tbl>
          <w:p w14:paraId="55415B2A">
            <w:pPr>
              <w:spacing w:before="120" w:beforeLines="50"/>
              <w:jc w:val="center"/>
              <w:rPr>
                <w:rFonts w:ascii="Times New Roman" w:hAnsi="Times New Roman"/>
                <w:b/>
                <w:color w:val="auto"/>
                <w:sz w:val="24"/>
                <w:szCs w:val="24"/>
              </w:rPr>
            </w:pPr>
          </w:p>
          <w:p w14:paraId="5AC6964C">
            <w:pPr>
              <w:spacing w:before="120" w:beforeLines="50"/>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w:t>
            </w:r>
            <w:r>
              <w:rPr>
                <w:rFonts w:hint="eastAsia"/>
                <w:b/>
                <w:color w:val="auto"/>
                <w:sz w:val="24"/>
                <w:szCs w:val="24"/>
                <w:lang w:val="en-US" w:eastAsia="zh-CN"/>
              </w:rPr>
              <w:t>10</w:t>
            </w:r>
            <w:r>
              <w:rPr>
                <w:rFonts w:ascii="Times New Roman" w:hAnsi="Times New Roman"/>
                <w:b/>
                <w:color w:val="auto"/>
                <w:sz w:val="24"/>
                <w:szCs w:val="24"/>
              </w:rPr>
              <w:t xml:space="preserve">  </w:t>
            </w:r>
            <w:r>
              <w:rPr>
                <w:rFonts w:hint="eastAsia"/>
                <w:b/>
                <w:color w:val="auto"/>
                <w:sz w:val="24"/>
                <w:szCs w:val="24"/>
                <w:lang w:val="en-US" w:eastAsia="zh-CN"/>
              </w:rPr>
              <w:t>一级</w:t>
            </w:r>
            <w:r>
              <w:rPr>
                <w:rFonts w:hint="eastAsia" w:ascii="Times New Roman" w:hAnsi="Times New Roman"/>
                <w:b/>
                <w:color w:val="auto"/>
                <w:sz w:val="24"/>
                <w:szCs w:val="24"/>
              </w:rPr>
              <w:t>振动筛</w:t>
            </w:r>
            <w:r>
              <w:rPr>
                <w:rFonts w:hint="eastAsia"/>
                <w:b/>
                <w:color w:val="auto"/>
                <w:sz w:val="24"/>
                <w:szCs w:val="24"/>
                <w:lang w:val="en-US" w:eastAsia="zh-CN"/>
              </w:rPr>
              <w:t>和分选</w:t>
            </w:r>
            <w:r>
              <w:rPr>
                <w:rFonts w:hint="eastAsia" w:ascii="Times New Roman" w:hAnsi="Times New Roman"/>
                <w:b/>
                <w:color w:val="auto"/>
                <w:sz w:val="24"/>
                <w:szCs w:val="24"/>
              </w:rPr>
              <w:t>工序</w:t>
            </w:r>
            <w:r>
              <w:rPr>
                <w:rFonts w:ascii="Times New Roman" w:hAnsi="Times New Roman"/>
                <w:b/>
                <w:color w:val="auto"/>
                <w:sz w:val="24"/>
                <w:szCs w:val="24"/>
              </w:rPr>
              <w:t>废气监测结果</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835"/>
              <w:gridCol w:w="726"/>
              <w:gridCol w:w="726"/>
              <w:gridCol w:w="1715"/>
              <w:gridCol w:w="787"/>
              <w:gridCol w:w="789"/>
              <w:gridCol w:w="792"/>
              <w:gridCol w:w="794"/>
              <w:gridCol w:w="718"/>
            </w:tblGrid>
            <w:tr w14:paraId="00351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restart"/>
                  <w:noWrap w:val="0"/>
                  <w:vAlign w:val="center"/>
                </w:tcPr>
                <w:p w14:paraId="1C5655FE">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监测日期</w:t>
                  </w:r>
                </w:p>
              </w:tc>
              <w:tc>
                <w:tcPr>
                  <w:tcW w:w="458" w:type="pct"/>
                  <w:vMerge w:val="restart"/>
                  <w:noWrap w:val="0"/>
                  <w:vAlign w:val="center"/>
                </w:tcPr>
                <w:p w14:paraId="37ADCBCC">
                  <w:pPr>
                    <w:jc w:val="center"/>
                    <w:rPr>
                      <w:rFonts w:hint="default" w:ascii="Times New Roman" w:hAnsi="Times New Roman" w:eastAsia="宋体"/>
                      <w:b w:val="0"/>
                      <w:bCs w:val="0"/>
                      <w:color w:val="auto"/>
                      <w:kern w:val="0"/>
                      <w:szCs w:val="21"/>
                      <w:lang w:val="en-US" w:eastAsia="zh-CN"/>
                    </w:rPr>
                  </w:pPr>
                  <w:r>
                    <w:rPr>
                      <w:rFonts w:hint="eastAsia"/>
                      <w:b w:val="0"/>
                      <w:bCs w:val="0"/>
                      <w:color w:val="auto"/>
                      <w:kern w:val="0"/>
                      <w:szCs w:val="21"/>
                      <w:lang w:val="en-US" w:eastAsia="zh-CN"/>
                    </w:rPr>
                    <w:t>排气筒</w:t>
                  </w:r>
                </w:p>
              </w:tc>
              <w:tc>
                <w:tcPr>
                  <w:tcW w:w="425" w:type="pct"/>
                  <w:vMerge w:val="restart"/>
                  <w:noWrap w:val="0"/>
                  <w:vAlign w:val="center"/>
                </w:tcPr>
                <w:p w14:paraId="6A4115BF">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监测点位</w:t>
                  </w:r>
                </w:p>
              </w:tc>
              <w:tc>
                <w:tcPr>
                  <w:tcW w:w="1424" w:type="pct"/>
                  <w:gridSpan w:val="2"/>
                  <w:noWrap w:val="0"/>
                  <w:vAlign w:val="center"/>
                </w:tcPr>
                <w:p w14:paraId="3A31FD62">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监测项目</w:t>
                  </w:r>
                </w:p>
              </w:tc>
              <w:tc>
                <w:tcPr>
                  <w:tcW w:w="1848" w:type="pct"/>
                  <w:gridSpan w:val="4"/>
                  <w:noWrap w:val="0"/>
                  <w:vAlign w:val="center"/>
                </w:tcPr>
                <w:p w14:paraId="158BC076">
                  <w:pPr>
                    <w:snapToGrid w:val="0"/>
                    <w:jc w:val="center"/>
                    <w:rPr>
                      <w:rFonts w:ascii="Times New Roman" w:hAnsi="Times New Roman"/>
                      <w:b w:val="0"/>
                      <w:bCs w:val="0"/>
                      <w:color w:val="auto"/>
                      <w:szCs w:val="21"/>
                    </w:rPr>
                  </w:pPr>
                  <w:r>
                    <w:rPr>
                      <w:rFonts w:ascii="Times New Roman" w:hAnsi="Times New Roman"/>
                      <w:b w:val="0"/>
                      <w:bCs w:val="0"/>
                      <w:color w:val="auto"/>
                      <w:szCs w:val="21"/>
                    </w:rPr>
                    <w:t>监测结果</w:t>
                  </w:r>
                </w:p>
              </w:tc>
              <w:tc>
                <w:tcPr>
                  <w:tcW w:w="420" w:type="pct"/>
                  <w:vMerge w:val="restart"/>
                  <w:noWrap w:val="0"/>
                  <w:vAlign w:val="center"/>
                </w:tcPr>
                <w:p w14:paraId="4617619A">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3AB3A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708B053A">
                  <w:pPr>
                    <w:jc w:val="center"/>
                    <w:rPr>
                      <w:rFonts w:ascii="Times New Roman" w:hAnsi="Times New Roman"/>
                      <w:b w:val="0"/>
                      <w:bCs w:val="0"/>
                      <w:color w:val="auto"/>
                      <w:kern w:val="0"/>
                      <w:szCs w:val="21"/>
                    </w:rPr>
                  </w:pPr>
                </w:p>
              </w:tc>
              <w:tc>
                <w:tcPr>
                  <w:tcW w:w="458" w:type="pct"/>
                  <w:vMerge w:val="continue"/>
                  <w:noWrap w:val="0"/>
                  <w:vAlign w:val="center"/>
                </w:tcPr>
                <w:p w14:paraId="75E1AE7E">
                  <w:pPr>
                    <w:jc w:val="center"/>
                    <w:rPr>
                      <w:rFonts w:ascii="Times New Roman" w:hAnsi="Times New Roman"/>
                      <w:b w:val="0"/>
                      <w:bCs w:val="0"/>
                      <w:color w:val="auto"/>
                      <w:kern w:val="0"/>
                      <w:szCs w:val="21"/>
                    </w:rPr>
                  </w:pPr>
                </w:p>
              </w:tc>
              <w:tc>
                <w:tcPr>
                  <w:tcW w:w="425" w:type="pct"/>
                  <w:vMerge w:val="continue"/>
                  <w:noWrap w:val="0"/>
                  <w:vAlign w:val="center"/>
                </w:tcPr>
                <w:p w14:paraId="1E84471A">
                  <w:pPr>
                    <w:jc w:val="center"/>
                    <w:rPr>
                      <w:rFonts w:ascii="Times New Roman" w:hAnsi="Times New Roman"/>
                      <w:b w:val="0"/>
                      <w:bCs w:val="0"/>
                      <w:color w:val="auto"/>
                      <w:kern w:val="0"/>
                      <w:szCs w:val="21"/>
                    </w:rPr>
                  </w:pPr>
                </w:p>
              </w:tc>
              <w:tc>
                <w:tcPr>
                  <w:tcW w:w="1424" w:type="pct"/>
                  <w:gridSpan w:val="2"/>
                  <w:noWrap w:val="0"/>
                  <w:vAlign w:val="center"/>
                </w:tcPr>
                <w:p w14:paraId="02E88BA1">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460" w:type="pct"/>
                  <w:noWrap w:val="0"/>
                  <w:vAlign w:val="center"/>
                </w:tcPr>
                <w:p w14:paraId="7886E077">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461" w:type="pct"/>
                  <w:noWrap w:val="0"/>
                  <w:vAlign w:val="center"/>
                </w:tcPr>
                <w:p w14:paraId="0627A6BA">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2" w:type="pct"/>
                  <w:noWrap w:val="0"/>
                  <w:vAlign w:val="center"/>
                </w:tcPr>
                <w:p w14:paraId="1BA47601">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4" w:type="pct"/>
                  <w:noWrap w:val="0"/>
                  <w:vAlign w:val="center"/>
                </w:tcPr>
                <w:p w14:paraId="1BF83832">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0" w:type="pct"/>
                  <w:vMerge w:val="continue"/>
                  <w:noWrap w:val="0"/>
                  <w:vAlign w:val="center"/>
                </w:tcPr>
                <w:p w14:paraId="642E3D35">
                  <w:pPr>
                    <w:snapToGrid w:val="0"/>
                    <w:jc w:val="center"/>
                    <w:rPr>
                      <w:rFonts w:ascii="Times New Roman" w:hAnsi="Times New Roman"/>
                      <w:b w:val="0"/>
                      <w:bCs w:val="0"/>
                      <w:color w:val="auto"/>
                      <w:szCs w:val="21"/>
                    </w:rPr>
                  </w:pPr>
                </w:p>
              </w:tc>
            </w:tr>
            <w:tr w14:paraId="0D7C99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restart"/>
                  <w:noWrap w:val="0"/>
                  <w:vAlign w:val="center"/>
                </w:tcPr>
                <w:p w14:paraId="52498303">
                  <w:pPr>
                    <w:jc w:val="center"/>
                    <w:textAlignment w:val="center"/>
                    <w:rPr>
                      <w:rFonts w:ascii="Times New Roman" w:hAnsi="Times New Roman"/>
                      <w:b w:val="0"/>
                      <w:bCs w:val="0"/>
                      <w:color w:val="auto"/>
                      <w:kern w:val="0"/>
                      <w:szCs w:val="21"/>
                    </w:rPr>
                  </w:pPr>
                  <w:r>
                    <w:rPr>
                      <w:rFonts w:ascii="Times New Roman" w:hAnsi="Times New Roman"/>
                      <w:b w:val="0"/>
                      <w:bCs w:val="0"/>
                      <w:color w:val="auto"/>
                      <w:szCs w:val="21"/>
                    </w:rPr>
                    <w:t>3月27日</w:t>
                  </w:r>
                </w:p>
              </w:tc>
              <w:tc>
                <w:tcPr>
                  <w:tcW w:w="458" w:type="pct"/>
                  <w:vMerge w:val="restart"/>
                  <w:noWrap w:val="0"/>
                  <w:vAlign w:val="center"/>
                </w:tcPr>
                <w:p w14:paraId="707CE703">
                  <w:pPr>
                    <w:jc w:val="center"/>
                    <w:textAlignment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DA003</w:t>
                  </w:r>
                </w:p>
              </w:tc>
              <w:tc>
                <w:tcPr>
                  <w:tcW w:w="425" w:type="pct"/>
                  <w:vMerge w:val="restart"/>
                  <w:noWrap w:val="0"/>
                  <w:vAlign w:val="center"/>
                </w:tcPr>
                <w:p w14:paraId="7F9B7F7D">
                  <w:pPr>
                    <w:jc w:val="center"/>
                    <w:textAlignment w:val="center"/>
                    <w:rPr>
                      <w:rFonts w:ascii="Times New Roman" w:hAnsi="Times New Roman"/>
                      <w:b w:val="0"/>
                      <w:bCs w:val="0"/>
                      <w:color w:val="auto"/>
                      <w:kern w:val="0"/>
                      <w:szCs w:val="21"/>
                    </w:rPr>
                  </w:pPr>
                  <w:r>
                    <w:rPr>
                      <w:rFonts w:ascii="Times New Roman" w:hAnsi="Times New Roman"/>
                      <w:b w:val="0"/>
                      <w:bCs w:val="0"/>
                      <w:color w:val="auto"/>
                      <w:szCs w:val="21"/>
                    </w:rPr>
                    <w:t>振动筛除尘器出口</w:t>
                  </w:r>
                </w:p>
              </w:tc>
              <w:tc>
                <w:tcPr>
                  <w:tcW w:w="1424" w:type="pct"/>
                  <w:gridSpan w:val="2"/>
                  <w:noWrap w:val="0"/>
                  <w:vAlign w:val="center"/>
                </w:tcPr>
                <w:p w14:paraId="3EED09D4">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84" w:type="pct"/>
                  <w:gridSpan w:val="3"/>
                  <w:noWrap w:val="0"/>
                  <w:vAlign w:val="center"/>
                </w:tcPr>
                <w:p w14:paraId="1474E098">
                  <w:pPr>
                    <w:snapToGrid w:val="0"/>
                    <w:jc w:val="center"/>
                    <w:rPr>
                      <w:rFonts w:ascii="Times New Roman" w:hAnsi="Times New Roman"/>
                      <w:b w:val="0"/>
                      <w:bCs w:val="0"/>
                      <w:color w:val="auto"/>
                      <w:szCs w:val="21"/>
                    </w:rPr>
                  </w:pPr>
                  <w:r>
                    <w:rPr>
                      <w:rFonts w:ascii="Times New Roman" w:hAnsi="Times New Roman"/>
                      <w:b w:val="0"/>
                      <w:bCs w:val="0"/>
                      <w:color w:val="auto"/>
                      <w:szCs w:val="21"/>
                    </w:rPr>
                    <w:t>0.866</w:t>
                  </w:r>
                </w:p>
              </w:tc>
              <w:tc>
                <w:tcPr>
                  <w:tcW w:w="464" w:type="pct"/>
                  <w:noWrap w:val="0"/>
                  <w:vAlign w:val="center"/>
                </w:tcPr>
                <w:p w14:paraId="237AF6B2">
                  <w:pPr>
                    <w:snapToGrid w:val="0"/>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0" w:type="pct"/>
                  <w:vMerge w:val="restart"/>
                  <w:noWrap w:val="0"/>
                  <w:vAlign w:val="center"/>
                </w:tcPr>
                <w:p w14:paraId="1C6D623B">
                  <w:pPr>
                    <w:jc w:val="center"/>
                    <w:rPr>
                      <w:rFonts w:ascii="Times New Roman" w:hAnsi="Times New Roman"/>
                      <w:b w:val="0"/>
                      <w:bCs w:val="0"/>
                      <w:color w:val="auto"/>
                      <w:szCs w:val="21"/>
                    </w:rPr>
                  </w:pPr>
                  <w:r>
                    <w:rPr>
                      <w:rFonts w:ascii="Times New Roman" w:hAnsi="Times New Roman"/>
                      <w:b w:val="0"/>
                      <w:bCs w:val="0"/>
                      <w:color w:val="auto"/>
                      <w:szCs w:val="21"/>
                    </w:rPr>
                    <w:t>/</w:t>
                  </w:r>
                </w:p>
              </w:tc>
            </w:tr>
            <w:tr w14:paraId="225D50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6CAD030A">
                  <w:pPr>
                    <w:widowControl/>
                    <w:jc w:val="center"/>
                    <w:textAlignment w:val="center"/>
                    <w:rPr>
                      <w:rFonts w:ascii="Times New Roman" w:hAnsi="Times New Roman"/>
                      <w:b w:val="0"/>
                      <w:bCs w:val="0"/>
                      <w:color w:val="auto"/>
                      <w:szCs w:val="21"/>
                    </w:rPr>
                  </w:pPr>
                </w:p>
              </w:tc>
              <w:tc>
                <w:tcPr>
                  <w:tcW w:w="458" w:type="pct"/>
                  <w:vMerge w:val="continue"/>
                  <w:noWrap w:val="0"/>
                  <w:vAlign w:val="center"/>
                </w:tcPr>
                <w:p w14:paraId="3F190306">
                  <w:pPr>
                    <w:widowControl/>
                    <w:jc w:val="center"/>
                    <w:textAlignment w:val="center"/>
                    <w:rPr>
                      <w:rFonts w:ascii="Times New Roman" w:hAnsi="Times New Roman"/>
                      <w:b w:val="0"/>
                      <w:bCs w:val="0"/>
                      <w:color w:val="auto"/>
                      <w:szCs w:val="21"/>
                    </w:rPr>
                  </w:pPr>
                </w:p>
              </w:tc>
              <w:tc>
                <w:tcPr>
                  <w:tcW w:w="425" w:type="pct"/>
                  <w:vMerge w:val="continue"/>
                  <w:noWrap w:val="0"/>
                  <w:vAlign w:val="center"/>
                </w:tcPr>
                <w:p w14:paraId="53B03B4E">
                  <w:pPr>
                    <w:widowControl/>
                    <w:jc w:val="center"/>
                    <w:textAlignment w:val="center"/>
                    <w:rPr>
                      <w:rFonts w:ascii="Times New Roman" w:hAnsi="Times New Roman"/>
                      <w:b w:val="0"/>
                      <w:bCs w:val="0"/>
                      <w:color w:val="auto"/>
                      <w:szCs w:val="21"/>
                    </w:rPr>
                  </w:pPr>
                </w:p>
              </w:tc>
              <w:tc>
                <w:tcPr>
                  <w:tcW w:w="1424" w:type="pct"/>
                  <w:gridSpan w:val="2"/>
                  <w:noWrap w:val="0"/>
                  <w:vAlign w:val="center"/>
                </w:tcPr>
                <w:p w14:paraId="4D16BA0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烟气温度（℃）</w:t>
                  </w:r>
                </w:p>
              </w:tc>
              <w:tc>
                <w:tcPr>
                  <w:tcW w:w="460" w:type="pct"/>
                  <w:noWrap w:val="0"/>
                  <w:vAlign w:val="center"/>
                </w:tcPr>
                <w:p w14:paraId="1D18C85F">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17.6</w:t>
                  </w:r>
                </w:p>
              </w:tc>
              <w:tc>
                <w:tcPr>
                  <w:tcW w:w="461" w:type="pct"/>
                  <w:noWrap w:val="0"/>
                  <w:vAlign w:val="center"/>
                </w:tcPr>
                <w:p w14:paraId="7210244F">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17.4</w:t>
                  </w:r>
                </w:p>
              </w:tc>
              <w:tc>
                <w:tcPr>
                  <w:tcW w:w="462" w:type="pct"/>
                  <w:noWrap w:val="0"/>
                  <w:vAlign w:val="center"/>
                </w:tcPr>
                <w:p w14:paraId="0A96B183">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18.1</w:t>
                  </w:r>
                </w:p>
              </w:tc>
              <w:tc>
                <w:tcPr>
                  <w:tcW w:w="464" w:type="pct"/>
                  <w:noWrap w:val="0"/>
                  <w:vAlign w:val="center"/>
                </w:tcPr>
                <w:p w14:paraId="40BBAE7A">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17.7 </w:t>
                  </w:r>
                </w:p>
              </w:tc>
              <w:tc>
                <w:tcPr>
                  <w:tcW w:w="420" w:type="pct"/>
                  <w:vMerge w:val="continue"/>
                  <w:noWrap w:val="0"/>
                  <w:vAlign w:val="center"/>
                </w:tcPr>
                <w:p w14:paraId="37A722C4">
                  <w:pPr>
                    <w:widowControl/>
                    <w:jc w:val="center"/>
                    <w:rPr>
                      <w:rFonts w:ascii="Times New Roman" w:hAnsi="Times New Roman"/>
                      <w:b w:val="0"/>
                      <w:bCs w:val="0"/>
                      <w:color w:val="auto"/>
                      <w:szCs w:val="21"/>
                    </w:rPr>
                  </w:pPr>
                </w:p>
              </w:tc>
            </w:tr>
            <w:tr w14:paraId="6E1EB6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1A11911C">
                  <w:pPr>
                    <w:jc w:val="center"/>
                    <w:rPr>
                      <w:rFonts w:ascii="Times New Roman" w:hAnsi="Times New Roman"/>
                      <w:b w:val="0"/>
                      <w:bCs w:val="0"/>
                      <w:color w:val="auto"/>
                      <w:szCs w:val="21"/>
                    </w:rPr>
                  </w:pPr>
                </w:p>
              </w:tc>
              <w:tc>
                <w:tcPr>
                  <w:tcW w:w="458" w:type="pct"/>
                  <w:vMerge w:val="continue"/>
                  <w:noWrap w:val="0"/>
                  <w:vAlign w:val="center"/>
                </w:tcPr>
                <w:p w14:paraId="4E17414A">
                  <w:pPr>
                    <w:jc w:val="center"/>
                    <w:rPr>
                      <w:rFonts w:ascii="Times New Roman" w:hAnsi="Times New Roman"/>
                      <w:b w:val="0"/>
                      <w:bCs w:val="0"/>
                      <w:color w:val="auto"/>
                      <w:szCs w:val="21"/>
                    </w:rPr>
                  </w:pPr>
                </w:p>
              </w:tc>
              <w:tc>
                <w:tcPr>
                  <w:tcW w:w="425" w:type="pct"/>
                  <w:vMerge w:val="continue"/>
                  <w:noWrap w:val="0"/>
                  <w:vAlign w:val="center"/>
                </w:tcPr>
                <w:p w14:paraId="1C139E2E">
                  <w:pPr>
                    <w:jc w:val="center"/>
                    <w:rPr>
                      <w:rFonts w:ascii="Times New Roman" w:hAnsi="Times New Roman"/>
                      <w:b w:val="0"/>
                      <w:bCs w:val="0"/>
                      <w:color w:val="auto"/>
                      <w:szCs w:val="21"/>
                    </w:rPr>
                  </w:pPr>
                </w:p>
              </w:tc>
              <w:tc>
                <w:tcPr>
                  <w:tcW w:w="1424" w:type="pct"/>
                  <w:gridSpan w:val="2"/>
                  <w:noWrap w:val="0"/>
                  <w:vAlign w:val="center"/>
                </w:tcPr>
                <w:p w14:paraId="329229FB">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0" w:type="pct"/>
                  <w:noWrap w:val="0"/>
                  <w:vAlign w:val="center"/>
                </w:tcPr>
                <w:p w14:paraId="0BBEFD7D">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17.0</w:t>
                  </w:r>
                </w:p>
              </w:tc>
              <w:tc>
                <w:tcPr>
                  <w:tcW w:w="461" w:type="pct"/>
                  <w:noWrap w:val="0"/>
                  <w:vAlign w:val="center"/>
                </w:tcPr>
                <w:p w14:paraId="30FED33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17.8</w:t>
                  </w:r>
                </w:p>
              </w:tc>
              <w:tc>
                <w:tcPr>
                  <w:tcW w:w="462" w:type="pct"/>
                  <w:noWrap w:val="0"/>
                  <w:vAlign w:val="center"/>
                </w:tcPr>
                <w:p w14:paraId="5156130A">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18.1</w:t>
                  </w:r>
                </w:p>
              </w:tc>
              <w:tc>
                <w:tcPr>
                  <w:tcW w:w="464" w:type="pct"/>
                  <w:noWrap w:val="0"/>
                  <w:vAlign w:val="center"/>
                </w:tcPr>
                <w:p w14:paraId="0022CA6D">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17.6 </w:t>
                  </w:r>
                </w:p>
              </w:tc>
              <w:tc>
                <w:tcPr>
                  <w:tcW w:w="420" w:type="pct"/>
                  <w:vMerge w:val="continue"/>
                  <w:noWrap w:val="0"/>
                  <w:vAlign w:val="center"/>
                </w:tcPr>
                <w:p w14:paraId="0D51019D">
                  <w:pPr>
                    <w:widowControl/>
                    <w:jc w:val="center"/>
                    <w:textAlignment w:val="center"/>
                    <w:rPr>
                      <w:rFonts w:ascii="Times New Roman" w:hAnsi="Times New Roman"/>
                      <w:b w:val="0"/>
                      <w:bCs w:val="0"/>
                      <w:color w:val="auto"/>
                      <w:szCs w:val="21"/>
                    </w:rPr>
                  </w:pPr>
                </w:p>
              </w:tc>
            </w:tr>
            <w:tr w14:paraId="1EB86D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3DDE5ADB">
                  <w:pPr>
                    <w:jc w:val="center"/>
                    <w:rPr>
                      <w:rFonts w:ascii="Times New Roman" w:hAnsi="Times New Roman"/>
                      <w:b w:val="0"/>
                      <w:bCs w:val="0"/>
                      <w:color w:val="auto"/>
                      <w:szCs w:val="21"/>
                    </w:rPr>
                  </w:pPr>
                </w:p>
              </w:tc>
              <w:tc>
                <w:tcPr>
                  <w:tcW w:w="458" w:type="pct"/>
                  <w:vMerge w:val="continue"/>
                  <w:noWrap w:val="0"/>
                  <w:vAlign w:val="center"/>
                </w:tcPr>
                <w:p w14:paraId="774F43EF">
                  <w:pPr>
                    <w:jc w:val="center"/>
                    <w:rPr>
                      <w:rFonts w:ascii="Times New Roman" w:hAnsi="Times New Roman"/>
                      <w:b w:val="0"/>
                      <w:bCs w:val="0"/>
                      <w:color w:val="auto"/>
                      <w:szCs w:val="21"/>
                    </w:rPr>
                  </w:pPr>
                </w:p>
              </w:tc>
              <w:tc>
                <w:tcPr>
                  <w:tcW w:w="425" w:type="pct"/>
                  <w:vMerge w:val="continue"/>
                  <w:noWrap w:val="0"/>
                  <w:vAlign w:val="center"/>
                </w:tcPr>
                <w:p w14:paraId="2821CC11">
                  <w:pPr>
                    <w:jc w:val="center"/>
                    <w:rPr>
                      <w:rFonts w:ascii="Times New Roman" w:hAnsi="Times New Roman"/>
                      <w:b w:val="0"/>
                      <w:bCs w:val="0"/>
                      <w:color w:val="auto"/>
                      <w:szCs w:val="21"/>
                    </w:rPr>
                  </w:pPr>
                </w:p>
              </w:tc>
              <w:tc>
                <w:tcPr>
                  <w:tcW w:w="1424" w:type="pct"/>
                  <w:gridSpan w:val="2"/>
                  <w:noWrap w:val="0"/>
                  <w:vAlign w:val="center"/>
                </w:tcPr>
                <w:p w14:paraId="2EDD0DB7">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0" w:type="pct"/>
                  <w:noWrap w:val="0"/>
                  <w:vAlign w:val="center"/>
                </w:tcPr>
                <w:p w14:paraId="7FCEFD2E">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46164</w:t>
                  </w:r>
                </w:p>
              </w:tc>
              <w:tc>
                <w:tcPr>
                  <w:tcW w:w="461" w:type="pct"/>
                  <w:noWrap w:val="0"/>
                  <w:vAlign w:val="center"/>
                </w:tcPr>
                <w:p w14:paraId="79103305">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47985</w:t>
                  </w:r>
                </w:p>
              </w:tc>
              <w:tc>
                <w:tcPr>
                  <w:tcW w:w="462" w:type="pct"/>
                  <w:noWrap w:val="0"/>
                  <w:vAlign w:val="center"/>
                </w:tcPr>
                <w:p w14:paraId="5EE19C51">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49014</w:t>
                  </w:r>
                </w:p>
              </w:tc>
              <w:tc>
                <w:tcPr>
                  <w:tcW w:w="464" w:type="pct"/>
                  <w:noWrap w:val="0"/>
                  <w:vAlign w:val="center"/>
                </w:tcPr>
                <w:p w14:paraId="243701B0">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47721 </w:t>
                  </w:r>
                </w:p>
              </w:tc>
              <w:tc>
                <w:tcPr>
                  <w:tcW w:w="420" w:type="pct"/>
                  <w:vMerge w:val="continue"/>
                  <w:noWrap w:val="0"/>
                  <w:vAlign w:val="center"/>
                </w:tcPr>
                <w:p w14:paraId="1F6C47ED">
                  <w:pPr>
                    <w:widowControl/>
                    <w:jc w:val="center"/>
                    <w:textAlignment w:val="center"/>
                    <w:rPr>
                      <w:rFonts w:ascii="Times New Roman" w:hAnsi="Times New Roman"/>
                      <w:b w:val="0"/>
                      <w:bCs w:val="0"/>
                      <w:color w:val="auto"/>
                      <w:szCs w:val="21"/>
                    </w:rPr>
                  </w:pPr>
                </w:p>
              </w:tc>
            </w:tr>
            <w:tr w14:paraId="50CC7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3F6C50FB">
                  <w:pPr>
                    <w:jc w:val="center"/>
                    <w:rPr>
                      <w:rFonts w:ascii="Times New Roman" w:hAnsi="Times New Roman"/>
                      <w:b w:val="0"/>
                      <w:bCs w:val="0"/>
                      <w:color w:val="auto"/>
                      <w:szCs w:val="21"/>
                    </w:rPr>
                  </w:pPr>
                </w:p>
              </w:tc>
              <w:tc>
                <w:tcPr>
                  <w:tcW w:w="458" w:type="pct"/>
                  <w:vMerge w:val="continue"/>
                  <w:noWrap w:val="0"/>
                  <w:vAlign w:val="center"/>
                </w:tcPr>
                <w:p w14:paraId="76A63686">
                  <w:pPr>
                    <w:jc w:val="center"/>
                    <w:rPr>
                      <w:rFonts w:ascii="Times New Roman" w:hAnsi="Times New Roman"/>
                      <w:b w:val="0"/>
                      <w:bCs w:val="0"/>
                      <w:color w:val="auto"/>
                      <w:szCs w:val="21"/>
                    </w:rPr>
                  </w:pPr>
                </w:p>
              </w:tc>
              <w:tc>
                <w:tcPr>
                  <w:tcW w:w="425" w:type="pct"/>
                  <w:vMerge w:val="continue"/>
                  <w:noWrap w:val="0"/>
                  <w:vAlign w:val="center"/>
                </w:tcPr>
                <w:p w14:paraId="73B9314B">
                  <w:pPr>
                    <w:jc w:val="center"/>
                    <w:rPr>
                      <w:rFonts w:ascii="Times New Roman" w:hAnsi="Times New Roman"/>
                      <w:b w:val="0"/>
                      <w:bCs w:val="0"/>
                      <w:color w:val="auto"/>
                      <w:szCs w:val="21"/>
                    </w:rPr>
                  </w:pPr>
                </w:p>
              </w:tc>
              <w:tc>
                <w:tcPr>
                  <w:tcW w:w="425" w:type="pct"/>
                  <w:vMerge w:val="restart"/>
                  <w:noWrap w:val="0"/>
                  <w:vAlign w:val="center"/>
                </w:tcPr>
                <w:p w14:paraId="415C4734">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999" w:type="pct"/>
                  <w:noWrap w:val="0"/>
                  <w:vAlign w:val="center"/>
                </w:tcPr>
                <w:p w14:paraId="2236C1AD">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0" w:type="pct"/>
                  <w:noWrap w:val="0"/>
                  <w:vAlign w:val="center"/>
                </w:tcPr>
                <w:p w14:paraId="5AAF8AE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13.3</w:t>
                  </w:r>
                </w:p>
              </w:tc>
              <w:tc>
                <w:tcPr>
                  <w:tcW w:w="461" w:type="pct"/>
                  <w:noWrap w:val="0"/>
                  <w:vAlign w:val="center"/>
                </w:tcPr>
                <w:p w14:paraId="74F6914A">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15.8</w:t>
                  </w:r>
                </w:p>
              </w:tc>
              <w:tc>
                <w:tcPr>
                  <w:tcW w:w="462" w:type="pct"/>
                  <w:noWrap w:val="0"/>
                  <w:vAlign w:val="center"/>
                </w:tcPr>
                <w:p w14:paraId="2CD653E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14.6</w:t>
                  </w:r>
                </w:p>
              </w:tc>
              <w:tc>
                <w:tcPr>
                  <w:tcW w:w="464" w:type="pct"/>
                  <w:noWrap w:val="0"/>
                  <w:vAlign w:val="center"/>
                </w:tcPr>
                <w:p w14:paraId="18A562C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14.6 </w:t>
                  </w:r>
                </w:p>
              </w:tc>
              <w:tc>
                <w:tcPr>
                  <w:tcW w:w="420" w:type="pct"/>
                  <w:noWrap w:val="0"/>
                  <w:vAlign w:val="center"/>
                </w:tcPr>
                <w:p w14:paraId="488F0F3F">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235898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7FDCE2B0">
                  <w:pPr>
                    <w:jc w:val="center"/>
                    <w:rPr>
                      <w:rFonts w:ascii="Times New Roman" w:hAnsi="Times New Roman"/>
                      <w:b w:val="0"/>
                      <w:bCs w:val="0"/>
                      <w:color w:val="auto"/>
                      <w:szCs w:val="21"/>
                    </w:rPr>
                  </w:pPr>
                </w:p>
              </w:tc>
              <w:tc>
                <w:tcPr>
                  <w:tcW w:w="458" w:type="pct"/>
                  <w:vMerge w:val="continue"/>
                  <w:noWrap w:val="0"/>
                  <w:vAlign w:val="center"/>
                </w:tcPr>
                <w:p w14:paraId="72C3A286">
                  <w:pPr>
                    <w:jc w:val="center"/>
                    <w:rPr>
                      <w:rFonts w:ascii="Times New Roman" w:hAnsi="Times New Roman"/>
                      <w:b w:val="0"/>
                      <w:bCs w:val="0"/>
                      <w:color w:val="auto"/>
                      <w:szCs w:val="21"/>
                    </w:rPr>
                  </w:pPr>
                </w:p>
              </w:tc>
              <w:tc>
                <w:tcPr>
                  <w:tcW w:w="425" w:type="pct"/>
                  <w:vMerge w:val="continue"/>
                  <w:noWrap w:val="0"/>
                  <w:vAlign w:val="center"/>
                </w:tcPr>
                <w:p w14:paraId="5783CBC0">
                  <w:pPr>
                    <w:jc w:val="center"/>
                    <w:rPr>
                      <w:rFonts w:ascii="Times New Roman" w:hAnsi="Times New Roman"/>
                      <w:b w:val="0"/>
                      <w:bCs w:val="0"/>
                      <w:color w:val="auto"/>
                      <w:szCs w:val="21"/>
                    </w:rPr>
                  </w:pPr>
                </w:p>
              </w:tc>
              <w:tc>
                <w:tcPr>
                  <w:tcW w:w="425" w:type="pct"/>
                  <w:vMerge w:val="continue"/>
                  <w:noWrap w:val="0"/>
                  <w:vAlign w:val="center"/>
                </w:tcPr>
                <w:p w14:paraId="5BC98F63">
                  <w:pPr>
                    <w:jc w:val="center"/>
                    <w:rPr>
                      <w:rFonts w:ascii="Times New Roman" w:hAnsi="Times New Roman"/>
                      <w:b w:val="0"/>
                      <w:bCs w:val="0"/>
                      <w:color w:val="auto"/>
                      <w:szCs w:val="21"/>
                    </w:rPr>
                  </w:pPr>
                </w:p>
              </w:tc>
              <w:tc>
                <w:tcPr>
                  <w:tcW w:w="999" w:type="pct"/>
                  <w:noWrap w:val="0"/>
                  <w:vAlign w:val="center"/>
                </w:tcPr>
                <w:p w14:paraId="2C8F3AFD">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0" w:type="pct"/>
                  <w:noWrap w:val="0"/>
                  <w:vAlign w:val="center"/>
                </w:tcPr>
                <w:p w14:paraId="2FACA355">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0.614 </w:t>
                  </w:r>
                </w:p>
              </w:tc>
              <w:tc>
                <w:tcPr>
                  <w:tcW w:w="461" w:type="pct"/>
                  <w:noWrap w:val="0"/>
                  <w:vAlign w:val="center"/>
                </w:tcPr>
                <w:p w14:paraId="7FFF860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0.758 </w:t>
                  </w:r>
                </w:p>
              </w:tc>
              <w:tc>
                <w:tcPr>
                  <w:tcW w:w="462" w:type="pct"/>
                  <w:noWrap w:val="0"/>
                  <w:vAlign w:val="center"/>
                </w:tcPr>
                <w:p w14:paraId="54093D08">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0.716 </w:t>
                  </w:r>
                </w:p>
              </w:tc>
              <w:tc>
                <w:tcPr>
                  <w:tcW w:w="464" w:type="pct"/>
                  <w:noWrap w:val="0"/>
                  <w:vAlign w:val="center"/>
                </w:tcPr>
                <w:p w14:paraId="6126567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0.696 </w:t>
                  </w:r>
                </w:p>
              </w:tc>
              <w:tc>
                <w:tcPr>
                  <w:tcW w:w="420" w:type="pct"/>
                  <w:noWrap w:val="0"/>
                  <w:vAlign w:val="center"/>
                </w:tcPr>
                <w:p w14:paraId="562287AB">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031768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restart"/>
                  <w:noWrap w:val="0"/>
                  <w:vAlign w:val="center"/>
                </w:tcPr>
                <w:p w14:paraId="7C20A727">
                  <w:pPr>
                    <w:jc w:val="center"/>
                    <w:rPr>
                      <w:rFonts w:ascii="Times New Roman" w:hAnsi="Times New Roman"/>
                      <w:b w:val="0"/>
                      <w:bCs w:val="0"/>
                      <w:color w:val="auto"/>
                      <w:szCs w:val="21"/>
                    </w:rPr>
                  </w:pPr>
                  <w:r>
                    <w:rPr>
                      <w:rFonts w:ascii="Times New Roman" w:hAnsi="Times New Roman"/>
                      <w:b w:val="0"/>
                      <w:bCs w:val="0"/>
                      <w:color w:val="auto"/>
                      <w:szCs w:val="21"/>
                    </w:rPr>
                    <w:t>3月28日</w:t>
                  </w:r>
                </w:p>
              </w:tc>
              <w:tc>
                <w:tcPr>
                  <w:tcW w:w="458" w:type="pct"/>
                  <w:vMerge w:val="restart"/>
                  <w:noWrap w:val="0"/>
                  <w:vAlign w:val="center"/>
                </w:tcPr>
                <w:p w14:paraId="3BC98E23">
                  <w:pPr>
                    <w:jc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DA003</w:t>
                  </w:r>
                </w:p>
              </w:tc>
              <w:tc>
                <w:tcPr>
                  <w:tcW w:w="425" w:type="pct"/>
                  <w:vMerge w:val="restart"/>
                  <w:noWrap w:val="0"/>
                  <w:vAlign w:val="center"/>
                </w:tcPr>
                <w:p w14:paraId="39C18BB3">
                  <w:pPr>
                    <w:jc w:val="center"/>
                    <w:rPr>
                      <w:rFonts w:ascii="Times New Roman" w:hAnsi="Times New Roman"/>
                      <w:b w:val="0"/>
                      <w:bCs w:val="0"/>
                      <w:color w:val="auto"/>
                      <w:szCs w:val="21"/>
                    </w:rPr>
                  </w:pPr>
                  <w:r>
                    <w:rPr>
                      <w:rFonts w:ascii="Times New Roman" w:hAnsi="Times New Roman"/>
                      <w:b w:val="0"/>
                      <w:bCs w:val="0"/>
                      <w:color w:val="auto"/>
                      <w:szCs w:val="21"/>
                    </w:rPr>
                    <w:t>振动筛除尘器出口</w:t>
                  </w:r>
                </w:p>
              </w:tc>
              <w:tc>
                <w:tcPr>
                  <w:tcW w:w="1424" w:type="pct"/>
                  <w:gridSpan w:val="2"/>
                  <w:noWrap w:val="0"/>
                  <w:vAlign w:val="center"/>
                </w:tcPr>
                <w:p w14:paraId="2BB2A693">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84" w:type="pct"/>
                  <w:gridSpan w:val="3"/>
                  <w:noWrap w:val="0"/>
                  <w:vAlign w:val="center"/>
                </w:tcPr>
                <w:p w14:paraId="45726E1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0.866</w:t>
                  </w:r>
                </w:p>
              </w:tc>
              <w:tc>
                <w:tcPr>
                  <w:tcW w:w="464" w:type="pct"/>
                  <w:noWrap w:val="0"/>
                  <w:vAlign w:val="center"/>
                </w:tcPr>
                <w:p w14:paraId="50323B4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20" w:type="pct"/>
                  <w:vMerge w:val="restart"/>
                  <w:noWrap w:val="0"/>
                  <w:vAlign w:val="center"/>
                </w:tcPr>
                <w:p w14:paraId="4F76AC42">
                  <w:pPr>
                    <w:widowControl/>
                    <w:jc w:val="center"/>
                    <w:textAlignment w:val="center"/>
                    <w:rPr>
                      <w:rFonts w:ascii="Times New Roman" w:hAnsi="Times New Roman"/>
                      <w:b w:val="0"/>
                      <w:bCs w:val="0"/>
                      <w:color w:val="auto"/>
                      <w:szCs w:val="21"/>
                    </w:rPr>
                  </w:pPr>
                  <w:r>
                    <w:rPr>
                      <w:rFonts w:hint="eastAsia" w:ascii="Times New Roman" w:hAnsi="Times New Roman"/>
                      <w:b w:val="0"/>
                      <w:bCs w:val="0"/>
                      <w:color w:val="auto"/>
                      <w:szCs w:val="21"/>
                    </w:rPr>
                    <w:t>/</w:t>
                  </w:r>
                </w:p>
              </w:tc>
            </w:tr>
            <w:tr w14:paraId="2B8FE5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3DEA6B66">
                  <w:pPr>
                    <w:jc w:val="center"/>
                    <w:rPr>
                      <w:rFonts w:ascii="Times New Roman" w:hAnsi="Times New Roman"/>
                      <w:b w:val="0"/>
                      <w:bCs w:val="0"/>
                      <w:color w:val="auto"/>
                      <w:szCs w:val="21"/>
                    </w:rPr>
                  </w:pPr>
                </w:p>
              </w:tc>
              <w:tc>
                <w:tcPr>
                  <w:tcW w:w="458" w:type="pct"/>
                  <w:vMerge w:val="continue"/>
                  <w:noWrap w:val="0"/>
                  <w:vAlign w:val="center"/>
                </w:tcPr>
                <w:p w14:paraId="36007317">
                  <w:pPr>
                    <w:jc w:val="center"/>
                    <w:rPr>
                      <w:rFonts w:ascii="Times New Roman" w:hAnsi="Times New Roman"/>
                      <w:b w:val="0"/>
                      <w:bCs w:val="0"/>
                      <w:color w:val="auto"/>
                      <w:szCs w:val="21"/>
                    </w:rPr>
                  </w:pPr>
                </w:p>
              </w:tc>
              <w:tc>
                <w:tcPr>
                  <w:tcW w:w="425" w:type="pct"/>
                  <w:vMerge w:val="continue"/>
                  <w:noWrap w:val="0"/>
                  <w:vAlign w:val="center"/>
                </w:tcPr>
                <w:p w14:paraId="7C590462">
                  <w:pPr>
                    <w:jc w:val="center"/>
                    <w:rPr>
                      <w:rFonts w:ascii="Times New Roman" w:hAnsi="Times New Roman"/>
                      <w:b w:val="0"/>
                      <w:bCs w:val="0"/>
                      <w:color w:val="auto"/>
                      <w:szCs w:val="21"/>
                    </w:rPr>
                  </w:pPr>
                </w:p>
              </w:tc>
              <w:tc>
                <w:tcPr>
                  <w:tcW w:w="1424" w:type="pct"/>
                  <w:gridSpan w:val="2"/>
                  <w:noWrap w:val="0"/>
                  <w:vAlign w:val="center"/>
                </w:tcPr>
                <w:p w14:paraId="30C10AFA">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0" w:type="pct"/>
                  <w:noWrap w:val="0"/>
                  <w:vAlign w:val="center"/>
                </w:tcPr>
                <w:p w14:paraId="48C2D23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16.6</w:t>
                  </w:r>
                </w:p>
              </w:tc>
              <w:tc>
                <w:tcPr>
                  <w:tcW w:w="461" w:type="pct"/>
                  <w:noWrap w:val="0"/>
                  <w:vAlign w:val="center"/>
                </w:tcPr>
                <w:p w14:paraId="2A7B41BB">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462" w:type="pct"/>
                  <w:noWrap w:val="0"/>
                  <w:vAlign w:val="center"/>
                </w:tcPr>
                <w:p w14:paraId="741BCD5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17.3</w:t>
                  </w:r>
                </w:p>
              </w:tc>
              <w:tc>
                <w:tcPr>
                  <w:tcW w:w="464" w:type="pct"/>
                  <w:noWrap w:val="0"/>
                  <w:vAlign w:val="center"/>
                </w:tcPr>
                <w:p w14:paraId="7A9F167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16.9 </w:t>
                  </w:r>
                </w:p>
              </w:tc>
              <w:tc>
                <w:tcPr>
                  <w:tcW w:w="420" w:type="pct"/>
                  <w:vMerge w:val="continue"/>
                  <w:noWrap w:val="0"/>
                  <w:vAlign w:val="center"/>
                </w:tcPr>
                <w:p w14:paraId="15D5E85E">
                  <w:pPr>
                    <w:widowControl/>
                    <w:jc w:val="center"/>
                    <w:textAlignment w:val="center"/>
                    <w:rPr>
                      <w:rFonts w:ascii="Times New Roman" w:hAnsi="Times New Roman"/>
                      <w:b w:val="0"/>
                      <w:bCs w:val="0"/>
                      <w:color w:val="auto"/>
                      <w:szCs w:val="21"/>
                    </w:rPr>
                  </w:pPr>
                </w:p>
              </w:tc>
            </w:tr>
            <w:tr w14:paraId="5F6DE1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24FB4221">
                  <w:pPr>
                    <w:jc w:val="center"/>
                    <w:rPr>
                      <w:rFonts w:ascii="Times New Roman" w:hAnsi="Times New Roman"/>
                      <w:b w:val="0"/>
                      <w:bCs w:val="0"/>
                      <w:color w:val="auto"/>
                      <w:szCs w:val="21"/>
                    </w:rPr>
                  </w:pPr>
                </w:p>
              </w:tc>
              <w:tc>
                <w:tcPr>
                  <w:tcW w:w="458" w:type="pct"/>
                  <w:vMerge w:val="continue"/>
                  <w:noWrap w:val="0"/>
                  <w:vAlign w:val="center"/>
                </w:tcPr>
                <w:p w14:paraId="4481640B">
                  <w:pPr>
                    <w:jc w:val="center"/>
                    <w:rPr>
                      <w:rFonts w:ascii="Times New Roman" w:hAnsi="Times New Roman"/>
                      <w:b w:val="0"/>
                      <w:bCs w:val="0"/>
                      <w:color w:val="auto"/>
                      <w:szCs w:val="21"/>
                    </w:rPr>
                  </w:pPr>
                </w:p>
              </w:tc>
              <w:tc>
                <w:tcPr>
                  <w:tcW w:w="425" w:type="pct"/>
                  <w:vMerge w:val="continue"/>
                  <w:noWrap w:val="0"/>
                  <w:vAlign w:val="center"/>
                </w:tcPr>
                <w:p w14:paraId="7EB8D777">
                  <w:pPr>
                    <w:jc w:val="center"/>
                    <w:rPr>
                      <w:rFonts w:ascii="Times New Roman" w:hAnsi="Times New Roman"/>
                      <w:b w:val="0"/>
                      <w:bCs w:val="0"/>
                      <w:color w:val="auto"/>
                      <w:szCs w:val="21"/>
                    </w:rPr>
                  </w:pPr>
                </w:p>
              </w:tc>
              <w:tc>
                <w:tcPr>
                  <w:tcW w:w="1424" w:type="pct"/>
                  <w:gridSpan w:val="2"/>
                  <w:noWrap w:val="0"/>
                  <w:vAlign w:val="center"/>
                </w:tcPr>
                <w:p w14:paraId="5D196333">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0" w:type="pct"/>
                  <w:noWrap w:val="0"/>
                  <w:vAlign w:val="center"/>
                </w:tcPr>
                <w:p w14:paraId="7FB3A02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17.4</w:t>
                  </w:r>
                </w:p>
              </w:tc>
              <w:tc>
                <w:tcPr>
                  <w:tcW w:w="461" w:type="pct"/>
                  <w:noWrap w:val="0"/>
                  <w:vAlign w:val="center"/>
                </w:tcPr>
                <w:p w14:paraId="207EA0F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17.2</w:t>
                  </w:r>
                </w:p>
              </w:tc>
              <w:tc>
                <w:tcPr>
                  <w:tcW w:w="462" w:type="pct"/>
                  <w:noWrap w:val="0"/>
                  <w:vAlign w:val="center"/>
                </w:tcPr>
                <w:p w14:paraId="3A3131F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17.9</w:t>
                  </w:r>
                </w:p>
              </w:tc>
              <w:tc>
                <w:tcPr>
                  <w:tcW w:w="464" w:type="pct"/>
                  <w:noWrap w:val="0"/>
                  <w:vAlign w:val="center"/>
                </w:tcPr>
                <w:p w14:paraId="24C682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17.5 </w:t>
                  </w:r>
                </w:p>
              </w:tc>
              <w:tc>
                <w:tcPr>
                  <w:tcW w:w="420" w:type="pct"/>
                  <w:vMerge w:val="continue"/>
                  <w:noWrap w:val="0"/>
                  <w:vAlign w:val="center"/>
                </w:tcPr>
                <w:p w14:paraId="46FBA16F">
                  <w:pPr>
                    <w:widowControl/>
                    <w:jc w:val="center"/>
                    <w:textAlignment w:val="center"/>
                    <w:rPr>
                      <w:rFonts w:ascii="Times New Roman" w:hAnsi="Times New Roman"/>
                      <w:b w:val="0"/>
                      <w:bCs w:val="0"/>
                      <w:color w:val="auto"/>
                      <w:szCs w:val="21"/>
                    </w:rPr>
                  </w:pPr>
                </w:p>
              </w:tc>
            </w:tr>
            <w:tr w14:paraId="4F4A8F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5C57C1BA">
                  <w:pPr>
                    <w:jc w:val="center"/>
                    <w:rPr>
                      <w:rFonts w:ascii="Times New Roman" w:hAnsi="Times New Roman"/>
                      <w:b w:val="0"/>
                      <w:bCs w:val="0"/>
                      <w:color w:val="auto"/>
                      <w:szCs w:val="21"/>
                    </w:rPr>
                  </w:pPr>
                </w:p>
              </w:tc>
              <w:tc>
                <w:tcPr>
                  <w:tcW w:w="458" w:type="pct"/>
                  <w:vMerge w:val="continue"/>
                  <w:noWrap w:val="0"/>
                  <w:vAlign w:val="center"/>
                </w:tcPr>
                <w:p w14:paraId="5CD1CD37">
                  <w:pPr>
                    <w:jc w:val="center"/>
                    <w:rPr>
                      <w:rFonts w:ascii="Times New Roman" w:hAnsi="Times New Roman"/>
                      <w:b w:val="0"/>
                      <w:bCs w:val="0"/>
                      <w:color w:val="auto"/>
                      <w:szCs w:val="21"/>
                    </w:rPr>
                  </w:pPr>
                </w:p>
              </w:tc>
              <w:tc>
                <w:tcPr>
                  <w:tcW w:w="425" w:type="pct"/>
                  <w:vMerge w:val="continue"/>
                  <w:noWrap w:val="0"/>
                  <w:vAlign w:val="center"/>
                </w:tcPr>
                <w:p w14:paraId="6D30CAF6">
                  <w:pPr>
                    <w:jc w:val="center"/>
                    <w:rPr>
                      <w:rFonts w:ascii="Times New Roman" w:hAnsi="Times New Roman"/>
                      <w:b w:val="0"/>
                      <w:bCs w:val="0"/>
                      <w:color w:val="auto"/>
                      <w:szCs w:val="21"/>
                    </w:rPr>
                  </w:pPr>
                </w:p>
              </w:tc>
              <w:tc>
                <w:tcPr>
                  <w:tcW w:w="1424" w:type="pct"/>
                  <w:gridSpan w:val="2"/>
                  <w:noWrap w:val="0"/>
                  <w:vAlign w:val="center"/>
                </w:tcPr>
                <w:p w14:paraId="645FEB89">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0" w:type="pct"/>
                  <w:noWrap w:val="0"/>
                  <w:vAlign w:val="center"/>
                </w:tcPr>
                <w:p w14:paraId="7EE6F82F">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47728</w:t>
                  </w:r>
                </w:p>
              </w:tc>
              <w:tc>
                <w:tcPr>
                  <w:tcW w:w="461" w:type="pct"/>
                  <w:noWrap w:val="0"/>
                  <w:vAlign w:val="center"/>
                </w:tcPr>
                <w:p w14:paraId="5320E71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46954</w:t>
                  </w:r>
                </w:p>
              </w:tc>
              <w:tc>
                <w:tcPr>
                  <w:tcW w:w="462" w:type="pct"/>
                  <w:noWrap w:val="0"/>
                  <w:vAlign w:val="center"/>
                </w:tcPr>
                <w:p w14:paraId="102BBFB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48752</w:t>
                  </w:r>
                </w:p>
              </w:tc>
              <w:tc>
                <w:tcPr>
                  <w:tcW w:w="464" w:type="pct"/>
                  <w:noWrap w:val="0"/>
                  <w:vAlign w:val="center"/>
                </w:tcPr>
                <w:p w14:paraId="1453805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47811 </w:t>
                  </w:r>
                </w:p>
              </w:tc>
              <w:tc>
                <w:tcPr>
                  <w:tcW w:w="420" w:type="pct"/>
                  <w:vMerge w:val="continue"/>
                  <w:noWrap w:val="0"/>
                  <w:vAlign w:val="center"/>
                </w:tcPr>
                <w:p w14:paraId="356FDC26">
                  <w:pPr>
                    <w:widowControl/>
                    <w:jc w:val="center"/>
                    <w:textAlignment w:val="center"/>
                    <w:rPr>
                      <w:rFonts w:ascii="Times New Roman" w:hAnsi="Times New Roman"/>
                      <w:b w:val="0"/>
                      <w:bCs w:val="0"/>
                      <w:color w:val="auto"/>
                      <w:szCs w:val="21"/>
                    </w:rPr>
                  </w:pPr>
                </w:p>
              </w:tc>
            </w:tr>
            <w:tr w14:paraId="5AA69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53CF8771">
                  <w:pPr>
                    <w:jc w:val="center"/>
                    <w:rPr>
                      <w:rFonts w:ascii="Times New Roman" w:hAnsi="Times New Roman"/>
                      <w:b w:val="0"/>
                      <w:bCs w:val="0"/>
                      <w:color w:val="auto"/>
                      <w:szCs w:val="21"/>
                    </w:rPr>
                  </w:pPr>
                </w:p>
              </w:tc>
              <w:tc>
                <w:tcPr>
                  <w:tcW w:w="458" w:type="pct"/>
                  <w:vMerge w:val="continue"/>
                  <w:noWrap w:val="0"/>
                  <w:vAlign w:val="center"/>
                </w:tcPr>
                <w:p w14:paraId="3E4CF8B6">
                  <w:pPr>
                    <w:jc w:val="center"/>
                    <w:rPr>
                      <w:rFonts w:ascii="Times New Roman" w:hAnsi="Times New Roman"/>
                      <w:b w:val="0"/>
                      <w:bCs w:val="0"/>
                      <w:color w:val="auto"/>
                      <w:szCs w:val="21"/>
                    </w:rPr>
                  </w:pPr>
                </w:p>
              </w:tc>
              <w:tc>
                <w:tcPr>
                  <w:tcW w:w="425" w:type="pct"/>
                  <w:vMerge w:val="continue"/>
                  <w:noWrap w:val="0"/>
                  <w:vAlign w:val="center"/>
                </w:tcPr>
                <w:p w14:paraId="5415CDDA">
                  <w:pPr>
                    <w:jc w:val="center"/>
                    <w:rPr>
                      <w:rFonts w:ascii="Times New Roman" w:hAnsi="Times New Roman"/>
                      <w:b w:val="0"/>
                      <w:bCs w:val="0"/>
                      <w:color w:val="auto"/>
                      <w:szCs w:val="21"/>
                    </w:rPr>
                  </w:pPr>
                </w:p>
              </w:tc>
              <w:tc>
                <w:tcPr>
                  <w:tcW w:w="425" w:type="pct"/>
                  <w:vMerge w:val="restart"/>
                  <w:noWrap w:val="0"/>
                  <w:vAlign w:val="center"/>
                </w:tcPr>
                <w:p w14:paraId="026B77DE">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999" w:type="pct"/>
                  <w:noWrap w:val="0"/>
                  <w:vAlign w:val="center"/>
                </w:tcPr>
                <w:p w14:paraId="55145AC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0" w:type="pct"/>
                  <w:noWrap w:val="0"/>
                  <w:vAlign w:val="center"/>
                </w:tcPr>
                <w:p w14:paraId="01264CF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16.7</w:t>
                  </w:r>
                </w:p>
              </w:tc>
              <w:tc>
                <w:tcPr>
                  <w:tcW w:w="461" w:type="pct"/>
                  <w:noWrap w:val="0"/>
                  <w:vAlign w:val="center"/>
                </w:tcPr>
                <w:p w14:paraId="7E91EA4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12.9</w:t>
                  </w:r>
                </w:p>
              </w:tc>
              <w:tc>
                <w:tcPr>
                  <w:tcW w:w="462" w:type="pct"/>
                  <w:noWrap w:val="0"/>
                  <w:vAlign w:val="center"/>
                </w:tcPr>
                <w:p w14:paraId="6117E18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15.4</w:t>
                  </w:r>
                </w:p>
              </w:tc>
              <w:tc>
                <w:tcPr>
                  <w:tcW w:w="464" w:type="pct"/>
                  <w:noWrap w:val="0"/>
                  <w:vAlign w:val="center"/>
                </w:tcPr>
                <w:p w14:paraId="0D6C142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15.0 </w:t>
                  </w:r>
                </w:p>
              </w:tc>
              <w:tc>
                <w:tcPr>
                  <w:tcW w:w="420" w:type="pct"/>
                  <w:noWrap w:val="0"/>
                  <w:vAlign w:val="center"/>
                </w:tcPr>
                <w:p w14:paraId="2AE6939B">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4E9F5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vMerge w:val="continue"/>
                  <w:noWrap w:val="0"/>
                  <w:vAlign w:val="center"/>
                </w:tcPr>
                <w:p w14:paraId="7E5D07C5">
                  <w:pPr>
                    <w:jc w:val="center"/>
                    <w:rPr>
                      <w:rFonts w:ascii="Times New Roman" w:hAnsi="Times New Roman"/>
                      <w:b w:val="0"/>
                      <w:bCs w:val="0"/>
                      <w:color w:val="auto"/>
                      <w:szCs w:val="21"/>
                    </w:rPr>
                  </w:pPr>
                </w:p>
              </w:tc>
              <w:tc>
                <w:tcPr>
                  <w:tcW w:w="458" w:type="pct"/>
                  <w:vMerge w:val="continue"/>
                  <w:noWrap w:val="0"/>
                  <w:vAlign w:val="center"/>
                </w:tcPr>
                <w:p w14:paraId="2BB199A6">
                  <w:pPr>
                    <w:jc w:val="center"/>
                    <w:rPr>
                      <w:rFonts w:ascii="Times New Roman" w:hAnsi="Times New Roman"/>
                      <w:b w:val="0"/>
                      <w:bCs w:val="0"/>
                      <w:color w:val="auto"/>
                      <w:szCs w:val="21"/>
                    </w:rPr>
                  </w:pPr>
                </w:p>
              </w:tc>
              <w:tc>
                <w:tcPr>
                  <w:tcW w:w="425" w:type="pct"/>
                  <w:vMerge w:val="continue"/>
                  <w:noWrap w:val="0"/>
                  <w:vAlign w:val="center"/>
                </w:tcPr>
                <w:p w14:paraId="23CFA987">
                  <w:pPr>
                    <w:jc w:val="center"/>
                    <w:rPr>
                      <w:rFonts w:ascii="Times New Roman" w:hAnsi="Times New Roman"/>
                      <w:b w:val="0"/>
                      <w:bCs w:val="0"/>
                      <w:color w:val="auto"/>
                      <w:szCs w:val="21"/>
                    </w:rPr>
                  </w:pPr>
                </w:p>
              </w:tc>
              <w:tc>
                <w:tcPr>
                  <w:tcW w:w="425" w:type="pct"/>
                  <w:vMerge w:val="continue"/>
                  <w:noWrap w:val="0"/>
                  <w:vAlign w:val="center"/>
                </w:tcPr>
                <w:p w14:paraId="4B1089D3">
                  <w:pPr>
                    <w:jc w:val="center"/>
                    <w:rPr>
                      <w:rFonts w:ascii="Times New Roman" w:hAnsi="Times New Roman"/>
                      <w:b w:val="0"/>
                      <w:bCs w:val="0"/>
                      <w:color w:val="auto"/>
                      <w:szCs w:val="21"/>
                    </w:rPr>
                  </w:pPr>
                </w:p>
              </w:tc>
              <w:tc>
                <w:tcPr>
                  <w:tcW w:w="999" w:type="pct"/>
                  <w:noWrap w:val="0"/>
                  <w:vAlign w:val="center"/>
                </w:tcPr>
                <w:p w14:paraId="209496F1">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0" w:type="pct"/>
                  <w:noWrap w:val="0"/>
                  <w:vAlign w:val="center"/>
                </w:tcPr>
                <w:p w14:paraId="66111957">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0.797 </w:t>
                  </w:r>
                </w:p>
              </w:tc>
              <w:tc>
                <w:tcPr>
                  <w:tcW w:w="461" w:type="pct"/>
                  <w:noWrap w:val="0"/>
                  <w:vAlign w:val="center"/>
                </w:tcPr>
                <w:p w14:paraId="0350F5E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0.606 </w:t>
                  </w:r>
                </w:p>
              </w:tc>
              <w:tc>
                <w:tcPr>
                  <w:tcW w:w="462" w:type="pct"/>
                  <w:noWrap w:val="0"/>
                  <w:vAlign w:val="center"/>
                </w:tcPr>
                <w:p w14:paraId="7BC1138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0.751 </w:t>
                  </w:r>
                </w:p>
              </w:tc>
              <w:tc>
                <w:tcPr>
                  <w:tcW w:w="464" w:type="pct"/>
                  <w:noWrap w:val="0"/>
                  <w:vAlign w:val="center"/>
                </w:tcPr>
                <w:p w14:paraId="75331288">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0.718 </w:t>
                  </w:r>
                </w:p>
              </w:tc>
              <w:tc>
                <w:tcPr>
                  <w:tcW w:w="420" w:type="pct"/>
                  <w:noWrap w:val="0"/>
                  <w:vAlign w:val="center"/>
                </w:tcPr>
                <w:p w14:paraId="6E2EDAAE">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bl>
          <w:p w14:paraId="2420367E">
            <w:pPr>
              <w:spacing w:before="120" w:beforeLines="50"/>
              <w:jc w:val="center"/>
              <w:rPr>
                <w:rFonts w:ascii="Times New Roman" w:hAnsi="Times New Roman"/>
                <w:b/>
                <w:color w:val="auto"/>
                <w:sz w:val="24"/>
                <w:szCs w:val="24"/>
              </w:rPr>
            </w:pPr>
            <w:r>
              <w:rPr>
                <w:rFonts w:ascii="Times New Roman" w:hAnsi="Times New Roman"/>
                <w:b/>
                <w:color w:val="auto"/>
                <w:sz w:val="24"/>
                <w:szCs w:val="24"/>
              </w:rPr>
              <w:t>表</w:t>
            </w:r>
            <w:r>
              <w:rPr>
                <w:rFonts w:hint="eastAsia" w:ascii="Times New Roman" w:hAnsi="Times New Roman"/>
                <w:b/>
                <w:color w:val="auto"/>
                <w:sz w:val="24"/>
                <w:szCs w:val="24"/>
                <w:lang w:val="en-US" w:eastAsia="zh-CN"/>
              </w:rPr>
              <w:t>2-1</w:t>
            </w:r>
            <w:r>
              <w:rPr>
                <w:rFonts w:hint="eastAsia"/>
                <w:b/>
                <w:color w:val="auto"/>
                <w:sz w:val="24"/>
                <w:szCs w:val="24"/>
                <w:lang w:val="en-US" w:eastAsia="zh-CN"/>
              </w:rPr>
              <w:t>1</w:t>
            </w:r>
            <w:r>
              <w:rPr>
                <w:rFonts w:ascii="Times New Roman" w:hAnsi="Times New Roman"/>
                <w:b/>
                <w:color w:val="auto"/>
                <w:sz w:val="24"/>
                <w:szCs w:val="24"/>
              </w:rPr>
              <w:t xml:space="preserve">  </w:t>
            </w:r>
            <w:r>
              <w:rPr>
                <w:rFonts w:hint="eastAsia"/>
                <w:b/>
                <w:color w:val="auto"/>
                <w:sz w:val="24"/>
                <w:szCs w:val="24"/>
                <w:lang w:val="en-US" w:eastAsia="zh-CN"/>
              </w:rPr>
              <w:t>二级振动筛和</w:t>
            </w:r>
            <w:r>
              <w:rPr>
                <w:rFonts w:hint="eastAsia" w:ascii="Times New Roman" w:hAnsi="Times New Roman"/>
                <w:b/>
                <w:color w:val="auto"/>
                <w:sz w:val="24"/>
                <w:szCs w:val="24"/>
              </w:rPr>
              <w:t>分选工序</w:t>
            </w:r>
            <w:r>
              <w:rPr>
                <w:rFonts w:ascii="Times New Roman" w:hAnsi="Times New Roman"/>
                <w:b/>
                <w:color w:val="auto"/>
                <w:sz w:val="24"/>
                <w:szCs w:val="24"/>
              </w:rPr>
              <w:t>废气监测结果</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835"/>
              <w:gridCol w:w="726"/>
              <w:gridCol w:w="726"/>
              <w:gridCol w:w="1716"/>
              <w:gridCol w:w="788"/>
              <w:gridCol w:w="789"/>
              <w:gridCol w:w="789"/>
              <w:gridCol w:w="793"/>
              <w:gridCol w:w="718"/>
            </w:tblGrid>
            <w:tr w14:paraId="431505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restart"/>
                  <w:noWrap w:val="0"/>
                  <w:vAlign w:val="center"/>
                </w:tcPr>
                <w:p w14:paraId="3947EF94">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监测日期</w:t>
                  </w:r>
                </w:p>
              </w:tc>
              <w:tc>
                <w:tcPr>
                  <w:tcW w:w="428" w:type="pct"/>
                  <w:vMerge w:val="restart"/>
                  <w:noWrap w:val="0"/>
                  <w:vAlign w:val="center"/>
                </w:tcPr>
                <w:p w14:paraId="622A16AA">
                  <w:pPr>
                    <w:jc w:val="center"/>
                    <w:rPr>
                      <w:rFonts w:hint="eastAsia" w:ascii="Times New Roman" w:hAnsi="Times New Roman" w:eastAsia="宋体"/>
                      <w:b w:val="0"/>
                      <w:bCs w:val="0"/>
                      <w:color w:val="auto"/>
                      <w:kern w:val="0"/>
                      <w:szCs w:val="21"/>
                      <w:lang w:val="en-US" w:eastAsia="zh-CN"/>
                    </w:rPr>
                  </w:pPr>
                  <w:r>
                    <w:rPr>
                      <w:rFonts w:hint="eastAsia"/>
                      <w:b w:val="0"/>
                      <w:bCs w:val="0"/>
                      <w:color w:val="auto"/>
                      <w:kern w:val="0"/>
                      <w:szCs w:val="21"/>
                      <w:lang w:val="en-US" w:eastAsia="zh-CN"/>
                    </w:rPr>
                    <w:t>排气筒</w:t>
                  </w:r>
                </w:p>
              </w:tc>
              <w:tc>
                <w:tcPr>
                  <w:tcW w:w="428" w:type="pct"/>
                  <w:vMerge w:val="restart"/>
                  <w:noWrap w:val="0"/>
                  <w:vAlign w:val="center"/>
                </w:tcPr>
                <w:p w14:paraId="292A898F">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监测点位</w:t>
                  </w:r>
                </w:p>
              </w:tc>
              <w:tc>
                <w:tcPr>
                  <w:tcW w:w="1431" w:type="pct"/>
                  <w:gridSpan w:val="2"/>
                  <w:noWrap w:val="0"/>
                  <w:vAlign w:val="center"/>
                </w:tcPr>
                <w:p w14:paraId="2EC14FD6">
                  <w:pPr>
                    <w:jc w:val="center"/>
                    <w:rPr>
                      <w:rFonts w:ascii="Times New Roman" w:hAnsi="Times New Roman"/>
                      <w:b w:val="0"/>
                      <w:bCs w:val="0"/>
                      <w:color w:val="auto"/>
                      <w:kern w:val="0"/>
                      <w:szCs w:val="21"/>
                    </w:rPr>
                  </w:pPr>
                  <w:r>
                    <w:rPr>
                      <w:rFonts w:ascii="Times New Roman" w:hAnsi="Times New Roman"/>
                      <w:b w:val="0"/>
                      <w:bCs w:val="0"/>
                      <w:color w:val="auto"/>
                      <w:kern w:val="0"/>
                      <w:szCs w:val="21"/>
                    </w:rPr>
                    <w:t>监测项目</w:t>
                  </w:r>
                </w:p>
              </w:tc>
              <w:tc>
                <w:tcPr>
                  <w:tcW w:w="1861" w:type="pct"/>
                  <w:gridSpan w:val="4"/>
                  <w:noWrap w:val="0"/>
                  <w:vAlign w:val="center"/>
                </w:tcPr>
                <w:p w14:paraId="031F4459">
                  <w:pPr>
                    <w:snapToGrid w:val="0"/>
                    <w:jc w:val="center"/>
                    <w:rPr>
                      <w:rFonts w:ascii="Times New Roman" w:hAnsi="Times New Roman"/>
                      <w:b w:val="0"/>
                      <w:bCs w:val="0"/>
                      <w:color w:val="auto"/>
                      <w:szCs w:val="21"/>
                    </w:rPr>
                  </w:pPr>
                  <w:r>
                    <w:rPr>
                      <w:rFonts w:ascii="Times New Roman" w:hAnsi="Times New Roman"/>
                      <w:b w:val="0"/>
                      <w:bCs w:val="0"/>
                      <w:color w:val="auto"/>
                      <w:szCs w:val="21"/>
                    </w:rPr>
                    <w:t>监测结果</w:t>
                  </w:r>
                </w:p>
              </w:tc>
              <w:tc>
                <w:tcPr>
                  <w:tcW w:w="423" w:type="pct"/>
                  <w:vMerge w:val="restart"/>
                  <w:noWrap w:val="0"/>
                  <w:vAlign w:val="center"/>
                </w:tcPr>
                <w:p w14:paraId="1ACD2B22">
                  <w:pPr>
                    <w:snapToGrid w:val="0"/>
                    <w:jc w:val="center"/>
                    <w:rPr>
                      <w:rFonts w:ascii="Times New Roman" w:hAnsi="Times New Roman"/>
                      <w:b w:val="0"/>
                      <w:bCs w:val="0"/>
                      <w:color w:val="auto"/>
                      <w:szCs w:val="21"/>
                    </w:rPr>
                  </w:pPr>
                  <w:r>
                    <w:rPr>
                      <w:rFonts w:ascii="Times New Roman" w:hAnsi="Times New Roman"/>
                      <w:b w:val="0"/>
                      <w:bCs w:val="0"/>
                      <w:color w:val="auto"/>
                      <w:szCs w:val="21"/>
                    </w:rPr>
                    <w:t>标准限值</w:t>
                  </w:r>
                </w:p>
              </w:tc>
            </w:tr>
            <w:tr w14:paraId="1A4A3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7A1886A5">
                  <w:pPr>
                    <w:jc w:val="center"/>
                    <w:rPr>
                      <w:rFonts w:ascii="Times New Roman" w:hAnsi="Times New Roman"/>
                      <w:b w:val="0"/>
                      <w:bCs w:val="0"/>
                      <w:color w:val="auto"/>
                      <w:kern w:val="0"/>
                      <w:szCs w:val="21"/>
                    </w:rPr>
                  </w:pPr>
                </w:p>
              </w:tc>
              <w:tc>
                <w:tcPr>
                  <w:tcW w:w="428" w:type="pct"/>
                  <w:vMerge w:val="continue"/>
                  <w:noWrap w:val="0"/>
                  <w:vAlign w:val="center"/>
                </w:tcPr>
                <w:p w14:paraId="38DAECC5">
                  <w:pPr>
                    <w:jc w:val="center"/>
                    <w:rPr>
                      <w:rFonts w:ascii="Times New Roman" w:hAnsi="Times New Roman"/>
                      <w:b w:val="0"/>
                      <w:bCs w:val="0"/>
                      <w:color w:val="auto"/>
                      <w:kern w:val="0"/>
                      <w:szCs w:val="21"/>
                    </w:rPr>
                  </w:pPr>
                </w:p>
              </w:tc>
              <w:tc>
                <w:tcPr>
                  <w:tcW w:w="428" w:type="pct"/>
                  <w:vMerge w:val="continue"/>
                  <w:noWrap w:val="0"/>
                  <w:vAlign w:val="center"/>
                </w:tcPr>
                <w:p w14:paraId="4826442A">
                  <w:pPr>
                    <w:jc w:val="center"/>
                    <w:rPr>
                      <w:rFonts w:ascii="Times New Roman" w:hAnsi="Times New Roman"/>
                      <w:b w:val="0"/>
                      <w:bCs w:val="0"/>
                      <w:color w:val="auto"/>
                      <w:kern w:val="0"/>
                      <w:szCs w:val="21"/>
                    </w:rPr>
                  </w:pPr>
                </w:p>
              </w:tc>
              <w:tc>
                <w:tcPr>
                  <w:tcW w:w="1431" w:type="pct"/>
                  <w:gridSpan w:val="2"/>
                  <w:noWrap w:val="0"/>
                  <w:vAlign w:val="center"/>
                </w:tcPr>
                <w:p w14:paraId="4F5E8DA6">
                  <w:pPr>
                    <w:jc w:val="center"/>
                    <w:rPr>
                      <w:rFonts w:ascii="Times New Roman" w:hAnsi="Times New Roman"/>
                      <w:b w:val="0"/>
                      <w:bCs w:val="0"/>
                      <w:color w:val="auto"/>
                      <w:szCs w:val="21"/>
                    </w:rPr>
                  </w:pPr>
                  <w:r>
                    <w:rPr>
                      <w:rFonts w:ascii="Times New Roman" w:hAnsi="Times New Roman"/>
                      <w:b w:val="0"/>
                      <w:bCs w:val="0"/>
                      <w:color w:val="auto"/>
                      <w:szCs w:val="21"/>
                    </w:rPr>
                    <w:t>监测次数</w:t>
                  </w:r>
                </w:p>
              </w:tc>
              <w:tc>
                <w:tcPr>
                  <w:tcW w:w="464" w:type="pct"/>
                  <w:noWrap w:val="0"/>
                  <w:vAlign w:val="center"/>
                </w:tcPr>
                <w:p w14:paraId="5BB4A980">
                  <w:pPr>
                    <w:snapToGrid w:val="0"/>
                    <w:jc w:val="center"/>
                    <w:rPr>
                      <w:rFonts w:ascii="Times New Roman" w:hAnsi="Times New Roman"/>
                      <w:b w:val="0"/>
                      <w:bCs w:val="0"/>
                      <w:color w:val="auto"/>
                      <w:szCs w:val="21"/>
                    </w:rPr>
                  </w:pPr>
                  <w:r>
                    <w:rPr>
                      <w:rFonts w:ascii="Times New Roman" w:hAnsi="Times New Roman"/>
                      <w:b w:val="0"/>
                      <w:bCs w:val="0"/>
                      <w:color w:val="auto"/>
                      <w:szCs w:val="21"/>
                    </w:rPr>
                    <w:t>第一次</w:t>
                  </w:r>
                </w:p>
              </w:tc>
              <w:tc>
                <w:tcPr>
                  <w:tcW w:w="465" w:type="pct"/>
                  <w:noWrap w:val="0"/>
                  <w:vAlign w:val="center"/>
                </w:tcPr>
                <w:p w14:paraId="62DAE81D">
                  <w:pPr>
                    <w:snapToGrid w:val="0"/>
                    <w:jc w:val="center"/>
                    <w:rPr>
                      <w:rFonts w:ascii="Times New Roman" w:hAnsi="Times New Roman"/>
                      <w:b w:val="0"/>
                      <w:bCs w:val="0"/>
                      <w:color w:val="auto"/>
                      <w:szCs w:val="21"/>
                    </w:rPr>
                  </w:pPr>
                  <w:r>
                    <w:rPr>
                      <w:rFonts w:ascii="Times New Roman" w:hAnsi="Times New Roman"/>
                      <w:b w:val="0"/>
                      <w:bCs w:val="0"/>
                      <w:color w:val="auto"/>
                      <w:szCs w:val="21"/>
                    </w:rPr>
                    <w:t>第二次</w:t>
                  </w:r>
                </w:p>
              </w:tc>
              <w:tc>
                <w:tcPr>
                  <w:tcW w:w="465" w:type="pct"/>
                  <w:noWrap w:val="0"/>
                  <w:vAlign w:val="center"/>
                </w:tcPr>
                <w:p w14:paraId="6D5D97F8">
                  <w:pPr>
                    <w:snapToGrid w:val="0"/>
                    <w:jc w:val="center"/>
                    <w:rPr>
                      <w:rFonts w:ascii="Times New Roman" w:hAnsi="Times New Roman"/>
                      <w:b w:val="0"/>
                      <w:bCs w:val="0"/>
                      <w:color w:val="auto"/>
                      <w:szCs w:val="21"/>
                    </w:rPr>
                  </w:pPr>
                  <w:r>
                    <w:rPr>
                      <w:rFonts w:ascii="Times New Roman" w:hAnsi="Times New Roman"/>
                      <w:b w:val="0"/>
                      <w:bCs w:val="0"/>
                      <w:color w:val="auto"/>
                      <w:szCs w:val="21"/>
                    </w:rPr>
                    <w:t>第三次</w:t>
                  </w:r>
                </w:p>
              </w:tc>
              <w:tc>
                <w:tcPr>
                  <w:tcW w:w="467" w:type="pct"/>
                  <w:noWrap w:val="0"/>
                  <w:vAlign w:val="center"/>
                </w:tcPr>
                <w:p w14:paraId="31C0B9C4">
                  <w:pPr>
                    <w:snapToGrid w:val="0"/>
                    <w:jc w:val="center"/>
                    <w:rPr>
                      <w:rFonts w:ascii="Times New Roman" w:hAnsi="Times New Roman"/>
                      <w:b w:val="0"/>
                      <w:bCs w:val="0"/>
                      <w:color w:val="auto"/>
                      <w:szCs w:val="21"/>
                    </w:rPr>
                  </w:pPr>
                  <w:r>
                    <w:rPr>
                      <w:rFonts w:ascii="Times New Roman" w:hAnsi="Times New Roman"/>
                      <w:b w:val="0"/>
                      <w:bCs w:val="0"/>
                      <w:color w:val="auto"/>
                      <w:szCs w:val="21"/>
                    </w:rPr>
                    <w:t>平均值</w:t>
                  </w:r>
                </w:p>
              </w:tc>
              <w:tc>
                <w:tcPr>
                  <w:tcW w:w="423" w:type="pct"/>
                  <w:vMerge w:val="continue"/>
                  <w:noWrap w:val="0"/>
                  <w:vAlign w:val="center"/>
                </w:tcPr>
                <w:p w14:paraId="7779A7FE">
                  <w:pPr>
                    <w:snapToGrid w:val="0"/>
                    <w:jc w:val="center"/>
                    <w:rPr>
                      <w:rFonts w:ascii="Times New Roman" w:hAnsi="Times New Roman"/>
                      <w:b w:val="0"/>
                      <w:bCs w:val="0"/>
                      <w:color w:val="auto"/>
                      <w:szCs w:val="21"/>
                    </w:rPr>
                  </w:pPr>
                </w:p>
              </w:tc>
            </w:tr>
            <w:tr w14:paraId="7CF9C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restart"/>
                  <w:noWrap w:val="0"/>
                  <w:vAlign w:val="center"/>
                </w:tcPr>
                <w:p w14:paraId="0B3517C0">
                  <w:pPr>
                    <w:jc w:val="center"/>
                    <w:textAlignment w:val="center"/>
                    <w:rPr>
                      <w:rFonts w:ascii="Times New Roman" w:hAnsi="Times New Roman"/>
                      <w:b w:val="0"/>
                      <w:bCs w:val="0"/>
                      <w:color w:val="auto"/>
                      <w:kern w:val="0"/>
                      <w:szCs w:val="21"/>
                    </w:rPr>
                  </w:pPr>
                  <w:r>
                    <w:rPr>
                      <w:rFonts w:ascii="Times New Roman" w:hAnsi="Times New Roman"/>
                      <w:b w:val="0"/>
                      <w:bCs w:val="0"/>
                      <w:color w:val="auto"/>
                      <w:szCs w:val="21"/>
                    </w:rPr>
                    <w:t>3月27日</w:t>
                  </w:r>
                </w:p>
              </w:tc>
              <w:tc>
                <w:tcPr>
                  <w:tcW w:w="428" w:type="pct"/>
                  <w:vMerge w:val="restart"/>
                  <w:noWrap w:val="0"/>
                  <w:vAlign w:val="center"/>
                </w:tcPr>
                <w:p w14:paraId="04B7D991">
                  <w:pPr>
                    <w:jc w:val="center"/>
                    <w:textAlignment w:val="center"/>
                    <w:rPr>
                      <w:rFonts w:hint="default" w:ascii="Times New Roman" w:hAnsi="Times New Roman" w:eastAsia="宋体"/>
                      <w:b w:val="0"/>
                      <w:bCs w:val="0"/>
                      <w:color w:val="auto"/>
                      <w:kern w:val="0"/>
                      <w:szCs w:val="21"/>
                      <w:lang w:val="en-US" w:eastAsia="zh-CN"/>
                    </w:rPr>
                  </w:pPr>
                  <w:r>
                    <w:rPr>
                      <w:rFonts w:hint="eastAsia"/>
                      <w:b w:val="0"/>
                      <w:bCs w:val="0"/>
                      <w:color w:val="auto"/>
                      <w:kern w:val="0"/>
                      <w:szCs w:val="21"/>
                      <w:lang w:val="en-US" w:eastAsia="zh-CN"/>
                    </w:rPr>
                    <w:t>DA004</w:t>
                  </w:r>
                </w:p>
              </w:tc>
              <w:tc>
                <w:tcPr>
                  <w:tcW w:w="428" w:type="pct"/>
                  <w:vMerge w:val="restart"/>
                  <w:noWrap w:val="0"/>
                  <w:vAlign w:val="center"/>
                </w:tcPr>
                <w:p w14:paraId="68719DDB">
                  <w:pPr>
                    <w:jc w:val="center"/>
                    <w:textAlignment w:val="center"/>
                    <w:rPr>
                      <w:rFonts w:ascii="Times New Roman" w:hAnsi="Times New Roman"/>
                      <w:b w:val="0"/>
                      <w:bCs w:val="0"/>
                      <w:color w:val="auto"/>
                      <w:kern w:val="0"/>
                      <w:szCs w:val="21"/>
                    </w:rPr>
                  </w:pPr>
                  <w:r>
                    <w:rPr>
                      <w:rFonts w:ascii="Times New Roman" w:hAnsi="Times New Roman"/>
                      <w:b w:val="0"/>
                      <w:bCs w:val="0"/>
                      <w:color w:val="auto"/>
                      <w:kern w:val="0"/>
                      <w:szCs w:val="21"/>
                    </w:rPr>
                    <w:t>分选机除尘器出口</w:t>
                  </w:r>
                </w:p>
              </w:tc>
              <w:tc>
                <w:tcPr>
                  <w:tcW w:w="1431" w:type="pct"/>
                  <w:gridSpan w:val="2"/>
                  <w:noWrap w:val="0"/>
                  <w:vAlign w:val="center"/>
                </w:tcPr>
                <w:p w14:paraId="65BB7430">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4" w:type="pct"/>
                  <w:gridSpan w:val="3"/>
                  <w:noWrap w:val="0"/>
                  <w:vAlign w:val="center"/>
                </w:tcPr>
                <w:p w14:paraId="0E799F7A">
                  <w:pPr>
                    <w:snapToGrid w:val="0"/>
                    <w:jc w:val="center"/>
                    <w:rPr>
                      <w:rFonts w:ascii="Times New Roman" w:hAnsi="Times New Roman"/>
                      <w:b w:val="0"/>
                      <w:bCs w:val="0"/>
                      <w:color w:val="auto"/>
                      <w:szCs w:val="21"/>
                    </w:rPr>
                  </w:pPr>
                  <w:r>
                    <w:rPr>
                      <w:rFonts w:ascii="Times New Roman" w:hAnsi="Times New Roman"/>
                      <w:b w:val="0"/>
                      <w:bCs w:val="0"/>
                      <w:color w:val="auto"/>
                      <w:szCs w:val="21"/>
                    </w:rPr>
                    <w:t>0.708</w:t>
                  </w:r>
                </w:p>
              </w:tc>
              <w:tc>
                <w:tcPr>
                  <w:tcW w:w="467" w:type="pct"/>
                  <w:noWrap w:val="0"/>
                  <w:vAlign w:val="center"/>
                </w:tcPr>
                <w:p w14:paraId="09D90C1E">
                  <w:pPr>
                    <w:snapToGrid w:val="0"/>
                    <w:jc w:val="center"/>
                    <w:rPr>
                      <w:rFonts w:ascii="Times New Roman" w:hAnsi="Times New Roman"/>
                      <w:b w:val="0"/>
                      <w:bCs w:val="0"/>
                      <w:color w:val="auto"/>
                      <w:szCs w:val="21"/>
                    </w:rPr>
                  </w:pPr>
                  <w:r>
                    <w:rPr>
                      <w:rFonts w:ascii="Times New Roman" w:hAnsi="Times New Roman"/>
                      <w:b w:val="0"/>
                      <w:bCs w:val="0"/>
                      <w:color w:val="auto"/>
                      <w:szCs w:val="21"/>
                    </w:rPr>
                    <w:t>/</w:t>
                  </w:r>
                </w:p>
              </w:tc>
              <w:tc>
                <w:tcPr>
                  <w:tcW w:w="423" w:type="pct"/>
                  <w:vMerge w:val="restart"/>
                  <w:noWrap w:val="0"/>
                  <w:vAlign w:val="center"/>
                </w:tcPr>
                <w:p w14:paraId="5519FB67">
                  <w:pPr>
                    <w:jc w:val="center"/>
                    <w:rPr>
                      <w:rFonts w:ascii="Times New Roman" w:hAnsi="Times New Roman"/>
                      <w:b w:val="0"/>
                      <w:bCs w:val="0"/>
                      <w:color w:val="auto"/>
                      <w:szCs w:val="21"/>
                    </w:rPr>
                  </w:pPr>
                  <w:r>
                    <w:rPr>
                      <w:rFonts w:ascii="Times New Roman" w:hAnsi="Times New Roman"/>
                      <w:b w:val="0"/>
                      <w:bCs w:val="0"/>
                      <w:color w:val="auto"/>
                      <w:szCs w:val="21"/>
                    </w:rPr>
                    <w:t>/</w:t>
                  </w:r>
                </w:p>
              </w:tc>
            </w:tr>
            <w:tr w14:paraId="0E904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51815902">
                  <w:pPr>
                    <w:widowControl/>
                    <w:jc w:val="center"/>
                    <w:textAlignment w:val="center"/>
                    <w:rPr>
                      <w:rFonts w:ascii="Times New Roman" w:hAnsi="Times New Roman"/>
                      <w:b w:val="0"/>
                      <w:bCs w:val="0"/>
                      <w:color w:val="auto"/>
                      <w:szCs w:val="21"/>
                    </w:rPr>
                  </w:pPr>
                </w:p>
              </w:tc>
              <w:tc>
                <w:tcPr>
                  <w:tcW w:w="428" w:type="pct"/>
                  <w:vMerge w:val="continue"/>
                  <w:noWrap w:val="0"/>
                  <w:vAlign w:val="center"/>
                </w:tcPr>
                <w:p w14:paraId="0F436EE0">
                  <w:pPr>
                    <w:widowControl/>
                    <w:jc w:val="center"/>
                    <w:textAlignment w:val="center"/>
                    <w:rPr>
                      <w:rFonts w:ascii="Times New Roman" w:hAnsi="Times New Roman"/>
                      <w:b w:val="0"/>
                      <w:bCs w:val="0"/>
                      <w:color w:val="auto"/>
                      <w:szCs w:val="21"/>
                    </w:rPr>
                  </w:pPr>
                </w:p>
              </w:tc>
              <w:tc>
                <w:tcPr>
                  <w:tcW w:w="428" w:type="pct"/>
                  <w:vMerge w:val="continue"/>
                  <w:noWrap w:val="0"/>
                  <w:vAlign w:val="center"/>
                </w:tcPr>
                <w:p w14:paraId="17FD6C95">
                  <w:pPr>
                    <w:widowControl/>
                    <w:jc w:val="center"/>
                    <w:textAlignment w:val="center"/>
                    <w:rPr>
                      <w:rFonts w:ascii="Times New Roman" w:hAnsi="Times New Roman"/>
                      <w:b w:val="0"/>
                      <w:bCs w:val="0"/>
                      <w:color w:val="auto"/>
                      <w:szCs w:val="21"/>
                    </w:rPr>
                  </w:pPr>
                </w:p>
              </w:tc>
              <w:tc>
                <w:tcPr>
                  <w:tcW w:w="1431" w:type="pct"/>
                  <w:gridSpan w:val="2"/>
                  <w:noWrap w:val="0"/>
                  <w:vAlign w:val="center"/>
                </w:tcPr>
                <w:p w14:paraId="178C7AB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烟气温度（℃）</w:t>
                  </w:r>
                </w:p>
              </w:tc>
              <w:tc>
                <w:tcPr>
                  <w:tcW w:w="464" w:type="pct"/>
                  <w:noWrap w:val="0"/>
                  <w:vAlign w:val="center"/>
                </w:tcPr>
                <w:p w14:paraId="5251337C">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18.3</w:t>
                  </w:r>
                </w:p>
              </w:tc>
              <w:tc>
                <w:tcPr>
                  <w:tcW w:w="465" w:type="pct"/>
                  <w:noWrap w:val="0"/>
                  <w:vAlign w:val="center"/>
                </w:tcPr>
                <w:p w14:paraId="35857D80">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19.5</w:t>
                  </w:r>
                </w:p>
              </w:tc>
              <w:tc>
                <w:tcPr>
                  <w:tcW w:w="465" w:type="pct"/>
                  <w:noWrap w:val="0"/>
                  <w:vAlign w:val="center"/>
                </w:tcPr>
                <w:p w14:paraId="6D7CCD4E">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18.3</w:t>
                  </w:r>
                </w:p>
              </w:tc>
              <w:tc>
                <w:tcPr>
                  <w:tcW w:w="467" w:type="pct"/>
                  <w:noWrap w:val="0"/>
                  <w:vAlign w:val="center"/>
                </w:tcPr>
                <w:p w14:paraId="72734A5C">
                  <w:pPr>
                    <w:widowControl/>
                    <w:jc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18.7 </w:t>
                  </w:r>
                </w:p>
              </w:tc>
              <w:tc>
                <w:tcPr>
                  <w:tcW w:w="423" w:type="pct"/>
                  <w:vMerge w:val="continue"/>
                  <w:noWrap w:val="0"/>
                  <w:vAlign w:val="center"/>
                </w:tcPr>
                <w:p w14:paraId="41A0AB76">
                  <w:pPr>
                    <w:widowControl/>
                    <w:jc w:val="center"/>
                    <w:rPr>
                      <w:rFonts w:ascii="Times New Roman" w:hAnsi="Times New Roman"/>
                      <w:b w:val="0"/>
                      <w:bCs w:val="0"/>
                      <w:color w:val="auto"/>
                      <w:szCs w:val="21"/>
                    </w:rPr>
                  </w:pPr>
                </w:p>
              </w:tc>
            </w:tr>
            <w:tr w14:paraId="61CE8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725CE1FE">
                  <w:pPr>
                    <w:jc w:val="center"/>
                    <w:rPr>
                      <w:rFonts w:ascii="Times New Roman" w:hAnsi="Times New Roman"/>
                      <w:b w:val="0"/>
                      <w:bCs w:val="0"/>
                      <w:color w:val="auto"/>
                      <w:szCs w:val="21"/>
                    </w:rPr>
                  </w:pPr>
                </w:p>
              </w:tc>
              <w:tc>
                <w:tcPr>
                  <w:tcW w:w="428" w:type="pct"/>
                  <w:vMerge w:val="continue"/>
                  <w:noWrap w:val="0"/>
                  <w:vAlign w:val="center"/>
                </w:tcPr>
                <w:p w14:paraId="5ECA1283">
                  <w:pPr>
                    <w:jc w:val="center"/>
                    <w:rPr>
                      <w:rFonts w:ascii="Times New Roman" w:hAnsi="Times New Roman"/>
                      <w:b w:val="0"/>
                      <w:bCs w:val="0"/>
                      <w:color w:val="auto"/>
                      <w:szCs w:val="21"/>
                    </w:rPr>
                  </w:pPr>
                </w:p>
              </w:tc>
              <w:tc>
                <w:tcPr>
                  <w:tcW w:w="428" w:type="pct"/>
                  <w:vMerge w:val="continue"/>
                  <w:noWrap w:val="0"/>
                  <w:vAlign w:val="center"/>
                </w:tcPr>
                <w:p w14:paraId="17B5922E">
                  <w:pPr>
                    <w:jc w:val="center"/>
                    <w:rPr>
                      <w:rFonts w:ascii="Times New Roman" w:hAnsi="Times New Roman"/>
                      <w:b w:val="0"/>
                      <w:bCs w:val="0"/>
                      <w:color w:val="auto"/>
                      <w:szCs w:val="21"/>
                    </w:rPr>
                  </w:pPr>
                </w:p>
              </w:tc>
              <w:tc>
                <w:tcPr>
                  <w:tcW w:w="1431" w:type="pct"/>
                  <w:gridSpan w:val="2"/>
                  <w:noWrap w:val="0"/>
                  <w:vAlign w:val="center"/>
                </w:tcPr>
                <w:p w14:paraId="023D70B5">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4" w:type="pct"/>
                  <w:noWrap w:val="0"/>
                  <w:vAlign w:val="center"/>
                </w:tcPr>
                <w:p w14:paraId="2C3EBBEB">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11.6</w:t>
                  </w:r>
                </w:p>
              </w:tc>
              <w:tc>
                <w:tcPr>
                  <w:tcW w:w="465" w:type="pct"/>
                  <w:noWrap w:val="0"/>
                  <w:vAlign w:val="center"/>
                </w:tcPr>
                <w:p w14:paraId="5AF931E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11.7</w:t>
                  </w:r>
                </w:p>
              </w:tc>
              <w:tc>
                <w:tcPr>
                  <w:tcW w:w="465" w:type="pct"/>
                  <w:noWrap w:val="0"/>
                  <w:vAlign w:val="center"/>
                </w:tcPr>
                <w:p w14:paraId="687EE724">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11.8</w:t>
                  </w:r>
                </w:p>
              </w:tc>
              <w:tc>
                <w:tcPr>
                  <w:tcW w:w="467" w:type="pct"/>
                  <w:noWrap w:val="0"/>
                  <w:vAlign w:val="center"/>
                </w:tcPr>
                <w:p w14:paraId="3DD238C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11.7 </w:t>
                  </w:r>
                </w:p>
              </w:tc>
              <w:tc>
                <w:tcPr>
                  <w:tcW w:w="423" w:type="pct"/>
                  <w:vMerge w:val="continue"/>
                  <w:noWrap w:val="0"/>
                  <w:vAlign w:val="center"/>
                </w:tcPr>
                <w:p w14:paraId="1549C3E5">
                  <w:pPr>
                    <w:widowControl/>
                    <w:jc w:val="center"/>
                    <w:textAlignment w:val="center"/>
                    <w:rPr>
                      <w:rFonts w:ascii="Times New Roman" w:hAnsi="Times New Roman"/>
                      <w:b w:val="0"/>
                      <w:bCs w:val="0"/>
                      <w:color w:val="auto"/>
                      <w:szCs w:val="21"/>
                    </w:rPr>
                  </w:pPr>
                </w:p>
              </w:tc>
            </w:tr>
            <w:tr w14:paraId="029D2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1BD3239E">
                  <w:pPr>
                    <w:jc w:val="center"/>
                    <w:rPr>
                      <w:rFonts w:ascii="Times New Roman" w:hAnsi="Times New Roman"/>
                      <w:b w:val="0"/>
                      <w:bCs w:val="0"/>
                      <w:color w:val="auto"/>
                      <w:szCs w:val="21"/>
                    </w:rPr>
                  </w:pPr>
                </w:p>
              </w:tc>
              <w:tc>
                <w:tcPr>
                  <w:tcW w:w="428" w:type="pct"/>
                  <w:vMerge w:val="continue"/>
                  <w:noWrap w:val="0"/>
                  <w:vAlign w:val="center"/>
                </w:tcPr>
                <w:p w14:paraId="6E849540">
                  <w:pPr>
                    <w:jc w:val="center"/>
                    <w:rPr>
                      <w:rFonts w:ascii="Times New Roman" w:hAnsi="Times New Roman"/>
                      <w:b w:val="0"/>
                      <w:bCs w:val="0"/>
                      <w:color w:val="auto"/>
                      <w:szCs w:val="21"/>
                    </w:rPr>
                  </w:pPr>
                </w:p>
              </w:tc>
              <w:tc>
                <w:tcPr>
                  <w:tcW w:w="428" w:type="pct"/>
                  <w:vMerge w:val="continue"/>
                  <w:noWrap w:val="0"/>
                  <w:vAlign w:val="center"/>
                </w:tcPr>
                <w:p w14:paraId="50605F1B">
                  <w:pPr>
                    <w:jc w:val="center"/>
                    <w:rPr>
                      <w:rFonts w:ascii="Times New Roman" w:hAnsi="Times New Roman"/>
                      <w:b w:val="0"/>
                      <w:bCs w:val="0"/>
                      <w:color w:val="auto"/>
                      <w:szCs w:val="21"/>
                    </w:rPr>
                  </w:pPr>
                </w:p>
              </w:tc>
              <w:tc>
                <w:tcPr>
                  <w:tcW w:w="1431" w:type="pct"/>
                  <w:gridSpan w:val="2"/>
                  <w:noWrap w:val="0"/>
                  <w:vAlign w:val="center"/>
                </w:tcPr>
                <w:p w14:paraId="0BC79A88">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4" w:type="pct"/>
                  <w:noWrap w:val="0"/>
                  <w:vAlign w:val="center"/>
                </w:tcPr>
                <w:p w14:paraId="550A853C">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25526</w:t>
                  </w:r>
                </w:p>
              </w:tc>
              <w:tc>
                <w:tcPr>
                  <w:tcW w:w="465" w:type="pct"/>
                  <w:noWrap w:val="0"/>
                  <w:vAlign w:val="center"/>
                </w:tcPr>
                <w:p w14:paraId="5B1D7E50">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25683</w:t>
                  </w:r>
                </w:p>
              </w:tc>
              <w:tc>
                <w:tcPr>
                  <w:tcW w:w="465" w:type="pct"/>
                  <w:noWrap w:val="0"/>
                  <w:vAlign w:val="center"/>
                </w:tcPr>
                <w:p w14:paraId="60F07831">
                  <w:pPr>
                    <w:widowControl/>
                    <w:jc w:val="center"/>
                    <w:textAlignment w:val="bottom"/>
                    <w:rPr>
                      <w:rFonts w:ascii="Times New Roman" w:hAnsi="Times New Roman"/>
                      <w:b w:val="0"/>
                      <w:bCs w:val="0"/>
                      <w:color w:val="auto"/>
                      <w:szCs w:val="21"/>
                    </w:rPr>
                  </w:pPr>
                  <w:r>
                    <w:rPr>
                      <w:rFonts w:ascii="Times New Roman" w:hAnsi="Times New Roman"/>
                      <w:b w:val="0"/>
                      <w:bCs w:val="0"/>
                      <w:color w:val="auto"/>
                      <w:kern w:val="0"/>
                      <w:szCs w:val="21"/>
                      <w:lang w:bidi="ar"/>
                    </w:rPr>
                    <w:t>25950</w:t>
                  </w:r>
                </w:p>
              </w:tc>
              <w:tc>
                <w:tcPr>
                  <w:tcW w:w="467" w:type="pct"/>
                  <w:noWrap w:val="0"/>
                  <w:vAlign w:val="center"/>
                </w:tcPr>
                <w:p w14:paraId="3F53ED53">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25720 </w:t>
                  </w:r>
                </w:p>
              </w:tc>
              <w:tc>
                <w:tcPr>
                  <w:tcW w:w="423" w:type="pct"/>
                  <w:vMerge w:val="continue"/>
                  <w:noWrap w:val="0"/>
                  <w:vAlign w:val="center"/>
                </w:tcPr>
                <w:p w14:paraId="64C274B4">
                  <w:pPr>
                    <w:widowControl/>
                    <w:jc w:val="center"/>
                    <w:textAlignment w:val="center"/>
                    <w:rPr>
                      <w:rFonts w:ascii="Times New Roman" w:hAnsi="Times New Roman"/>
                      <w:b w:val="0"/>
                      <w:bCs w:val="0"/>
                      <w:color w:val="auto"/>
                      <w:szCs w:val="21"/>
                    </w:rPr>
                  </w:pPr>
                </w:p>
              </w:tc>
            </w:tr>
            <w:tr w14:paraId="5E77E2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5F43DDED">
                  <w:pPr>
                    <w:jc w:val="center"/>
                    <w:rPr>
                      <w:rFonts w:ascii="Times New Roman" w:hAnsi="Times New Roman"/>
                      <w:b w:val="0"/>
                      <w:bCs w:val="0"/>
                      <w:color w:val="auto"/>
                      <w:szCs w:val="21"/>
                    </w:rPr>
                  </w:pPr>
                </w:p>
              </w:tc>
              <w:tc>
                <w:tcPr>
                  <w:tcW w:w="428" w:type="pct"/>
                  <w:vMerge w:val="continue"/>
                  <w:noWrap w:val="0"/>
                  <w:vAlign w:val="center"/>
                </w:tcPr>
                <w:p w14:paraId="49887BF2">
                  <w:pPr>
                    <w:jc w:val="center"/>
                    <w:rPr>
                      <w:rFonts w:ascii="Times New Roman" w:hAnsi="Times New Roman"/>
                      <w:b w:val="0"/>
                      <w:bCs w:val="0"/>
                      <w:color w:val="auto"/>
                      <w:szCs w:val="21"/>
                    </w:rPr>
                  </w:pPr>
                </w:p>
              </w:tc>
              <w:tc>
                <w:tcPr>
                  <w:tcW w:w="428" w:type="pct"/>
                  <w:vMerge w:val="continue"/>
                  <w:noWrap w:val="0"/>
                  <w:vAlign w:val="center"/>
                </w:tcPr>
                <w:p w14:paraId="42FFA0EB">
                  <w:pPr>
                    <w:jc w:val="center"/>
                    <w:rPr>
                      <w:rFonts w:ascii="Times New Roman" w:hAnsi="Times New Roman"/>
                      <w:b w:val="0"/>
                      <w:bCs w:val="0"/>
                      <w:color w:val="auto"/>
                      <w:szCs w:val="21"/>
                    </w:rPr>
                  </w:pPr>
                </w:p>
              </w:tc>
              <w:tc>
                <w:tcPr>
                  <w:tcW w:w="428" w:type="pct"/>
                  <w:vMerge w:val="restart"/>
                  <w:noWrap w:val="0"/>
                  <w:vAlign w:val="center"/>
                </w:tcPr>
                <w:p w14:paraId="219C0DBE">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7402B5D8">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4" w:type="pct"/>
                  <w:noWrap w:val="0"/>
                  <w:vAlign w:val="center"/>
                </w:tcPr>
                <w:p w14:paraId="57333A5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4.8</w:t>
                  </w:r>
                </w:p>
              </w:tc>
              <w:tc>
                <w:tcPr>
                  <w:tcW w:w="465" w:type="pct"/>
                  <w:noWrap w:val="0"/>
                  <w:vAlign w:val="center"/>
                </w:tcPr>
                <w:p w14:paraId="49E6AF37">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5.9</w:t>
                  </w:r>
                </w:p>
              </w:tc>
              <w:tc>
                <w:tcPr>
                  <w:tcW w:w="465" w:type="pct"/>
                  <w:noWrap w:val="0"/>
                  <w:vAlign w:val="center"/>
                </w:tcPr>
                <w:p w14:paraId="373C5D24">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7.1</w:t>
                  </w:r>
                </w:p>
              </w:tc>
              <w:tc>
                <w:tcPr>
                  <w:tcW w:w="467" w:type="pct"/>
                  <w:noWrap w:val="0"/>
                  <w:vAlign w:val="center"/>
                </w:tcPr>
                <w:p w14:paraId="0FA0A639">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5.9 </w:t>
                  </w:r>
                </w:p>
              </w:tc>
              <w:tc>
                <w:tcPr>
                  <w:tcW w:w="423" w:type="pct"/>
                  <w:noWrap w:val="0"/>
                  <w:vAlign w:val="center"/>
                </w:tcPr>
                <w:p w14:paraId="5BC03EE1">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487C3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642CE45E">
                  <w:pPr>
                    <w:jc w:val="center"/>
                    <w:rPr>
                      <w:rFonts w:ascii="Times New Roman" w:hAnsi="Times New Roman"/>
                      <w:b w:val="0"/>
                      <w:bCs w:val="0"/>
                      <w:color w:val="auto"/>
                      <w:szCs w:val="21"/>
                    </w:rPr>
                  </w:pPr>
                </w:p>
              </w:tc>
              <w:tc>
                <w:tcPr>
                  <w:tcW w:w="428" w:type="pct"/>
                  <w:vMerge w:val="continue"/>
                  <w:noWrap w:val="0"/>
                  <w:vAlign w:val="center"/>
                </w:tcPr>
                <w:p w14:paraId="10976E57">
                  <w:pPr>
                    <w:jc w:val="center"/>
                    <w:rPr>
                      <w:rFonts w:ascii="Times New Roman" w:hAnsi="Times New Roman"/>
                      <w:b w:val="0"/>
                      <w:bCs w:val="0"/>
                      <w:color w:val="auto"/>
                      <w:szCs w:val="21"/>
                    </w:rPr>
                  </w:pPr>
                </w:p>
              </w:tc>
              <w:tc>
                <w:tcPr>
                  <w:tcW w:w="428" w:type="pct"/>
                  <w:vMerge w:val="continue"/>
                  <w:noWrap w:val="0"/>
                  <w:vAlign w:val="center"/>
                </w:tcPr>
                <w:p w14:paraId="2CA80963">
                  <w:pPr>
                    <w:jc w:val="center"/>
                    <w:rPr>
                      <w:rFonts w:ascii="Times New Roman" w:hAnsi="Times New Roman"/>
                      <w:b w:val="0"/>
                      <w:bCs w:val="0"/>
                      <w:color w:val="auto"/>
                      <w:szCs w:val="21"/>
                    </w:rPr>
                  </w:pPr>
                </w:p>
              </w:tc>
              <w:tc>
                <w:tcPr>
                  <w:tcW w:w="428" w:type="pct"/>
                  <w:vMerge w:val="continue"/>
                  <w:noWrap w:val="0"/>
                  <w:vAlign w:val="center"/>
                </w:tcPr>
                <w:p w14:paraId="313480CE">
                  <w:pPr>
                    <w:jc w:val="center"/>
                    <w:rPr>
                      <w:rFonts w:ascii="Times New Roman" w:hAnsi="Times New Roman"/>
                      <w:b w:val="0"/>
                      <w:bCs w:val="0"/>
                      <w:color w:val="auto"/>
                      <w:szCs w:val="21"/>
                    </w:rPr>
                  </w:pPr>
                </w:p>
              </w:tc>
              <w:tc>
                <w:tcPr>
                  <w:tcW w:w="1003" w:type="pct"/>
                  <w:noWrap w:val="0"/>
                  <w:vAlign w:val="center"/>
                </w:tcPr>
                <w:p w14:paraId="72E2F044">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4" w:type="pct"/>
                  <w:noWrap w:val="0"/>
                  <w:vAlign w:val="center"/>
                </w:tcPr>
                <w:p w14:paraId="4E9596E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0.123 </w:t>
                  </w:r>
                </w:p>
              </w:tc>
              <w:tc>
                <w:tcPr>
                  <w:tcW w:w="465" w:type="pct"/>
                  <w:noWrap w:val="0"/>
                  <w:vAlign w:val="center"/>
                </w:tcPr>
                <w:p w14:paraId="746AA862">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0.152 </w:t>
                  </w:r>
                </w:p>
              </w:tc>
              <w:tc>
                <w:tcPr>
                  <w:tcW w:w="465" w:type="pct"/>
                  <w:noWrap w:val="0"/>
                  <w:vAlign w:val="center"/>
                </w:tcPr>
                <w:p w14:paraId="765773DB">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0.184 </w:t>
                  </w:r>
                </w:p>
              </w:tc>
              <w:tc>
                <w:tcPr>
                  <w:tcW w:w="467" w:type="pct"/>
                  <w:noWrap w:val="0"/>
                  <w:vAlign w:val="center"/>
                </w:tcPr>
                <w:p w14:paraId="5ADE86BE">
                  <w:pPr>
                    <w:widowControl/>
                    <w:jc w:val="center"/>
                    <w:textAlignment w:val="center"/>
                    <w:rPr>
                      <w:rFonts w:ascii="Times New Roman" w:hAnsi="Times New Roman"/>
                      <w:b w:val="0"/>
                      <w:bCs w:val="0"/>
                      <w:color w:val="auto"/>
                      <w:szCs w:val="21"/>
                    </w:rPr>
                  </w:pPr>
                  <w:r>
                    <w:rPr>
                      <w:rFonts w:ascii="Times New Roman" w:hAnsi="Times New Roman"/>
                      <w:b w:val="0"/>
                      <w:bCs w:val="0"/>
                      <w:color w:val="auto"/>
                      <w:kern w:val="0"/>
                      <w:szCs w:val="21"/>
                      <w:lang w:bidi="ar"/>
                    </w:rPr>
                    <w:t xml:space="preserve">0.153 </w:t>
                  </w:r>
                </w:p>
              </w:tc>
              <w:tc>
                <w:tcPr>
                  <w:tcW w:w="423" w:type="pct"/>
                  <w:noWrap w:val="0"/>
                  <w:vAlign w:val="center"/>
                </w:tcPr>
                <w:p w14:paraId="4B84B21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r w14:paraId="079A5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restart"/>
                  <w:noWrap w:val="0"/>
                  <w:vAlign w:val="center"/>
                </w:tcPr>
                <w:p w14:paraId="3D573B63">
                  <w:pPr>
                    <w:jc w:val="center"/>
                    <w:rPr>
                      <w:rFonts w:ascii="Times New Roman" w:hAnsi="Times New Roman"/>
                      <w:b w:val="0"/>
                      <w:bCs w:val="0"/>
                      <w:color w:val="auto"/>
                      <w:szCs w:val="21"/>
                    </w:rPr>
                  </w:pPr>
                  <w:r>
                    <w:rPr>
                      <w:rFonts w:ascii="Times New Roman" w:hAnsi="Times New Roman"/>
                      <w:b w:val="0"/>
                      <w:bCs w:val="0"/>
                      <w:color w:val="auto"/>
                      <w:szCs w:val="21"/>
                    </w:rPr>
                    <w:t>3月28日</w:t>
                  </w:r>
                </w:p>
              </w:tc>
              <w:tc>
                <w:tcPr>
                  <w:tcW w:w="428" w:type="pct"/>
                  <w:vMerge w:val="restart"/>
                  <w:noWrap w:val="0"/>
                  <w:vAlign w:val="center"/>
                </w:tcPr>
                <w:p w14:paraId="2F3B3D71">
                  <w:pPr>
                    <w:jc w:val="center"/>
                    <w:rPr>
                      <w:rFonts w:hint="default" w:ascii="Times New Roman" w:hAnsi="Times New Roman" w:eastAsia="宋体"/>
                      <w:b w:val="0"/>
                      <w:bCs w:val="0"/>
                      <w:color w:val="auto"/>
                      <w:szCs w:val="21"/>
                      <w:lang w:val="en-US" w:eastAsia="zh-CN"/>
                    </w:rPr>
                  </w:pPr>
                  <w:r>
                    <w:rPr>
                      <w:rFonts w:hint="eastAsia"/>
                      <w:b w:val="0"/>
                      <w:bCs w:val="0"/>
                      <w:color w:val="auto"/>
                      <w:szCs w:val="21"/>
                      <w:lang w:val="en-US" w:eastAsia="zh-CN"/>
                    </w:rPr>
                    <w:t>DA004</w:t>
                  </w:r>
                </w:p>
              </w:tc>
              <w:tc>
                <w:tcPr>
                  <w:tcW w:w="428" w:type="pct"/>
                  <w:vMerge w:val="restart"/>
                  <w:noWrap w:val="0"/>
                  <w:vAlign w:val="center"/>
                </w:tcPr>
                <w:p w14:paraId="7EAB89B1">
                  <w:pPr>
                    <w:jc w:val="center"/>
                    <w:rPr>
                      <w:rFonts w:ascii="Times New Roman" w:hAnsi="Times New Roman"/>
                      <w:b w:val="0"/>
                      <w:bCs w:val="0"/>
                      <w:color w:val="auto"/>
                      <w:szCs w:val="21"/>
                    </w:rPr>
                  </w:pPr>
                  <w:r>
                    <w:rPr>
                      <w:rFonts w:hint="eastAsia" w:ascii="Times New Roman" w:hAnsi="Times New Roman"/>
                      <w:b w:val="0"/>
                      <w:bCs w:val="0"/>
                      <w:color w:val="auto"/>
                      <w:szCs w:val="21"/>
                    </w:rPr>
                    <w:t>分选机除尘器出口</w:t>
                  </w:r>
                </w:p>
              </w:tc>
              <w:tc>
                <w:tcPr>
                  <w:tcW w:w="1431" w:type="pct"/>
                  <w:gridSpan w:val="2"/>
                  <w:noWrap w:val="0"/>
                  <w:vAlign w:val="center"/>
                </w:tcPr>
                <w:p w14:paraId="23F88DC6">
                  <w:pPr>
                    <w:jc w:val="center"/>
                    <w:rPr>
                      <w:rFonts w:ascii="Times New Roman" w:hAnsi="Times New Roman"/>
                      <w:b w:val="0"/>
                      <w:bCs w:val="0"/>
                      <w:color w:val="auto"/>
                      <w:szCs w:val="21"/>
                    </w:rPr>
                  </w:pPr>
                  <w:r>
                    <w:rPr>
                      <w:rFonts w:ascii="Times New Roman" w:hAnsi="Times New Roman"/>
                      <w:b w:val="0"/>
                      <w:bCs w:val="0"/>
                      <w:color w:val="auto"/>
                      <w:szCs w:val="21"/>
                    </w:rPr>
                    <w:t>烟道截面积（m</w:t>
                  </w:r>
                  <w:r>
                    <w:rPr>
                      <w:rFonts w:ascii="Times New Roman" w:hAnsi="Times New Roman"/>
                      <w:b w:val="0"/>
                      <w:bCs w:val="0"/>
                      <w:color w:val="auto"/>
                      <w:szCs w:val="21"/>
                      <w:vertAlign w:val="superscript"/>
                    </w:rPr>
                    <w:t>2</w:t>
                  </w:r>
                  <w:r>
                    <w:rPr>
                      <w:rFonts w:ascii="Times New Roman" w:hAnsi="Times New Roman"/>
                      <w:b w:val="0"/>
                      <w:bCs w:val="0"/>
                      <w:color w:val="auto"/>
                      <w:szCs w:val="21"/>
                    </w:rPr>
                    <w:t>）</w:t>
                  </w:r>
                </w:p>
              </w:tc>
              <w:tc>
                <w:tcPr>
                  <w:tcW w:w="1394" w:type="pct"/>
                  <w:gridSpan w:val="3"/>
                  <w:noWrap w:val="0"/>
                  <w:vAlign w:val="center"/>
                </w:tcPr>
                <w:p w14:paraId="3A0B52F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0.708</w:t>
                  </w:r>
                </w:p>
              </w:tc>
              <w:tc>
                <w:tcPr>
                  <w:tcW w:w="467" w:type="pct"/>
                  <w:noWrap w:val="0"/>
                  <w:vAlign w:val="center"/>
                </w:tcPr>
                <w:p w14:paraId="24A86A2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szCs w:val="21"/>
                    </w:rPr>
                    <w:t>/</w:t>
                  </w:r>
                </w:p>
              </w:tc>
              <w:tc>
                <w:tcPr>
                  <w:tcW w:w="423" w:type="pct"/>
                  <w:vMerge w:val="restart"/>
                  <w:noWrap w:val="0"/>
                  <w:vAlign w:val="center"/>
                </w:tcPr>
                <w:p w14:paraId="5B769AB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w:t>
                  </w:r>
                </w:p>
              </w:tc>
            </w:tr>
            <w:tr w14:paraId="14A87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18AC7A4C">
                  <w:pPr>
                    <w:jc w:val="center"/>
                    <w:rPr>
                      <w:rFonts w:ascii="Times New Roman" w:hAnsi="Times New Roman"/>
                      <w:b w:val="0"/>
                      <w:bCs w:val="0"/>
                      <w:color w:val="auto"/>
                      <w:szCs w:val="21"/>
                    </w:rPr>
                  </w:pPr>
                </w:p>
              </w:tc>
              <w:tc>
                <w:tcPr>
                  <w:tcW w:w="428" w:type="pct"/>
                  <w:vMerge w:val="continue"/>
                  <w:noWrap w:val="0"/>
                  <w:vAlign w:val="center"/>
                </w:tcPr>
                <w:p w14:paraId="608B30F4">
                  <w:pPr>
                    <w:jc w:val="center"/>
                    <w:rPr>
                      <w:rFonts w:ascii="Times New Roman" w:hAnsi="Times New Roman"/>
                      <w:b w:val="0"/>
                      <w:bCs w:val="0"/>
                      <w:color w:val="auto"/>
                      <w:szCs w:val="21"/>
                    </w:rPr>
                  </w:pPr>
                </w:p>
              </w:tc>
              <w:tc>
                <w:tcPr>
                  <w:tcW w:w="428" w:type="pct"/>
                  <w:vMerge w:val="continue"/>
                  <w:noWrap w:val="0"/>
                  <w:vAlign w:val="center"/>
                </w:tcPr>
                <w:p w14:paraId="467A1F49">
                  <w:pPr>
                    <w:jc w:val="center"/>
                    <w:rPr>
                      <w:rFonts w:ascii="Times New Roman" w:hAnsi="Times New Roman"/>
                      <w:b w:val="0"/>
                      <w:bCs w:val="0"/>
                      <w:color w:val="auto"/>
                      <w:szCs w:val="21"/>
                    </w:rPr>
                  </w:pPr>
                </w:p>
              </w:tc>
              <w:tc>
                <w:tcPr>
                  <w:tcW w:w="1431" w:type="pct"/>
                  <w:gridSpan w:val="2"/>
                  <w:noWrap w:val="0"/>
                  <w:vAlign w:val="center"/>
                </w:tcPr>
                <w:p w14:paraId="0782D369">
                  <w:pPr>
                    <w:jc w:val="center"/>
                    <w:rPr>
                      <w:rFonts w:ascii="Times New Roman" w:hAnsi="Times New Roman"/>
                      <w:b w:val="0"/>
                      <w:bCs w:val="0"/>
                      <w:color w:val="auto"/>
                      <w:szCs w:val="21"/>
                    </w:rPr>
                  </w:pPr>
                  <w:r>
                    <w:rPr>
                      <w:rFonts w:ascii="Times New Roman" w:hAnsi="Times New Roman"/>
                      <w:b w:val="0"/>
                      <w:bCs w:val="0"/>
                      <w:color w:val="auto"/>
                      <w:szCs w:val="21"/>
                    </w:rPr>
                    <w:t>烟气温度（℃）</w:t>
                  </w:r>
                </w:p>
              </w:tc>
              <w:tc>
                <w:tcPr>
                  <w:tcW w:w="464" w:type="pct"/>
                  <w:noWrap w:val="0"/>
                  <w:vAlign w:val="center"/>
                </w:tcPr>
                <w:p w14:paraId="6B73B08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16.7</w:t>
                  </w:r>
                </w:p>
              </w:tc>
              <w:tc>
                <w:tcPr>
                  <w:tcW w:w="465" w:type="pct"/>
                  <w:noWrap w:val="0"/>
                  <w:vAlign w:val="center"/>
                </w:tcPr>
                <w:p w14:paraId="0C57ED31">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16.7</w:t>
                  </w:r>
                </w:p>
              </w:tc>
              <w:tc>
                <w:tcPr>
                  <w:tcW w:w="465" w:type="pct"/>
                  <w:noWrap w:val="0"/>
                  <w:vAlign w:val="center"/>
                </w:tcPr>
                <w:p w14:paraId="1AFA136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16.9</w:t>
                  </w:r>
                </w:p>
              </w:tc>
              <w:tc>
                <w:tcPr>
                  <w:tcW w:w="467" w:type="pct"/>
                  <w:noWrap w:val="0"/>
                  <w:vAlign w:val="center"/>
                </w:tcPr>
                <w:p w14:paraId="458D8DBF">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16.8 </w:t>
                  </w:r>
                </w:p>
              </w:tc>
              <w:tc>
                <w:tcPr>
                  <w:tcW w:w="423" w:type="pct"/>
                  <w:vMerge w:val="continue"/>
                  <w:noWrap w:val="0"/>
                  <w:vAlign w:val="center"/>
                </w:tcPr>
                <w:p w14:paraId="312C315F">
                  <w:pPr>
                    <w:widowControl/>
                    <w:jc w:val="center"/>
                    <w:textAlignment w:val="center"/>
                    <w:rPr>
                      <w:rFonts w:ascii="Times New Roman" w:hAnsi="Times New Roman"/>
                      <w:b w:val="0"/>
                      <w:bCs w:val="0"/>
                      <w:color w:val="auto"/>
                      <w:szCs w:val="21"/>
                    </w:rPr>
                  </w:pPr>
                </w:p>
              </w:tc>
            </w:tr>
            <w:tr w14:paraId="2B812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51093207">
                  <w:pPr>
                    <w:jc w:val="center"/>
                    <w:rPr>
                      <w:rFonts w:ascii="Times New Roman" w:hAnsi="Times New Roman"/>
                      <w:b w:val="0"/>
                      <w:bCs w:val="0"/>
                      <w:color w:val="auto"/>
                      <w:szCs w:val="21"/>
                    </w:rPr>
                  </w:pPr>
                </w:p>
              </w:tc>
              <w:tc>
                <w:tcPr>
                  <w:tcW w:w="428" w:type="pct"/>
                  <w:vMerge w:val="continue"/>
                  <w:noWrap w:val="0"/>
                  <w:vAlign w:val="center"/>
                </w:tcPr>
                <w:p w14:paraId="63F9594E">
                  <w:pPr>
                    <w:jc w:val="center"/>
                    <w:rPr>
                      <w:rFonts w:ascii="Times New Roman" w:hAnsi="Times New Roman"/>
                      <w:b w:val="0"/>
                      <w:bCs w:val="0"/>
                      <w:color w:val="auto"/>
                      <w:szCs w:val="21"/>
                    </w:rPr>
                  </w:pPr>
                </w:p>
              </w:tc>
              <w:tc>
                <w:tcPr>
                  <w:tcW w:w="428" w:type="pct"/>
                  <w:vMerge w:val="continue"/>
                  <w:noWrap w:val="0"/>
                  <w:vAlign w:val="center"/>
                </w:tcPr>
                <w:p w14:paraId="2D1482AF">
                  <w:pPr>
                    <w:jc w:val="center"/>
                    <w:rPr>
                      <w:rFonts w:ascii="Times New Roman" w:hAnsi="Times New Roman"/>
                      <w:b w:val="0"/>
                      <w:bCs w:val="0"/>
                      <w:color w:val="auto"/>
                      <w:szCs w:val="21"/>
                    </w:rPr>
                  </w:pPr>
                </w:p>
              </w:tc>
              <w:tc>
                <w:tcPr>
                  <w:tcW w:w="1431" w:type="pct"/>
                  <w:gridSpan w:val="2"/>
                  <w:noWrap w:val="0"/>
                  <w:vAlign w:val="center"/>
                </w:tcPr>
                <w:p w14:paraId="399D6AEE">
                  <w:pPr>
                    <w:jc w:val="center"/>
                    <w:rPr>
                      <w:rFonts w:ascii="Times New Roman" w:hAnsi="Times New Roman"/>
                      <w:b w:val="0"/>
                      <w:bCs w:val="0"/>
                      <w:color w:val="auto"/>
                      <w:szCs w:val="21"/>
                    </w:rPr>
                  </w:pPr>
                  <w:r>
                    <w:rPr>
                      <w:rFonts w:ascii="Times New Roman" w:hAnsi="Times New Roman"/>
                      <w:b w:val="0"/>
                      <w:bCs w:val="0"/>
                      <w:color w:val="auto"/>
                      <w:szCs w:val="21"/>
                    </w:rPr>
                    <w:t>烟气流速（m/s）</w:t>
                  </w:r>
                </w:p>
              </w:tc>
              <w:tc>
                <w:tcPr>
                  <w:tcW w:w="464" w:type="pct"/>
                  <w:noWrap w:val="0"/>
                  <w:vAlign w:val="center"/>
                </w:tcPr>
                <w:p w14:paraId="6603C0B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11.5</w:t>
                  </w:r>
                </w:p>
              </w:tc>
              <w:tc>
                <w:tcPr>
                  <w:tcW w:w="465" w:type="pct"/>
                  <w:noWrap w:val="0"/>
                  <w:vAlign w:val="center"/>
                </w:tcPr>
                <w:p w14:paraId="7CA4318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11.6</w:t>
                  </w:r>
                </w:p>
              </w:tc>
              <w:tc>
                <w:tcPr>
                  <w:tcW w:w="465" w:type="pct"/>
                  <w:noWrap w:val="0"/>
                  <w:vAlign w:val="center"/>
                </w:tcPr>
                <w:p w14:paraId="3310B53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11.6</w:t>
                  </w:r>
                </w:p>
              </w:tc>
              <w:tc>
                <w:tcPr>
                  <w:tcW w:w="467" w:type="pct"/>
                  <w:noWrap w:val="0"/>
                  <w:vAlign w:val="center"/>
                </w:tcPr>
                <w:p w14:paraId="0E63DD62">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11.6 </w:t>
                  </w:r>
                </w:p>
              </w:tc>
              <w:tc>
                <w:tcPr>
                  <w:tcW w:w="423" w:type="pct"/>
                  <w:vMerge w:val="continue"/>
                  <w:noWrap w:val="0"/>
                  <w:vAlign w:val="center"/>
                </w:tcPr>
                <w:p w14:paraId="004E1C40">
                  <w:pPr>
                    <w:widowControl/>
                    <w:jc w:val="center"/>
                    <w:textAlignment w:val="center"/>
                    <w:rPr>
                      <w:rFonts w:ascii="Times New Roman" w:hAnsi="Times New Roman"/>
                      <w:b w:val="0"/>
                      <w:bCs w:val="0"/>
                      <w:color w:val="auto"/>
                      <w:szCs w:val="21"/>
                    </w:rPr>
                  </w:pPr>
                </w:p>
              </w:tc>
            </w:tr>
            <w:tr w14:paraId="6DD8E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62B21A3E">
                  <w:pPr>
                    <w:jc w:val="center"/>
                    <w:rPr>
                      <w:rFonts w:ascii="Times New Roman" w:hAnsi="Times New Roman"/>
                      <w:b w:val="0"/>
                      <w:bCs w:val="0"/>
                      <w:color w:val="auto"/>
                      <w:szCs w:val="21"/>
                    </w:rPr>
                  </w:pPr>
                </w:p>
              </w:tc>
              <w:tc>
                <w:tcPr>
                  <w:tcW w:w="428" w:type="pct"/>
                  <w:vMerge w:val="continue"/>
                  <w:noWrap w:val="0"/>
                  <w:vAlign w:val="center"/>
                </w:tcPr>
                <w:p w14:paraId="21E92C8B">
                  <w:pPr>
                    <w:jc w:val="center"/>
                    <w:rPr>
                      <w:rFonts w:ascii="Times New Roman" w:hAnsi="Times New Roman"/>
                      <w:b w:val="0"/>
                      <w:bCs w:val="0"/>
                      <w:color w:val="auto"/>
                      <w:szCs w:val="21"/>
                    </w:rPr>
                  </w:pPr>
                </w:p>
              </w:tc>
              <w:tc>
                <w:tcPr>
                  <w:tcW w:w="428" w:type="pct"/>
                  <w:vMerge w:val="continue"/>
                  <w:noWrap w:val="0"/>
                  <w:vAlign w:val="center"/>
                </w:tcPr>
                <w:p w14:paraId="249D94D9">
                  <w:pPr>
                    <w:jc w:val="center"/>
                    <w:rPr>
                      <w:rFonts w:ascii="Times New Roman" w:hAnsi="Times New Roman"/>
                      <w:b w:val="0"/>
                      <w:bCs w:val="0"/>
                      <w:color w:val="auto"/>
                      <w:szCs w:val="21"/>
                    </w:rPr>
                  </w:pPr>
                </w:p>
              </w:tc>
              <w:tc>
                <w:tcPr>
                  <w:tcW w:w="1431" w:type="pct"/>
                  <w:gridSpan w:val="2"/>
                  <w:noWrap w:val="0"/>
                  <w:vAlign w:val="center"/>
                </w:tcPr>
                <w:p w14:paraId="2982CC10">
                  <w:pPr>
                    <w:jc w:val="center"/>
                    <w:rPr>
                      <w:rFonts w:ascii="Times New Roman" w:hAnsi="Times New Roman"/>
                      <w:b w:val="0"/>
                      <w:bCs w:val="0"/>
                      <w:color w:val="auto"/>
                      <w:szCs w:val="21"/>
                    </w:rPr>
                  </w:pPr>
                  <w:r>
                    <w:rPr>
                      <w:rFonts w:ascii="Times New Roman" w:hAnsi="Times New Roman"/>
                      <w:b w:val="0"/>
                      <w:bCs w:val="0"/>
                      <w:color w:val="auto"/>
                      <w:szCs w:val="21"/>
                    </w:rPr>
                    <w:t>标况流量（m</w:t>
                  </w:r>
                  <w:r>
                    <w:rPr>
                      <w:rFonts w:ascii="Times New Roman" w:hAnsi="Times New Roman"/>
                      <w:b w:val="0"/>
                      <w:bCs w:val="0"/>
                      <w:color w:val="auto"/>
                      <w:szCs w:val="21"/>
                      <w:vertAlign w:val="superscript"/>
                    </w:rPr>
                    <w:t>3</w:t>
                  </w:r>
                  <w:r>
                    <w:rPr>
                      <w:rFonts w:ascii="Times New Roman" w:hAnsi="Times New Roman"/>
                      <w:b w:val="0"/>
                      <w:bCs w:val="0"/>
                      <w:color w:val="auto"/>
                      <w:szCs w:val="21"/>
                    </w:rPr>
                    <w:t>/h）</w:t>
                  </w:r>
                </w:p>
              </w:tc>
              <w:tc>
                <w:tcPr>
                  <w:tcW w:w="464" w:type="pct"/>
                  <w:noWrap w:val="0"/>
                  <w:vAlign w:val="center"/>
                </w:tcPr>
                <w:p w14:paraId="54D9C9EA">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26236</w:t>
                  </w:r>
                </w:p>
              </w:tc>
              <w:tc>
                <w:tcPr>
                  <w:tcW w:w="465" w:type="pct"/>
                  <w:noWrap w:val="0"/>
                  <w:vAlign w:val="center"/>
                </w:tcPr>
                <w:p w14:paraId="185301C0">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25643</w:t>
                  </w:r>
                </w:p>
              </w:tc>
              <w:tc>
                <w:tcPr>
                  <w:tcW w:w="465" w:type="pct"/>
                  <w:noWrap w:val="0"/>
                  <w:vAlign w:val="center"/>
                </w:tcPr>
                <w:p w14:paraId="69B57395">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25517</w:t>
                  </w:r>
                </w:p>
              </w:tc>
              <w:tc>
                <w:tcPr>
                  <w:tcW w:w="467" w:type="pct"/>
                  <w:noWrap w:val="0"/>
                  <w:vAlign w:val="center"/>
                </w:tcPr>
                <w:p w14:paraId="6F72741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25799 </w:t>
                  </w:r>
                </w:p>
              </w:tc>
              <w:tc>
                <w:tcPr>
                  <w:tcW w:w="423" w:type="pct"/>
                  <w:vMerge w:val="continue"/>
                  <w:noWrap w:val="0"/>
                  <w:vAlign w:val="center"/>
                </w:tcPr>
                <w:p w14:paraId="66E9DA5D">
                  <w:pPr>
                    <w:widowControl/>
                    <w:jc w:val="center"/>
                    <w:textAlignment w:val="center"/>
                    <w:rPr>
                      <w:rFonts w:ascii="Times New Roman" w:hAnsi="Times New Roman"/>
                      <w:b w:val="0"/>
                      <w:bCs w:val="0"/>
                      <w:color w:val="auto"/>
                      <w:szCs w:val="21"/>
                    </w:rPr>
                  </w:pPr>
                </w:p>
              </w:tc>
            </w:tr>
            <w:tr w14:paraId="6370A0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4914B10E">
                  <w:pPr>
                    <w:jc w:val="center"/>
                    <w:rPr>
                      <w:rFonts w:ascii="Times New Roman" w:hAnsi="Times New Roman"/>
                      <w:b w:val="0"/>
                      <w:bCs w:val="0"/>
                      <w:color w:val="auto"/>
                      <w:szCs w:val="21"/>
                    </w:rPr>
                  </w:pPr>
                </w:p>
              </w:tc>
              <w:tc>
                <w:tcPr>
                  <w:tcW w:w="428" w:type="pct"/>
                  <w:vMerge w:val="continue"/>
                  <w:noWrap w:val="0"/>
                  <w:vAlign w:val="center"/>
                </w:tcPr>
                <w:p w14:paraId="2EB27AEA">
                  <w:pPr>
                    <w:jc w:val="center"/>
                    <w:rPr>
                      <w:rFonts w:ascii="Times New Roman" w:hAnsi="Times New Roman"/>
                      <w:b w:val="0"/>
                      <w:bCs w:val="0"/>
                      <w:color w:val="auto"/>
                      <w:szCs w:val="21"/>
                    </w:rPr>
                  </w:pPr>
                </w:p>
              </w:tc>
              <w:tc>
                <w:tcPr>
                  <w:tcW w:w="428" w:type="pct"/>
                  <w:vMerge w:val="continue"/>
                  <w:noWrap w:val="0"/>
                  <w:vAlign w:val="center"/>
                </w:tcPr>
                <w:p w14:paraId="1ACFEE3C">
                  <w:pPr>
                    <w:jc w:val="center"/>
                    <w:rPr>
                      <w:rFonts w:ascii="Times New Roman" w:hAnsi="Times New Roman"/>
                      <w:b w:val="0"/>
                      <w:bCs w:val="0"/>
                      <w:color w:val="auto"/>
                      <w:szCs w:val="21"/>
                    </w:rPr>
                  </w:pPr>
                </w:p>
              </w:tc>
              <w:tc>
                <w:tcPr>
                  <w:tcW w:w="428" w:type="pct"/>
                  <w:vMerge w:val="restart"/>
                  <w:noWrap w:val="0"/>
                  <w:vAlign w:val="center"/>
                </w:tcPr>
                <w:p w14:paraId="00ECCE15">
                  <w:pPr>
                    <w:jc w:val="center"/>
                    <w:rPr>
                      <w:rFonts w:ascii="Times New Roman" w:hAnsi="Times New Roman"/>
                      <w:b w:val="0"/>
                      <w:bCs w:val="0"/>
                      <w:color w:val="auto"/>
                      <w:szCs w:val="21"/>
                    </w:rPr>
                  </w:pPr>
                  <w:r>
                    <w:rPr>
                      <w:rFonts w:ascii="Times New Roman" w:hAnsi="Times New Roman"/>
                      <w:b w:val="0"/>
                      <w:bCs w:val="0"/>
                      <w:color w:val="auto"/>
                      <w:szCs w:val="21"/>
                    </w:rPr>
                    <w:t>颗粒物</w:t>
                  </w:r>
                </w:p>
              </w:tc>
              <w:tc>
                <w:tcPr>
                  <w:tcW w:w="1003" w:type="pct"/>
                  <w:noWrap w:val="0"/>
                  <w:vAlign w:val="center"/>
                </w:tcPr>
                <w:p w14:paraId="6F762C20">
                  <w:pPr>
                    <w:jc w:val="center"/>
                    <w:rPr>
                      <w:rFonts w:ascii="Times New Roman" w:hAnsi="Times New Roman"/>
                      <w:b w:val="0"/>
                      <w:bCs w:val="0"/>
                      <w:color w:val="auto"/>
                      <w:szCs w:val="21"/>
                    </w:rPr>
                  </w:pPr>
                  <w:r>
                    <w:rPr>
                      <w:rFonts w:ascii="Times New Roman" w:hAnsi="Times New Roman"/>
                      <w:b w:val="0"/>
                      <w:bCs w:val="0"/>
                      <w:color w:val="auto"/>
                      <w:szCs w:val="21"/>
                    </w:rPr>
                    <w:t>排放浓度（mg/m</w:t>
                  </w:r>
                  <w:r>
                    <w:rPr>
                      <w:rFonts w:ascii="Times New Roman" w:hAnsi="Times New Roman"/>
                      <w:b w:val="0"/>
                      <w:bCs w:val="0"/>
                      <w:color w:val="auto"/>
                      <w:szCs w:val="21"/>
                      <w:vertAlign w:val="superscript"/>
                    </w:rPr>
                    <w:t>3</w:t>
                  </w:r>
                  <w:r>
                    <w:rPr>
                      <w:rFonts w:ascii="Times New Roman" w:hAnsi="Times New Roman"/>
                      <w:b w:val="0"/>
                      <w:bCs w:val="0"/>
                      <w:color w:val="auto"/>
                      <w:szCs w:val="21"/>
                    </w:rPr>
                    <w:t>）</w:t>
                  </w:r>
                </w:p>
              </w:tc>
              <w:tc>
                <w:tcPr>
                  <w:tcW w:w="464" w:type="pct"/>
                  <w:noWrap w:val="0"/>
                  <w:vAlign w:val="center"/>
                </w:tcPr>
                <w:p w14:paraId="33A9654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6.9</w:t>
                  </w:r>
                </w:p>
              </w:tc>
              <w:tc>
                <w:tcPr>
                  <w:tcW w:w="465" w:type="pct"/>
                  <w:noWrap w:val="0"/>
                  <w:vAlign w:val="center"/>
                </w:tcPr>
                <w:p w14:paraId="69FFE42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8.3</w:t>
                  </w:r>
                </w:p>
              </w:tc>
              <w:tc>
                <w:tcPr>
                  <w:tcW w:w="465" w:type="pct"/>
                  <w:noWrap w:val="0"/>
                  <w:vAlign w:val="center"/>
                </w:tcPr>
                <w:p w14:paraId="2745556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7.7</w:t>
                  </w:r>
                </w:p>
              </w:tc>
              <w:tc>
                <w:tcPr>
                  <w:tcW w:w="467" w:type="pct"/>
                  <w:noWrap w:val="0"/>
                  <w:vAlign w:val="center"/>
                </w:tcPr>
                <w:p w14:paraId="5995069E">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7.6 </w:t>
                  </w:r>
                </w:p>
              </w:tc>
              <w:tc>
                <w:tcPr>
                  <w:tcW w:w="423" w:type="pct"/>
                  <w:noWrap w:val="0"/>
                  <w:vAlign w:val="center"/>
                </w:tcPr>
                <w:p w14:paraId="3BEFFE24">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120</w:t>
                  </w:r>
                </w:p>
              </w:tc>
            </w:tr>
            <w:tr w14:paraId="3F626E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26" w:type="pct"/>
                  <w:vMerge w:val="continue"/>
                  <w:noWrap w:val="0"/>
                  <w:vAlign w:val="center"/>
                </w:tcPr>
                <w:p w14:paraId="12CF2FA5">
                  <w:pPr>
                    <w:jc w:val="center"/>
                    <w:rPr>
                      <w:rFonts w:ascii="Times New Roman" w:hAnsi="Times New Roman"/>
                      <w:b w:val="0"/>
                      <w:bCs w:val="0"/>
                      <w:color w:val="auto"/>
                      <w:szCs w:val="21"/>
                    </w:rPr>
                  </w:pPr>
                </w:p>
              </w:tc>
              <w:tc>
                <w:tcPr>
                  <w:tcW w:w="428" w:type="pct"/>
                  <w:vMerge w:val="continue"/>
                  <w:noWrap w:val="0"/>
                  <w:vAlign w:val="center"/>
                </w:tcPr>
                <w:p w14:paraId="3CA2BEC6">
                  <w:pPr>
                    <w:jc w:val="center"/>
                    <w:rPr>
                      <w:rFonts w:ascii="Times New Roman" w:hAnsi="Times New Roman"/>
                      <w:b w:val="0"/>
                      <w:bCs w:val="0"/>
                      <w:color w:val="auto"/>
                      <w:szCs w:val="21"/>
                    </w:rPr>
                  </w:pPr>
                </w:p>
              </w:tc>
              <w:tc>
                <w:tcPr>
                  <w:tcW w:w="428" w:type="pct"/>
                  <w:vMerge w:val="continue"/>
                  <w:noWrap w:val="0"/>
                  <w:vAlign w:val="center"/>
                </w:tcPr>
                <w:p w14:paraId="472FF30A">
                  <w:pPr>
                    <w:jc w:val="center"/>
                    <w:rPr>
                      <w:rFonts w:ascii="Times New Roman" w:hAnsi="Times New Roman"/>
                      <w:b w:val="0"/>
                      <w:bCs w:val="0"/>
                      <w:color w:val="auto"/>
                      <w:szCs w:val="21"/>
                    </w:rPr>
                  </w:pPr>
                </w:p>
              </w:tc>
              <w:tc>
                <w:tcPr>
                  <w:tcW w:w="428" w:type="pct"/>
                  <w:vMerge w:val="continue"/>
                  <w:noWrap w:val="0"/>
                  <w:vAlign w:val="center"/>
                </w:tcPr>
                <w:p w14:paraId="6DAF674D">
                  <w:pPr>
                    <w:jc w:val="center"/>
                    <w:rPr>
                      <w:rFonts w:ascii="Times New Roman" w:hAnsi="Times New Roman"/>
                      <w:b w:val="0"/>
                      <w:bCs w:val="0"/>
                      <w:color w:val="auto"/>
                      <w:szCs w:val="21"/>
                    </w:rPr>
                  </w:pPr>
                </w:p>
              </w:tc>
              <w:tc>
                <w:tcPr>
                  <w:tcW w:w="1003" w:type="pct"/>
                  <w:noWrap w:val="0"/>
                  <w:vAlign w:val="center"/>
                </w:tcPr>
                <w:p w14:paraId="014C796A">
                  <w:pPr>
                    <w:jc w:val="center"/>
                    <w:rPr>
                      <w:rFonts w:ascii="Times New Roman" w:hAnsi="Times New Roman"/>
                      <w:b w:val="0"/>
                      <w:bCs w:val="0"/>
                      <w:color w:val="auto"/>
                      <w:szCs w:val="21"/>
                    </w:rPr>
                  </w:pPr>
                  <w:r>
                    <w:rPr>
                      <w:rFonts w:ascii="Times New Roman" w:hAnsi="Times New Roman"/>
                      <w:b w:val="0"/>
                      <w:bCs w:val="0"/>
                      <w:color w:val="auto"/>
                      <w:szCs w:val="21"/>
                    </w:rPr>
                    <w:t>排放速率（kg/h）</w:t>
                  </w:r>
                </w:p>
              </w:tc>
              <w:tc>
                <w:tcPr>
                  <w:tcW w:w="464" w:type="pct"/>
                  <w:noWrap w:val="0"/>
                  <w:vAlign w:val="center"/>
                </w:tcPr>
                <w:p w14:paraId="705BF496">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0.181 </w:t>
                  </w:r>
                </w:p>
              </w:tc>
              <w:tc>
                <w:tcPr>
                  <w:tcW w:w="465" w:type="pct"/>
                  <w:noWrap w:val="0"/>
                  <w:vAlign w:val="center"/>
                </w:tcPr>
                <w:p w14:paraId="2A99D7DD">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0.213 </w:t>
                  </w:r>
                </w:p>
              </w:tc>
              <w:tc>
                <w:tcPr>
                  <w:tcW w:w="465" w:type="pct"/>
                  <w:noWrap w:val="0"/>
                  <w:vAlign w:val="center"/>
                </w:tcPr>
                <w:p w14:paraId="7A7F39F9">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0.196 </w:t>
                  </w:r>
                </w:p>
              </w:tc>
              <w:tc>
                <w:tcPr>
                  <w:tcW w:w="467" w:type="pct"/>
                  <w:noWrap w:val="0"/>
                  <w:vAlign w:val="center"/>
                </w:tcPr>
                <w:p w14:paraId="1B49E4FC">
                  <w:pPr>
                    <w:widowControl/>
                    <w:jc w:val="center"/>
                    <w:textAlignment w:val="center"/>
                    <w:rPr>
                      <w:rFonts w:ascii="Times New Roman" w:hAnsi="Times New Roman"/>
                      <w:b w:val="0"/>
                      <w:bCs w:val="0"/>
                      <w:color w:val="auto"/>
                      <w:kern w:val="0"/>
                      <w:szCs w:val="21"/>
                      <w:lang w:bidi="ar"/>
                    </w:rPr>
                  </w:pPr>
                  <w:r>
                    <w:rPr>
                      <w:rFonts w:ascii="Times New Roman" w:hAnsi="Times New Roman"/>
                      <w:b w:val="0"/>
                      <w:bCs w:val="0"/>
                      <w:color w:val="auto"/>
                      <w:kern w:val="0"/>
                      <w:szCs w:val="21"/>
                      <w:lang w:bidi="ar"/>
                    </w:rPr>
                    <w:t xml:space="preserve">0.197 </w:t>
                  </w:r>
                </w:p>
              </w:tc>
              <w:tc>
                <w:tcPr>
                  <w:tcW w:w="423" w:type="pct"/>
                  <w:noWrap w:val="0"/>
                  <w:vAlign w:val="center"/>
                </w:tcPr>
                <w:p w14:paraId="645D3ED6">
                  <w:pPr>
                    <w:widowControl/>
                    <w:jc w:val="center"/>
                    <w:textAlignment w:val="center"/>
                    <w:rPr>
                      <w:rFonts w:ascii="Times New Roman" w:hAnsi="Times New Roman"/>
                      <w:b w:val="0"/>
                      <w:bCs w:val="0"/>
                      <w:color w:val="auto"/>
                      <w:szCs w:val="21"/>
                    </w:rPr>
                  </w:pPr>
                  <w:r>
                    <w:rPr>
                      <w:rFonts w:ascii="Times New Roman" w:hAnsi="Times New Roman"/>
                      <w:b w:val="0"/>
                      <w:bCs w:val="0"/>
                      <w:color w:val="auto"/>
                      <w:szCs w:val="21"/>
                    </w:rPr>
                    <w:t>3.5</w:t>
                  </w:r>
                </w:p>
              </w:tc>
            </w:tr>
          </w:tbl>
          <w:p w14:paraId="0E84D61F">
            <w:pPr>
              <w:pStyle w:val="3"/>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bCs w:val="0"/>
                <w:color w:val="auto"/>
                <w:kern w:val="2"/>
                <w:sz w:val="24"/>
                <w:szCs w:val="24"/>
                <w:lang w:val="en-US" w:eastAsia="zh-CN" w:bidi="ar-SA"/>
              </w:rPr>
              <w:t>表2-</w:t>
            </w:r>
            <w:r>
              <w:rPr>
                <w:rFonts w:hint="eastAsia" w:ascii="Times New Roman" w:hAnsi="Times New Roman" w:eastAsia="宋体" w:cs="Times New Roman"/>
                <w:b/>
                <w:bCs w:val="0"/>
                <w:color w:val="auto"/>
                <w:kern w:val="2"/>
                <w:sz w:val="24"/>
                <w:szCs w:val="24"/>
                <w:lang w:val="en-US" w:eastAsia="zh-CN" w:bidi="ar-SA"/>
              </w:rPr>
              <w:t>12</w:t>
            </w:r>
            <w:r>
              <w:rPr>
                <w:rFonts w:hint="default" w:ascii="Times New Roman" w:hAnsi="Times New Roman" w:eastAsia="宋体" w:cs="Times New Roman"/>
                <w:b/>
                <w:bCs w:val="0"/>
                <w:color w:val="auto"/>
                <w:kern w:val="2"/>
                <w:sz w:val="24"/>
                <w:szCs w:val="24"/>
                <w:lang w:val="en-US" w:eastAsia="zh-CN" w:bidi="ar-SA"/>
              </w:rPr>
              <w:t xml:space="preserve">   </w:t>
            </w:r>
            <w:r>
              <w:rPr>
                <w:rFonts w:hint="eastAsia" w:ascii="Times New Roman" w:hAnsi="Times New Roman" w:eastAsia="宋体" w:cs="Times New Roman"/>
                <w:b/>
                <w:bCs w:val="0"/>
                <w:color w:val="auto"/>
                <w:kern w:val="2"/>
                <w:sz w:val="24"/>
                <w:szCs w:val="24"/>
                <w:lang w:val="en-US" w:eastAsia="zh-CN" w:bidi="ar-SA"/>
              </w:rPr>
              <w:t>现有项目无组织废气排放</w:t>
            </w:r>
            <w:r>
              <w:rPr>
                <w:rFonts w:hint="default" w:ascii="Times New Roman" w:hAnsi="Times New Roman" w:eastAsia="宋体" w:cs="Times New Roman"/>
                <w:b/>
                <w:bCs w:val="0"/>
                <w:color w:val="auto"/>
                <w:kern w:val="2"/>
                <w:sz w:val="24"/>
                <w:szCs w:val="24"/>
                <w:lang w:val="en-US" w:eastAsia="zh-CN" w:bidi="ar-SA"/>
              </w:rPr>
              <w:t>情况</w:t>
            </w:r>
            <w:r>
              <w:rPr>
                <w:rFonts w:hint="eastAsia" w:ascii="Times New Roman" w:hAnsi="Times New Roman" w:eastAsia="宋体" w:cs="Times New Roman"/>
                <w:b/>
                <w:bCs w:val="0"/>
                <w:color w:val="auto"/>
                <w:kern w:val="2"/>
                <w:sz w:val="24"/>
                <w:szCs w:val="24"/>
                <w:lang w:val="en-US" w:eastAsia="zh-CN" w:bidi="ar-SA"/>
              </w:rPr>
              <w:t xml:space="preserve">   </w:t>
            </w:r>
            <w:r>
              <w:rPr>
                <w:rFonts w:hint="eastAsia" w:ascii="Times New Roman" w:hAnsi="Times New Roman" w:eastAsia="宋体" w:cs="Times New Roman"/>
                <w:b w:val="0"/>
                <w:bCs/>
                <w:color w:val="auto"/>
                <w:kern w:val="2"/>
                <w:sz w:val="24"/>
                <w:szCs w:val="24"/>
                <w:lang w:val="en-US" w:eastAsia="zh-CN" w:bidi="ar-SA"/>
              </w:rPr>
              <w:t>（单位：</w:t>
            </w:r>
            <w:r>
              <w:rPr>
                <w:rFonts w:hint="default" w:ascii="Times New Roman" w:hAnsi="Times New Roman" w:eastAsia="宋体" w:cs="Times New Roman"/>
                <w:b w:val="0"/>
                <w:bCs/>
                <w:color w:val="auto"/>
                <w:sz w:val="24"/>
                <w:szCs w:val="24"/>
                <w:vertAlign w:val="baseline"/>
                <w:lang w:val="en-US" w:eastAsia="zh-CN"/>
              </w:rPr>
              <w:t>mg/m³</w:t>
            </w:r>
            <w:r>
              <w:rPr>
                <w:rFonts w:hint="eastAsia" w:ascii="Times New Roman" w:hAnsi="Times New Roman" w:eastAsia="宋体" w:cs="Times New Roman"/>
                <w:b w:val="0"/>
                <w:bCs/>
                <w:color w:val="auto"/>
                <w:kern w:val="2"/>
                <w:sz w:val="24"/>
                <w:szCs w:val="24"/>
                <w:lang w:val="en-US" w:eastAsia="zh-CN" w:bidi="ar-SA"/>
              </w:rPr>
              <w:t>）</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144"/>
              <w:gridCol w:w="1097"/>
              <w:gridCol w:w="1052"/>
              <w:gridCol w:w="1053"/>
              <w:gridCol w:w="1052"/>
              <w:gridCol w:w="1053"/>
              <w:gridCol w:w="1059"/>
            </w:tblGrid>
            <w:tr w14:paraId="4D636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restart"/>
                  <w:noWrap w:val="0"/>
                  <w:vAlign w:val="center"/>
                </w:tcPr>
                <w:p w14:paraId="296605C0">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监测项目</w:t>
                  </w:r>
                </w:p>
              </w:tc>
              <w:tc>
                <w:tcPr>
                  <w:tcW w:w="1181" w:type="dxa"/>
                  <w:vMerge w:val="restart"/>
                  <w:noWrap w:val="0"/>
                  <w:vAlign w:val="center"/>
                </w:tcPr>
                <w:p w14:paraId="434EAA53">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监测日期</w:t>
                  </w:r>
                </w:p>
              </w:tc>
              <w:tc>
                <w:tcPr>
                  <w:tcW w:w="1182" w:type="dxa"/>
                  <w:vMerge w:val="restart"/>
                  <w:noWrap w:val="0"/>
                  <w:vAlign w:val="center"/>
                </w:tcPr>
                <w:p w14:paraId="61F35EC4">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监测频次</w:t>
                  </w:r>
                </w:p>
              </w:tc>
              <w:tc>
                <w:tcPr>
                  <w:tcW w:w="4394" w:type="dxa"/>
                  <w:gridSpan w:val="4"/>
                  <w:noWrap w:val="0"/>
                  <w:vAlign w:val="center"/>
                </w:tcPr>
                <w:p w14:paraId="457F3C78">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监测点位及结果</w:t>
                  </w:r>
                </w:p>
              </w:tc>
              <w:tc>
                <w:tcPr>
                  <w:tcW w:w="1132" w:type="dxa"/>
                  <w:vMerge w:val="restart"/>
                  <w:noWrap w:val="0"/>
                  <w:vAlign w:val="center"/>
                </w:tcPr>
                <w:p w14:paraId="734EAC9D">
                  <w:pPr>
                    <w:snapToGrid w:val="0"/>
                    <w:spacing w:line="300" w:lineRule="exact"/>
                    <w:jc w:val="center"/>
                    <w:rPr>
                      <w:rFonts w:ascii="Times New Roman" w:hAnsi="Times New Roman"/>
                      <w:b w:val="0"/>
                      <w:bCs/>
                      <w:color w:val="auto"/>
                      <w:szCs w:val="21"/>
                    </w:rPr>
                  </w:pPr>
                  <w:r>
                    <w:rPr>
                      <w:rFonts w:ascii="Times New Roman" w:hAnsi="Times New Roman"/>
                      <w:b w:val="0"/>
                      <w:bCs/>
                      <w:color w:val="auto"/>
                      <w:szCs w:val="21"/>
                    </w:rPr>
                    <w:t>标准限值</w:t>
                  </w:r>
                </w:p>
              </w:tc>
            </w:tr>
            <w:tr w14:paraId="1B602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1E99B11B">
                  <w:pPr>
                    <w:snapToGrid w:val="0"/>
                    <w:spacing w:line="300" w:lineRule="exact"/>
                    <w:ind w:left="-105" w:leftChars="-50" w:right="-105" w:rightChars="-50"/>
                    <w:jc w:val="center"/>
                    <w:rPr>
                      <w:rFonts w:ascii="Times New Roman" w:hAnsi="Times New Roman"/>
                      <w:b w:val="0"/>
                      <w:bCs/>
                      <w:color w:val="auto"/>
                      <w:szCs w:val="21"/>
                    </w:rPr>
                  </w:pPr>
                </w:p>
              </w:tc>
              <w:tc>
                <w:tcPr>
                  <w:tcW w:w="1181" w:type="dxa"/>
                  <w:vMerge w:val="continue"/>
                  <w:noWrap w:val="0"/>
                  <w:vAlign w:val="center"/>
                </w:tcPr>
                <w:p w14:paraId="218BC930">
                  <w:pPr>
                    <w:snapToGrid w:val="0"/>
                    <w:spacing w:line="300" w:lineRule="exact"/>
                    <w:jc w:val="center"/>
                    <w:rPr>
                      <w:rFonts w:ascii="Times New Roman" w:hAnsi="Times New Roman"/>
                      <w:b w:val="0"/>
                      <w:bCs/>
                      <w:color w:val="auto"/>
                      <w:szCs w:val="21"/>
                    </w:rPr>
                  </w:pPr>
                </w:p>
              </w:tc>
              <w:tc>
                <w:tcPr>
                  <w:tcW w:w="1182" w:type="dxa"/>
                  <w:vMerge w:val="continue"/>
                  <w:noWrap w:val="0"/>
                  <w:vAlign w:val="center"/>
                </w:tcPr>
                <w:p w14:paraId="12A34E69">
                  <w:pPr>
                    <w:snapToGrid w:val="0"/>
                    <w:spacing w:line="300" w:lineRule="exact"/>
                    <w:jc w:val="center"/>
                    <w:rPr>
                      <w:rFonts w:ascii="Times New Roman" w:hAnsi="Times New Roman"/>
                      <w:b w:val="0"/>
                      <w:bCs/>
                      <w:color w:val="auto"/>
                      <w:szCs w:val="21"/>
                    </w:rPr>
                  </w:pPr>
                </w:p>
              </w:tc>
              <w:tc>
                <w:tcPr>
                  <w:tcW w:w="1098" w:type="dxa"/>
                  <w:noWrap w:val="0"/>
                  <w:vAlign w:val="center"/>
                </w:tcPr>
                <w:p w14:paraId="64568F57">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1</w:t>
                  </w:r>
                  <w:r>
                    <w:rPr>
                      <w:rFonts w:ascii="Times New Roman" w:hAnsi="Times New Roman"/>
                      <w:b w:val="0"/>
                      <w:bCs/>
                      <w:color w:val="auto"/>
                      <w:szCs w:val="21"/>
                      <w:vertAlign w:val="superscript"/>
                    </w:rPr>
                    <w:t>#</w:t>
                  </w:r>
                  <w:r>
                    <w:rPr>
                      <w:rFonts w:ascii="Times New Roman" w:hAnsi="Times New Roman"/>
                      <w:b w:val="0"/>
                      <w:bCs/>
                      <w:color w:val="auto"/>
                      <w:szCs w:val="21"/>
                    </w:rPr>
                    <w:t>上风向</w:t>
                  </w:r>
                </w:p>
              </w:tc>
              <w:tc>
                <w:tcPr>
                  <w:tcW w:w="1099" w:type="dxa"/>
                  <w:noWrap w:val="0"/>
                  <w:vAlign w:val="center"/>
                </w:tcPr>
                <w:p w14:paraId="68BAA350">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2</w:t>
                  </w:r>
                  <w:r>
                    <w:rPr>
                      <w:rFonts w:ascii="Times New Roman" w:hAnsi="Times New Roman"/>
                      <w:b w:val="0"/>
                      <w:bCs/>
                      <w:color w:val="auto"/>
                      <w:szCs w:val="21"/>
                      <w:vertAlign w:val="superscript"/>
                    </w:rPr>
                    <w:t>#</w:t>
                  </w:r>
                  <w:r>
                    <w:rPr>
                      <w:rFonts w:ascii="Times New Roman" w:hAnsi="Times New Roman"/>
                      <w:b w:val="0"/>
                      <w:bCs/>
                      <w:color w:val="auto"/>
                      <w:szCs w:val="21"/>
                    </w:rPr>
                    <w:t>下风向</w:t>
                  </w:r>
                </w:p>
              </w:tc>
              <w:tc>
                <w:tcPr>
                  <w:tcW w:w="1098" w:type="dxa"/>
                  <w:noWrap w:val="0"/>
                  <w:vAlign w:val="center"/>
                </w:tcPr>
                <w:p w14:paraId="4145B668">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3</w:t>
                  </w:r>
                  <w:r>
                    <w:rPr>
                      <w:rFonts w:ascii="Times New Roman" w:hAnsi="Times New Roman"/>
                      <w:b w:val="0"/>
                      <w:bCs/>
                      <w:color w:val="auto"/>
                      <w:szCs w:val="21"/>
                      <w:vertAlign w:val="superscript"/>
                    </w:rPr>
                    <w:t>#</w:t>
                  </w:r>
                  <w:r>
                    <w:rPr>
                      <w:rFonts w:ascii="Times New Roman" w:hAnsi="Times New Roman"/>
                      <w:b w:val="0"/>
                      <w:bCs/>
                      <w:color w:val="auto"/>
                      <w:szCs w:val="21"/>
                    </w:rPr>
                    <w:t>下风向</w:t>
                  </w:r>
                </w:p>
              </w:tc>
              <w:tc>
                <w:tcPr>
                  <w:tcW w:w="1099" w:type="dxa"/>
                  <w:noWrap w:val="0"/>
                  <w:vAlign w:val="center"/>
                </w:tcPr>
                <w:p w14:paraId="6035679B">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4</w:t>
                  </w:r>
                  <w:r>
                    <w:rPr>
                      <w:rFonts w:ascii="Times New Roman" w:hAnsi="Times New Roman"/>
                      <w:b w:val="0"/>
                      <w:bCs/>
                      <w:color w:val="auto"/>
                      <w:szCs w:val="21"/>
                      <w:vertAlign w:val="superscript"/>
                    </w:rPr>
                    <w:t>#</w:t>
                  </w:r>
                  <w:r>
                    <w:rPr>
                      <w:rFonts w:ascii="Times New Roman" w:hAnsi="Times New Roman"/>
                      <w:b w:val="0"/>
                      <w:bCs/>
                      <w:color w:val="auto"/>
                      <w:szCs w:val="21"/>
                    </w:rPr>
                    <w:t>下风向</w:t>
                  </w:r>
                </w:p>
              </w:tc>
              <w:tc>
                <w:tcPr>
                  <w:tcW w:w="1132" w:type="dxa"/>
                  <w:vMerge w:val="continue"/>
                  <w:noWrap w:val="0"/>
                  <w:vAlign w:val="center"/>
                </w:tcPr>
                <w:p w14:paraId="75F353D1">
                  <w:pPr>
                    <w:snapToGrid w:val="0"/>
                    <w:spacing w:line="300" w:lineRule="exact"/>
                    <w:jc w:val="center"/>
                    <w:rPr>
                      <w:rFonts w:ascii="Times New Roman" w:hAnsi="Times New Roman"/>
                      <w:b w:val="0"/>
                      <w:bCs/>
                      <w:color w:val="auto"/>
                      <w:szCs w:val="21"/>
                    </w:rPr>
                  </w:pPr>
                </w:p>
              </w:tc>
            </w:tr>
            <w:tr w14:paraId="730E8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restart"/>
                  <w:noWrap w:val="0"/>
                  <w:vAlign w:val="center"/>
                </w:tcPr>
                <w:p w14:paraId="499593E1">
                  <w:pPr>
                    <w:tabs>
                      <w:tab w:val="left" w:pos="480"/>
                    </w:tabs>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颗粒物</w:t>
                  </w:r>
                </w:p>
              </w:tc>
              <w:tc>
                <w:tcPr>
                  <w:tcW w:w="1181" w:type="dxa"/>
                  <w:vMerge w:val="restart"/>
                  <w:noWrap w:val="0"/>
                  <w:vAlign w:val="center"/>
                </w:tcPr>
                <w:p w14:paraId="712843EC">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2021.3.27</w:t>
                  </w:r>
                </w:p>
              </w:tc>
              <w:tc>
                <w:tcPr>
                  <w:tcW w:w="1182" w:type="dxa"/>
                  <w:noWrap w:val="0"/>
                  <w:vAlign w:val="center"/>
                </w:tcPr>
                <w:p w14:paraId="227F9B23">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第一次</w:t>
                  </w:r>
                </w:p>
              </w:tc>
              <w:tc>
                <w:tcPr>
                  <w:tcW w:w="1098" w:type="dxa"/>
                  <w:noWrap w:val="0"/>
                  <w:vAlign w:val="center"/>
                </w:tcPr>
                <w:p w14:paraId="1911DD13">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0.200</w:t>
                  </w:r>
                </w:p>
              </w:tc>
              <w:tc>
                <w:tcPr>
                  <w:tcW w:w="1099" w:type="dxa"/>
                  <w:noWrap w:val="0"/>
                  <w:vAlign w:val="center"/>
                </w:tcPr>
                <w:p w14:paraId="13663299">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0.300</w:t>
                  </w:r>
                </w:p>
              </w:tc>
              <w:tc>
                <w:tcPr>
                  <w:tcW w:w="1098" w:type="dxa"/>
                  <w:noWrap w:val="0"/>
                  <w:vAlign w:val="center"/>
                </w:tcPr>
                <w:p w14:paraId="06F0A52C">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099" w:type="dxa"/>
                  <w:noWrap w:val="0"/>
                  <w:vAlign w:val="center"/>
                </w:tcPr>
                <w:p w14:paraId="5DB1CAF1">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132" w:type="dxa"/>
                  <w:vMerge w:val="restart"/>
                  <w:noWrap w:val="0"/>
                  <w:vAlign w:val="center"/>
                </w:tcPr>
                <w:p w14:paraId="6666BEC9">
                  <w:pPr>
                    <w:widowControl/>
                    <w:jc w:val="center"/>
                    <w:textAlignment w:val="center"/>
                    <w:rPr>
                      <w:rFonts w:ascii="Times New Roman" w:hAnsi="Times New Roman"/>
                      <w:b w:val="0"/>
                      <w:bCs/>
                      <w:color w:val="auto"/>
                      <w:szCs w:val="21"/>
                    </w:rPr>
                  </w:pPr>
                  <w:r>
                    <w:rPr>
                      <w:rFonts w:ascii="Times New Roman" w:hAnsi="Times New Roman"/>
                      <w:b w:val="0"/>
                      <w:bCs/>
                      <w:color w:val="auto"/>
                      <w:szCs w:val="21"/>
                    </w:rPr>
                    <w:t>1.0</w:t>
                  </w:r>
                </w:p>
              </w:tc>
            </w:tr>
            <w:tr w14:paraId="49DF4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64471773">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1B076F23">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2BFF577A">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第二次</w:t>
                  </w:r>
                </w:p>
              </w:tc>
              <w:tc>
                <w:tcPr>
                  <w:tcW w:w="1098" w:type="dxa"/>
                  <w:noWrap w:val="0"/>
                  <w:vAlign w:val="center"/>
                </w:tcPr>
                <w:p w14:paraId="261958D6">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0.217</w:t>
                  </w:r>
                </w:p>
              </w:tc>
              <w:tc>
                <w:tcPr>
                  <w:tcW w:w="1099" w:type="dxa"/>
                  <w:noWrap w:val="0"/>
                  <w:vAlign w:val="center"/>
                </w:tcPr>
                <w:p w14:paraId="56F1E94D">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098" w:type="dxa"/>
                  <w:noWrap w:val="0"/>
                  <w:vAlign w:val="center"/>
                </w:tcPr>
                <w:p w14:paraId="31750CE2">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0.333</w:t>
                  </w:r>
                </w:p>
              </w:tc>
              <w:tc>
                <w:tcPr>
                  <w:tcW w:w="1099" w:type="dxa"/>
                  <w:noWrap w:val="0"/>
                  <w:vAlign w:val="center"/>
                </w:tcPr>
                <w:p w14:paraId="69733716">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132" w:type="dxa"/>
                  <w:vMerge w:val="continue"/>
                  <w:noWrap w:val="0"/>
                  <w:vAlign w:val="center"/>
                </w:tcPr>
                <w:p w14:paraId="27BB6271">
                  <w:pPr>
                    <w:widowControl/>
                    <w:jc w:val="center"/>
                    <w:textAlignment w:val="center"/>
                    <w:rPr>
                      <w:rFonts w:ascii="Times New Roman" w:hAnsi="Times New Roman"/>
                      <w:b w:val="0"/>
                      <w:bCs/>
                      <w:color w:val="auto"/>
                      <w:szCs w:val="21"/>
                    </w:rPr>
                  </w:pPr>
                </w:p>
              </w:tc>
            </w:tr>
            <w:tr w14:paraId="11918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69DDD8AD">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1E156377">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3C26B213">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第三次</w:t>
                  </w:r>
                </w:p>
              </w:tc>
              <w:tc>
                <w:tcPr>
                  <w:tcW w:w="1098" w:type="dxa"/>
                  <w:noWrap w:val="0"/>
                  <w:vAlign w:val="center"/>
                </w:tcPr>
                <w:p w14:paraId="43F0E413">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0.183</w:t>
                  </w:r>
                </w:p>
              </w:tc>
              <w:tc>
                <w:tcPr>
                  <w:tcW w:w="1099" w:type="dxa"/>
                  <w:noWrap w:val="0"/>
                  <w:vAlign w:val="center"/>
                </w:tcPr>
                <w:p w14:paraId="3C88ADB0">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0.333</w:t>
                  </w:r>
                </w:p>
              </w:tc>
              <w:tc>
                <w:tcPr>
                  <w:tcW w:w="1098" w:type="dxa"/>
                  <w:noWrap w:val="0"/>
                  <w:vAlign w:val="center"/>
                </w:tcPr>
                <w:p w14:paraId="678A30D8">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0.350</w:t>
                  </w:r>
                </w:p>
              </w:tc>
              <w:tc>
                <w:tcPr>
                  <w:tcW w:w="1099" w:type="dxa"/>
                  <w:noWrap w:val="0"/>
                  <w:vAlign w:val="center"/>
                </w:tcPr>
                <w:p w14:paraId="19D010F0">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0.317</w:t>
                  </w:r>
                </w:p>
              </w:tc>
              <w:tc>
                <w:tcPr>
                  <w:tcW w:w="1132" w:type="dxa"/>
                  <w:vMerge w:val="continue"/>
                  <w:noWrap w:val="0"/>
                  <w:vAlign w:val="center"/>
                </w:tcPr>
                <w:p w14:paraId="0364FB37">
                  <w:pPr>
                    <w:widowControl/>
                    <w:jc w:val="center"/>
                    <w:textAlignment w:val="center"/>
                    <w:rPr>
                      <w:rFonts w:ascii="Times New Roman" w:hAnsi="Times New Roman"/>
                      <w:b w:val="0"/>
                      <w:bCs/>
                      <w:color w:val="auto"/>
                      <w:szCs w:val="21"/>
                    </w:rPr>
                  </w:pPr>
                </w:p>
              </w:tc>
            </w:tr>
            <w:tr w14:paraId="4099C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1D0DC86F">
                  <w:pPr>
                    <w:snapToGrid w:val="0"/>
                    <w:spacing w:line="300" w:lineRule="exact"/>
                    <w:jc w:val="center"/>
                    <w:rPr>
                      <w:rFonts w:ascii="Times New Roman" w:hAnsi="Times New Roman"/>
                      <w:b w:val="0"/>
                      <w:bCs/>
                      <w:color w:val="auto"/>
                      <w:szCs w:val="21"/>
                    </w:rPr>
                  </w:pPr>
                </w:p>
              </w:tc>
              <w:tc>
                <w:tcPr>
                  <w:tcW w:w="1181" w:type="dxa"/>
                  <w:vMerge w:val="restart"/>
                  <w:noWrap w:val="0"/>
                  <w:vAlign w:val="center"/>
                </w:tcPr>
                <w:p w14:paraId="28695865">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2021.3.28</w:t>
                  </w:r>
                </w:p>
              </w:tc>
              <w:tc>
                <w:tcPr>
                  <w:tcW w:w="1182" w:type="dxa"/>
                  <w:noWrap w:val="0"/>
                  <w:vAlign w:val="center"/>
                </w:tcPr>
                <w:p w14:paraId="3DB42639">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第一次</w:t>
                  </w:r>
                </w:p>
              </w:tc>
              <w:tc>
                <w:tcPr>
                  <w:tcW w:w="1098" w:type="dxa"/>
                  <w:noWrap w:val="0"/>
                  <w:vAlign w:val="center"/>
                </w:tcPr>
                <w:p w14:paraId="0DAEB9CC">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0.417</w:t>
                  </w:r>
                </w:p>
              </w:tc>
              <w:tc>
                <w:tcPr>
                  <w:tcW w:w="1099" w:type="dxa"/>
                  <w:noWrap w:val="0"/>
                  <w:vAlign w:val="center"/>
                </w:tcPr>
                <w:p w14:paraId="160CF62E">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0.550</w:t>
                  </w:r>
                </w:p>
              </w:tc>
              <w:tc>
                <w:tcPr>
                  <w:tcW w:w="1098" w:type="dxa"/>
                  <w:noWrap w:val="0"/>
                  <w:vAlign w:val="center"/>
                </w:tcPr>
                <w:p w14:paraId="245E555C">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099" w:type="dxa"/>
                  <w:noWrap w:val="0"/>
                  <w:vAlign w:val="center"/>
                </w:tcPr>
                <w:p w14:paraId="2FA2C9F1">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132" w:type="dxa"/>
                  <w:vMerge w:val="continue"/>
                  <w:noWrap w:val="0"/>
                  <w:vAlign w:val="center"/>
                </w:tcPr>
                <w:p w14:paraId="390D04BD">
                  <w:pPr>
                    <w:widowControl/>
                    <w:jc w:val="center"/>
                    <w:textAlignment w:val="center"/>
                    <w:rPr>
                      <w:rFonts w:ascii="Times New Roman" w:hAnsi="Times New Roman"/>
                      <w:b w:val="0"/>
                      <w:bCs/>
                      <w:color w:val="auto"/>
                      <w:szCs w:val="21"/>
                    </w:rPr>
                  </w:pPr>
                </w:p>
              </w:tc>
            </w:tr>
            <w:tr w14:paraId="582410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44C7E563">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758402D6">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775E6433">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第二次</w:t>
                  </w:r>
                </w:p>
              </w:tc>
              <w:tc>
                <w:tcPr>
                  <w:tcW w:w="1098" w:type="dxa"/>
                  <w:noWrap w:val="0"/>
                  <w:vAlign w:val="center"/>
                </w:tcPr>
                <w:p w14:paraId="58E13EF3">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0.400</w:t>
                  </w:r>
                </w:p>
              </w:tc>
              <w:tc>
                <w:tcPr>
                  <w:tcW w:w="1099" w:type="dxa"/>
                  <w:noWrap w:val="0"/>
                  <w:vAlign w:val="center"/>
                </w:tcPr>
                <w:p w14:paraId="4F04C088">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098" w:type="dxa"/>
                  <w:noWrap w:val="0"/>
                  <w:vAlign w:val="center"/>
                </w:tcPr>
                <w:p w14:paraId="331668DB">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0.600</w:t>
                  </w:r>
                </w:p>
              </w:tc>
              <w:tc>
                <w:tcPr>
                  <w:tcW w:w="1099" w:type="dxa"/>
                  <w:noWrap w:val="0"/>
                  <w:vAlign w:val="center"/>
                </w:tcPr>
                <w:p w14:paraId="22A624DE">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0.583</w:t>
                  </w:r>
                </w:p>
              </w:tc>
              <w:tc>
                <w:tcPr>
                  <w:tcW w:w="1132" w:type="dxa"/>
                  <w:vMerge w:val="continue"/>
                  <w:noWrap w:val="0"/>
                  <w:vAlign w:val="center"/>
                </w:tcPr>
                <w:p w14:paraId="28BD4623">
                  <w:pPr>
                    <w:widowControl/>
                    <w:jc w:val="center"/>
                    <w:textAlignment w:val="center"/>
                    <w:rPr>
                      <w:rFonts w:ascii="Times New Roman" w:hAnsi="Times New Roman"/>
                      <w:b w:val="0"/>
                      <w:bCs/>
                      <w:color w:val="auto"/>
                      <w:szCs w:val="21"/>
                    </w:rPr>
                  </w:pPr>
                </w:p>
              </w:tc>
            </w:tr>
            <w:tr w14:paraId="5E45F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1" w:type="dxa"/>
                  <w:vMerge w:val="continue"/>
                  <w:noWrap w:val="0"/>
                  <w:vAlign w:val="center"/>
                </w:tcPr>
                <w:p w14:paraId="6D03AD01">
                  <w:pPr>
                    <w:snapToGrid w:val="0"/>
                    <w:spacing w:line="300" w:lineRule="exact"/>
                    <w:jc w:val="center"/>
                    <w:rPr>
                      <w:rFonts w:ascii="Times New Roman" w:hAnsi="Times New Roman"/>
                      <w:b w:val="0"/>
                      <w:bCs/>
                      <w:color w:val="auto"/>
                      <w:szCs w:val="21"/>
                    </w:rPr>
                  </w:pPr>
                </w:p>
              </w:tc>
              <w:tc>
                <w:tcPr>
                  <w:tcW w:w="1181" w:type="dxa"/>
                  <w:vMerge w:val="continue"/>
                  <w:noWrap w:val="0"/>
                  <w:vAlign w:val="center"/>
                </w:tcPr>
                <w:p w14:paraId="4761AA07">
                  <w:pPr>
                    <w:snapToGrid w:val="0"/>
                    <w:spacing w:line="300" w:lineRule="exact"/>
                    <w:ind w:left="-105" w:leftChars="-50" w:right="-105" w:rightChars="-50"/>
                    <w:jc w:val="center"/>
                    <w:rPr>
                      <w:rFonts w:ascii="Times New Roman" w:hAnsi="Times New Roman"/>
                      <w:b w:val="0"/>
                      <w:bCs/>
                      <w:color w:val="auto"/>
                      <w:szCs w:val="21"/>
                    </w:rPr>
                  </w:pPr>
                </w:p>
              </w:tc>
              <w:tc>
                <w:tcPr>
                  <w:tcW w:w="1182" w:type="dxa"/>
                  <w:noWrap w:val="0"/>
                  <w:vAlign w:val="center"/>
                </w:tcPr>
                <w:p w14:paraId="3EB84986">
                  <w:pPr>
                    <w:snapToGrid w:val="0"/>
                    <w:spacing w:line="300" w:lineRule="exact"/>
                    <w:ind w:left="-105" w:leftChars="-50" w:right="-105" w:rightChars="-50"/>
                    <w:jc w:val="center"/>
                    <w:rPr>
                      <w:rFonts w:ascii="Times New Roman" w:hAnsi="Times New Roman"/>
                      <w:b w:val="0"/>
                      <w:bCs/>
                      <w:color w:val="auto"/>
                      <w:szCs w:val="21"/>
                    </w:rPr>
                  </w:pPr>
                  <w:r>
                    <w:rPr>
                      <w:rFonts w:ascii="Times New Roman" w:hAnsi="Times New Roman"/>
                      <w:b w:val="0"/>
                      <w:bCs/>
                      <w:color w:val="auto"/>
                      <w:szCs w:val="21"/>
                    </w:rPr>
                    <w:t>第三次</w:t>
                  </w:r>
                </w:p>
              </w:tc>
              <w:tc>
                <w:tcPr>
                  <w:tcW w:w="1098" w:type="dxa"/>
                  <w:noWrap w:val="0"/>
                  <w:vAlign w:val="center"/>
                </w:tcPr>
                <w:p w14:paraId="188338EF">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0.433</w:t>
                  </w:r>
                </w:p>
              </w:tc>
              <w:tc>
                <w:tcPr>
                  <w:tcW w:w="1099" w:type="dxa"/>
                  <w:noWrap w:val="0"/>
                  <w:vAlign w:val="center"/>
                </w:tcPr>
                <w:p w14:paraId="114F4B34">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098" w:type="dxa"/>
                  <w:noWrap w:val="0"/>
                  <w:vAlign w:val="center"/>
                </w:tcPr>
                <w:p w14:paraId="62F7A5E8">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0.583</w:t>
                  </w:r>
                </w:p>
              </w:tc>
              <w:tc>
                <w:tcPr>
                  <w:tcW w:w="1099" w:type="dxa"/>
                  <w:noWrap w:val="0"/>
                  <w:vAlign w:val="center"/>
                </w:tcPr>
                <w:p w14:paraId="2DA1DED1">
                  <w:pPr>
                    <w:widowControl/>
                    <w:jc w:val="center"/>
                    <w:textAlignment w:val="center"/>
                    <w:rPr>
                      <w:rFonts w:ascii="Times New Roman" w:hAnsi="Times New Roman"/>
                      <w:b w:val="0"/>
                      <w:bCs/>
                      <w:color w:val="auto"/>
                      <w:szCs w:val="21"/>
                    </w:rPr>
                  </w:pPr>
                  <w:r>
                    <w:rPr>
                      <w:rFonts w:ascii="Times New Roman" w:hAnsi="Times New Roman"/>
                      <w:b w:val="0"/>
                      <w:bCs/>
                      <w:color w:val="auto"/>
                      <w:kern w:val="0"/>
                      <w:szCs w:val="21"/>
                      <w:lang w:bidi="ar"/>
                    </w:rPr>
                    <w:t>0.567</w:t>
                  </w:r>
                </w:p>
              </w:tc>
              <w:tc>
                <w:tcPr>
                  <w:tcW w:w="1132" w:type="dxa"/>
                  <w:vMerge w:val="continue"/>
                  <w:noWrap w:val="0"/>
                  <w:vAlign w:val="center"/>
                </w:tcPr>
                <w:p w14:paraId="72BBF5FE">
                  <w:pPr>
                    <w:widowControl/>
                    <w:jc w:val="center"/>
                    <w:textAlignment w:val="center"/>
                    <w:rPr>
                      <w:rFonts w:ascii="Times New Roman" w:hAnsi="Times New Roman"/>
                      <w:b w:val="0"/>
                      <w:bCs/>
                      <w:color w:val="auto"/>
                      <w:szCs w:val="21"/>
                    </w:rPr>
                  </w:pPr>
                </w:p>
              </w:tc>
            </w:tr>
          </w:tbl>
          <w:p w14:paraId="09D32335">
            <w:pPr>
              <w:spacing w:line="360" w:lineRule="auto"/>
              <w:ind w:firstLine="480" w:firstLineChars="200"/>
              <w:rPr>
                <w:rFonts w:hint="eastAsia"/>
                <w:b/>
                <w:bCs/>
                <w:color w:val="auto"/>
                <w:sz w:val="24"/>
              </w:rPr>
            </w:pPr>
            <w:r>
              <w:rPr>
                <w:rFonts w:hint="eastAsia" w:ascii="Times New Roman" w:hAnsi="Times New Roman"/>
                <w:color w:val="auto"/>
                <w:sz w:val="24"/>
                <w:szCs w:val="24"/>
                <w:lang w:val="en-US" w:eastAsia="zh-CN"/>
              </w:rPr>
              <w:t>由以上可知，</w:t>
            </w:r>
            <w:r>
              <w:rPr>
                <w:rFonts w:ascii="Times New Roman" w:hAnsi="Times New Roman"/>
                <w:color w:val="auto"/>
                <w:sz w:val="24"/>
                <w:szCs w:val="24"/>
              </w:rPr>
              <w:t>监测期间</w:t>
            </w:r>
            <w:r>
              <w:rPr>
                <w:rFonts w:hint="eastAsia" w:ascii="Times New Roman" w:hAnsi="Times New Roman"/>
                <w:color w:val="auto"/>
                <w:sz w:val="24"/>
                <w:szCs w:val="24"/>
              </w:rPr>
              <w:t>各个工段颗粒物的排放浓度和排放速率均符合《大气污染物综合排放标准》（GB 16297-1996）表2二级标准限值要求。</w:t>
            </w:r>
            <w:r>
              <w:rPr>
                <w:rFonts w:ascii="Times New Roman" w:hAnsi="Times New Roman"/>
                <w:color w:val="auto"/>
                <w:sz w:val="24"/>
                <w:szCs w:val="24"/>
              </w:rPr>
              <w:t>项目厂界</w:t>
            </w:r>
            <w:r>
              <w:rPr>
                <w:rFonts w:hint="eastAsia" w:ascii="Times New Roman" w:hAnsi="Times New Roman"/>
                <w:color w:val="auto"/>
                <w:sz w:val="24"/>
                <w:szCs w:val="24"/>
              </w:rPr>
              <w:t>上、下风向</w:t>
            </w:r>
            <w:r>
              <w:rPr>
                <w:rFonts w:ascii="Times New Roman" w:hAnsi="Times New Roman"/>
                <w:color w:val="auto"/>
                <w:sz w:val="24"/>
                <w:szCs w:val="24"/>
              </w:rPr>
              <w:t>无组织</w:t>
            </w:r>
            <w:r>
              <w:rPr>
                <w:rFonts w:hint="eastAsia" w:ascii="Times New Roman" w:hAnsi="Times New Roman"/>
                <w:color w:val="auto"/>
                <w:sz w:val="24"/>
                <w:szCs w:val="24"/>
              </w:rPr>
              <w:t>颗粒物厂界最大浓度点为</w:t>
            </w:r>
            <w:r>
              <w:rPr>
                <w:rFonts w:ascii="Times New Roman" w:hAnsi="Times New Roman"/>
                <w:color w:val="auto"/>
                <w:sz w:val="24"/>
                <w:szCs w:val="24"/>
              </w:rPr>
              <w:t xml:space="preserve">0.600 </w:t>
            </w:r>
            <w:r>
              <w:rPr>
                <w:rFonts w:hint="eastAsia" w:ascii="Times New Roman" w:hAnsi="Times New Roman"/>
                <w:color w:val="auto"/>
                <w:sz w:val="24"/>
                <w:szCs w:val="24"/>
              </w:rPr>
              <w:t>mg/m</w:t>
            </w:r>
            <w:r>
              <w:rPr>
                <w:rFonts w:ascii="Times New Roman" w:hAnsi="Times New Roman"/>
                <w:color w:val="auto"/>
                <w:sz w:val="24"/>
                <w:szCs w:val="24"/>
                <w:vertAlign w:val="superscript"/>
              </w:rPr>
              <w:t>3</w:t>
            </w:r>
            <w:r>
              <w:rPr>
                <w:rFonts w:hint="eastAsia" w:ascii="Times New Roman" w:hAnsi="Times New Roman"/>
                <w:color w:val="auto"/>
                <w:sz w:val="24"/>
                <w:szCs w:val="24"/>
              </w:rPr>
              <w:t>，排放浓度符合《大气污染物综合排放标准》（GB 16297-1996）表2无组织标准要求</w:t>
            </w:r>
            <w:r>
              <w:rPr>
                <w:rFonts w:hint="eastAsia" w:ascii="Times New Roman" w:hAnsi="Times New Roman"/>
                <w:iCs/>
                <w:color w:val="auto"/>
                <w:sz w:val="24"/>
                <w:szCs w:val="24"/>
              </w:rPr>
              <w:t>。</w:t>
            </w:r>
          </w:p>
          <w:p w14:paraId="746E4765">
            <w:pPr>
              <w:spacing w:line="360" w:lineRule="auto"/>
              <w:ind w:firstLine="482" w:firstLineChars="200"/>
              <w:rPr>
                <w:b/>
                <w:bCs/>
                <w:color w:val="auto"/>
                <w:sz w:val="24"/>
              </w:rPr>
            </w:pPr>
            <w:r>
              <w:rPr>
                <w:rFonts w:hint="eastAsia"/>
                <w:b/>
                <w:bCs/>
                <w:color w:val="auto"/>
                <w:sz w:val="24"/>
              </w:rPr>
              <w:t>2、废水</w:t>
            </w:r>
          </w:p>
          <w:p w14:paraId="79161F22">
            <w:pPr>
              <w:spacing w:line="360" w:lineRule="auto"/>
              <w:ind w:firstLine="480" w:firstLineChars="200"/>
              <w:rPr>
                <w:color w:val="auto"/>
                <w:sz w:val="24"/>
              </w:rPr>
            </w:pPr>
            <w:r>
              <w:rPr>
                <w:rFonts w:hint="eastAsia"/>
                <w:bCs/>
                <w:color w:val="auto"/>
                <w:sz w:val="24"/>
              </w:rPr>
              <w:t>原有项目废水主要为生活污水、食堂废水、</w:t>
            </w:r>
            <w:r>
              <w:rPr>
                <w:rFonts w:hint="eastAsia"/>
                <w:bCs/>
                <w:color w:val="auto"/>
                <w:sz w:val="24"/>
                <w:lang w:val="en-US" w:eastAsia="zh-CN"/>
              </w:rPr>
              <w:t>洗车</w:t>
            </w:r>
            <w:r>
              <w:rPr>
                <w:rFonts w:hint="eastAsia"/>
                <w:bCs/>
                <w:color w:val="auto"/>
                <w:sz w:val="24"/>
              </w:rPr>
              <w:t>废水，食堂废水经隔油池处理后，与生活污水混合进入化粪池（容积</w:t>
            </w:r>
            <w:r>
              <w:rPr>
                <w:rFonts w:hint="eastAsia"/>
                <w:bCs/>
                <w:color w:val="auto"/>
                <w:sz w:val="24"/>
                <w:lang w:val="en-US" w:eastAsia="zh-CN"/>
              </w:rPr>
              <w:t>20</w:t>
            </w:r>
            <w:r>
              <w:rPr>
                <w:rFonts w:hint="eastAsia"/>
                <w:bCs/>
                <w:color w:val="auto"/>
                <w:sz w:val="24"/>
              </w:rPr>
              <w:t>m</w:t>
            </w:r>
            <w:r>
              <w:rPr>
                <w:rFonts w:hint="eastAsia"/>
                <w:bCs/>
                <w:color w:val="auto"/>
                <w:sz w:val="24"/>
                <w:vertAlign w:val="superscript"/>
              </w:rPr>
              <w:t>3</w:t>
            </w:r>
            <w:r>
              <w:rPr>
                <w:rFonts w:hint="eastAsia"/>
                <w:bCs/>
                <w:color w:val="auto"/>
                <w:sz w:val="24"/>
              </w:rPr>
              <w:t>）定期清掏肥田，不外排；</w:t>
            </w:r>
            <w:r>
              <w:rPr>
                <w:rFonts w:hint="eastAsia"/>
                <w:bCs/>
                <w:color w:val="auto"/>
                <w:sz w:val="24"/>
                <w:lang w:val="en-US" w:eastAsia="zh-CN"/>
              </w:rPr>
              <w:t>洗车废水经四级沉淀池（5m×2.5m×3m，4个）沉淀后循环使用，不外排</w:t>
            </w:r>
            <w:r>
              <w:rPr>
                <w:rFonts w:hint="eastAsia"/>
                <w:bCs/>
                <w:color w:val="auto"/>
                <w:sz w:val="24"/>
              </w:rPr>
              <w:t>。</w:t>
            </w:r>
          </w:p>
          <w:p w14:paraId="52A81188">
            <w:pPr>
              <w:spacing w:line="360" w:lineRule="auto"/>
              <w:ind w:firstLine="482" w:firstLineChars="200"/>
              <w:rPr>
                <w:b/>
                <w:bCs/>
                <w:color w:val="auto"/>
                <w:sz w:val="24"/>
              </w:rPr>
            </w:pPr>
            <w:r>
              <w:rPr>
                <w:rFonts w:hint="eastAsia"/>
                <w:b/>
                <w:bCs/>
                <w:color w:val="auto"/>
                <w:sz w:val="24"/>
              </w:rPr>
              <w:t>3、噪声</w:t>
            </w:r>
          </w:p>
          <w:p w14:paraId="4D2C0BE3">
            <w:pPr>
              <w:keepNext w:val="0"/>
              <w:keepLines w:val="0"/>
              <w:pageBreakBefore w:val="0"/>
              <w:widowControl w:val="0"/>
              <w:suppressLineNumbers w:val="0"/>
              <w:tabs>
                <w:tab w:val="left" w:pos="601"/>
              </w:tabs>
              <w:kinsoku/>
              <w:wordWrap/>
              <w:overflowPunct/>
              <w:topLinePunct w:val="0"/>
              <w:bidi w:val="0"/>
              <w:snapToGrid/>
              <w:spacing w:before="0" w:beforeAutospacing="0" w:after="0" w:afterAutospacing="0" w:line="360" w:lineRule="auto"/>
              <w:ind w:left="105" w:leftChars="50" w:right="105" w:rightChars="50" w:firstLine="480" w:firstLineChars="200"/>
              <w:textAlignment w:val="auto"/>
              <w:rPr>
                <w:rFonts w:hint="eastAsia" w:cs="Times New Roman"/>
                <w:color w:val="auto"/>
                <w:sz w:val="24"/>
                <w:highlight w:val="none"/>
                <w:lang w:val="en-US" w:eastAsia="zh-CN"/>
              </w:rPr>
            </w:pPr>
            <w:bookmarkStart w:id="2" w:name="_Hlk84585289"/>
            <w:r>
              <w:rPr>
                <w:rFonts w:hint="eastAsia"/>
                <w:bCs/>
                <w:color w:val="auto"/>
                <w:sz w:val="24"/>
              </w:rPr>
              <w:t>原有项目噪声主要为车间内生产设备运行噪声，在加强设备密闭性，对生产设备安装减震垫等</w:t>
            </w:r>
            <w:r>
              <w:rPr>
                <w:rFonts w:hint="eastAsia"/>
                <w:bCs/>
                <w:color w:val="auto"/>
                <w:sz w:val="24"/>
                <w:lang w:eastAsia="zh-CN"/>
              </w:rPr>
              <w:t>；</w:t>
            </w:r>
            <w:r>
              <w:rPr>
                <w:rFonts w:hint="eastAsia"/>
                <w:bCs/>
                <w:color w:val="auto"/>
                <w:sz w:val="24"/>
                <w:lang w:val="en-US" w:eastAsia="zh-CN"/>
              </w:rPr>
              <w:t>合理安排运输时间和运输路线，靠近敏感区时禁止鸣笛、尽量放慢车速以减少车辆噪声对周边敏感点的影响等措施下</w:t>
            </w:r>
            <w:r>
              <w:rPr>
                <w:rFonts w:hint="eastAsia"/>
                <w:bCs/>
                <w:color w:val="auto"/>
                <w:sz w:val="24"/>
              </w:rPr>
              <w:t>，对周边环境影响较小。</w:t>
            </w:r>
            <w:r>
              <w:rPr>
                <w:rFonts w:hint="eastAsia" w:cs="Times New Roman"/>
                <w:color w:val="auto"/>
                <w:sz w:val="24"/>
                <w:highlight w:val="none"/>
                <w:lang w:val="en-US" w:eastAsia="zh-CN"/>
              </w:rPr>
              <w:t>根据</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陕西弘伟生态环保产业园建筑垃圾资源化利用项目污染物</w:t>
            </w:r>
            <w:r>
              <w:rPr>
                <w:rFonts w:hint="eastAsia" w:ascii="Times New Roman" w:hAnsi="Times New Roman" w:eastAsia="宋体" w:cs="Times New Roman"/>
                <w:color w:val="auto"/>
                <w:sz w:val="24"/>
                <w:szCs w:val="24"/>
              </w:rPr>
              <w:t>监测》</w:t>
            </w:r>
            <w:r>
              <w:rPr>
                <w:rFonts w:hint="eastAsia" w:cs="Times New Roman"/>
                <w:color w:val="auto"/>
                <w:sz w:val="24"/>
                <w:szCs w:val="24"/>
                <w:lang w:eastAsia="zh-CN"/>
              </w:rPr>
              <w:t>（</w:t>
            </w:r>
            <w:r>
              <w:rPr>
                <w:rFonts w:hint="eastAsia" w:cs="Times New Roman"/>
                <w:color w:val="auto"/>
                <w:sz w:val="24"/>
                <w:szCs w:val="24"/>
                <w:lang w:val="en-US" w:eastAsia="zh-CN"/>
              </w:rPr>
              <w:t>源泽监字（2021）第237号</w:t>
            </w:r>
            <w:r>
              <w:rPr>
                <w:rFonts w:hint="eastAsia" w:cs="Times New Roman"/>
                <w:color w:val="auto"/>
                <w:sz w:val="24"/>
                <w:szCs w:val="24"/>
                <w:lang w:eastAsia="zh-CN"/>
              </w:rPr>
              <w:t>）</w:t>
            </w:r>
            <w:r>
              <w:rPr>
                <w:rFonts w:hint="eastAsia" w:ascii="Times New Roman" w:hAnsi="Times New Roman" w:eastAsia="宋体" w:cs="Times New Roman"/>
                <w:color w:val="auto"/>
                <w:sz w:val="24"/>
                <w:szCs w:val="24"/>
              </w:rPr>
              <w:t>（见附件</w:t>
            </w:r>
            <w:r>
              <w:rPr>
                <w:rFonts w:hint="eastAsia" w:cs="Times New Roman"/>
                <w:color w:val="auto"/>
                <w:sz w:val="24"/>
                <w:szCs w:val="24"/>
                <w:lang w:val="en-US" w:eastAsia="zh-CN"/>
              </w:rPr>
              <w:t>6</w:t>
            </w:r>
            <w:r>
              <w:rPr>
                <w:rFonts w:hint="eastAsia" w:ascii="Times New Roman" w:hAnsi="Times New Roman" w:eastAsia="宋体" w:cs="Times New Roman"/>
                <w:color w:val="auto"/>
                <w:sz w:val="24"/>
                <w:szCs w:val="24"/>
              </w:rPr>
              <w:t>）</w:t>
            </w:r>
            <w:r>
              <w:rPr>
                <w:rFonts w:hint="eastAsia" w:cs="Times New Roman"/>
                <w:color w:val="auto"/>
                <w:sz w:val="24"/>
                <w:highlight w:val="none"/>
                <w:lang w:val="en-US" w:eastAsia="zh-CN"/>
              </w:rPr>
              <w:t>，项目厂界四周噪声结果见下表。</w:t>
            </w:r>
          </w:p>
          <w:p w14:paraId="4FFE3311">
            <w:pPr>
              <w:keepNext w:val="0"/>
              <w:keepLines w:val="0"/>
              <w:pageBreakBefore w:val="0"/>
              <w:widowControl w:val="0"/>
              <w:suppressLineNumbers w:val="0"/>
              <w:tabs>
                <w:tab w:val="left" w:pos="601"/>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bCs/>
                <w:color w:val="auto"/>
                <w:sz w:val="24"/>
                <w:highlight w:val="none"/>
                <w:lang w:val="en-US" w:eastAsia="zh-CN"/>
              </w:rPr>
            </w:pPr>
            <w:r>
              <w:rPr>
                <w:rFonts w:hint="eastAsia" w:ascii="Times New Roman" w:hAnsi="Times New Roman" w:cs="Times New Roman"/>
                <w:b/>
                <w:bCs/>
                <w:color w:val="auto"/>
                <w:sz w:val="24"/>
                <w:highlight w:val="none"/>
                <w:lang w:val="en-US" w:eastAsia="zh-CN"/>
              </w:rPr>
              <w:t>表2-</w:t>
            </w:r>
            <w:r>
              <w:rPr>
                <w:rFonts w:hint="eastAsia" w:cs="Times New Roman"/>
                <w:b/>
                <w:bCs/>
                <w:color w:val="auto"/>
                <w:sz w:val="24"/>
                <w:highlight w:val="none"/>
                <w:lang w:val="en-US" w:eastAsia="zh-CN"/>
              </w:rPr>
              <w:t>13</w:t>
            </w:r>
            <w:r>
              <w:rPr>
                <w:rFonts w:hint="eastAsia" w:ascii="Times New Roman" w:hAnsi="Times New Roman" w:cs="Times New Roman"/>
                <w:b/>
                <w:bCs/>
                <w:color w:val="auto"/>
                <w:sz w:val="24"/>
                <w:highlight w:val="none"/>
                <w:lang w:val="en-US" w:eastAsia="zh-CN"/>
              </w:rPr>
              <w:t xml:space="preserve">  厂界噪声监测结果  单位：dB(A)</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836"/>
              <w:gridCol w:w="2120"/>
              <w:gridCol w:w="2459"/>
            </w:tblGrid>
            <w:tr w14:paraId="525D9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restart"/>
                  <w:tcBorders>
                    <w:tl2br w:val="nil"/>
                    <w:tr2bl w:val="nil"/>
                  </w:tcBorders>
                  <w:noWrap w:val="0"/>
                  <w:vAlign w:val="center"/>
                </w:tcPr>
                <w:p w14:paraId="4F9D8907">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1"/>
                      <w:szCs w:val="20"/>
                    </w:rPr>
                  </w:pPr>
                  <w:r>
                    <w:rPr>
                      <w:rFonts w:hint="eastAsia" w:ascii="Times New Roman" w:hAnsi="Times New Roman" w:eastAsia="宋体" w:cs="Times New Roman"/>
                      <w:b w:val="0"/>
                      <w:bCs/>
                      <w:color w:val="auto"/>
                      <w:kern w:val="1"/>
                      <w:sz w:val="21"/>
                      <w:szCs w:val="21"/>
                    </w:rPr>
                    <w:t>监测日期</w:t>
                  </w:r>
                </w:p>
              </w:tc>
              <w:tc>
                <w:tcPr>
                  <w:tcW w:w="1647" w:type="pct"/>
                  <w:vMerge w:val="restart"/>
                  <w:tcBorders>
                    <w:tl2br w:val="nil"/>
                    <w:tr2bl w:val="nil"/>
                  </w:tcBorders>
                  <w:noWrap w:val="0"/>
                  <w:vAlign w:val="center"/>
                </w:tcPr>
                <w:p w14:paraId="3DDE3E8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1"/>
                      <w:szCs w:val="20"/>
                    </w:rPr>
                  </w:pPr>
                  <w:r>
                    <w:rPr>
                      <w:rFonts w:hint="default" w:ascii="Times New Roman" w:hAnsi="Times New Roman" w:eastAsia="宋体" w:cs="Times New Roman"/>
                      <w:b w:val="0"/>
                      <w:bCs/>
                      <w:color w:val="auto"/>
                      <w:kern w:val="1"/>
                      <w:sz w:val="21"/>
                      <w:szCs w:val="21"/>
                    </w:rPr>
                    <w:t>监测点位</w:t>
                  </w:r>
                </w:p>
              </w:tc>
              <w:tc>
                <w:tcPr>
                  <w:tcW w:w="2659" w:type="pct"/>
                  <w:gridSpan w:val="2"/>
                  <w:tcBorders>
                    <w:tl2br w:val="nil"/>
                    <w:tr2bl w:val="nil"/>
                  </w:tcBorders>
                  <w:noWrap w:val="0"/>
                  <w:vAlign w:val="center"/>
                </w:tcPr>
                <w:p w14:paraId="420940E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1"/>
                      <w:szCs w:val="20"/>
                    </w:rPr>
                  </w:pPr>
                  <w:r>
                    <w:rPr>
                      <w:rFonts w:hint="default" w:ascii="Times New Roman" w:hAnsi="Times New Roman" w:eastAsia="宋体" w:cs="Times New Roman"/>
                      <w:b w:val="0"/>
                      <w:bCs/>
                      <w:color w:val="auto"/>
                      <w:kern w:val="1"/>
                      <w:sz w:val="21"/>
                      <w:szCs w:val="21"/>
                    </w:rPr>
                    <w:t>监测结果</w:t>
                  </w:r>
                  <w:r>
                    <w:rPr>
                      <w:rFonts w:hint="eastAsia" w:ascii="Times New Roman" w:hAnsi="Times New Roman" w:eastAsia="宋体" w:cs="Times New Roman"/>
                      <w:b w:val="0"/>
                      <w:bCs/>
                      <w:color w:val="auto"/>
                      <w:kern w:val="1"/>
                      <w:sz w:val="21"/>
                      <w:szCs w:val="21"/>
                    </w:rPr>
                    <w:t>（</w:t>
                  </w:r>
                  <w:r>
                    <w:rPr>
                      <w:rFonts w:hint="default" w:ascii="Times New Roman" w:hAnsi="Times New Roman" w:eastAsia="宋体" w:cs="Times New Roman"/>
                      <w:b w:val="0"/>
                      <w:bCs/>
                      <w:color w:val="auto"/>
                      <w:kern w:val="1"/>
                      <w:sz w:val="21"/>
                      <w:szCs w:val="21"/>
                    </w:rPr>
                    <w:t>L</w:t>
                  </w:r>
                  <w:r>
                    <w:rPr>
                      <w:rFonts w:hint="default" w:ascii="Times New Roman" w:hAnsi="Times New Roman" w:eastAsia="宋体" w:cs="Times New Roman"/>
                      <w:b w:val="0"/>
                      <w:bCs/>
                      <w:color w:val="auto"/>
                      <w:kern w:val="1"/>
                      <w:sz w:val="21"/>
                      <w:szCs w:val="21"/>
                      <w:vertAlign w:val="subscript"/>
                    </w:rPr>
                    <w:t>Aeq</w:t>
                  </w:r>
                  <w:r>
                    <w:rPr>
                      <w:rFonts w:hint="eastAsia" w:ascii="Times New Roman" w:hAnsi="Times New Roman" w:eastAsia="宋体" w:cs="Times New Roman"/>
                      <w:b w:val="0"/>
                      <w:bCs/>
                      <w:color w:val="auto"/>
                      <w:kern w:val="1"/>
                      <w:sz w:val="21"/>
                      <w:szCs w:val="21"/>
                    </w:rPr>
                    <w:t>）</w:t>
                  </w:r>
                  <w:r>
                    <w:rPr>
                      <w:rFonts w:hint="default" w:ascii="Times New Roman" w:hAnsi="Times New Roman" w:eastAsia="宋体" w:cs="Times New Roman"/>
                      <w:b w:val="0"/>
                      <w:bCs/>
                      <w:color w:val="auto"/>
                      <w:kern w:val="1"/>
                      <w:sz w:val="21"/>
                      <w:szCs w:val="21"/>
                    </w:rPr>
                    <w:t>dB(</w:t>
                  </w:r>
                  <w:r>
                    <w:rPr>
                      <w:rFonts w:hint="eastAsia" w:ascii="Times New Roman" w:hAnsi="Times New Roman" w:eastAsia="宋体" w:cs="Times New Roman"/>
                      <w:b w:val="0"/>
                      <w:bCs/>
                      <w:color w:val="auto"/>
                      <w:kern w:val="1"/>
                      <w:sz w:val="21"/>
                      <w:szCs w:val="21"/>
                    </w:rPr>
                    <w:t>A</w:t>
                  </w:r>
                  <w:r>
                    <w:rPr>
                      <w:rFonts w:hint="default" w:ascii="Times New Roman" w:hAnsi="Times New Roman" w:eastAsia="宋体" w:cs="Times New Roman"/>
                      <w:b w:val="0"/>
                      <w:bCs/>
                      <w:color w:val="auto"/>
                      <w:kern w:val="1"/>
                      <w:sz w:val="21"/>
                      <w:szCs w:val="21"/>
                    </w:rPr>
                    <w:t>)</w:t>
                  </w:r>
                </w:p>
              </w:tc>
            </w:tr>
            <w:tr w14:paraId="67168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continue"/>
                  <w:tcBorders>
                    <w:tl2br w:val="nil"/>
                    <w:tr2bl w:val="nil"/>
                  </w:tcBorders>
                  <w:noWrap w:val="0"/>
                  <w:vAlign w:val="center"/>
                </w:tcPr>
                <w:p w14:paraId="13879EFA">
                  <w:pPr>
                    <w:keepNext w:val="0"/>
                    <w:keepLines w:val="0"/>
                    <w:suppressLineNumbers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auto"/>
                      <w:kern w:val="1"/>
                      <w:sz w:val="21"/>
                      <w:szCs w:val="21"/>
                    </w:rPr>
                  </w:pPr>
                </w:p>
              </w:tc>
              <w:tc>
                <w:tcPr>
                  <w:tcW w:w="1647" w:type="pct"/>
                  <w:vMerge w:val="continue"/>
                  <w:tcBorders>
                    <w:tl2br w:val="nil"/>
                    <w:tr2bl w:val="nil"/>
                  </w:tcBorders>
                  <w:noWrap w:val="0"/>
                  <w:vAlign w:val="center"/>
                </w:tcPr>
                <w:p w14:paraId="6F5249C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kern w:val="1"/>
                      <w:sz w:val="21"/>
                      <w:szCs w:val="21"/>
                    </w:rPr>
                  </w:pPr>
                </w:p>
              </w:tc>
              <w:tc>
                <w:tcPr>
                  <w:tcW w:w="1231" w:type="pct"/>
                  <w:tcBorders>
                    <w:tl2br w:val="nil"/>
                    <w:tr2bl w:val="nil"/>
                  </w:tcBorders>
                  <w:noWrap w:val="0"/>
                  <w:vAlign w:val="center"/>
                </w:tcPr>
                <w:p w14:paraId="17A8ADB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1"/>
                      <w:szCs w:val="20"/>
                    </w:rPr>
                  </w:pPr>
                  <w:r>
                    <w:rPr>
                      <w:rFonts w:hint="default" w:ascii="Times New Roman" w:hAnsi="Times New Roman" w:eastAsia="宋体" w:cs="Times New Roman"/>
                      <w:b w:val="0"/>
                      <w:bCs/>
                      <w:color w:val="auto"/>
                      <w:sz w:val="21"/>
                      <w:szCs w:val="20"/>
                    </w:rPr>
                    <w:t>昼间</w:t>
                  </w:r>
                </w:p>
              </w:tc>
              <w:tc>
                <w:tcPr>
                  <w:tcW w:w="1428" w:type="pct"/>
                  <w:tcBorders>
                    <w:tl2br w:val="nil"/>
                    <w:tr2bl w:val="nil"/>
                  </w:tcBorders>
                  <w:noWrap w:val="0"/>
                  <w:vAlign w:val="center"/>
                </w:tcPr>
                <w:p w14:paraId="0DFA30AA">
                  <w:pPr>
                    <w:keepNext w:val="0"/>
                    <w:keepLines w:val="0"/>
                    <w:suppressLineNumbers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auto"/>
                      <w:kern w:val="1"/>
                      <w:sz w:val="21"/>
                      <w:szCs w:val="21"/>
                    </w:rPr>
                  </w:pPr>
                  <w:r>
                    <w:rPr>
                      <w:rFonts w:hint="eastAsia" w:ascii="Times New Roman" w:hAnsi="Times New Roman" w:eastAsia="宋体" w:cs="Times New Roman"/>
                      <w:b w:val="0"/>
                      <w:bCs/>
                      <w:color w:val="auto"/>
                      <w:sz w:val="21"/>
                      <w:szCs w:val="20"/>
                      <w:lang w:val="en-US" w:eastAsia="zh-CN"/>
                    </w:rPr>
                    <w:t>夜间</w:t>
                  </w:r>
                </w:p>
              </w:tc>
            </w:tr>
            <w:tr w14:paraId="770E3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restart"/>
                  <w:tcBorders>
                    <w:tl2br w:val="nil"/>
                    <w:tr2bl w:val="nil"/>
                  </w:tcBorders>
                  <w:noWrap w:val="0"/>
                  <w:vAlign w:val="center"/>
                </w:tcPr>
                <w:p w14:paraId="7BEEF329">
                  <w:pPr>
                    <w:keepNext w:val="0"/>
                    <w:keepLines w:val="0"/>
                    <w:suppressLineNumbers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0"/>
                      <w:lang w:eastAsia="zh-CN"/>
                    </w:rPr>
                  </w:pPr>
                  <w:r>
                    <w:rPr>
                      <w:rFonts w:hint="eastAsia" w:ascii="Times New Roman" w:hAnsi="Times New Roman" w:cs="Times New Roman"/>
                      <w:color w:val="auto"/>
                      <w:kern w:val="0"/>
                      <w:sz w:val="21"/>
                      <w:szCs w:val="21"/>
                      <w:lang w:val="en-US" w:eastAsia="zh-CN"/>
                    </w:rPr>
                    <w:t>202</w:t>
                  </w:r>
                  <w:r>
                    <w:rPr>
                      <w:rFonts w:hint="eastAsia" w:cs="Times New Roman"/>
                      <w:color w:val="auto"/>
                      <w:kern w:val="0"/>
                      <w:sz w:val="21"/>
                      <w:szCs w:val="21"/>
                      <w:lang w:val="en-US" w:eastAsia="zh-CN"/>
                    </w:rPr>
                    <w:t>1</w:t>
                  </w:r>
                  <w:r>
                    <w:rPr>
                      <w:rFonts w:hint="eastAsia" w:ascii="Times New Roman" w:hAnsi="Times New Roman" w:cs="Times New Roman"/>
                      <w:color w:val="auto"/>
                      <w:kern w:val="0"/>
                      <w:sz w:val="21"/>
                      <w:szCs w:val="21"/>
                      <w:lang w:val="en-US" w:eastAsia="zh-CN"/>
                    </w:rPr>
                    <w:t>年3</w:t>
                  </w:r>
                  <w:r>
                    <w:rPr>
                      <w:rFonts w:hint="eastAsia" w:ascii="Times New Roman" w:hAnsi="Times New Roman" w:eastAsia="宋体" w:cs="Times New Roman"/>
                      <w:color w:val="auto"/>
                      <w:kern w:val="0"/>
                      <w:sz w:val="21"/>
                      <w:szCs w:val="21"/>
                      <w:lang w:eastAsia="zh-CN"/>
                    </w:rPr>
                    <w:t>月</w:t>
                  </w:r>
                  <w:r>
                    <w:rPr>
                      <w:rFonts w:hint="eastAsia" w:ascii="Times New Roman" w:hAnsi="Times New Roman" w:eastAsia="宋体" w:cs="Times New Roman"/>
                      <w:color w:val="auto"/>
                      <w:kern w:val="0"/>
                      <w:sz w:val="21"/>
                      <w:szCs w:val="21"/>
                      <w:lang w:val="en-US" w:eastAsia="zh-CN"/>
                    </w:rPr>
                    <w:t>2</w:t>
                  </w:r>
                  <w:r>
                    <w:rPr>
                      <w:rFonts w:hint="eastAsia" w:cs="Times New Roman"/>
                      <w:color w:val="auto"/>
                      <w:kern w:val="0"/>
                      <w:sz w:val="21"/>
                      <w:szCs w:val="21"/>
                      <w:lang w:val="en-US" w:eastAsia="zh-CN"/>
                    </w:rPr>
                    <w:t>7</w:t>
                  </w:r>
                  <w:r>
                    <w:rPr>
                      <w:rFonts w:hint="eastAsia" w:ascii="Times New Roman" w:hAnsi="Times New Roman" w:eastAsia="宋体" w:cs="Times New Roman"/>
                      <w:color w:val="auto"/>
                      <w:kern w:val="0"/>
                      <w:sz w:val="21"/>
                      <w:szCs w:val="21"/>
                      <w:lang w:eastAsia="zh-CN"/>
                    </w:rPr>
                    <w:t>日</w:t>
                  </w:r>
                </w:p>
              </w:tc>
              <w:tc>
                <w:tcPr>
                  <w:tcW w:w="1647" w:type="pct"/>
                  <w:tcBorders>
                    <w:tl2br w:val="nil"/>
                    <w:tr2bl w:val="nil"/>
                  </w:tcBorders>
                  <w:noWrap w:val="0"/>
                  <w:vAlign w:val="center"/>
                </w:tcPr>
                <w:p w14:paraId="1CB33F3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r>
                    <w:rPr>
                      <w:rFonts w:hint="default" w:ascii="Times New Roman" w:hAnsi="Times New Roman" w:eastAsia="宋体" w:cs="Times New Roman"/>
                      <w:color w:val="auto"/>
                      <w:kern w:val="1"/>
                      <w:sz w:val="21"/>
                      <w:szCs w:val="21"/>
                    </w:rPr>
                    <w:t>厂界</w:t>
                  </w:r>
                  <w:r>
                    <w:rPr>
                      <w:rFonts w:hint="eastAsia" w:ascii="Times New Roman" w:hAnsi="Times New Roman" w:eastAsia="宋体" w:cs="Times New Roman"/>
                      <w:color w:val="auto"/>
                      <w:kern w:val="1"/>
                      <w:sz w:val="21"/>
                      <w:szCs w:val="21"/>
                    </w:rPr>
                    <w:t>东</w:t>
                  </w:r>
                  <w:r>
                    <w:rPr>
                      <w:rFonts w:hint="default" w:ascii="Times New Roman" w:hAnsi="Times New Roman" w:eastAsia="宋体" w:cs="Times New Roman"/>
                      <w:color w:val="auto"/>
                      <w:kern w:val="1"/>
                      <w:sz w:val="21"/>
                      <w:szCs w:val="21"/>
                    </w:rPr>
                    <w:t>侧</w:t>
                  </w:r>
                </w:p>
              </w:tc>
              <w:tc>
                <w:tcPr>
                  <w:tcW w:w="1231" w:type="pct"/>
                  <w:tcBorders>
                    <w:tl2br w:val="nil"/>
                    <w:tr2bl w:val="nil"/>
                  </w:tcBorders>
                  <w:noWrap w:val="0"/>
                  <w:vAlign w:val="center"/>
                </w:tcPr>
                <w:p w14:paraId="1711390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50</w:t>
                  </w:r>
                </w:p>
              </w:tc>
              <w:tc>
                <w:tcPr>
                  <w:tcW w:w="1428" w:type="pct"/>
                  <w:tcBorders>
                    <w:tl2br w:val="nil"/>
                    <w:tr2bl w:val="nil"/>
                  </w:tcBorders>
                  <w:noWrap w:val="0"/>
                  <w:vAlign w:val="center"/>
                </w:tcPr>
                <w:p w14:paraId="38F1FD2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ascii="Times New Roman" w:hAnsi="Times New Roman" w:eastAsia="宋体" w:cs="Times New Roman"/>
                      <w:bCs/>
                      <w:color w:val="auto"/>
                      <w:sz w:val="21"/>
                      <w:szCs w:val="20"/>
                      <w:lang w:val="en-US" w:eastAsia="zh-CN"/>
                    </w:rPr>
                    <w:t>45</w:t>
                  </w:r>
                </w:p>
              </w:tc>
            </w:tr>
            <w:tr w14:paraId="3D6E5C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continue"/>
                  <w:tcBorders>
                    <w:tl2br w:val="nil"/>
                    <w:tr2bl w:val="nil"/>
                  </w:tcBorders>
                  <w:noWrap w:val="0"/>
                  <w:vAlign w:val="center"/>
                </w:tcPr>
                <w:p w14:paraId="7CA34A8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p>
              </w:tc>
              <w:tc>
                <w:tcPr>
                  <w:tcW w:w="1647" w:type="pct"/>
                  <w:tcBorders>
                    <w:tl2br w:val="nil"/>
                    <w:tr2bl w:val="nil"/>
                  </w:tcBorders>
                  <w:noWrap w:val="0"/>
                  <w:vAlign w:val="center"/>
                </w:tcPr>
                <w:p w14:paraId="4446C5BA">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r>
                    <w:rPr>
                      <w:rFonts w:hint="default" w:ascii="Times New Roman" w:hAnsi="Times New Roman" w:eastAsia="宋体" w:cs="Times New Roman"/>
                      <w:color w:val="auto"/>
                      <w:kern w:val="1"/>
                      <w:sz w:val="21"/>
                      <w:szCs w:val="21"/>
                    </w:rPr>
                    <w:t>厂界</w:t>
                  </w:r>
                  <w:r>
                    <w:rPr>
                      <w:rFonts w:hint="eastAsia" w:ascii="Times New Roman" w:hAnsi="Times New Roman" w:eastAsia="宋体" w:cs="Times New Roman"/>
                      <w:color w:val="auto"/>
                      <w:kern w:val="1"/>
                      <w:sz w:val="21"/>
                      <w:szCs w:val="21"/>
                    </w:rPr>
                    <w:t>南</w:t>
                  </w:r>
                  <w:r>
                    <w:rPr>
                      <w:rFonts w:hint="default" w:ascii="Times New Roman" w:hAnsi="Times New Roman" w:eastAsia="宋体" w:cs="Times New Roman"/>
                      <w:color w:val="auto"/>
                      <w:kern w:val="1"/>
                      <w:sz w:val="21"/>
                      <w:szCs w:val="21"/>
                    </w:rPr>
                    <w:t>侧</w:t>
                  </w:r>
                </w:p>
              </w:tc>
              <w:tc>
                <w:tcPr>
                  <w:tcW w:w="1231" w:type="pct"/>
                  <w:tcBorders>
                    <w:tl2br w:val="nil"/>
                    <w:tr2bl w:val="nil"/>
                  </w:tcBorders>
                  <w:noWrap w:val="0"/>
                  <w:vAlign w:val="center"/>
                </w:tcPr>
                <w:p w14:paraId="180E30D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52</w:t>
                  </w:r>
                </w:p>
              </w:tc>
              <w:tc>
                <w:tcPr>
                  <w:tcW w:w="1428" w:type="pct"/>
                  <w:tcBorders>
                    <w:tl2br w:val="nil"/>
                    <w:tr2bl w:val="nil"/>
                  </w:tcBorders>
                  <w:noWrap w:val="0"/>
                  <w:vAlign w:val="center"/>
                </w:tcPr>
                <w:p w14:paraId="1CD4E7D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46</w:t>
                  </w:r>
                </w:p>
              </w:tc>
            </w:tr>
            <w:tr w14:paraId="7CC37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continue"/>
                  <w:tcBorders>
                    <w:tl2br w:val="nil"/>
                    <w:tr2bl w:val="nil"/>
                  </w:tcBorders>
                  <w:noWrap w:val="0"/>
                  <w:vAlign w:val="center"/>
                </w:tcPr>
                <w:p w14:paraId="78F81B8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p>
              </w:tc>
              <w:tc>
                <w:tcPr>
                  <w:tcW w:w="1647" w:type="pct"/>
                  <w:tcBorders>
                    <w:tl2br w:val="nil"/>
                    <w:tr2bl w:val="nil"/>
                  </w:tcBorders>
                  <w:noWrap w:val="0"/>
                  <w:vAlign w:val="center"/>
                </w:tcPr>
                <w:p w14:paraId="4099B4B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r>
                    <w:rPr>
                      <w:rFonts w:hint="default" w:ascii="Times New Roman" w:hAnsi="Times New Roman" w:eastAsia="宋体" w:cs="Times New Roman"/>
                      <w:color w:val="auto"/>
                      <w:kern w:val="1"/>
                      <w:sz w:val="21"/>
                      <w:szCs w:val="21"/>
                    </w:rPr>
                    <w:t>厂界</w:t>
                  </w:r>
                  <w:r>
                    <w:rPr>
                      <w:rFonts w:hint="eastAsia" w:ascii="Times New Roman" w:hAnsi="Times New Roman" w:eastAsia="宋体" w:cs="Times New Roman"/>
                      <w:color w:val="auto"/>
                      <w:kern w:val="1"/>
                      <w:sz w:val="21"/>
                      <w:szCs w:val="21"/>
                    </w:rPr>
                    <w:t>西侧</w:t>
                  </w:r>
                </w:p>
              </w:tc>
              <w:tc>
                <w:tcPr>
                  <w:tcW w:w="1231" w:type="pct"/>
                  <w:tcBorders>
                    <w:tl2br w:val="nil"/>
                    <w:tr2bl w:val="nil"/>
                  </w:tcBorders>
                  <w:noWrap w:val="0"/>
                  <w:vAlign w:val="center"/>
                </w:tcPr>
                <w:p w14:paraId="3268BD2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50</w:t>
                  </w:r>
                </w:p>
              </w:tc>
              <w:tc>
                <w:tcPr>
                  <w:tcW w:w="1428" w:type="pct"/>
                  <w:tcBorders>
                    <w:tl2br w:val="nil"/>
                    <w:tr2bl w:val="nil"/>
                  </w:tcBorders>
                  <w:noWrap w:val="0"/>
                  <w:vAlign w:val="center"/>
                </w:tcPr>
                <w:p w14:paraId="65A85A6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ascii="Times New Roman" w:hAnsi="Times New Roman" w:eastAsia="宋体" w:cs="Times New Roman"/>
                      <w:bCs/>
                      <w:color w:val="auto"/>
                      <w:sz w:val="21"/>
                      <w:szCs w:val="20"/>
                      <w:lang w:val="en-US" w:eastAsia="zh-CN"/>
                    </w:rPr>
                    <w:t>4</w:t>
                  </w:r>
                  <w:r>
                    <w:rPr>
                      <w:rFonts w:hint="eastAsia" w:ascii="Times New Roman" w:hAnsi="Times New Roman" w:cs="Times New Roman"/>
                      <w:bCs/>
                      <w:color w:val="auto"/>
                      <w:sz w:val="21"/>
                      <w:szCs w:val="20"/>
                      <w:lang w:val="en-US" w:eastAsia="zh-CN"/>
                    </w:rPr>
                    <w:t>6</w:t>
                  </w:r>
                </w:p>
              </w:tc>
            </w:tr>
            <w:tr w14:paraId="5BEF5C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continue"/>
                  <w:tcBorders>
                    <w:tl2br w:val="nil"/>
                    <w:tr2bl w:val="nil"/>
                  </w:tcBorders>
                  <w:noWrap w:val="0"/>
                  <w:vAlign w:val="center"/>
                </w:tcPr>
                <w:p w14:paraId="2028E65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p>
              </w:tc>
              <w:tc>
                <w:tcPr>
                  <w:tcW w:w="1647" w:type="pct"/>
                  <w:tcBorders>
                    <w:tl2br w:val="nil"/>
                    <w:tr2bl w:val="nil"/>
                  </w:tcBorders>
                  <w:noWrap w:val="0"/>
                  <w:vAlign w:val="center"/>
                </w:tcPr>
                <w:p w14:paraId="377659A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r>
                    <w:rPr>
                      <w:rFonts w:hint="eastAsia" w:ascii="Times New Roman" w:hAnsi="Times New Roman" w:eastAsia="宋体" w:cs="Times New Roman"/>
                      <w:color w:val="auto"/>
                      <w:kern w:val="1"/>
                      <w:sz w:val="21"/>
                      <w:szCs w:val="21"/>
                    </w:rPr>
                    <w:t>厂界北侧</w:t>
                  </w:r>
                </w:p>
              </w:tc>
              <w:tc>
                <w:tcPr>
                  <w:tcW w:w="1231" w:type="pct"/>
                  <w:tcBorders>
                    <w:tl2br w:val="nil"/>
                    <w:tr2bl w:val="nil"/>
                  </w:tcBorders>
                  <w:noWrap w:val="0"/>
                  <w:vAlign w:val="center"/>
                </w:tcPr>
                <w:p w14:paraId="2C98CBD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56</w:t>
                  </w:r>
                </w:p>
              </w:tc>
              <w:tc>
                <w:tcPr>
                  <w:tcW w:w="1428" w:type="pct"/>
                  <w:tcBorders>
                    <w:tl2br w:val="nil"/>
                    <w:tr2bl w:val="nil"/>
                  </w:tcBorders>
                  <w:noWrap w:val="0"/>
                  <w:vAlign w:val="center"/>
                </w:tcPr>
                <w:p w14:paraId="74A52903">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48</w:t>
                  </w:r>
                </w:p>
              </w:tc>
            </w:tr>
            <w:tr w14:paraId="2F6B7C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restart"/>
                  <w:tcBorders>
                    <w:tl2br w:val="nil"/>
                    <w:tr2bl w:val="nil"/>
                  </w:tcBorders>
                  <w:noWrap w:val="0"/>
                  <w:vAlign w:val="center"/>
                </w:tcPr>
                <w:p w14:paraId="463E3BB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lang w:val="en-US" w:eastAsia="zh-CN"/>
                    </w:rPr>
                  </w:pPr>
                  <w:r>
                    <w:rPr>
                      <w:rFonts w:hint="eastAsia" w:cs="Times New Roman"/>
                      <w:color w:val="auto"/>
                      <w:sz w:val="21"/>
                      <w:szCs w:val="20"/>
                      <w:lang w:val="en-US" w:eastAsia="zh-CN"/>
                    </w:rPr>
                    <w:t>2021年3月28日</w:t>
                  </w:r>
                </w:p>
              </w:tc>
              <w:tc>
                <w:tcPr>
                  <w:tcW w:w="1647" w:type="pct"/>
                  <w:tcBorders>
                    <w:tl2br w:val="nil"/>
                    <w:tr2bl w:val="nil"/>
                  </w:tcBorders>
                  <w:shd w:val="clear" w:color="auto" w:fill="auto"/>
                  <w:noWrap w:val="0"/>
                  <w:vAlign w:val="center"/>
                </w:tcPr>
                <w:p w14:paraId="12C8914B">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0"/>
                      <w:lang w:val="en-US" w:eastAsia="zh-CN" w:bidi="ar-SA"/>
                    </w:rPr>
                  </w:pPr>
                  <w:r>
                    <w:rPr>
                      <w:rFonts w:hint="default" w:ascii="Times New Roman" w:hAnsi="Times New Roman" w:eastAsia="宋体" w:cs="Times New Roman"/>
                      <w:color w:val="auto"/>
                      <w:kern w:val="1"/>
                      <w:sz w:val="21"/>
                      <w:szCs w:val="21"/>
                    </w:rPr>
                    <w:t>厂界</w:t>
                  </w:r>
                  <w:r>
                    <w:rPr>
                      <w:rFonts w:hint="eastAsia" w:ascii="Times New Roman" w:hAnsi="Times New Roman" w:eastAsia="宋体" w:cs="Times New Roman"/>
                      <w:color w:val="auto"/>
                      <w:kern w:val="1"/>
                      <w:sz w:val="21"/>
                      <w:szCs w:val="21"/>
                    </w:rPr>
                    <w:t>东</w:t>
                  </w:r>
                  <w:r>
                    <w:rPr>
                      <w:rFonts w:hint="default" w:ascii="Times New Roman" w:hAnsi="Times New Roman" w:eastAsia="宋体" w:cs="Times New Roman"/>
                      <w:color w:val="auto"/>
                      <w:kern w:val="1"/>
                      <w:sz w:val="21"/>
                      <w:szCs w:val="21"/>
                    </w:rPr>
                    <w:t>侧</w:t>
                  </w:r>
                </w:p>
              </w:tc>
              <w:tc>
                <w:tcPr>
                  <w:tcW w:w="1231" w:type="pct"/>
                  <w:tcBorders>
                    <w:tl2br w:val="nil"/>
                    <w:tr2bl w:val="nil"/>
                  </w:tcBorders>
                  <w:noWrap w:val="0"/>
                  <w:vAlign w:val="center"/>
                </w:tcPr>
                <w:p w14:paraId="060AC9F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50</w:t>
                  </w:r>
                </w:p>
              </w:tc>
              <w:tc>
                <w:tcPr>
                  <w:tcW w:w="1428" w:type="pct"/>
                  <w:tcBorders>
                    <w:tl2br w:val="nil"/>
                    <w:tr2bl w:val="nil"/>
                  </w:tcBorders>
                  <w:noWrap w:val="0"/>
                  <w:vAlign w:val="center"/>
                </w:tcPr>
                <w:p w14:paraId="4030986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46</w:t>
                  </w:r>
                </w:p>
              </w:tc>
            </w:tr>
            <w:tr w14:paraId="1A888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continue"/>
                  <w:tcBorders>
                    <w:tl2br w:val="nil"/>
                    <w:tr2bl w:val="nil"/>
                  </w:tcBorders>
                  <w:noWrap w:val="0"/>
                  <w:vAlign w:val="center"/>
                </w:tcPr>
                <w:p w14:paraId="40BE0F2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p>
              </w:tc>
              <w:tc>
                <w:tcPr>
                  <w:tcW w:w="1647" w:type="pct"/>
                  <w:tcBorders>
                    <w:tl2br w:val="nil"/>
                    <w:tr2bl w:val="nil"/>
                  </w:tcBorders>
                  <w:shd w:val="clear" w:color="auto" w:fill="auto"/>
                  <w:noWrap w:val="0"/>
                  <w:vAlign w:val="center"/>
                </w:tcPr>
                <w:p w14:paraId="48809B12">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0"/>
                      <w:lang w:val="en-US" w:eastAsia="zh-CN" w:bidi="ar-SA"/>
                    </w:rPr>
                  </w:pPr>
                  <w:r>
                    <w:rPr>
                      <w:rFonts w:hint="default" w:ascii="Times New Roman" w:hAnsi="Times New Roman" w:eastAsia="宋体" w:cs="Times New Roman"/>
                      <w:color w:val="auto"/>
                      <w:kern w:val="1"/>
                      <w:sz w:val="21"/>
                      <w:szCs w:val="21"/>
                    </w:rPr>
                    <w:t>厂界</w:t>
                  </w:r>
                  <w:r>
                    <w:rPr>
                      <w:rFonts w:hint="eastAsia" w:ascii="Times New Roman" w:hAnsi="Times New Roman" w:eastAsia="宋体" w:cs="Times New Roman"/>
                      <w:color w:val="auto"/>
                      <w:kern w:val="1"/>
                      <w:sz w:val="21"/>
                      <w:szCs w:val="21"/>
                    </w:rPr>
                    <w:t>南</w:t>
                  </w:r>
                  <w:r>
                    <w:rPr>
                      <w:rFonts w:hint="default" w:ascii="Times New Roman" w:hAnsi="Times New Roman" w:eastAsia="宋体" w:cs="Times New Roman"/>
                      <w:color w:val="auto"/>
                      <w:kern w:val="1"/>
                      <w:sz w:val="21"/>
                      <w:szCs w:val="21"/>
                    </w:rPr>
                    <w:t>侧</w:t>
                  </w:r>
                </w:p>
              </w:tc>
              <w:tc>
                <w:tcPr>
                  <w:tcW w:w="1231" w:type="pct"/>
                  <w:tcBorders>
                    <w:tl2br w:val="nil"/>
                    <w:tr2bl w:val="nil"/>
                  </w:tcBorders>
                  <w:noWrap w:val="0"/>
                  <w:vAlign w:val="center"/>
                </w:tcPr>
                <w:p w14:paraId="00BA4EA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53</w:t>
                  </w:r>
                </w:p>
              </w:tc>
              <w:tc>
                <w:tcPr>
                  <w:tcW w:w="1428" w:type="pct"/>
                  <w:tcBorders>
                    <w:tl2br w:val="nil"/>
                    <w:tr2bl w:val="nil"/>
                  </w:tcBorders>
                  <w:noWrap w:val="0"/>
                  <w:vAlign w:val="center"/>
                </w:tcPr>
                <w:p w14:paraId="7446509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48</w:t>
                  </w:r>
                </w:p>
              </w:tc>
            </w:tr>
            <w:tr w14:paraId="4F66E8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93" w:type="pct"/>
                  <w:vMerge w:val="continue"/>
                  <w:tcBorders>
                    <w:tl2br w:val="nil"/>
                    <w:tr2bl w:val="nil"/>
                  </w:tcBorders>
                  <w:noWrap w:val="0"/>
                  <w:vAlign w:val="center"/>
                </w:tcPr>
                <w:p w14:paraId="20FBFF7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p>
              </w:tc>
              <w:tc>
                <w:tcPr>
                  <w:tcW w:w="1647" w:type="pct"/>
                  <w:tcBorders>
                    <w:tl2br w:val="nil"/>
                    <w:tr2bl w:val="nil"/>
                  </w:tcBorders>
                  <w:shd w:val="clear" w:color="auto" w:fill="auto"/>
                  <w:noWrap w:val="0"/>
                  <w:vAlign w:val="center"/>
                </w:tcPr>
                <w:p w14:paraId="1D9559D8">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0"/>
                      <w:lang w:val="en-US" w:eastAsia="zh-CN" w:bidi="ar-SA"/>
                    </w:rPr>
                  </w:pPr>
                  <w:r>
                    <w:rPr>
                      <w:rFonts w:hint="default" w:ascii="Times New Roman" w:hAnsi="Times New Roman" w:eastAsia="宋体" w:cs="Times New Roman"/>
                      <w:color w:val="auto"/>
                      <w:kern w:val="1"/>
                      <w:sz w:val="21"/>
                      <w:szCs w:val="21"/>
                    </w:rPr>
                    <w:t>厂界</w:t>
                  </w:r>
                  <w:r>
                    <w:rPr>
                      <w:rFonts w:hint="eastAsia" w:ascii="Times New Roman" w:hAnsi="Times New Roman" w:eastAsia="宋体" w:cs="Times New Roman"/>
                      <w:color w:val="auto"/>
                      <w:kern w:val="1"/>
                      <w:sz w:val="21"/>
                      <w:szCs w:val="21"/>
                    </w:rPr>
                    <w:t>西侧</w:t>
                  </w:r>
                </w:p>
              </w:tc>
              <w:tc>
                <w:tcPr>
                  <w:tcW w:w="1231" w:type="pct"/>
                  <w:tcBorders>
                    <w:tl2br w:val="nil"/>
                    <w:tr2bl w:val="nil"/>
                  </w:tcBorders>
                  <w:noWrap w:val="0"/>
                  <w:vAlign w:val="center"/>
                </w:tcPr>
                <w:p w14:paraId="17B35BD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52</w:t>
                  </w:r>
                </w:p>
              </w:tc>
              <w:tc>
                <w:tcPr>
                  <w:tcW w:w="1428" w:type="pct"/>
                  <w:tcBorders>
                    <w:tl2br w:val="nil"/>
                    <w:tr2bl w:val="nil"/>
                  </w:tcBorders>
                  <w:noWrap w:val="0"/>
                  <w:vAlign w:val="center"/>
                </w:tcPr>
                <w:p w14:paraId="6449BAB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47</w:t>
                  </w:r>
                </w:p>
              </w:tc>
            </w:tr>
            <w:tr w14:paraId="336A3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2" w:hRule="atLeast"/>
                <w:jc w:val="center"/>
              </w:trPr>
              <w:tc>
                <w:tcPr>
                  <w:tcW w:w="693" w:type="pct"/>
                  <w:vMerge w:val="continue"/>
                  <w:tcBorders>
                    <w:tl2br w:val="nil"/>
                    <w:tr2bl w:val="nil"/>
                  </w:tcBorders>
                  <w:noWrap w:val="0"/>
                  <w:vAlign w:val="center"/>
                </w:tcPr>
                <w:p w14:paraId="4F5E1E8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0"/>
                    </w:rPr>
                  </w:pPr>
                </w:p>
              </w:tc>
              <w:tc>
                <w:tcPr>
                  <w:tcW w:w="1647" w:type="pct"/>
                  <w:tcBorders>
                    <w:tl2br w:val="nil"/>
                    <w:tr2bl w:val="nil"/>
                  </w:tcBorders>
                  <w:shd w:val="clear" w:color="auto" w:fill="auto"/>
                  <w:noWrap w:val="0"/>
                  <w:vAlign w:val="center"/>
                </w:tcPr>
                <w:p w14:paraId="1423C27A">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0"/>
                      <w:lang w:val="en-US" w:eastAsia="zh-CN" w:bidi="ar-SA"/>
                    </w:rPr>
                  </w:pPr>
                  <w:r>
                    <w:rPr>
                      <w:rFonts w:hint="eastAsia" w:ascii="Times New Roman" w:hAnsi="Times New Roman" w:eastAsia="宋体" w:cs="Times New Roman"/>
                      <w:color w:val="auto"/>
                      <w:kern w:val="1"/>
                      <w:sz w:val="21"/>
                      <w:szCs w:val="21"/>
                    </w:rPr>
                    <w:t>厂界北侧</w:t>
                  </w:r>
                </w:p>
              </w:tc>
              <w:tc>
                <w:tcPr>
                  <w:tcW w:w="1231" w:type="pct"/>
                  <w:tcBorders>
                    <w:tl2br w:val="nil"/>
                    <w:tr2bl w:val="nil"/>
                  </w:tcBorders>
                  <w:noWrap w:val="0"/>
                  <w:vAlign w:val="center"/>
                </w:tcPr>
                <w:p w14:paraId="1A298F5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55</w:t>
                  </w:r>
                </w:p>
              </w:tc>
              <w:tc>
                <w:tcPr>
                  <w:tcW w:w="1428" w:type="pct"/>
                  <w:tcBorders>
                    <w:tl2br w:val="nil"/>
                    <w:tr2bl w:val="nil"/>
                  </w:tcBorders>
                  <w:noWrap w:val="0"/>
                  <w:vAlign w:val="center"/>
                </w:tcPr>
                <w:p w14:paraId="59E32E1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0"/>
                      <w:lang w:val="en-US" w:eastAsia="zh-CN"/>
                    </w:rPr>
                  </w:pPr>
                  <w:r>
                    <w:rPr>
                      <w:rFonts w:hint="eastAsia" w:cs="Times New Roman"/>
                      <w:bCs/>
                      <w:color w:val="auto"/>
                      <w:sz w:val="21"/>
                      <w:szCs w:val="20"/>
                      <w:lang w:val="en-US" w:eastAsia="zh-CN"/>
                    </w:rPr>
                    <w:t>49</w:t>
                  </w:r>
                </w:p>
              </w:tc>
            </w:tr>
            <w:tr w14:paraId="084AC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340" w:type="pct"/>
                  <w:gridSpan w:val="2"/>
                  <w:tcBorders>
                    <w:tl2br w:val="nil"/>
                    <w:tr2bl w:val="nil"/>
                  </w:tcBorders>
                  <w:noWrap w:val="0"/>
                  <w:vAlign w:val="center"/>
                </w:tcPr>
                <w:p w14:paraId="47E1487B">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1"/>
                      <w:sz w:val="21"/>
                      <w:szCs w:val="21"/>
                      <w:lang w:val="en-US" w:eastAsia="zh-CN" w:bidi="ar-SA"/>
                    </w:rPr>
                  </w:pPr>
                  <w:r>
                    <w:rPr>
                      <w:rFonts w:hint="eastAsia" w:ascii="Times New Roman" w:hAnsi="Times New Roman" w:eastAsia="宋体" w:cs="Times New Roman"/>
                      <w:color w:val="auto"/>
                      <w:kern w:val="1"/>
                      <w:sz w:val="21"/>
                      <w:szCs w:val="21"/>
                    </w:rPr>
                    <w:t>《工业企业厂界环境噪声排放标准》（GB12348-2008）2类标准限值</w:t>
                  </w:r>
                </w:p>
              </w:tc>
              <w:tc>
                <w:tcPr>
                  <w:tcW w:w="1231" w:type="pct"/>
                  <w:tcBorders>
                    <w:tl2br w:val="nil"/>
                    <w:tr2bl w:val="nil"/>
                  </w:tcBorders>
                  <w:shd w:val="clear" w:color="auto" w:fill="auto"/>
                  <w:noWrap w:val="0"/>
                  <w:vAlign w:val="center"/>
                </w:tcPr>
                <w:p w14:paraId="4F0D4C43">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Cs/>
                      <w:color w:val="auto"/>
                      <w:kern w:val="2"/>
                      <w:sz w:val="21"/>
                      <w:szCs w:val="20"/>
                      <w:lang w:val="en-US" w:eastAsia="zh-CN" w:bidi="ar-SA"/>
                    </w:rPr>
                  </w:pPr>
                  <w:r>
                    <w:rPr>
                      <w:rFonts w:hint="eastAsia" w:ascii="Times New Roman" w:hAnsi="Times New Roman" w:eastAsia="宋体" w:cs="Times New Roman"/>
                      <w:bCs/>
                      <w:color w:val="auto"/>
                      <w:sz w:val="21"/>
                      <w:szCs w:val="20"/>
                      <w:lang w:val="en-US" w:eastAsia="zh-CN"/>
                    </w:rPr>
                    <w:t>6</w:t>
                  </w:r>
                  <w:r>
                    <w:rPr>
                      <w:rFonts w:hint="eastAsia" w:ascii="Times New Roman" w:hAnsi="Times New Roman" w:cs="Times New Roman"/>
                      <w:bCs/>
                      <w:color w:val="auto"/>
                      <w:sz w:val="21"/>
                      <w:szCs w:val="20"/>
                      <w:lang w:val="en-US" w:eastAsia="zh-CN"/>
                    </w:rPr>
                    <w:t>0</w:t>
                  </w:r>
                </w:p>
              </w:tc>
              <w:tc>
                <w:tcPr>
                  <w:tcW w:w="1428" w:type="pct"/>
                  <w:tcBorders>
                    <w:tl2br w:val="nil"/>
                    <w:tr2bl w:val="nil"/>
                  </w:tcBorders>
                  <w:shd w:val="clear" w:color="auto" w:fill="auto"/>
                  <w:noWrap w:val="0"/>
                  <w:vAlign w:val="center"/>
                </w:tcPr>
                <w:p w14:paraId="76336809">
                  <w:pPr>
                    <w:keepNext w:val="0"/>
                    <w:keepLines w:val="0"/>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Cs/>
                      <w:color w:val="auto"/>
                      <w:kern w:val="2"/>
                      <w:sz w:val="21"/>
                      <w:szCs w:val="20"/>
                      <w:lang w:val="en-US" w:eastAsia="zh-CN" w:bidi="ar-SA"/>
                    </w:rPr>
                  </w:pPr>
                  <w:r>
                    <w:rPr>
                      <w:rFonts w:hint="eastAsia" w:ascii="Times New Roman" w:hAnsi="Times New Roman" w:eastAsia="宋体" w:cs="Times New Roman"/>
                      <w:bCs/>
                      <w:color w:val="auto"/>
                      <w:sz w:val="21"/>
                      <w:szCs w:val="20"/>
                      <w:lang w:val="en-US" w:eastAsia="zh-CN"/>
                    </w:rPr>
                    <w:t>5</w:t>
                  </w:r>
                  <w:r>
                    <w:rPr>
                      <w:rFonts w:hint="eastAsia" w:ascii="Times New Roman" w:hAnsi="Times New Roman" w:cs="Times New Roman"/>
                      <w:bCs/>
                      <w:color w:val="auto"/>
                      <w:sz w:val="21"/>
                      <w:szCs w:val="20"/>
                      <w:lang w:val="en-US" w:eastAsia="zh-CN"/>
                    </w:rPr>
                    <w:t>0</w:t>
                  </w:r>
                </w:p>
              </w:tc>
            </w:tr>
          </w:tbl>
          <w:p w14:paraId="3C8DFA03">
            <w:pPr>
              <w:spacing w:line="360" w:lineRule="auto"/>
              <w:ind w:firstLine="480" w:firstLineChars="200"/>
              <w:rPr>
                <w:bCs/>
                <w:color w:val="auto"/>
                <w:sz w:val="24"/>
              </w:rPr>
            </w:pPr>
            <w:r>
              <w:rPr>
                <w:rFonts w:hint="eastAsia"/>
                <w:bCs/>
                <w:color w:val="auto"/>
                <w:sz w:val="24"/>
              </w:rPr>
              <w:t>根据项目验收监测报告，在验收监测期间，该项目昼间、夜间噪声值均符合《工业企业厂界环境噪声排放标准》（GB12348-2008）2类标准限值的要求。</w:t>
            </w:r>
          </w:p>
          <w:bookmarkEnd w:id="2"/>
          <w:p w14:paraId="39EED038">
            <w:pPr>
              <w:spacing w:line="360" w:lineRule="auto"/>
              <w:ind w:firstLine="482" w:firstLineChars="200"/>
              <w:rPr>
                <w:b/>
                <w:bCs/>
                <w:color w:val="auto"/>
                <w:sz w:val="24"/>
              </w:rPr>
            </w:pPr>
            <w:r>
              <w:rPr>
                <w:rFonts w:hint="eastAsia"/>
                <w:b/>
                <w:bCs/>
                <w:color w:val="auto"/>
                <w:sz w:val="24"/>
              </w:rPr>
              <w:t>4、固废</w:t>
            </w:r>
          </w:p>
          <w:p w14:paraId="4125F095">
            <w:pPr>
              <w:spacing w:line="360" w:lineRule="auto"/>
              <w:ind w:firstLine="480" w:firstLineChars="200"/>
              <w:rPr>
                <w:bCs/>
                <w:color w:val="auto"/>
                <w:sz w:val="24"/>
              </w:rPr>
            </w:pPr>
            <w:r>
              <w:rPr>
                <w:rFonts w:hint="eastAsia"/>
                <w:bCs/>
                <w:color w:val="auto"/>
                <w:sz w:val="24"/>
              </w:rPr>
              <w:t>生活垃圾用垃圾桶收集后交环卫部门统一清运处理；</w:t>
            </w:r>
            <w:r>
              <w:rPr>
                <w:rFonts w:hint="eastAsia"/>
                <w:bCs/>
                <w:color w:val="auto"/>
                <w:sz w:val="24"/>
                <w:lang w:val="en-US" w:eastAsia="zh-CN"/>
              </w:rPr>
              <w:t>食堂废油脂交有资质单位处置；冲洗废水沉淀池产生的沉渣收集后回用于生产；除尘器收集的粉尘，收集后回用于生产；废机油集中收集，暂存于危废贮存点，定期交由有危废处置资质的单位进行处置</w:t>
            </w:r>
            <w:r>
              <w:rPr>
                <w:rFonts w:hint="eastAsia"/>
                <w:bCs/>
                <w:color w:val="auto"/>
                <w:sz w:val="24"/>
              </w:rPr>
              <w:t>。</w:t>
            </w:r>
          </w:p>
          <w:p w14:paraId="2747609F">
            <w:pPr>
              <w:spacing w:line="360" w:lineRule="auto"/>
              <w:ind w:firstLine="482" w:firstLineChars="200"/>
              <w:rPr>
                <w:b/>
                <w:bCs/>
                <w:color w:val="auto"/>
                <w:sz w:val="24"/>
              </w:rPr>
            </w:pPr>
            <w:r>
              <w:rPr>
                <w:rFonts w:hint="eastAsia"/>
                <w:b/>
                <w:bCs/>
                <w:color w:val="auto"/>
                <w:sz w:val="24"/>
              </w:rPr>
              <w:t>5、污染物排放统计</w:t>
            </w:r>
          </w:p>
          <w:p w14:paraId="6D2A2B61">
            <w:pPr>
              <w:jc w:val="center"/>
              <w:rPr>
                <w:b/>
                <w:bCs/>
                <w:color w:val="auto"/>
                <w:sz w:val="24"/>
                <w:szCs w:val="32"/>
              </w:rPr>
            </w:pPr>
            <w:r>
              <w:rPr>
                <w:rFonts w:hint="eastAsia" w:ascii="宋体" w:hAnsi="宋体" w:cs="宋体"/>
                <w:b/>
                <w:bCs/>
                <w:color w:val="auto"/>
                <w:sz w:val="24"/>
                <w:szCs w:val="32"/>
              </w:rPr>
              <w:t>表</w:t>
            </w:r>
            <w:r>
              <w:rPr>
                <w:b/>
                <w:bCs/>
                <w:color w:val="auto"/>
                <w:sz w:val="24"/>
                <w:szCs w:val="32"/>
              </w:rPr>
              <w:t>2-</w:t>
            </w:r>
            <w:r>
              <w:rPr>
                <w:rFonts w:hint="eastAsia"/>
                <w:b/>
                <w:bCs/>
                <w:color w:val="auto"/>
                <w:sz w:val="24"/>
                <w:szCs w:val="32"/>
                <w:lang w:val="en-US" w:eastAsia="zh-CN"/>
              </w:rPr>
              <w:t>14</w:t>
            </w:r>
            <w:r>
              <w:rPr>
                <w:b/>
                <w:bCs/>
                <w:color w:val="auto"/>
                <w:sz w:val="24"/>
                <w:szCs w:val="32"/>
              </w:rPr>
              <w:t xml:space="preserve"> </w:t>
            </w:r>
            <w:r>
              <w:rPr>
                <w:rFonts w:hint="eastAsia" w:ascii="宋体" w:hAnsi="宋体" w:cs="宋体"/>
                <w:b/>
                <w:bCs/>
                <w:color w:val="auto"/>
                <w:sz w:val="24"/>
                <w:szCs w:val="32"/>
              </w:rPr>
              <w:t xml:space="preserve"> 现有工程污染物汇总一览表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1823"/>
              <w:gridCol w:w="1148"/>
              <w:gridCol w:w="2446"/>
              <w:gridCol w:w="1289"/>
              <w:gridCol w:w="919"/>
            </w:tblGrid>
            <w:tr w14:paraId="6985F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568" w:type="pct"/>
                  <w:vAlign w:val="center"/>
                </w:tcPr>
                <w:p w14:paraId="4ADDB63D">
                  <w:pPr>
                    <w:pStyle w:val="72"/>
                    <w:adjustRightInd w:val="0"/>
                    <w:snapToGrid w:val="0"/>
                    <w:jc w:val="center"/>
                    <w:rPr>
                      <w:b/>
                      <w:bCs/>
                      <w:color w:val="auto"/>
                      <w:szCs w:val="21"/>
                    </w:rPr>
                  </w:pPr>
                  <w:r>
                    <w:rPr>
                      <w:b/>
                      <w:bCs/>
                      <w:color w:val="auto"/>
                      <w:szCs w:val="21"/>
                    </w:rPr>
                    <w:t>污染物种类</w:t>
                  </w:r>
                </w:p>
              </w:tc>
              <w:tc>
                <w:tcPr>
                  <w:tcW w:w="1726" w:type="pct"/>
                  <w:gridSpan w:val="2"/>
                  <w:vAlign w:val="center"/>
                </w:tcPr>
                <w:p w14:paraId="514F61C5">
                  <w:pPr>
                    <w:pStyle w:val="72"/>
                    <w:adjustRightInd w:val="0"/>
                    <w:snapToGrid w:val="0"/>
                    <w:jc w:val="center"/>
                    <w:rPr>
                      <w:b/>
                      <w:bCs/>
                      <w:color w:val="auto"/>
                      <w:szCs w:val="21"/>
                    </w:rPr>
                  </w:pPr>
                  <w:r>
                    <w:rPr>
                      <w:b/>
                      <w:bCs/>
                      <w:color w:val="auto"/>
                      <w:szCs w:val="21"/>
                    </w:rPr>
                    <w:t>排放污染物项目</w:t>
                  </w:r>
                </w:p>
              </w:tc>
              <w:tc>
                <w:tcPr>
                  <w:tcW w:w="1421" w:type="pct"/>
                  <w:vAlign w:val="center"/>
                </w:tcPr>
                <w:p w14:paraId="1FE438AD">
                  <w:pPr>
                    <w:pStyle w:val="72"/>
                    <w:adjustRightInd w:val="0"/>
                    <w:snapToGrid w:val="0"/>
                    <w:jc w:val="center"/>
                    <w:rPr>
                      <w:b/>
                      <w:bCs/>
                      <w:color w:val="auto"/>
                      <w:szCs w:val="21"/>
                    </w:rPr>
                  </w:pPr>
                  <w:r>
                    <w:rPr>
                      <w:b/>
                      <w:bCs/>
                      <w:color w:val="auto"/>
                      <w:szCs w:val="21"/>
                    </w:rPr>
                    <w:t>治理措施</w:t>
                  </w:r>
                </w:p>
              </w:tc>
              <w:tc>
                <w:tcPr>
                  <w:tcW w:w="749" w:type="pct"/>
                  <w:vAlign w:val="center"/>
                </w:tcPr>
                <w:p w14:paraId="33F20129">
                  <w:pPr>
                    <w:pStyle w:val="72"/>
                    <w:adjustRightInd w:val="0"/>
                    <w:snapToGrid w:val="0"/>
                    <w:jc w:val="center"/>
                    <w:rPr>
                      <w:b/>
                      <w:bCs/>
                      <w:color w:val="auto"/>
                      <w:szCs w:val="21"/>
                    </w:rPr>
                  </w:pPr>
                  <w:r>
                    <w:rPr>
                      <w:b/>
                      <w:bCs/>
                      <w:color w:val="auto"/>
                      <w:szCs w:val="21"/>
                    </w:rPr>
                    <w:t>排放方式</w:t>
                  </w:r>
                </w:p>
              </w:tc>
              <w:tc>
                <w:tcPr>
                  <w:tcW w:w="534" w:type="pct"/>
                  <w:vAlign w:val="center"/>
                </w:tcPr>
                <w:p w14:paraId="12D8DF23">
                  <w:pPr>
                    <w:pStyle w:val="72"/>
                    <w:adjustRightInd w:val="0"/>
                    <w:snapToGrid w:val="0"/>
                    <w:jc w:val="center"/>
                    <w:rPr>
                      <w:b/>
                      <w:bCs/>
                      <w:color w:val="auto"/>
                      <w:szCs w:val="21"/>
                    </w:rPr>
                  </w:pPr>
                  <w:r>
                    <w:rPr>
                      <w:b/>
                      <w:bCs/>
                      <w:color w:val="auto"/>
                      <w:szCs w:val="21"/>
                    </w:rPr>
                    <w:t>排放量(t/a)</w:t>
                  </w:r>
                </w:p>
              </w:tc>
            </w:tr>
            <w:tr w14:paraId="164DD9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restart"/>
                  <w:vAlign w:val="center"/>
                </w:tcPr>
                <w:p w14:paraId="1AB80D59">
                  <w:pPr>
                    <w:pStyle w:val="72"/>
                    <w:adjustRightInd w:val="0"/>
                    <w:snapToGrid w:val="0"/>
                    <w:jc w:val="center"/>
                    <w:rPr>
                      <w:bCs/>
                      <w:color w:val="auto"/>
                      <w:szCs w:val="21"/>
                    </w:rPr>
                  </w:pPr>
                  <w:r>
                    <w:rPr>
                      <w:rFonts w:hint="eastAsia"/>
                      <w:bCs/>
                      <w:color w:val="auto"/>
                      <w:szCs w:val="21"/>
                    </w:rPr>
                    <w:t>废气</w:t>
                  </w:r>
                </w:p>
              </w:tc>
              <w:tc>
                <w:tcPr>
                  <w:tcW w:w="1059" w:type="pct"/>
                  <w:vAlign w:val="center"/>
                </w:tcPr>
                <w:p w14:paraId="480B594D">
                  <w:pPr>
                    <w:jc w:val="center"/>
                    <w:rPr>
                      <w:color w:val="auto"/>
                      <w:szCs w:val="21"/>
                    </w:rPr>
                  </w:pPr>
                  <w:r>
                    <w:rPr>
                      <w:rFonts w:hint="eastAsia" w:ascii="Times New Roman" w:hAnsi="Times New Roman"/>
                      <w:color w:val="auto"/>
                      <w:szCs w:val="21"/>
                    </w:rPr>
                    <w:t>鄂破工序</w:t>
                  </w:r>
                  <w:r>
                    <w:rPr>
                      <w:color w:val="auto"/>
                      <w:szCs w:val="21"/>
                    </w:rPr>
                    <w:t>废气</w:t>
                  </w:r>
                </w:p>
              </w:tc>
              <w:tc>
                <w:tcPr>
                  <w:tcW w:w="667" w:type="pct"/>
                  <w:vAlign w:val="center"/>
                </w:tcPr>
                <w:p w14:paraId="2B825174">
                  <w:pPr>
                    <w:jc w:val="center"/>
                    <w:rPr>
                      <w:bCs/>
                      <w:color w:val="auto"/>
                      <w:szCs w:val="21"/>
                    </w:rPr>
                  </w:pPr>
                  <w:r>
                    <w:rPr>
                      <w:rFonts w:hint="eastAsia"/>
                      <w:color w:val="auto"/>
                      <w:szCs w:val="21"/>
                      <w:lang w:val="en-US" w:eastAsia="zh-CN"/>
                    </w:rPr>
                    <w:t>颗粒物</w:t>
                  </w:r>
                </w:p>
              </w:tc>
              <w:tc>
                <w:tcPr>
                  <w:tcW w:w="1421" w:type="pct"/>
                  <w:vAlign w:val="center"/>
                </w:tcPr>
                <w:p w14:paraId="459234F9">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vAlign w:val="center"/>
                </w:tcPr>
                <w:p w14:paraId="470A807C">
                  <w:pPr>
                    <w:adjustRightInd w:val="0"/>
                    <w:snapToGrid w:val="0"/>
                    <w:jc w:val="center"/>
                    <w:rPr>
                      <w:color w:val="auto"/>
                      <w:szCs w:val="21"/>
                    </w:rPr>
                  </w:pPr>
                  <w:r>
                    <w:rPr>
                      <w:rFonts w:hint="eastAsia"/>
                      <w:color w:val="auto"/>
                      <w:szCs w:val="21"/>
                    </w:rPr>
                    <w:t>有</w:t>
                  </w:r>
                  <w:r>
                    <w:rPr>
                      <w:color w:val="auto"/>
                      <w:szCs w:val="21"/>
                    </w:rPr>
                    <w:t>组织排放</w:t>
                  </w:r>
                </w:p>
              </w:tc>
              <w:tc>
                <w:tcPr>
                  <w:tcW w:w="919" w:type="dxa"/>
                  <w:shd w:val="clear" w:color="auto" w:fill="auto"/>
                  <w:vAlign w:val="center"/>
                </w:tcPr>
                <w:p w14:paraId="1E6EC89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5.1</w:t>
                  </w:r>
                  <w:r>
                    <w:rPr>
                      <w:rFonts w:hint="eastAsia" w:cs="Times New Roman"/>
                      <w:i w:val="0"/>
                      <w:iCs w:val="0"/>
                      <w:color w:val="auto"/>
                      <w:kern w:val="0"/>
                      <w:sz w:val="21"/>
                      <w:szCs w:val="21"/>
                      <w:u w:val="none"/>
                      <w:lang w:val="en-US" w:eastAsia="zh-CN" w:bidi="ar"/>
                    </w:rPr>
                    <w:t>6</w:t>
                  </w:r>
                </w:p>
              </w:tc>
            </w:tr>
            <w:tr w14:paraId="57DEF9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79940411">
                  <w:pPr>
                    <w:pStyle w:val="72"/>
                    <w:adjustRightInd w:val="0"/>
                    <w:snapToGrid w:val="0"/>
                    <w:jc w:val="center"/>
                    <w:rPr>
                      <w:bCs/>
                      <w:color w:val="auto"/>
                      <w:szCs w:val="21"/>
                    </w:rPr>
                  </w:pPr>
                </w:p>
              </w:tc>
              <w:tc>
                <w:tcPr>
                  <w:tcW w:w="1059" w:type="pct"/>
                  <w:vAlign w:val="center"/>
                </w:tcPr>
                <w:p w14:paraId="0531004D">
                  <w:pPr>
                    <w:jc w:val="center"/>
                    <w:rPr>
                      <w:rFonts w:hint="eastAsia" w:eastAsia="宋体"/>
                      <w:color w:val="auto"/>
                      <w:szCs w:val="21"/>
                      <w:lang w:val="en-US" w:eastAsia="zh-CN"/>
                    </w:rPr>
                  </w:pPr>
                  <w:r>
                    <w:rPr>
                      <w:rFonts w:ascii="Times New Roman" w:hAnsi="Times New Roman"/>
                      <w:color w:val="auto"/>
                      <w:szCs w:val="21"/>
                    </w:rPr>
                    <w:t>反击破工序</w:t>
                  </w:r>
                  <w:r>
                    <w:rPr>
                      <w:rFonts w:hint="eastAsia" w:ascii="Times New Roman" w:hAnsi="Times New Roman"/>
                      <w:color w:val="auto"/>
                      <w:szCs w:val="21"/>
                      <w:lang w:val="en-US" w:eastAsia="zh-CN"/>
                    </w:rPr>
                    <w:t>废气</w:t>
                  </w:r>
                </w:p>
              </w:tc>
              <w:tc>
                <w:tcPr>
                  <w:tcW w:w="667" w:type="pct"/>
                  <w:vAlign w:val="center"/>
                </w:tcPr>
                <w:p w14:paraId="54C771A7">
                  <w:pPr>
                    <w:jc w:val="center"/>
                    <w:rPr>
                      <w:color w:val="auto"/>
                      <w:szCs w:val="21"/>
                    </w:rPr>
                  </w:pPr>
                  <w:r>
                    <w:rPr>
                      <w:rFonts w:hint="eastAsia"/>
                      <w:color w:val="auto"/>
                      <w:szCs w:val="21"/>
                      <w:lang w:val="en-US" w:eastAsia="zh-CN"/>
                    </w:rPr>
                    <w:t>颗粒物</w:t>
                  </w:r>
                </w:p>
              </w:tc>
              <w:tc>
                <w:tcPr>
                  <w:tcW w:w="1421" w:type="pct"/>
                  <w:vAlign w:val="center"/>
                </w:tcPr>
                <w:p w14:paraId="10AF1AE4">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vAlign w:val="center"/>
                </w:tcPr>
                <w:p w14:paraId="639CC085">
                  <w:pPr>
                    <w:adjustRightInd w:val="0"/>
                    <w:snapToGrid w:val="0"/>
                    <w:jc w:val="center"/>
                    <w:rPr>
                      <w:color w:val="auto"/>
                      <w:szCs w:val="21"/>
                    </w:rPr>
                  </w:pPr>
                  <w:r>
                    <w:rPr>
                      <w:rFonts w:hint="eastAsia"/>
                      <w:color w:val="auto"/>
                      <w:szCs w:val="21"/>
                    </w:rPr>
                    <w:t>有</w:t>
                  </w:r>
                  <w:r>
                    <w:rPr>
                      <w:color w:val="auto"/>
                      <w:szCs w:val="21"/>
                    </w:rPr>
                    <w:t>组织排放</w:t>
                  </w:r>
                </w:p>
              </w:tc>
              <w:tc>
                <w:tcPr>
                  <w:tcW w:w="919" w:type="dxa"/>
                  <w:shd w:val="clear" w:color="auto" w:fill="auto"/>
                  <w:vAlign w:val="center"/>
                </w:tcPr>
                <w:p w14:paraId="7777B9E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w:t>
                  </w:r>
                  <w:r>
                    <w:rPr>
                      <w:rFonts w:hint="eastAsia" w:cs="Times New Roman"/>
                      <w:i w:val="0"/>
                      <w:iCs w:val="0"/>
                      <w:color w:val="auto"/>
                      <w:kern w:val="0"/>
                      <w:sz w:val="21"/>
                      <w:szCs w:val="21"/>
                      <w:u w:val="none"/>
                      <w:lang w:val="en-US" w:eastAsia="zh-CN" w:bidi="ar"/>
                    </w:rPr>
                    <w:t>7</w:t>
                  </w:r>
                </w:p>
              </w:tc>
            </w:tr>
            <w:tr w14:paraId="4006F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0B62E69D">
                  <w:pPr>
                    <w:pStyle w:val="72"/>
                    <w:adjustRightInd w:val="0"/>
                    <w:snapToGrid w:val="0"/>
                    <w:jc w:val="center"/>
                    <w:rPr>
                      <w:bCs/>
                      <w:color w:val="auto"/>
                      <w:szCs w:val="21"/>
                    </w:rPr>
                  </w:pPr>
                </w:p>
              </w:tc>
              <w:tc>
                <w:tcPr>
                  <w:tcW w:w="1059" w:type="pct"/>
                  <w:vAlign w:val="center"/>
                </w:tcPr>
                <w:p w14:paraId="08AA676F">
                  <w:pPr>
                    <w:jc w:val="center"/>
                    <w:rPr>
                      <w:rFonts w:hint="default" w:eastAsia="宋体"/>
                      <w:color w:val="auto"/>
                      <w:szCs w:val="21"/>
                      <w:lang w:val="en-US" w:eastAsia="zh-CN"/>
                    </w:rPr>
                  </w:pPr>
                  <w:r>
                    <w:rPr>
                      <w:rFonts w:hint="eastAsia"/>
                      <w:color w:val="auto"/>
                      <w:szCs w:val="21"/>
                      <w:lang w:val="en-US" w:eastAsia="zh-CN"/>
                    </w:rPr>
                    <w:t>一级</w:t>
                  </w:r>
                  <w:r>
                    <w:rPr>
                      <w:rFonts w:ascii="Times New Roman" w:hAnsi="Times New Roman"/>
                      <w:color w:val="auto"/>
                      <w:szCs w:val="21"/>
                    </w:rPr>
                    <w:t>振动筛</w:t>
                  </w:r>
                  <w:r>
                    <w:rPr>
                      <w:rFonts w:hint="eastAsia" w:ascii="Times New Roman" w:hAnsi="Times New Roman"/>
                      <w:color w:val="auto"/>
                      <w:szCs w:val="21"/>
                      <w:lang w:val="en-US" w:eastAsia="zh-CN"/>
                    </w:rPr>
                    <w:t>工序废气</w:t>
                  </w:r>
                </w:p>
              </w:tc>
              <w:tc>
                <w:tcPr>
                  <w:tcW w:w="667" w:type="pct"/>
                  <w:shd w:val="clear" w:color="auto" w:fill="auto"/>
                  <w:vAlign w:val="center"/>
                </w:tcPr>
                <w:p w14:paraId="286CE107">
                  <w:pPr>
                    <w:jc w:val="center"/>
                    <w:rPr>
                      <w:bCs/>
                      <w:color w:val="auto"/>
                      <w:szCs w:val="21"/>
                    </w:rPr>
                  </w:pPr>
                  <w:r>
                    <w:rPr>
                      <w:rFonts w:hint="eastAsia"/>
                      <w:color w:val="auto"/>
                      <w:szCs w:val="21"/>
                      <w:lang w:val="en-US" w:eastAsia="zh-CN"/>
                    </w:rPr>
                    <w:t>颗粒物</w:t>
                  </w:r>
                </w:p>
              </w:tc>
              <w:tc>
                <w:tcPr>
                  <w:tcW w:w="1421" w:type="pct"/>
                  <w:vAlign w:val="center"/>
                </w:tcPr>
                <w:p w14:paraId="75251E8A">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shd w:val="clear" w:color="auto" w:fill="auto"/>
                  <w:vAlign w:val="center"/>
                </w:tcPr>
                <w:p w14:paraId="7AC0DDD0">
                  <w:pPr>
                    <w:adjustRightInd w:val="0"/>
                    <w:snapToGrid w:val="0"/>
                    <w:jc w:val="center"/>
                    <w:rPr>
                      <w:color w:val="auto"/>
                      <w:szCs w:val="21"/>
                    </w:rPr>
                  </w:pPr>
                  <w:r>
                    <w:rPr>
                      <w:rFonts w:hint="eastAsia"/>
                      <w:color w:val="auto"/>
                      <w:szCs w:val="21"/>
                    </w:rPr>
                    <w:t>有</w:t>
                  </w:r>
                  <w:r>
                    <w:rPr>
                      <w:color w:val="auto"/>
                      <w:szCs w:val="21"/>
                    </w:rPr>
                    <w:t>组织排放</w:t>
                  </w:r>
                </w:p>
              </w:tc>
              <w:tc>
                <w:tcPr>
                  <w:tcW w:w="919" w:type="dxa"/>
                  <w:shd w:val="clear" w:color="auto" w:fill="auto"/>
                  <w:vAlign w:val="center"/>
                </w:tcPr>
                <w:p w14:paraId="5F253C7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3.68</w:t>
                  </w:r>
                </w:p>
              </w:tc>
            </w:tr>
            <w:tr w14:paraId="1B1061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4B2A4841">
                  <w:pPr>
                    <w:pStyle w:val="72"/>
                    <w:adjustRightInd w:val="0"/>
                    <w:snapToGrid w:val="0"/>
                    <w:jc w:val="center"/>
                    <w:rPr>
                      <w:bCs/>
                      <w:color w:val="auto"/>
                      <w:szCs w:val="21"/>
                    </w:rPr>
                  </w:pPr>
                </w:p>
              </w:tc>
              <w:tc>
                <w:tcPr>
                  <w:tcW w:w="1059" w:type="pct"/>
                  <w:vAlign w:val="center"/>
                </w:tcPr>
                <w:p w14:paraId="0FA0AFD9">
                  <w:pPr>
                    <w:jc w:val="center"/>
                    <w:rPr>
                      <w:rFonts w:hint="default" w:eastAsia="宋体"/>
                      <w:color w:val="auto"/>
                      <w:szCs w:val="21"/>
                      <w:lang w:val="en-US" w:eastAsia="zh-CN"/>
                    </w:rPr>
                  </w:pPr>
                  <w:r>
                    <w:rPr>
                      <w:rFonts w:hint="eastAsia"/>
                      <w:color w:val="auto"/>
                      <w:szCs w:val="21"/>
                      <w:lang w:val="en-US" w:eastAsia="zh-CN"/>
                    </w:rPr>
                    <w:t>二级振动筛及</w:t>
                  </w:r>
                  <w:r>
                    <w:rPr>
                      <w:rFonts w:hint="eastAsia" w:ascii="Times New Roman" w:hAnsi="Times New Roman"/>
                      <w:color w:val="auto"/>
                      <w:szCs w:val="21"/>
                    </w:rPr>
                    <w:t>分选</w:t>
                  </w:r>
                  <w:r>
                    <w:rPr>
                      <w:rFonts w:hint="eastAsia" w:ascii="Times New Roman" w:hAnsi="Times New Roman"/>
                      <w:color w:val="auto"/>
                      <w:szCs w:val="21"/>
                      <w:lang w:val="en-US" w:eastAsia="zh-CN"/>
                    </w:rPr>
                    <w:t>工序废气</w:t>
                  </w:r>
                </w:p>
              </w:tc>
              <w:tc>
                <w:tcPr>
                  <w:tcW w:w="667" w:type="pct"/>
                  <w:shd w:val="clear" w:color="auto" w:fill="auto"/>
                  <w:vAlign w:val="center"/>
                </w:tcPr>
                <w:p w14:paraId="03F74732">
                  <w:pPr>
                    <w:jc w:val="center"/>
                    <w:rPr>
                      <w:color w:val="auto"/>
                      <w:szCs w:val="21"/>
                    </w:rPr>
                  </w:pPr>
                  <w:r>
                    <w:rPr>
                      <w:rFonts w:hint="eastAsia"/>
                      <w:color w:val="auto"/>
                      <w:szCs w:val="21"/>
                      <w:lang w:val="en-US" w:eastAsia="zh-CN"/>
                    </w:rPr>
                    <w:t>颗粒物</w:t>
                  </w:r>
                </w:p>
              </w:tc>
              <w:tc>
                <w:tcPr>
                  <w:tcW w:w="1421" w:type="pct"/>
                  <w:vAlign w:val="center"/>
                </w:tcPr>
                <w:p w14:paraId="54F1BCDD">
                  <w:pPr>
                    <w:jc w:val="center"/>
                    <w:rPr>
                      <w:color w:val="auto"/>
                      <w:szCs w:val="21"/>
                    </w:rPr>
                  </w:pPr>
                  <w:r>
                    <w:rPr>
                      <w:color w:val="auto"/>
                      <w:szCs w:val="21"/>
                    </w:rPr>
                    <w:t>经</w:t>
                  </w:r>
                  <w:r>
                    <w:rPr>
                      <w:rFonts w:hint="eastAsia"/>
                      <w:color w:val="auto"/>
                      <w:szCs w:val="21"/>
                      <w:lang w:eastAsia="zh-CN"/>
                    </w:rPr>
                    <w:t>“</w:t>
                  </w:r>
                  <w:r>
                    <w:rPr>
                      <w:color w:val="auto"/>
                      <w:szCs w:val="21"/>
                    </w:rPr>
                    <w:t>集气罩+</w:t>
                  </w:r>
                  <w:r>
                    <w:rPr>
                      <w:rFonts w:hint="eastAsia"/>
                      <w:color w:val="auto"/>
                      <w:szCs w:val="21"/>
                      <w:lang w:val="en-US" w:eastAsia="zh-CN"/>
                    </w:rPr>
                    <w:t>布袋除尘器”处理后</w:t>
                  </w:r>
                  <w:r>
                    <w:rPr>
                      <w:color w:val="auto"/>
                      <w:szCs w:val="21"/>
                    </w:rPr>
                    <w:t>，经1</w:t>
                  </w:r>
                  <w:r>
                    <w:rPr>
                      <w:rFonts w:hint="eastAsia"/>
                      <w:color w:val="auto"/>
                      <w:szCs w:val="21"/>
                      <w:lang w:val="en-US" w:eastAsia="zh-CN"/>
                    </w:rPr>
                    <w:t>5</w:t>
                  </w:r>
                  <w:r>
                    <w:rPr>
                      <w:color w:val="auto"/>
                      <w:szCs w:val="21"/>
                    </w:rPr>
                    <w:t>m高排气筒排放</w:t>
                  </w:r>
                </w:p>
              </w:tc>
              <w:tc>
                <w:tcPr>
                  <w:tcW w:w="749" w:type="pct"/>
                  <w:shd w:val="clear" w:color="auto" w:fill="auto"/>
                  <w:vAlign w:val="center"/>
                </w:tcPr>
                <w:p w14:paraId="216BBF2F">
                  <w:pPr>
                    <w:adjustRightInd w:val="0"/>
                    <w:snapToGrid w:val="0"/>
                    <w:jc w:val="center"/>
                    <w:rPr>
                      <w:color w:val="auto"/>
                      <w:szCs w:val="21"/>
                    </w:rPr>
                  </w:pPr>
                  <w:r>
                    <w:rPr>
                      <w:rFonts w:hint="eastAsia"/>
                      <w:color w:val="auto"/>
                      <w:szCs w:val="21"/>
                    </w:rPr>
                    <w:t>有</w:t>
                  </w:r>
                  <w:r>
                    <w:rPr>
                      <w:color w:val="auto"/>
                      <w:szCs w:val="21"/>
                    </w:rPr>
                    <w:t>组织排放</w:t>
                  </w:r>
                </w:p>
              </w:tc>
              <w:tc>
                <w:tcPr>
                  <w:tcW w:w="919" w:type="dxa"/>
                  <w:shd w:val="clear" w:color="auto" w:fill="auto"/>
                  <w:vAlign w:val="center"/>
                </w:tcPr>
                <w:p w14:paraId="654BD94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0.98</w:t>
                  </w:r>
                </w:p>
              </w:tc>
            </w:tr>
            <w:tr w14:paraId="11F78C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1FDF9EE6">
                  <w:pPr>
                    <w:pStyle w:val="72"/>
                    <w:adjustRightInd w:val="0"/>
                    <w:snapToGrid w:val="0"/>
                    <w:jc w:val="center"/>
                    <w:rPr>
                      <w:bCs/>
                      <w:color w:val="auto"/>
                      <w:szCs w:val="21"/>
                    </w:rPr>
                  </w:pPr>
                </w:p>
              </w:tc>
              <w:tc>
                <w:tcPr>
                  <w:tcW w:w="1059" w:type="pct"/>
                  <w:vAlign w:val="center"/>
                </w:tcPr>
                <w:p w14:paraId="15F98691">
                  <w:pPr>
                    <w:jc w:val="center"/>
                    <w:rPr>
                      <w:rFonts w:hint="default"/>
                      <w:color w:val="auto"/>
                      <w:szCs w:val="21"/>
                      <w:lang w:val="en-US" w:eastAsia="zh-CN"/>
                    </w:rPr>
                  </w:pPr>
                  <w:r>
                    <w:rPr>
                      <w:rFonts w:hint="eastAsia"/>
                      <w:color w:val="auto"/>
                      <w:szCs w:val="21"/>
                      <w:lang w:val="en-US" w:eastAsia="zh-CN"/>
                    </w:rPr>
                    <w:t>破碎、筛分、分选粉尘</w:t>
                  </w:r>
                </w:p>
              </w:tc>
              <w:tc>
                <w:tcPr>
                  <w:tcW w:w="667" w:type="pct"/>
                  <w:shd w:val="clear" w:color="auto" w:fill="auto"/>
                  <w:vAlign w:val="center"/>
                </w:tcPr>
                <w:p w14:paraId="66225E05">
                  <w:pPr>
                    <w:jc w:val="center"/>
                    <w:rPr>
                      <w:rFonts w:hint="default"/>
                      <w:color w:val="auto"/>
                      <w:szCs w:val="21"/>
                      <w:lang w:val="en-US" w:eastAsia="zh-CN"/>
                    </w:rPr>
                  </w:pPr>
                  <w:r>
                    <w:rPr>
                      <w:rFonts w:hint="eastAsia"/>
                      <w:color w:val="auto"/>
                      <w:szCs w:val="21"/>
                      <w:lang w:val="en-US" w:eastAsia="zh-CN"/>
                    </w:rPr>
                    <w:t>颗粒物</w:t>
                  </w:r>
                </w:p>
              </w:tc>
              <w:tc>
                <w:tcPr>
                  <w:tcW w:w="1421" w:type="pct"/>
                  <w:vAlign w:val="center"/>
                </w:tcPr>
                <w:p w14:paraId="1B27BA0C">
                  <w:pPr>
                    <w:jc w:val="center"/>
                    <w:rPr>
                      <w:color w:val="auto"/>
                      <w:szCs w:val="21"/>
                    </w:rPr>
                  </w:pPr>
                  <w:r>
                    <w:rPr>
                      <w:rFonts w:ascii="Times New Roman" w:hAnsi="Times New Roman"/>
                      <w:color w:val="auto"/>
                      <w:kern w:val="2"/>
                      <w:lang w:val="en-US" w:eastAsia="zh-CN"/>
                    </w:rPr>
                    <w:t>全封闭</w:t>
                  </w:r>
                  <w:r>
                    <w:rPr>
                      <w:rFonts w:hint="eastAsia" w:ascii="Times New Roman" w:hAnsi="Times New Roman"/>
                      <w:color w:val="auto"/>
                      <w:kern w:val="2"/>
                      <w:lang w:val="en-US" w:eastAsia="zh-CN"/>
                    </w:rPr>
                    <w:t>车间</w:t>
                  </w:r>
                </w:p>
              </w:tc>
              <w:tc>
                <w:tcPr>
                  <w:tcW w:w="749" w:type="pct"/>
                  <w:shd w:val="clear" w:color="auto" w:fill="auto"/>
                  <w:vAlign w:val="center"/>
                </w:tcPr>
                <w:p w14:paraId="3755C6A2">
                  <w:pPr>
                    <w:adjustRightInd w:val="0"/>
                    <w:snapToGrid w:val="0"/>
                    <w:jc w:val="center"/>
                    <w:rPr>
                      <w:rFonts w:hint="default" w:eastAsia="宋体"/>
                      <w:color w:val="auto"/>
                      <w:szCs w:val="21"/>
                      <w:lang w:val="en-US" w:eastAsia="zh-CN"/>
                    </w:rPr>
                  </w:pPr>
                  <w:r>
                    <w:rPr>
                      <w:rFonts w:hint="eastAsia"/>
                      <w:color w:val="auto"/>
                      <w:szCs w:val="21"/>
                      <w:lang w:val="en-US" w:eastAsia="zh-CN"/>
                    </w:rPr>
                    <w:t>无组织排放</w:t>
                  </w:r>
                </w:p>
              </w:tc>
              <w:tc>
                <w:tcPr>
                  <w:tcW w:w="534" w:type="pct"/>
                  <w:vAlign w:val="center"/>
                </w:tcPr>
                <w:p w14:paraId="1FF1627A">
                  <w:pPr>
                    <w:keepNext w:val="0"/>
                    <w:keepLines w:val="0"/>
                    <w:widowControl/>
                    <w:suppressLineNumbers w:val="0"/>
                    <w:jc w:val="center"/>
                    <w:textAlignment w:val="center"/>
                    <w:rPr>
                      <w:rFonts w:hint="default" w:cs="Times New Roman"/>
                      <w:i w:val="0"/>
                      <w:color w:val="auto"/>
                      <w:kern w:val="0"/>
                      <w:sz w:val="21"/>
                      <w:szCs w:val="21"/>
                      <w:u w:val="none"/>
                      <w:lang w:val="en-US" w:eastAsia="zh-CN" w:bidi="ar"/>
                    </w:rPr>
                  </w:pPr>
                  <w:r>
                    <w:rPr>
                      <w:rFonts w:hint="eastAsia" w:cs="Times New Roman"/>
                      <w:i w:val="0"/>
                      <w:color w:val="auto"/>
                      <w:kern w:val="0"/>
                      <w:sz w:val="21"/>
                      <w:szCs w:val="21"/>
                      <w:u w:val="none"/>
                      <w:lang w:val="en-US" w:eastAsia="zh-CN" w:bidi="ar"/>
                    </w:rPr>
                    <w:t>25.11</w:t>
                  </w:r>
                </w:p>
              </w:tc>
            </w:tr>
            <w:tr w14:paraId="19668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3DD411ED">
                  <w:pPr>
                    <w:pStyle w:val="72"/>
                    <w:adjustRightInd w:val="0"/>
                    <w:snapToGrid w:val="0"/>
                    <w:jc w:val="center"/>
                    <w:rPr>
                      <w:bCs/>
                      <w:color w:val="auto"/>
                      <w:szCs w:val="21"/>
                    </w:rPr>
                  </w:pPr>
                </w:p>
              </w:tc>
              <w:tc>
                <w:tcPr>
                  <w:tcW w:w="1059" w:type="pct"/>
                  <w:shd w:val="clear" w:color="auto" w:fill="auto"/>
                  <w:vAlign w:val="center"/>
                </w:tcPr>
                <w:p w14:paraId="0A1FEC66">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sz w:val="21"/>
                      <w:szCs w:val="21"/>
                      <w:lang w:val="en-US" w:eastAsia="zh-CN"/>
                    </w:rPr>
                    <w:t>运输扬尘</w:t>
                  </w:r>
                </w:p>
              </w:tc>
              <w:tc>
                <w:tcPr>
                  <w:tcW w:w="667" w:type="pct"/>
                  <w:shd w:val="clear" w:color="auto" w:fill="auto"/>
                  <w:vAlign w:val="center"/>
                </w:tcPr>
                <w:p w14:paraId="6463F51A">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颗粒物</w:t>
                  </w:r>
                </w:p>
              </w:tc>
              <w:tc>
                <w:tcPr>
                  <w:tcW w:w="1421" w:type="pct"/>
                  <w:shd w:val="clear" w:color="auto" w:fill="auto"/>
                  <w:vAlign w:val="center"/>
                </w:tcPr>
                <w:p w14:paraId="498C79F8">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道路</w:t>
                  </w:r>
                  <w:r>
                    <w:rPr>
                      <w:rFonts w:hint="default" w:ascii="Times New Roman" w:hAnsi="Times New Roman" w:cs="Times New Roman"/>
                      <w:color w:val="auto"/>
                      <w:sz w:val="21"/>
                      <w:szCs w:val="21"/>
                      <w:lang w:val="en-US" w:eastAsia="zh-CN"/>
                    </w:rPr>
                    <w:t>硬化、进出厂车辆清洗、负载车辆覆盖防尘网</w:t>
                  </w:r>
                  <w:r>
                    <w:rPr>
                      <w:rFonts w:hint="eastAsia" w:ascii="Times New Roman" w:hAnsi="Times New Roman" w:cs="Times New Roman"/>
                      <w:color w:val="auto"/>
                      <w:sz w:val="21"/>
                      <w:szCs w:val="21"/>
                      <w:lang w:val="en-US" w:eastAsia="zh-CN"/>
                    </w:rPr>
                    <w:t>、限载限速、喷淋降尘</w:t>
                  </w:r>
                </w:p>
              </w:tc>
              <w:tc>
                <w:tcPr>
                  <w:tcW w:w="749" w:type="pct"/>
                  <w:shd w:val="clear" w:color="auto" w:fill="auto"/>
                  <w:vAlign w:val="center"/>
                </w:tcPr>
                <w:p w14:paraId="04356A23">
                  <w:pPr>
                    <w:adjustRightInd w:val="0"/>
                    <w:snapToGrid w:val="0"/>
                    <w:jc w:val="center"/>
                    <w:rPr>
                      <w:rFonts w:hint="eastAsia"/>
                      <w:color w:val="auto"/>
                      <w:szCs w:val="21"/>
                      <w:highlight w:val="none"/>
                    </w:rPr>
                  </w:pPr>
                  <w:r>
                    <w:rPr>
                      <w:rFonts w:hint="eastAsia"/>
                      <w:color w:val="auto"/>
                      <w:szCs w:val="21"/>
                      <w:highlight w:val="none"/>
                      <w:lang w:val="en-US" w:eastAsia="zh-CN"/>
                    </w:rPr>
                    <w:t>无组织排放</w:t>
                  </w:r>
                </w:p>
              </w:tc>
              <w:tc>
                <w:tcPr>
                  <w:tcW w:w="534" w:type="pct"/>
                  <w:shd w:val="clear" w:color="auto" w:fill="auto"/>
                  <w:vAlign w:val="center"/>
                </w:tcPr>
                <w:p w14:paraId="0646378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sz w:val="21"/>
                      <w:szCs w:val="21"/>
                      <w:highlight w:val="none"/>
                      <w:lang w:val="en-US" w:eastAsia="zh-CN"/>
                    </w:rPr>
                    <w:t>1.188</w:t>
                  </w:r>
                </w:p>
              </w:tc>
            </w:tr>
            <w:tr w14:paraId="0D2F84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29350755">
                  <w:pPr>
                    <w:pStyle w:val="72"/>
                    <w:adjustRightInd w:val="0"/>
                    <w:snapToGrid w:val="0"/>
                    <w:jc w:val="center"/>
                    <w:rPr>
                      <w:bCs/>
                      <w:color w:val="auto"/>
                      <w:szCs w:val="21"/>
                    </w:rPr>
                  </w:pPr>
                </w:p>
              </w:tc>
              <w:tc>
                <w:tcPr>
                  <w:tcW w:w="1059" w:type="pct"/>
                  <w:shd w:val="clear" w:color="auto" w:fill="auto"/>
                  <w:vAlign w:val="center"/>
                </w:tcPr>
                <w:p w14:paraId="2D1AD83A">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lang w:val="en-US" w:eastAsia="zh-CN"/>
                    </w:rPr>
                    <w:t>装卸</w:t>
                  </w:r>
                </w:p>
              </w:tc>
              <w:tc>
                <w:tcPr>
                  <w:tcW w:w="667" w:type="pct"/>
                  <w:shd w:val="clear" w:color="auto" w:fill="auto"/>
                  <w:vAlign w:val="center"/>
                </w:tcPr>
                <w:p w14:paraId="57F5174E">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颗粒物</w:t>
                  </w:r>
                </w:p>
              </w:tc>
              <w:tc>
                <w:tcPr>
                  <w:tcW w:w="1421" w:type="pct"/>
                  <w:shd w:val="clear" w:color="auto" w:fill="auto"/>
                  <w:vAlign w:val="center"/>
                </w:tcPr>
                <w:p w14:paraId="4D32B620">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喷淋洒水</w:t>
                  </w:r>
                </w:p>
              </w:tc>
              <w:tc>
                <w:tcPr>
                  <w:tcW w:w="749" w:type="pct"/>
                  <w:shd w:val="clear" w:color="auto" w:fill="auto"/>
                  <w:vAlign w:val="center"/>
                </w:tcPr>
                <w:p w14:paraId="256AD487">
                  <w:pPr>
                    <w:adjustRightInd w:val="0"/>
                    <w:snapToGrid w:val="0"/>
                    <w:jc w:val="center"/>
                    <w:rPr>
                      <w:rFonts w:hint="eastAsia"/>
                      <w:color w:val="auto"/>
                      <w:szCs w:val="21"/>
                      <w:highlight w:val="none"/>
                    </w:rPr>
                  </w:pPr>
                  <w:r>
                    <w:rPr>
                      <w:rFonts w:hint="eastAsia"/>
                      <w:color w:val="auto"/>
                      <w:szCs w:val="21"/>
                      <w:highlight w:val="none"/>
                      <w:lang w:val="en-US" w:eastAsia="zh-CN"/>
                    </w:rPr>
                    <w:t>无组织排放</w:t>
                  </w:r>
                </w:p>
              </w:tc>
              <w:tc>
                <w:tcPr>
                  <w:tcW w:w="534" w:type="pct"/>
                  <w:shd w:val="clear" w:color="auto" w:fill="auto"/>
                  <w:vAlign w:val="center"/>
                </w:tcPr>
                <w:p w14:paraId="295DE75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sz w:val="21"/>
                      <w:szCs w:val="21"/>
                      <w:highlight w:val="none"/>
                      <w:lang w:val="en-US" w:eastAsia="zh-CN"/>
                    </w:rPr>
                    <w:t>24.192</w:t>
                  </w:r>
                </w:p>
              </w:tc>
            </w:tr>
            <w:tr w14:paraId="299AE1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737E4FBA">
                  <w:pPr>
                    <w:pStyle w:val="72"/>
                    <w:adjustRightInd w:val="0"/>
                    <w:snapToGrid w:val="0"/>
                    <w:jc w:val="center"/>
                    <w:rPr>
                      <w:bCs/>
                      <w:color w:val="auto"/>
                      <w:szCs w:val="21"/>
                    </w:rPr>
                  </w:pPr>
                </w:p>
              </w:tc>
              <w:tc>
                <w:tcPr>
                  <w:tcW w:w="1726" w:type="pct"/>
                  <w:gridSpan w:val="2"/>
                  <w:vAlign w:val="center"/>
                </w:tcPr>
                <w:p w14:paraId="735A5F34">
                  <w:pPr>
                    <w:jc w:val="center"/>
                    <w:rPr>
                      <w:bCs/>
                      <w:color w:val="auto"/>
                      <w:szCs w:val="21"/>
                    </w:rPr>
                  </w:pPr>
                  <w:r>
                    <w:rPr>
                      <w:color w:val="auto"/>
                      <w:szCs w:val="21"/>
                    </w:rPr>
                    <w:t>食堂油烟</w:t>
                  </w:r>
                </w:p>
              </w:tc>
              <w:tc>
                <w:tcPr>
                  <w:tcW w:w="1421" w:type="pct"/>
                  <w:vAlign w:val="center"/>
                </w:tcPr>
                <w:p w14:paraId="7B871AFF">
                  <w:pPr>
                    <w:jc w:val="center"/>
                    <w:rPr>
                      <w:color w:val="auto"/>
                      <w:szCs w:val="21"/>
                    </w:rPr>
                  </w:pPr>
                  <w:r>
                    <w:rPr>
                      <w:color w:val="auto"/>
                      <w:szCs w:val="21"/>
                    </w:rPr>
                    <w:t>由油烟净化器</w:t>
                  </w:r>
                  <w:r>
                    <w:rPr>
                      <w:rFonts w:hint="eastAsia"/>
                      <w:color w:val="auto"/>
                      <w:szCs w:val="21"/>
                    </w:rPr>
                    <w:t>处理后排放</w:t>
                  </w:r>
                </w:p>
              </w:tc>
              <w:tc>
                <w:tcPr>
                  <w:tcW w:w="749" w:type="pct"/>
                  <w:vAlign w:val="center"/>
                </w:tcPr>
                <w:p w14:paraId="66FFB778">
                  <w:pPr>
                    <w:adjustRightInd w:val="0"/>
                    <w:snapToGrid w:val="0"/>
                    <w:jc w:val="center"/>
                    <w:rPr>
                      <w:color w:val="auto"/>
                      <w:szCs w:val="21"/>
                      <w:highlight w:val="none"/>
                    </w:rPr>
                  </w:pPr>
                  <w:r>
                    <w:rPr>
                      <w:rFonts w:hint="eastAsia"/>
                      <w:color w:val="auto"/>
                      <w:szCs w:val="21"/>
                      <w:highlight w:val="none"/>
                      <w:lang w:val="en-US" w:eastAsia="zh-CN"/>
                    </w:rPr>
                    <w:t>有</w:t>
                  </w:r>
                  <w:r>
                    <w:rPr>
                      <w:color w:val="auto"/>
                      <w:szCs w:val="21"/>
                      <w:highlight w:val="none"/>
                    </w:rPr>
                    <w:t>组织排放</w:t>
                  </w:r>
                </w:p>
              </w:tc>
              <w:tc>
                <w:tcPr>
                  <w:tcW w:w="534" w:type="pct"/>
                  <w:vAlign w:val="center"/>
                </w:tcPr>
                <w:p w14:paraId="30FAB90D">
                  <w:pPr>
                    <w:jc w:val="center"/>
                    <w:rPr>
                      <w:rFonts w:hint="default" w:eastAsia="宋体"/>
                      <w:color w:val="auto"/>
                      <w:szCs w:val="21"/>
                      <w:highlight w:val="none"/>
                      <w:lang w:val="en-US" w:eastAsia="zh-CN"/>
                    </w:rPr>
                  </w:pPr>
                  <w:r>
                    <w:rPr>
                      <w:rFonts w:hint="eastAsia"/>
                      <w:color w:val="auto"/>
                      <w:szCs w:val="21"/>
                      <w:highlight w:val="none"/>
                      <w:lang w:val="en-US" w:eastAsia="zh-CN"/>
                    </w:rPr>
                    <w:t>0.0061</w:t>
                  </w:r>
                </w:p>
              </w:tc>
            </w:tr>
            <w:tr w14:paraId="6AAE5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568" w:type="pct"/>
                  <w:vMerge w:val="restart"/>
                  <w:vAlign w:val="center"/>
                </w:tcPr>
                <w:p w14:paraId="43BED1F1">
                  <w:pPr>
                    <w:widowControl/>
                    <w:adjustRightInd w:val="0"/>
                    <w:snapToGrid w:val="0"/>
                    <w:jc w:val="center"/>
                    <w:rPr>
                      <w:bCs/>
                      <w:color w:val="auto"/>
                      <w:szCs w:val="21"/>
                    </w:rPr>
                  </w:pPr>
                  <w:r>
                    <w:rPr>
                      <w:bCs/>
                      <w:color w:val="auto"/>
                      <w:szCs w:val="21"/>
                    </w:rPr>
                    <w:t>废水</w:t>
                  </w:r>
                </w:p>
              </w:tc>
              <w:tc>
                <w:tcPr>
                  <w:tcW w:w="1059" w:type="pct"/>
                  <w:vAlign w:val="center"/>
                </w:tcPr>
                <w:p w14:paraId="48A80D2A">
                  <w:pPr>
                    <w:jc w:val="center"/>
                    <w:rPr>
                      <w:color w:val="auto"/>
                      <w:szCs w:val="21"/>
                    </w:rPr>
                  </w:pPr>
                  <w:r>
                    <w:rPr>
                      <w:color w:val="auto"/>
                      <w:szCs w:val="21"/>
                    </w:rPr>
                    <w:t>生活废水</w:t>
                  </w:r>
                </w:p>
              </w:tc>
              <w:tc>
                <w:tcPr>
                  <w:tcW w:w="667" w:type="pct"/>
                  <w:vMerge w:val="restart"/>
                  <w:vAlign w:val="center"/>
                </w:tcPr>
                <w:p w14:paraId="4F9B92E0">
                  <w:pPr>
                    <w:jc w:val="center"/>
                    <w:rPr>
                      <w:bCs/>
                      <w:color w:val="auto"/>
                      <w:szCs w:val="21"/>
                    </w:rPr>
                  </w:pPr>
                  <w:r>
                    <w:rPr>
                      <w:bCs/>
                      <w:color w:val="auto"/>
                      <w:szCs w:val="21"/>
                    </w:rPr>
                    <w:t>废水</w:t>
                  </w:r>
                </w:p>
              </w:tc>
              <w:tc>
                <w:tcPr>
                  <w:tcW w:w="1421" w:type="pct"/>
                  <w:vAlign w:val="center"/>
                </w:tcPr>
                <w:p w14:paraId="6B15E003">
                  <w:pPr>
                    <w:jc w:val="center"/>
                    <w:rPr>
                      <w:color w:val="auto"/>
                      <w:szCs w:val="21"/>
                    </w:rPr>
                  </w:pPr>
                  <w:r>
                    <w:rPr>
                      <w:rFonts w:hint="eastAsia"/>
                      <w:color w:val="auto"/>
                      <w:szCs w:val="21"/>
                    </w:rPr>
                    <w:t>食堂废水经隔油池处理后，与生活污水混合进入化粪池（容积</w:t>
                  </w:r>
                  <w:r>
                    <w:rPr>
                      <w:rFonts w:hint="eastAsia"/>
                      <w:color w:val="auto"/>
                      <w:szCs w:val="21"/>
                      <w:lang w:val="en-US" w:eastAsia="zh-CN"/>
                    </w:rPr>
                    <w:t>20</w:t>
                  </w:r>
                  <w:r>
                    <w:rPr>
                      <w:rFonts w:hint="eastAsia"/>
                      <w:color w:val="auto"/>
                      <w:szCs w:val="21"/>
                    </w:rPr>
                    <w:t>m</w:t>
                  </w:r>
                  <w:r>
                    <w:rPr>
                      <w:rFonts w:hint="eastAsia"/>
                      <w:color w:val="auto"/>
                      <w:szCs w:val="21"/>
                      <w:vertAlign w:val="superscript"/>
                    </w:rPr>
                    <w:t>3</w:t>
                  </w:r>
                  <w:r>
                    <w:rPr>
                      <w:rFonts w:hint="eastAsia"/>
                      <w:color w:val="auto"/>
                      <w:szCs w:val="21"/>
                    </w:rPr>
                    <w:t>）定期清掏肥田，不外排</w:t>
                  </w:r>
                </w:p>
              </w:tc>
              <w:tc>
                <w:tcPr>
                  <w:tcW w:w="749" w:type="pct"/>
                  <w:vAlign w:val="center"/>
                </w:tcPr>
                <w:p w14:paraId="7A99636B">
                  <w:pPr>
                    <w:pStyle w:val="72"/>
                    <w:adjustRightInd w:val="0"/>
                    <w:snapToGrid w:val="0"/>
                    <w:jc w:val="center"/>
                    <w:rPr>
                      <w:rFonts w:hint="eastAsia" w:eastAsia="宋体"/>
                      <w:bCs/>
                      <w:color w:val="auto"/>
                      <w:szCs w:val="21"/>
                      <w:lang w:eastAsia="zh-CN"/>
                    </w:rPr>
                  </w:pPr>
                  <w:r>
                    <w:rPr>
                      <w:rFonts w:hint="eastAsia"/>
                      <w:bCs/>
                      <w:color w:val="auto"/>
                      <w:szCs w:val="21"/>
                      <w:lang w:val="en-US" w:eastAsia="zh-CN"/>
                    </w:rPr>
                    <w:t>不外排</w:t>
                  </w:r>
                </w:p>
              </w:tc>
              <w:tc>
                <w:tcPr>
                  <w:tcW w:w="534" w:type="pct"/>
                  <w:vAlign w:val="center"/>
                </w:tcPr>
                <w:p w14:paraId="17711DE5">
                  <w:pPr>
                    <w:adjustRightInd w:val="0"/>
                    <w:snapToGrid w:val="0"/>
                    <w:jc w:val="center"/>
                    <w:rPr>
                      <w:bCs/>
                      <w:color w:val="auto"/>
                      <w:szCs w:val="21"/>
                    </w:rPr>
                  </w:pPr>
                  <w:r>
                    <w:rPr>
                      <w:bCs/>
                      <w:color w:val="auto"/>
                      <w:szCs w:val="21"/>
                    </w:rPr>
                    <w:t>/</w:t>
                  </w:r>
                </w:p>
              </w:tc>
            </w:tr>
            <w:tr w14:paraId="09465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568" w:type="pct"/>
                  <w:vMerge w:val="continue"/>
                  <w:vAlign w:val="center"/>
                </w:tcPr>
                <w:p w14:paraId="7FFB79CF">
                  <w:pPr>
                    <w:adjustRightInd w:val="0"/>
                    <w:snapToGrid w:val="0"/>
                    <w:jc w:val="center"/>
                    <w:rPr>
                      <w:bCs/>
                      <w:color w:val="auto"/>
                      <w:szCs w:val="21"/>
                    </w:rPr>
                  </w:pPr>
                </w:p>
              </w:tc>
              <w:tc>
                <w:tcPr>
                  <w:tcW w:w="1059" w:type="pct"/>
                  <w:vAlign w:val="center"/>
                </w:tcPr>
                <w:p w14:paraId="52C2BB2D">
                  <w:pPr>
                    <w:jc w:val="center"/>
                    <w:rPr>
                      <w:bCs/>
                      <w:color w:val="auto"/>
                      <w:szCs w:val="21"/>
                    </w:rPr>
                  </w:pPr>
                  <w:r>
                    <w:rPr>
                      <w:rFonts w:hint="eastAsia"/>
                      <w:color w:val="auto"/>
                      <w:szCs w:val="21"/>
                      <w:lang w:val="en-US" w:eastAsia="zh-CN"/>
                    </w:rPr>
                    <w:t>洗车</w:t>
                  </w:r>
                  <w:r>
                    <w:rPr>
                      <w:color w:val="auto"/>
                      <w:szCs w:val="21"/>
                    </w:rPr>
                    <w:t>废水</w:t>
                  </w:r>
                </w:p>
              </w:tc>
              <w:tc>
                <w:tcPr>
                  <w:tcW w:w="667" w:type="pct"/>
                  <w:vMerge w:val="continue"/>
                  <w:vAlign w:val="center"/>
                </w:tcPr>
                <w:p w14:paraId="19E20BB4">
                  <w:pPr>
                    <w:jc w:val="center"/>
                    <w:rPr>
                      <w:bCs/>
                      <w:color w:val="auto"/>
                      <w:szCs w:val="21"/>
                    </w:rPr>
                  </w:pPr>
                </w:p>
              </w:tc>
              <w:tc>
                <w:tcPr>
                  <w:tcW w:w="1421" w:type="pct"/>
                  <w:vAlign w:val="center"/>
                </w:tcPr>
                <w:p w14:paraId="6AB61699">
                  <w:pPr>
                    <w:jc w:val="center"/>
                    <w:rPr>
                      <w:bCs/>
                      <w:color w:val="auto"/>
                      <w:szCs w:val="21"/>
                    </w:rPr>
                  </w:pPr>
                  <w:r>
                    <w:rPr>
                      <w:rFonts w:hint="eastAsia"/>
                      <w:bCs/>
                      <w:color w:val="auto"/>
                      <w:szCs w:val="21"/>
                      <w:lang w:val="en-US" w:eastAsia="zh-CN"/>
                    </w:rPr>
                    <w:t>洗车废水经四级沉淀池（5m×2.5m×3m，4个）沉淀后循环使用，不外排</w:t>
                  </w:r>
                </w:p>
              </w:tc>
              <w:tc>
                <w:tcPr>
                  <w:tcW w:w="749" w:type="pct"/>
                  <w:vAlign w:val="center"/>
                </w:tcPr>
                <w:p w14:paraId="5344668D">
                  <w:pPr>
                    <w:adjustRightInd w:val="0"/>
                    <w:snapToGrid w:val="0"/>
                    <w:jc w:val="center"/>
                    <w:rPr>
                      <w:bCs/>
                      <w:color w:val="auto"/>
                      <w:szCs w:val="21"/>
                    </w:rPr>
                  </w:pPr>
                  <w:r>
                    <w:rPr>
                      <w:color w:val="auto"/>
                      <w:szCs w:val="21"/>
                    </w:rPr>
                    <w:t>不外排</w:t>
                  </w:r>
                </w:p>
              </w:tc>
              <w:tc>
                <w:tcPr>
                  <w:tcW w:w="534" w:type="pct"/>
                  <w:vAlign w:val="center"/>
                </w:tcPr>
                <w:p w14:paraId="5D3C2492">
                  <w:pPr>
                    <w:adjustRightInd w:val="0"/>
                    <w:snapToGrid w:val="0"/>
                    <w:jc w:val="center"/>
                    <w:rPr>
                      <w:bCs/>
                      <w:color w:val="auto"/>
                      <w:szCs w:val="21"/>
                    </w:rPr>
                  </w:pPr>
                  <w:r>
                    <w:rPr>
                      <w:bCs/>
                      <w:color w:val="auto"/>
                      <w:szCs w:val="21"/>
                    </w:rPr>
                    <w:t>/</w:t>
                  </w:r>
                </w:p>
              </w:tc>
            </w:tr>
            <w:tr w14:paraId="55EA5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568" w:type="pct"/>
                  <w:vAlign w:val="center"/>
                </w:tcPr>
                <w:p w14:paraId="6B810199">
                  <w:pPr>
                    <w:pStyle w:val="72"/>
                    <w:adjustRightInd w:val="0"/>
                    <w:snapToGrid w:val="0"/>
                    <w:jc w:val="center"/>
                    <w:rPr>
                      <w:bCs/>
                      <w:color w:val="auto"/>
                      <w:szCs w:val="21"/>
                    </w:rPr>
                  </w:pPr>
                  <w:r>
                    <w:rPr>
                      <w:bCs/>
                      <w:color w:val="auto"/>
                      <w:szCs w:val="21"/>
                    </w:rPr>
                    <w:t>噪声</w:t>
                  </w:r>
                </w:p>
              </w:tc>
              <w:tc>
                <w:tcPr>
                  <w:tcW w:w="1726" w:type="pct"/>
                  <w:gridSpan w:val="2"/>
                  <w:vAlign w:val="center"/>
                </w:tcPr>
                <w:p w14:paraId="0B691215">
                  <w:pPr>
                    <w:pStyle w:val="72"/>
                    <w:adjustRightInd w:val="0"/>
                    <w:snapToGrid w:val="0"/>
                    <w:jc w:val="center"/>
                    <w:rPr>
                      <w:bCs/>
                      <w:color w:val="auto"/>
                      <w:szCs w:val="21"/>
                    </w:rPr>
                  </w:pPr>
                  <w:r>
                    <w:rPr>
                      <w:bCs/>
                      <w:color w:val="auto"/>
                      <w:szCs w:val="21"/>
                    </w:rPr>
                    <w:t>等效连续A声级</w:t>
                  </w:r>
                </w:p>
              </w:tc>
              <w:tc>
                <w:tcPr>
                  <w:tcW w:w="1421" w:type="pct"/>
                  <w:vAlign w:val="center"/>
                </w:tcPr>
                <w:p w14:paraId="6BB4A59F">
                  <w:pPr>
                    <w:pStyle w:val="72"/>
                    <w:adjustRightInd w:val="0"/>
                    <w:snapToGrid w:val="0"/>
                    <w:jc w:val="center"/>
                    <w:rPr>
                      <w:bCs/>
                      <w:color w:val="auto"/>
                      <w:szCs w:val="21"/>
                    </w:rPr>
                  </w:pPr>
                  <w:r>
                    <w:rPr>
                      <w:bCs/>
                      <w:color w:val="auto"/>
                      <w:szCs w:val="21"/>
                    </w:rPr>
                    <w:t>厂房隔声、合理布局</w:t>
                  </w:r>
                </w:p>
              </w:tc>
              <w:tc>
                <w:tcPr>
                  <w:tcW w:w="749" w:type="pct"/>
                  <w:vAlign w:val="center"/>
                </w:tcPr>
                <w:p w14:paraId="09F2E2F1">
                  <w:pPr>
                    <w:pStyle w:val="72"/>
                    <w:adjustRightInd w:val="0"/>
                    <w:snapToGrid w:val="0"/>
                    <w:jc w:val="center"/>
                    <w:rPr>
                      <w:bCs/>
                      <w:color w:val="auto"/>
                      <w:szCs w:val="21"/>
                    </w:rPr>
                  </w:pPr>
                  <w:r>
                    <w:rPr>
                      <w:bCs/>
                      <w:color w:val="auto"/>
                      <w:szCs w:val="21"/>
                    </w:rPr>
                    <w:t>/</w:t>
                  </w:r>
                </w:p>
              </w:tc>
              <w:tc>
                <w:tcPr>
                  <w:tcW w:w="534" w:type="pct"/>
                  <w:vAlign w:val="center"/>
                </w:tcPr>
                <w:p w14:paraId="10A6F674">
                  <w:pPr>
                    <w:pStyle w:val="72"/>
                    <w:adjustRightInd w:val="0"/>
                    <w:snapToGrid w:val="0"/>
                    <w:jc w:val="center"/>
                    <w:rPr>
                      <w:bCs/>
                      <w:color w:val="auto"/>
                      <w:szCs w:val="21"/>
                    </w:rPr>
                  </w:pPr>
                  <w:r>
                    <w:rPr>
                      <w:bCs/>
                      <w:color w:val="auto"/>
                      <w:szCs w:val="21"/>
                    </w:rPr>
                    <w:t>/</w:t>
                  </w:r>
                </w:p>
              </w:tc>
            </w:tr>
            <w:tr w14:paraId="22E52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568" w:type="pct"/>
                  <w:vMerge w:val="restart"/>
                  <w:vAlign w:val="center"/>
                </w:tcPr>
                <w:p w14:paraId="14E5FCC9">
                  <w:pPr>
                    <w:pStyle w:val="72"/>
                    <w:adjustRightInd w:val="0"/>
                    <w:snapToGrid w:val="0"/>
                    <w:jc w:val="center"/>
                    <w:rPr>
                      <w:bCs/>
                      <w:color w:val="auto"/>
                      <w:szCs w:val="21"/>
                    </w:rPr>
                  </w:pPr>
                  <w:r>
                    <w:rPr>
                      <w:bCs/>
                      <w:color w:val="auto"/>
                      <w:szCs w:val="21"/>
                    </w:rPr>
                    <w:t>固废</w:t>
                  </w:r>
                </w:p>
              </w:tc>
              <w:tc>
                <w:tcPr>
                  <w:tcW w:w="1726" w:type="pct"/>
                  <w:gridSpan w:val="2"/>
                  <w:shd w:val="clear" w:color="auto" w:fill="auto"/>
                  <w:vAlign w:val="center"/>
                </w:tcPr>
                <w:p w14:paraId="670A2315">
                  <w:pPr>
                    <w:adjustRightInd w:val="0"/>
                    <w:snapToGrid w:val="0"/>
                    <w:spacing w:line="300" w:lineRule="exact"/>
                    <w:jc w:val="center"/>
                    <w:rPr>
                      <w:rFonts w:ascii="Times New Roman" w:hAnsi="Times New Roman" w:eastAsia="宋体" w:cs="Times New Roman"/>
                      <w:bCs/>
                      <w:color w:val="auto"/>
                      <w:kern w:val="2"/>
                      <w:sz w:val="21"/>
                      <w:szCs w:val="21"/>
                      <w:lang w:val="en-US" w:eastAsia="zh-CN" w:bidi="ar-SA"/>
                    </w:rPr>
                  </w:pPr>
                  <w:r>
                    <w:rPr>
                      <w:rFonts w:hint="eastAsia"/>
                      <w:color w:val="auto"/>
                      <w:szCs w:val="21"/>
                    </w:rPr>
                    <w:t>生活</w:t>
                  </w:r>
                  <w:r>
                    <w:rPr>
                      <w:color w:val="auto"/>
                      <w:szCs w:val="21"/>
                    </w:rPr>
                    <w:t>垃圾</w:t>
                  </w:r>
                </w:p>
              </w:tc>
              <w:tc>
                <w:tcPr>
                  <w:tcW w:w="1421" w:type="pct"/>
                  <w:shd w:val="clear" w:color="auto" w:fill="auto"/>
                  <w:vAlign w:val="center"/>
                </w:tcPr>
                <w:p w14:paraId="351069FB">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环卫部门统一清运</w:t>
                  </w:r>
                </w:p>
              </w:tc>
              <w:tc>
                <w:tcPr>
                  <w:tcW w:w="749" w:type="pct"/>
                  <w:vAlign w:val="center"/>
                </w:tcPr>
                <w:p w14:paraId="00276302">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4E9B8B2B">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14.25</w:t>
                  </w:r>
                </w:p>
              </w:tc>
            </w:tr>
            <w:tr w14:paraId="6EE94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568" w:type="pct"/>
                  <w:vMerge w:val="continue"/>
                  <w:vAlign w:val="center"/>
                </w:tcPr>
                <w:p w14:paraId="4BF83B08">
                  <w:pPr>
                    <w:pStyle w:val="72"/>
                    <w:adjustRightInd w:val="0"/>
                    <w:snapToGrid w:val="0"/>
                    <w:jc w:val="center"/>
                    <w:rPr>
                      <w:bCs/>
                      <w:color w:val="auto"/>
                      <w:szCs w:val="21"/>
                    </w:rPr>
                  </w:pPr>
                </w:p>
              </w:tc>
              <w:tc>
                <w:tcPr>
                  <w:tcW w:w="1726" w:type="pct"/>
                  <w:gridSpan w:val="2"/>
                  <w:shd w:val="clear" w:color="auto" w:fill="auto"/>
                  <w:vAlign w:val="center"/>
                </w:tcPr>
                <w:p w14:paraId="0D846F79">
                  <w:pPr>
                    <w:adjustRightInd w:val="0"/>
                    <w:snapToGrid w:val="0"/>
                    <w:spacing w:line="30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废油脂</w:t>
                  </w:r>
                </w:p>
              </w:tc>
              <w:tc>
                <w:tcPr>
                  <w:tcW w:w="1421" w:type="pct"/>
                  <w:shd w:val="clear" w:color="auto" w:fill="auto"/>
                  <w:vAlign w:val="center"/>
                </w:tcPr>
                <w:p w14:paraId="35EA563D">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交西安市鸿源废油脂回收有限公司处置</w:t>
                  </w:r>
                </w:p>
              </w:tc>
              <w:tc>
                <w:tcPr>
                  <w:tcW w:w="749" w:type="pct"/>
                  <w:vAlign w:val="center"/>
                </w:tcPr>
                <w:p w14:paraId="7732F0D9">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3EEC1B45">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0.285</w:t>
                  </w:r>
                </w:p>
              </w:tc>
            </w:tr>
            <w:tr w14:paraId="1ED26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0097A2DA">
                  <w:pPr>
                    <w:widowControl/>
                    <w:adjustRightInd w:val="0"/>
                    <w:snapToGrid w:val="0"/>
                    <w:jc w:val="center"/>
                    <w:rPr>
                      <w:bCs/>
                      <w:color w:val="auto"/>
                      <w:szCs w:val="21"/>
                    </w:rPr>
                  </w:pPr>
                </w:p>
              </w:tc>
              <w:tc>
                <w:tcPr>
                  <w:tcW w:w="1726" w:type="pct"/>
                  <w:gridSpan w:val="2"/>
                  <w:shd w:val="clear" w:color="auto" w:fill="auto"/>
                  <w:vAlign w:val="center"/>
                </w:tcPr>
                <w:p w14:paraId="01146158">
                  <w:pPr>
                    <w:pStyle w:val="24"/>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除尘器收集粉尘</w:t>
                  </w:r>
                </w:p>
              </w:tc>
              <w:tc>
                <w:tcPr>
                  <w:tcW w:w="1421" w:type="pct"/>
                  <w:shd w:val="clear" w:color="auto" w:fill="auto"/>
                  <w:vAlign w:val="center"/>
                </w:tcPr>
                <w:p w14:paraId="49A75E9E">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全部回用于生产</w:t>
                  </w:r>
                </w:p>
              </w:tc>
              <w:tc>
                <w:tcPr>
                  <w:tcW w:w="749" w:type="pct"/>
                  <w:vAlign w:val="center"/>
                </w:tcPr>
                <w:p w14:paraId="64ECDADE">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2646979D">
                  <w:pPr>
                    <w:jc w:val="center"/>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1181.68</w:t>
                  </w:r>
                </w:p>
              </w:tc>
            </w:tr>
            <w:tr w14:paraId="58475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1C0C64A3">
                  <w:pPr>
                    <w:widowControl/>
                    <w:adjustRightInd w:val="0"/>
                    <w:snapToGrid w:val="0"/>
                    <w:jc w:val="center"/>
                    <w:rPr>
                      <w:bCs/>
                      <w:color w:val="auto"/>
                      <w:szCs w:val="21"/>
                    </w:rPr>
                  </w:pPr>
                </w:p>
              </w:tc>
              <w:tc>
                <w:tcPr>
                  <w:tcW w:w="1726" w:type="pct"/>
                  <w:gridSpan w:val="2"/>
                  <w:shd w:val="clear" w:color="auto" w:fill="auto"/>
                  <w:vAlign w:val="center"/>
                </w:tcPr>
                <w:p w14:paraId="669CE597">
                  <w:pPr>
                    <w:pStyle w:val="24"/>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沉淀池沉渣</w:t>
                  </w:r>
                </w:p>
              </w:tc>
              <w:tc>
                <w:tcPr>
                  <w:tcW w:w="1421" w:type="pct"/>
                  <w:shd w:val="clear" w:color="auto" w:fill="auto"/>
                  <w:vAlign w:val="center"/>
                </w:tcPr>
                <w:p w14:paraId="3CC91F03">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全部回用于生产</w:t>
                  </w:r>
                </w:p>
              </w:tc>
              <w:tc>
                <w:tcPr>
                  <w:tcW w:w="749" w:type="pct"/>
                  <w:vAlign w:val="center"/>
                </w:tcPr>
                <w:p w14:paraId="603F7387">
                  <w:pPr>
                    <w:pStyle w:val="72"/>
                    <w:adjustRightInd w:val="0"/>
                    <w:snapToGrid w:val="0"/>
                    <w:jc w:val="center"/>
                    <w:rPr>
                      <w:color w:val="auto"/>
                      <w:szCs w:val="21"/>
                    </w:rPr>
                  </w:pPr>
                  <w:r>
                    <w:rPr>
                      <w:bCs/>
                      <w:color w:val="auto"/>
                      <w:szCs w:val="21"/>
                    </w:rPr>
                    <w:t>/</w:t>
                  </w:r>
                </w:p>
              </w:tc>
              <w:tc>
                <w:tcPr>
                  <w:tcW w:w="534" w:type="pct"/>
                  <w:shd w:val="clear" w:color="auto" w:fill="auto"/>
                  <w:vAlign w:val="center"/>
                </w:tcPr>
                <w:p w14:paraId="3F04FF52">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12.15</w:t>
                  </w:r>
                </w:p>
              </w:tc>
            </w:tr>
            <w:tr w14:paraId="5394F9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8" w:type="pct"/>
                  <w:vMerge w:val="continue"/>
                  <w:vAlign w:val="center"/>
                </w:tcPr>
                <w:p w14:paraId="21CADE16">
                  <w:pPr>
                    <w:widowControl/>
                    <w:adjustRightInd w:val="0"/>
                    <w:snapToGrid w:val="0"/>
                    <w:jc w:val="center"/>
                    <w:rPr>
                      <w:bCs/>
                      <w:color w:val="auto"/>
                      <w:szCs w:val="21"/>
                    </w:rPr>
                  </w:pPr>
                </w:p>
              </w:tc>
              <w:tc>
                <w:tcPr>
                  <w:tcW w:w="1726" w:type="pct"/>
                  <w:gridSpan w:val="2"/>
                  <w:shd w:val="clear" w:color="auto" w:fill="auto"/>
                  <w:vAlign w:val="center"/>
                </w:tcPr>
                <w:p w14:paraId="7E0F3DCB">
                  <w:pPr>
                    <w:pStyle w:val="24"/>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废机油</w:t>
                  </w:r>
                </w:p>
              </w:tc>
              <w:tc>
                <w:tcPr>
                  <w:tcW w:w="1421" w:type="pct"/>
                  <w:shd w:val="clear" w:color="auto" w:fill="auto"/>
                  <w:vAlign w:val="center"/>
                </w:tcPr>
                <w:p w14:paraId="31E230CB">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集中收集在厂内危废</w:t>
                  </w:r>
                  <w:r>
                    <w:rPr>
                      <w:rFonts w:hint="eastAsia"/>
                      <w:color w:val="auto"/>
                      <w:lang w:eastAsia="zh-CN"/>
                    </w:rPr>
                    <w:t>贮存点</w:t>
                  </w:r>
                  <w:r>
                    <w:rPr>
                      <w:rFonts w:hint="eastAsia"/>
                      <w:color w:val="auto"/>
                    </w:rPr>
                    <w:t>暂存，定期交陕西环能科技有限公司处置</w:t>
                  </w:r>
                </w:p>
              </w:tc>
              <w:tc>
                <w:tcPr>
                  <w:tcW w:w="749" w:type="pct"/>
                  <w:vAlign w:val="center"/>
                </w:tcPr>
                <w:p w14:paraId="15A34587">
                  <w:pPr>
                    <w:pStyle w:val="72"/>
                    <w:adjustRightInd w:val="0"/>
                    <w:snapToGrid w:val="0"/>
                    <w:jc w:val="center"/>
                    <w:rPr>
                      <w:bCs/>
                      <w:color w:val="auto"/>
                      <w:szCs w:val="21"/>
                    </w:rPr>
                  </w:pPr>
                  <w:r>
                    <w:rPr>
                      <w:bCs/>
                      <w:color w:val="auto"/>
                      <w:szCs w:val="21"/>
                    </w:rPr>
                    <w:t>/</w:t>
                  </w:r>
                </w:p>
              </w:tc>
              <w:tc>
                <w:tcPr>
                  <w:tcW w:w="534" w:type="pct"/>
                  <w:shd w:val="clear" w:color="auto" w:fill="auto"/>
                  <w:vAlign w:val="center"/>
                </w:tcPr>
                <w:p w14:paraId="414906B5">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0.2</w:t>
                  </w:r>
                </w:p>
              </w:tc>
            </w:tr>
          </w:tbl>
          <w:p w14:paraId="18D6BC48">
            <w:pPr>
              <w:keepNext/>
              <w:keepLines/>
              <w:pageBreakBefore w:val="0"/>
              <w:widowControl w:val="0"/>
              <w:numPr>
                <w:ilvl w:val="0"/>
                <w:numId w:val="0"/>
              </w:numPr>
              <w:suppressLineNumbers w:val="0"/>
              <w:kinsoku/>
              <w:wordWrap/>
              <w:overflowPunct/>
              <w:topLinePunct w:val="0"/>
              <w:bidi w:val="0"/>
              <w:adjustRightInd w:val="0"/>
              <w:snapToGrid w:val="0"/>
              <w:spacing w:before="0" w:beforeAutospacing="0" w:after="0" w:afterAutospacing="0" w:line="360" w:lineRule="auto"/>
              <w:ind w:left="0" w:right="0" w:rightChars="0" w:firstLine="422" w:firstLineChars="200"/>
              <w:textAlignment w:val="auto"/>
              <w:outlineLvl w:val="2"/>
              <w:rPr>
                <w:rFonts w:hint="default" w:ascii="Times New Roman" w:hAnsi="Times New Roman" w:eastAsia="宋体" w:cs="Times New Roman"/>
                <w:b/>
                <w:bCs w:val="0"/>
                <w:color w:val="auto"/>
                <w:kern w:val="2"/>
                <w:sz w:val="21"/>
                <w:szCs w:val="21"/>
                <w:lang w:val="en-US" w:eastAsia="zh-CN" w:bidi="ar-SA"/>
              </w:rPr>
            </w:pPr>
            <w:r>
              <w:rPr>
                <w:rFonts w:hint="eastAsia" w:cs="Times New Roman"/>
                <w:b/>
                <w:bCs w:val="0"/>
                <w:color w:val="auto"/>
                <w:kern w:val="2"/>
                <w:sz w:val="21"/>
                <w:szCs w:val="21"/>
                <w:lang w:val="en-US" w:eastAsia="zh-CN" w:bidi="ar-SA"/>
              </w:rPr>
              <w:t>注：监测的废气</w:t>
            </w:r>
            <w:r>
              <w:rPr>
                <w:rFonts w:hint="eastAsia" w:ascii="Times New Roman" w:hAnsi="Times New Roman" w:cs="Times New Roman"/>
                <w:b/>
                <w:bCs w:val="0"/>
                <w:color w:val="auto"/>
                <w:sz w:val="21"/>
                <w:szCs w:val="24"/>
                <w:highlight w:val="none"/>
                <w:lang w:val="en-US" w:eastAsia="zh-CN"/>
              </w:rPr>
              <w:t>数据是</w:t>
            </w:r>
            <w:r>
              <w:rPr>
                <w:rFonts w:hint="eastAsia" w:ascii="Times New Roman" w:hAnsi="Times New Roman" w:cs="Times New Roman"/>
                <w:b/>
                <w:bCs w:val="0"/>
                <w:color w:val="auto"/>
                <w:sz w:val="21"/>
                <w:szCs w:val="21"/>
                <w:highlight w:val="none"/>
                <w:lang w:val="en-US" w:eastAsia="zh-CN"/>
              </w:rPr>
              <w:t>在</w:t>
            </w:r>
            <w:r>
              <w:rPr>
                <w:rFonts w:hint="eastAsia" w:ascii="Times New Roman" w:hAnsi="Times New Roman" w:cs="Times New Roman"/>
                <w:b/>
                <w:bCs w:val="0"/>
                <w:color w:val="auto"/>
                <w:sz w:val="21"/>
                <w:szCs w:val="21"/>
                <w:lang w:val="en-US" w:eastAsia="zh-CN"/>
              </w:rPr>
              <w:t>工况为</w:t>
            </w:r>
            <w:r>
              <w:rPr>
                <w:rFonts w:hint="eastAsia" w:cs="Times New Roman"/>
                <w:b/>
                <w:bCs w:val="0"/>
                <w:color w:val="auto"/>
                <w:sz w:val="21"/>
                <w:szCs w:val="21"/>
                <w:lang w:val="en-US" w:eastAsia="zh-CN"/>
              </w:rPr>
              <w:t>65</w:t>
            </w:r>
            <w:r>
              <w:rPr>
                <w:rFonts w:hint="eastAsia" w:ascii="Times New Roman" w:hAnsi="Times New Roman" w:cs="Times New Roman"/>
                <w:b/>
                <w:bCs w:val="0"/>
                <w:color w:val="auto"/>
                <w:sz w:val="21"/>
                <w:szCs w:val="21"/>
                <w:lang w:val="en-US" w:eastAsia="zh-CN"/>
              </w:rPr>
              <w:t>%下进行监测的结果</w:t>
            </w:r>
            <w:r>
              <w:rPr>
                <w:rFonts w:hint="eastAsia" w:ascii="Times New Roman" w:hAnsi="Times New Roman" w:cs="Times New Roman"/>
                <w:b/>
                <w:bCs w:val="0"/>
                <w:color w:val="auto"/>
                <w:sz w:val="21"/>
                <w:szCs w:val="21"/>
                <w:highlight w:val="none"/>
                <w:lang w:eastAsia="zh-CN"/>
              </w:rPr>
              <w:t>，</w:t>
            </w:r>
            <w:r>
              <w:rPr>
                <w:rFonts w:hint="eastAsia" w:ascii="Times New Roman" w:hAnsi="Times New Roman" w:cs="Times New Roman"/>
                <w:b/>
                <w:bCs w:val="0"/>
                <w:color w:val="auto"/>
                <w:sz w:val="21"/>
                <w:szCs w:val="21"/>
                <w:lang w:eastAsia="zh-CN"/>
              </w:rPr>
              <w:t>本</w:t>
            </w:r>
            <w:r>
              <w:rPr>
                <w:rFonts w:hint="eastAsia" w:cs="Times New Roman"/>
                <w:b/>
                <w:bCs w:val="0"/>
                <w:color w:val="auto"/>
                <w:sz w:val="21"/>
                <w:szCs w:val="21"/>
                <w:lang w:val="en-US" w:eastAsia="zh-CN"/>
              </w:rPr>
              <w:t>表中数据</w:t>
            </w:r>
            <w:r>
              <w:rPr>
                <w:rFonts w:hint="eastAsia" w:ascii="Times New Roman" w:hAnsi="Times New Roman" w:cs="Times New Roman"/>
                <w:b/>
                <w:bCs w:val="0"/>
                <w:color w:val="auto"/>
                <w:sz w:val="21"/>
                <w:szCs w:val="21"/>
                <w:lang w:val="en-US" w:eastAsia="zh-CN"/>
              </w:rPr>
              <w:t>将工况</w:t>
            </w:r>
            <w:r>
              <w:rPr>
                <w:rFonts w:hint="eastAsia" w:cs="Times New Roman"/>
                <w:b/>
                <w:bCs w:val="0"/>
                <w:color w:val="auto"/>
                <w:sz w:val="21"/>
                <w:szCs w:val="21"/>
                <w:lang w:val="en-US" w:eastAsia="zh-CN"/>
              </w:rPr>
              <w:t>统一</w:t>
            </w:r>
            <w:r>
              <w:rPr>
                <w:rFonts w:hint="eastAsia" w:ascii="Times New Roman" w:hAnsi="Times New Roman" w:cs="Times New Roman"/>
                <w:b/>
                <w:bCs w:val="0"/>
                <w:color w:val="auto"/>
                <w:sz w:val="21"/>
                <w:szCs w:val="21"/>
                <w:lang w:val="en-US" w:eastAsia="zh-CN"/>
              </w:rPr>
              <w:t>折算为100%。</w:t>
            </w:r>
          </w:p>
          <w:p w14:paraId="019BCCD9">
            <w:pPr>
              <w:adjustRightInd w:val="0"/>
              <w:snapToGrid w:val="0"/>
              <w:spacing w:line="360" w:lineRule="auto"/>
              <w:ind w:firstLine="482" w:firstLineChars="200"/>
              <w:rPr>
                <w:color w:val="auto"/>
                <w:sz w:val="24"/>
              </w:rPr>
            </w:pPr>
            <w:r>
              <w:rPr>
                <w:rFonts w:hint="eastAsia"/>
                <w:b/>
                <w:bCs/>
                <w:color w:val="auto"/>
                <w:kern w:val="0"/>
                <w:sz w:val="24"/>
                <w:lang w:bidi="ar"/>
              </w:rPr>
              <w:t>6、现</w:t>
            </w:r>
            <w:r>
              <w:rPr>
                <w:b/>
                <w:bCs/>
                <w:color w:val="auto"/>
                <w:kern w:val="0"/>
                <w:sz w:val="24"/>
                <w:lang w:bidi="ar"/>
              </w:rPr>
              <w:t>有环境问题</w:t>
            </w:r>
          </w:p>
          <w:p w14:paraId="3FC1A75D">
            <w:pPr>
              <w:widowControl/>
              <w:spacing w:line="360" w:lineRule="auto"/>
              <w:ind w:firstLine="480" w:firstLineChars="200"/>
              <w:jc w:val="left"/>
              <w:rPr>
                <w:color w:val="auto"/>
                <w:kern w:val="0"/>
                <w:sz w:val="24"/>
                <w:lang w:bidi="ar"/>
              </w:rPr>
            </w:pPr>
            <w:r>
              <w:rPr>
                <w:color w:val="auto"/>
                <w:kern w:val="0"/>
                <w:sz w:val="24"/>
                <w:lang w:bidi="ar"/>
              </w:rPr>
              <w:t>现有项目</w:t>
            </w:r>
            <w:r>
              <w:rPr>
                <w:rFonts w:hint="eastAsia"/>
                <w:color w:val="auto"/>
                <w:kern w:val="0"/>
                <w:sz w:val="24"/>
                <w:lang w:val="en-US" w:eastAsia="zh-CN" w:bidi="ar"/>
              </w:rPr>
              <w:t>于</w:t>
            </w:r>
            <w:r>
              <w:rPr>
                <w:rFonts w:hint="eastAsia"/>
                <w:color w:val="auto"/>
                <w:sz w:val="24"/>
                <w:szCs w:val="28"/>
              </w:rPr>
              <w:t>20</w:t>
            </w:r>
            <w:r>
              <w:rPr>
                <w:rFonts w:hint="eastAsia"/>
                <w:color w:val="auto"/>
                <w:sz w:val="24"/>
                <w:szCs w:val="28"/>
                <w:lang w:val="en-US" w:eastAsia="zh-CN"/>
              </w:rPr>
              <w:t>21</w:t>
            </w:r>
            <w:r>
              <w:rPr>
                <w:rFonts w:hint="eastAsia"/>
                <w:color w:val="auto"/>
                <w:sz w:val="24"/>
                <w:szCs w:val="28"/>
              </w:rPr>
              <w:t>年</w:t>
            </w:r>
            <w:r>
              <w:rPr>
                <w:rFonts w:hint="eastAsia"/>
                <w:color w:val="auto"/>
                <w:sz w:val="24"/>
                <w:szCs w:val="28"/>
                <w:lang w:val="en-US" w:eastAsia="zh-CN"/>
              </w:rPr>
              <w:t>4</w:t>
            </w:r>
            <w:r>
              <w:rPr>
                <w:rFonts w:hint="eastAsia"/>
                <w:color w:val="auto"/>
                <w:sz w:val="24"/>
                <w:szCs w:val="28"/>
              </w:rPr>
              <w:t>月</w:t>
            </w:r>
            <w:r>
              <w:rPr>
                <w:rFonts w:hint="eastAsia"/>
                <w:color w:val="auto"/>
                <w:sz w:val="24"/>
                <w:szCs w:val="28"/>
                <w:lang w:val="en-US" w:eastAsia="zh-CN"/>
              </w:rPr>
              <w:t>30</w:t>
            </w:r>
            <w:r>
              <w:rPr>
                <w:rFonts w:hint="eastAsia"/>
                <w:color w:val="auto"/>
                <w:sz w:val="24"/>
                <w:szCs w:val="28"/>
              </w:rPr>
              <w:t>日</w:t>
            </w:r>
            <w:r>
              <w:rPr>
                <w:rFonts w:hint="eastAsia"/>
                <w:color w:val="auto"/>
                <w:sz w:val="24"/>
                <w:szCs w:val="28"/>
                <w:lang w:val="en-US" w:eastAsia="zh-CN"/>
              </w:rPr>
              <w:t>进行了</w:t>
            </w:r>
            <w:r>
              <w:rPr>
                <w:rFonts w:hint="eastAsia"/>
                <w:color w:val="auto"/>
                <w:sz w:val="24"/>
                <w:szCs w:val="28"/>
              </w:rPr>
              <w:t>竣工环境保护验收</w:t>
            </w:r>
            <w:r>
              <w:rPr>
                <w:color w:val="auto"/>
                <w:kern w:val="0"/>
                <w:sz w:val="24"/>
                <w:lang w:bidi="ar"/>
              </w:rPr>
              <w:t>，项目废水、废气及设备噪声分别经治理后，均可达到排放标准要求，固体废物可综合利用和妥善处置。</w:t>
            </w:r>
          </w:p>
          <w:p w14:paraId="643FD412">
            <w:pPr>
              <w:adjustRightInd w:val="0"/>
              <w:snapToGrid w:val="0"/>
              <w:spacing w:line="360" w:lineRule="auto"/>
              <w:ind w:firstLine="480" w:firstLineChars="200"/>
              <w:rPr>
                <w:color w:val="auto"/>
                <w:sz w:val="24"/>
              </w:rPr>
            </w:pPr>
            <w:r>
              <w:rPr>
                <w:color w:val="auto"/>
                <w:kern w:val="0"/>
                <w:sz w:val="24"/>
                <w:lang w:bidi="ar"/>
              </w:rPr>
              <w:t>现有</w:t>
            </w:r>
            <w:r>
              <w:rPr>
                <w:color w:val="auto"/>
                <w:sz w:val="24"/>
              </w:rPr>
              <w:t>项目环境管理较好，废气、噪声达标排放，固废有效处置不外排，无环境污染事故和风险事故，与周边居民及企业无环保纠纷。存在的主要环保问题及整改措施如下：</w:t>
            </w:r>
          </w:p>
          <w:p w14:paraId="1B79DA54">
            <w:pPr>
              <w:jc w:val="center"/>
              <w:rPr>
                <w:b/>
                <w:color w:val="auto"/>
                <w:sz w:val="24"/>
              </w:rPr>
            </w:pPr>
            <w:r>
              <w:rPr>
                <w:rFonts w:hint="eastAsia"/>
                <w:b/>
                <w:color w:val="auto"/>
                <w:sz w:val="24"/>
              </w:rPr>
              <w:t>表2-</w:t>
            </w:r>
            <w:r>
              <w:rPr>
                <w:rFonts w:hint="eastAsia"/>
                <w:b/>
                <w:color w:val="auto"/>
                <w:sz w:val="24"/>
                <w:lang w:val="en-US" w:eastAsia="zh-CN"/>
              </w:rPr>
              <w:t>15</w:t>
            </w:r>
            <w:r>
              <w:rPr>
                <w:rFonts w:hint="eastAsia"/>
                <w:b/>
                <w:color w:val="auto"/>
                <w:sz w:val="24"/>
              </w:rPr>
              <w:t xml:space="preserve">  存在的环保问题及整改措施一览表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2367"/>
              <w:gridCol w:w="4590"/>
              <w:gridCol w:w="1160"/>
            </w:tblGrid>
            <w:tr w14:paraId="27AD5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67B7C381">
                  <w:pPr>
                    <w:jc w:val="center"/>
                    <w:rPr>
                      <w:b/>
                      <w:color w:val="auto"/>
                      <w:szCs w:val="21"/>
                    </w:rPr>
                  </w:pPr>
                  <w:r>
                    <w:rPr>
                      <w:b/>
                      <w:color w:val="auto"/>
                      <w:szCs w:val="21"/>
                    </w:rPr>
                    <w:t>序号</w:t>
                  </w:r>
                </w:p>
              </w:tc>
              <w:tc>
                <w:tcPr>
                  <w:tcW w:w="1375" w:type="pct"/>
                  <w:vAlign w:val="center"/>
                </w:tcPr>
                <w:p w14:paraId="788BF305">
                  <w:pPr>
                    <w:jc w:val="center"/>
                    <w:rPr>
                      <w:b/>
                      <w:color w:val="auto"/>
                      <w:szCs w:val="21"/>
                    </w:rPr>
                  </w:pPr>
                  <w:r>
                    <w:rPr>
                      <w:b/>
                      <w:color w:val="auto"/>
                      <w:szCs w:val="21"/>
                    </w:rPr>
                    <w:t>存在问题</w:t>
                  </w:r>
                </w:p>
              </w:tc>
              <w:tc>
                <w:tcPr>
                  <w:tcW w:w="2667" w:type="pct"/>
                  <w:vAlign w:val="center"/>
                </w:tcPr>
                <w:p w14:paraId="4E2E2E11">
                  <w:pPr>
                    <w:jc w:val="center"/>
                    <w:rPr>
                      <w:b/>
                      <w:color w:val="auto"/>
                      <w:szCs w:val="21"/>
                    </w:rPr>
                  </w:pPr>
                  <w:r>
                    <w:rPr>
                      <w:b/>
                      <w:color w:val="auto"/>
                      <w:szCs w:val="21"/>
                    </w:rPr>
                    <w:t>以新带老整改措施</w:t>
                  </w:r>
                </w:p>
              </w:tc>
              <w:tc>
                <w:tcPr>
                  <w:tcW w:w="674" w:type="pct"/>
                  <w:vAlign w:val="center"/>
                </w:tcPr>
                <w:p w14:paraId="42C37269">
                  <w:pPr>
                    <w:jc w:val="center"/>
                    <w:rPr>
                      <w:rFonts w:hint="default" w:eastAsia="宋体"/>
                      <w:b/>
                      <w:color w:val="auto"/>
                      <w:szCs w:val="21"/>
                      <w:lang w:val="en-US" w:eastAsia="zh-CN"/>
                    </w:rPr>
                  </w:pPr>
                  <w:r>
                    <w:rPr>
                      <w:rFonts w:hint="eastAsia"/>
                      <w:b/>
                      <w:color w:val="auto"/>
                      <w:szCs w:val="21"/>
                      <w:lang w:val="en-US" w:eastAsia="zh-CN"/>
                    </w:rPr>
                    <w:t>整改期限</w:t>
                  </w:r>
                </w:p>
              </w:tc>
            </w:tr>
            <w:tr w14:paraId="3E6E33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33F8CC74">
                  <w:pPr>
                    <w:jc w:val="center"/>
                    <w:rPr>
                      <w:rFonts w:hint="eastAsia" w:eastAsia="宋体"/>
                      <w:bCs/>
                      <w:color w:val="auto"/>
                      <w:szCs w:val="21"/>
                      <w:lang w:eastAsia="zh-CN"/>
                    </w:rPr>
                  </w:pPr>
                  <w:r>
                    <w:rPr>
                      <w:rFonts w:hint="eastAsia"/>
                      <w:bCs/>
                      <w:color w:val="auto"/>
                      <w:szCs w:val="21"/>
                      <w:lang w:val="en-US" w:eastAsia="zh-CN"/>
                    </w:rPr>
                    <w:t>1</w:t>
                  </w:r>
                </w:p>
              </w:tc>
              <w:tc>
                <w:tcPr>
                  <w:tcW w:w="1375" w:type="pct"/>
                  <w:vAlign w:val="center"/>
                </w:tcPr>
                <w:p w14:paraId="0307DD7B">
                  <w:pPr>
                    <w:snapToGrid w:val="0"/>
                    <w:jc w:val="center"/>
                    <w:rPr>
                      <w:color w:val="auto"/>
                    </w:rPr>
                  </w:pPr>
                  <w:r>
                    <w:rPr>
                      <w:rFonts w:hint="eastAsia"/>
                      <w:color w:val="auto"/>
                      <w:lang w:val="en-US" w:eastAsia="zh-CN"/>
                    </w:rPr>
                    <w:t>现有工程</w:t>
                  </w:r>
                  <w:r>
                    <w:rPr>
                      <w:rFonts w:hint="eastAsia"/>
                      <w:color w:val="auto"/>
                    </w:rPr>
                    <w:t>应急预案未</w:t>
                  </w:r>
                  <w:r>
                    <w:rPr>
                      <w:rFonts w:hint="eastAsia"/>
                      <w:color w:val="auto"/>
                      <w:lang w:val="en-US" w:eastAsia="zh-CN"/>
                    </w:rPr>
                    <w:t>编制</w:t>
                  </w:r>
                  <w:r>
                    <w:rPr>
                      <w:rFonts w:hint="eastAsia"/>
                      <w:color w:val="auto"/>
                    </w:rPr>
                    <w:t>。</w:t>
                  </w:r>
                </w:p>
              </w:tc>
              <w:tc>
                <w:tcPr>
                  <w:tcW w:w="2667" w:type="pct"/>
                  <w:vAlign w:val="center"/>
                </w:tcPr>
                <w:p w14:paraId="597B44DD">
                  <w:pPr>
                    <w:snapToGrid w:val="0"/>
                    <w:jc w:val="center"/>
                    <w:rPr>
                      <w:color w:val="auto"/>
                    </w:rPr>
                  </w:pPr>
                  <w:r>
                    <w:rPr>
                      <w:rFonts w:hint="eastAsia"/>
                      <w:color w:val="auto"/>
                    </w:rPr>
                    <w:t>本次</w:t>
                  </w:r>
                  <w:r>
                    <w:rPr>
                      <w:rFonts w:hint="eastAsia"/>
                      <w:color w:val="auto"/>
                      <w:lang w:val="en-US" w:eastAsia="zh-CN"/>
                    </w:rPr>
                    <w:t>扩建</w:t>
                  </w:r>
                  <w:r>
                    <w:rPr>
                      <w:rFonts w:hint="eastAsia"/>
                      <w:color w:val="auto"/>
                    </w:rPr>
                    <w:t>完成后，</w:t>
                  </w:r>
                  <w:r>
                    <w:rPr>
                      <w:rFonts w:hint="eastAsia"/>
                      <w:color w:val="auto"/>
                      <w:lang w:val="en-US" w:eastAsia="zh-CN"/>
                    </w:rPr>
                    <w:t>要求</w:t>
                  </w:r>
                  <w:r>
                    <w:rPr>
                      <w:rFonts w:hint="eastAsia"/>
                      <w:color w:val="auto"/>
                    </w:rPr>
                    <w:t>进行</w:t>
                  </w:r>
                  <w:r>
                    <w:rPr>
                      <w:rFonts w:hint="eastAsia"/>
                      <w:color w:val="auto"/>
                      <w:lang w:val="en-US" w:eastAsia="zh-CN"/>
                    </w:rPr>
                    <w:t>全厂</w:t>
                  </w:r>
                  <w:r>
                    <w:rPr>
                      <w:rFonts w:hint="eastAsia"/>
                      <w:color w:val="auto"/>
                    </w:rPr>
                    <w:t>应急预案的编制并备案。</w:t>
                  </w:r>
                </w:p>
              </w:tc>
              <w:tc>
                <w:tcPr>
                  <w:tcW w:w="674" w:type="pct"/>
                  <w:vAlign w:val="center"/>
                </w:tcPr>
                <w:p w14:paraId="2674E0BC">
                  <w:pPr>
                    <w:snapToGrid w:val="0"/>
                    <w:jc w:val="center"/>
                    <w:rPr>
                      <w:rFonts w:hint="default" w:eastAsia="宋体"/>
                      <w:color w:val="auto"/>
                      <w:lang w:val="en-US" w:eastAsia="zh-CN"/>
                    </w:rPr>
                  </w:pPr>
                  <w:r>
                    <w:rPr>
                      <w:rFonts w:hint="eastAsia"/>
                      <w:color w:val="auto"/>
                      <w:lang w:val="en-US" w:eastAsia="zh-CN"/>
                    </w:rPr>
                    <w:t>3个月</w:t>
                  </w:r>
                </w:p>
              </w:tc>
            </w:tr>
            <w:tr w14:paraId="73F70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38364281">
                  <w:pPr>
                    <w:jc w:val="center"/>
                    <w:rPr>
                      <w:rFonts w:hint="default"/>
                      <w:bCs/>
                      <w:color w:val="auto"/>
                      <w:szCs w:val="21"/>
                      <w:lang w:val="en-US" w:eastAsia="zh-CN"/>
                    </w:rPr>
                  </w:pPr>
                  <w:r>
                    <w:rPr>
                      <w:rFonts w:hint="eastAsia"/>
                      <w:bCs/>
                      <w:color w:val="auto"/>
                      <w:szCs w:val="21"/>
                      <w:lang w:val="en-US" w:eastAsia="zh-CN"/>
                    </w:rPr>
                    <w:t>2</w:t>
                  </w:r>
                </w:p>
              </w:tc>
              <w:tc>
                <w:tcPr>
                  <w:tcW w:w="1375" w:type="pct"/>
                  <w:vAlign w:val="center"/>
                </w:tcPr>
                <w:p w14:paraId="6A4FB5BF">
                  <w:pPr>
                    <w:snapToGrid w:val="0"/>
                    <w:jc w:val="center"/>
                    <w:rPr>
                      <w:rFonts w:hint="default" w:eastAsia="宋体"/>
                      <w:color w:val="auto"/>
                      <w:lang w:val="en-US" w:eastAsia="zh-CN"/>
                    </w:rPr>
                  </w:pPr>
                  <w:r>
                    <w:rPr>
                      <w:rFonts w:hint="eastAsia"/>
                      <w:color w:val="auto"/>
                      <w:lang w:val="en-US" w:eastAsia="zh-CN"/>
                    </w:rPr>
                    <w:t>未按照原环评监测要求进行监测。</w:t>
                  </w:r>
                </w:p>
              </w:tc>
              <w:tc>
                <w:tcPr>
                  <w:tcW w:w="2667" w:type="pct"/>
                  <w:vAlign w:val="center"/>
                </w:tcPr>
                <w:p w14:paraId="02A5590A">
                  <w:pPr>
                    <w:snapToGrid w:val="0"/>
                    <w:jc w:val="center"/>
                    <w:rPr>
                      <w:rFonts w:hint="default" w:eastAsia="宋体"/>
                      <w:color w:val="auto"/>
                      <w:lang w:val="en-US" w:eastAsia="zh-CN"/>
                    </w:rPr>
                  </w:pPr>
                  <w:r>
                    <w:rPr>
                      <w:rFonts w:hint="eastAsia"/>
                      <w:color w:val="auto"/>
                      <w:lang w:val="en-US" w:eastAsia="zh-CN"/>
                    </w:rPr>
                    <w:t>本次扩建完成后，要求按照本环评报告监测要求进行全厂监测。</w:t>
                  </w:r>
                </w:p>
              </w:tc>
              <w:tc>
                <w:tcPr>
                  <w:tcW w:w="674" w:type="pct"/>
                  <w:vAlign w:val="center"/>
                </w:tcPr>
                <w:p w14:paraId="59351F52">
                  <w:pPr>
                    <w:snapToGrid w:val="0"/>
                    <w:jc w:val="center"/>
                    <w:rPr>
                      <w:rFonts w:hint="default"/>
                      <w:color w:val="auto"/>
                      <w:lang w:val="en-US" w:eastAsia="zh-CN"/>
                    </w:rPr>
                  </w:pPr>
                  <w:r>
                    <w:rPr>
                      <w:rFonts w:hint="eastAsia"/>
                      <w:color w:val="auto"/>
                      <w:lang w:val="en-US" w:eastAsia="zh-CN"/>
                    </w:rPr>
                    <w:t>1年</w:t>
                  </w:r>
                </w:p>
              </w:tc>
            </w:tr>
            <w:tr w14:paraId="6B133D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0FADF762">
                  <w:pPr>
                    <w:jc w:val="center"/>
                    <w:rPr>
                      <w:rFonts w:hint="default"/>
                      <w:bCs/>
                      <w:color w:val="auto"/>
                      <w:szCs w:val="21"/>
                      <w:lang w:val="en-US" w:eastAsia="zh-CN"/>
                    </w:rPr>
                  </w:pPr>
                  <w:r>
                    <w:rPr>
                      <w:rFonts w:hint="eastAsia"/>
                      <w:bCs/>
                      <w:color w:val="auto"/>
                      <w:szCs w:val="21"/>
                      <w:lang w:val="en-US" w:eastAsia="zh-CN"/>
                    </w:rPr>
                    <w:t>3</w:t>
                  </w:r>
                </w:p>
              </w:tc>
              <w:tc>
                <w:tcPr>
                  <w:tcW w:w="1375" w:type="pct"/>
                  <w:vAlign w:val="center"/>
                </w:tcPr>
                <w:p w14:paraId="7A442AB5">
                  <w:pPr>
                    <w:snapToGrid w:val="0"/>
                    <w:jc w:val="center"/>
                    <w:rPr>
                      <w:rFonts w:hint="default"/>
                      <w:color w:val="auto"/>
                      <w:lang w:val="en-US" w:eastAsia="zh-CN"/>
                    </w:rPr>
                  </w:pPr>
                  <w:r>
                    <w:rPr>
                      <w:rFonts w:hint="eastAsia"/>
                      <w:color w:val="auto"/>
                      <w:lang w:val="en-US" w:eastAsia="zh-CN"/>
                    </w:rPr>
                    <w:t>室外皮带密闭设施有破损，在廊道下方有堆积物料。</w:t>
                  </w:r>
                </w:p>
              </w:tc>
              <w:tc>
                <w:tcPr>
                  <w:tcW w:w="2667" w:type="pct"/>
                  <w:vAlign w:val="center"/>
                </w:tcPr>
                <w:p w14:paraId="36C4BD7B">
                  <w:pPr>
                    <w:snapToGrid w:val="0"/>
                    <w:jc w:val="center"/>
                    <w:rPr>
                      <w:rFonts w:hint="default"/>
                      <w:color w:val="auto"/>
                      <w:lang w:val="en-US" w:eastAsia="zh-CN"/>
                    </w:rPr>
                  </w:pPr>
                  <w:r>
                    <w:rPr>
                      <w:rFonts w:hint="eastAsia"/>
                      <w:color w:val="auto"/>
                      <w:lang w:val="en-US" w:eastAsia="zh-CN"/>
                    </w:rPr>
                    <w:t>要求对室外皮带密闭设施进行修复或更换，保证密闭性，清除廊道下方堆积物料。</w:t>
                  </w:r>
                </w:p>
              </w:tc>
              <w:tc>
                <w:tcPr>
                  <w:tcW w:w="674" w:type="pct"/>
                  <w:vAlign w:val="center"/>
                </w:tcPr>
                <w:p w14:paraId="6292EA44">
                  <w:pPr>
                    <w:snapToGrid w:val="0"/>
                    <w:jc w:val="center"/>
                    <w:rPr>
                      <w:rFonts w:hint="default"/>
                      <w:color w:val="auto"/>
                      <w:lang w:val="en-US" w:eastAsia="zh-CN"/>
                    </w:rPr>
                  </w:pPr>
                  <w:r>
                    <w:rPr>
                      <w:rFonts w:hint="eastAsia"/>
                      <w:color w:val="auto"/>
                      <w:lang w:val="en-US" w:eastAsia="zh-CN"/>
                    </w:rPr>
                    <w:t>1个月</w:t>
                  </w:r>
                </w:p>
              </w:tc>
            </w:tr>
            <w:tr w14:paraId="127FB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24E0AEE1">
                  <w:pPr>
                    <w:jc w:val="center"/>
                    <w:rPr>
                      <w:rFonts w:hint="default"/>
                      <w:bCs/>
                      <w:color w:val="auto"/>
                      <w:szCs w:val="21"/>
                      <w:lang w:val="en-US" w:eastAsia="zh-CN"/>
                    </w:rPr>
                  </w:pPr>
                  <w:r>
                    <w:rPr>
                      <w:rFonts w:hint="eastAsia"/>
                      <w:bCs/>
                      <w:color w:val="auto"/>
                      <w:szCs w:val="21"/>
                      <w:lang w:val="en-US" w:eastAsia="zh-CN"/>
                    </w:rPr>
                    <w:t>4</w:t>
                  </w:r>
                </w:p>
              </w:tc>
              <w:tc>
                <w:tcPr>
                  <w:tcW w:w="1375" w:type="pct"/>
                  <w:vAlign w:val="center"/>
                </w:tcPr>
                <w:p w14:paraId="0DF556D4">
                  <w:pPr>
                    <w:snapToGrid w:val="0"/>
                    <w:jc w:val="center"/>
                    <w:rPr>
                      <w:rFonts w:hint="default"/>
                      <w:color w:val="auto"/>
                      <w:lang w:val="en-US" w:eastAsia="zh-CN"/>
                    </w:rPr>
                  </w:pPr>
                  <w:r>
                    <w:rPr>
                      <w:rFonts w:hint="eastAsia"/>
                      <w:color w:val="auto"/>
                      <w:lang w:val="en-US" w:eastAsia="zh-CN"/>
                    </w:rPr>
                    <w:t>部分产品使用密布网覆盖后，堆积在露天空地处。</w:t>
                  </w:r>
                </w:p>
              </w:tc>
              <w:tc>
                <w:tcPr>
                  <w:tcW w:w="2667" w:type="pct"/>
                  <w:vAlign w:val="center"/>
                </w:tcPr>
                <w:p w14:paraId="62C3F5AE">
                  <w:pPr>
                    <w:snapToGrid w:val="0"/>
                    <w:jc w:val="center"/>
                    <w:rPr>
                      <w:rFonts w:hint="default"/>
                      <w:color w:val="auto"/>
                      <w:lang w:val="en-US" w:eastAsia="zh-CN"/>
                    </w:rPr>
                  </w:pPr>
                  <w:r>
                    <w:rPr>
                      <w:rFonts w:hint="eastAsia"/>
                      <w:color w:val="auto"/>
                      <w:lang w:val="en-US" w:eastAsia="zh-CN"/>
                    </w:rPr>
                    <w:t>要求对堆积在露天空地处的产品进行转移，严格按照要求存放至成品库中。</w:t>
                  </w:r>
                </w:p>
              </w:tc>
              <w:tc>
                <w:tcPr>
                  <w:tcW w:w="674" w:type="pct"/>
                  <w:vAlign w:val="center"/>
                </w:tcPr>
                <w:p w14:paraId="7FA5BC45">
                  <w:pPr>
                    <w:snapToGrid w:val="0"/>
                    <w:jc w:val="center"/>
                    <w:rPr>
                      <w:rFonts w:hint="default"/>
                      <w:color w:val="auto"/>
                      <w:lang w:val="en-US" w:eastAsia="zh-CN"/>
                    </w:rPr>
                  </w:pPr>
                  <w:r>
                    <w:rPr>
                      <w:rFonts w:hint="eastAsia"/>
                      <w:color w:val="auto"/>
                      <w:lang w:val="en-US" w:eastAsia="zh-CN"/>
                    </w:rPr>
                    <w:t>1个月</w:t>
                  </w:r>
                </w:p>
              </w:tc>
            </w:tr>
            <w:tr w14:paraId="0928D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2329F65A">
                  <w:pPr>
                    <w:jc w:val="center"/>
                    <w:rPr>
                      <w:rFonts w:hint="default"/>
                      <w:bCs/>
                      <w:color w:val="auto"/>
                      <w:szCs w:val="21"/>
                      <w:lang w:val="en-US" w:eastAsia="zh-CN"/>
                    </w:rPr>
                  </w:pPr>
                  <w:r>
                    <w:rPr>
                      <w:rFonts w:hint="eastAsia"/>
                      <w:bCs/>
                      <w:color w:val="auto"/>
                      <w:szCs w:val="21"/>
                      <w:lang w:val="en-US" w:eastAsia="zh-CN"/>
                    </w:rPr>
                    <w:t>5</w:t>
                  </w:r>
                </w:p>
              </w:tc>
              <w:tc>
                <w:tcPr>
                  <w:tcW w:w="1375" w:type="pct"/>
                  <w:vAlign w:val="center"/>
                </w:tcPr>
                <w:p w14:paraId="39434326">
                  <w:pPr>
                    <w:snapToGrid w:val="0"/>
                    <w:jc w:val="center"/>
                    <w:rPr>
                      <w:rFonts w:hint="eastAsia"/>
                      <w:color w:val="auto"/>
                      <w:lang w:val="en-US" w:eastAsia="zh-CN"/>
                    </w:rPr>
                  </w:pPr>
                  <w:r>
                    <w:rPr>
                      <w:rFonts w:hint="eastAsia"/>
                      <w:color w:val="auto"/>
                      <w:lang w:val="en-US" w:eastAsia="zh-CN"/>
                    </w:rPr>
                    <w:t>原料堆放高度高于8m高的防风抑尘围挡。</w:t>
                  </w:r>
                </w:p>
              </w:tc>
              <w:tc>
                <w:tcPr>
                  <w:tcW w:w="2667" w:type="pct"/>
                  <w:vAlign w:val="center"/>
                </w:tcPr>
                <w:p w14:paraId="2BF0C95D">
                  <w:pPr>
                    <w:snapToGrid w:val="0"/>
                    <w:jc w:val="center"/>
                    <w:rPr>
                      <w:rFonts w:hint="default"/>
                      <w:color w:val="auto"/>
                      <w:lang w:val="en-US" w:eastAsia="zh-CN"/>
                    </w:rPr>
                  </w:pPr>
                  <w:r>
                    <w:rPr>
                      <w:rFonts w:hint="eastAsia"/>
                      <w:color w:val="auto"/>
                      <w:lang w:val="en-US" w:eastAsia="zh-CN"/>
                    </w:rPr>
                    <w:t>按照《陕西弘伟生态环保产业园建筑垃圾资源化利用项目环境影响报告表》的批复文件（陕西咸沣东审服准字[2021]13号）要求，规范原料堆放高度，堆放不得高过防风衣网。</w:t>
                  </w:r>
                </w:p>
              </w:tc>
              <w:tc>
                <w:tcPr>
                  <w:tcW w:w="674" w:type="pct"/>
                  <w:vAlign w:val="center"/>
                </w:tcPr>
                <w:p w14:paraId="56AFC103">
                  <w:pPr>
                    <w:snapToGrid w:val="0"/>
                    <w:jc w:val="center"/>
                    <w:rPr>
                      <w:rFonts w:hint="default"/>
                      <w:color w:val="auto"/>
                      <w:lang w:val="en-US" w:eastAsia="zh-CN"/>
                    </w:rPr>
                  </w:pPr>
                  <w:r>
                    <w:rPr>
                      <w:rFonts w:hint="eastAsia"/>
                      <w:color w:val="auto"/>
                      <w:lang w:val="en-US" w:eastAsia="zh-CN"/>
                    </w:rPr>
                    <w:t>1个月</w:t>
                  </w:r>
                </w:p>
              </w:tc>
            </w:tr>
            <w:tr w14:paraId="69FDA5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14:paraId="7868A7AF">
                  <w:pPr>
                    <w:jc w:val="center"/>
                    <w:rPr>
                      <w:rFonts w:hint="default"/>
                      <w:bCs/>
                      <w:color w:val="auto"/>
                      <w:szCs w:val="21"/>
                      <w:lang w:val="en-US" w:eastAsia="zh-CN"/>
                    </w:rPr>
                  </w:pPr>
                  <w:r>
                    <w:rPr>
                      <w:rFonts w:hint="eastAsia"/>
                      <w:bCs/>
                      <w:color w:val="auto"/>
                      <w:szCs w:val="21"/>
                      <w:lang w:val="en-US" w:eastAsia="zh-CN"/>
                    </w:rPr>
                    <w:t>6</w:t>
                  </w:r>
                </w:p>
              </w:tc>
              <w:tc>
                <w:tcPr>
                  <w:tcW w:w="1375" w:type="pct"/>
                  <w:vAlign w:val="center"/>
                </w:tcPr>
                <w:p w14:paraId="778409DC">
                  <w:pPr>
                    <w:snapToGrid w:val="0"/>
                    <w:jc w:val="center"/>
                    <w:rPr>
                      <w:rFonts w:hint="default"/>
                      <w:color w:val="auto"/>
                      <w:lang w:val="en-US" w:eastAsia="zh-CN"/>
                    </w:rPr>
                  </w:pPr>
                  <w:r>
                    <w:rPr>
                      <w:rFonts w:hint="eastAsia"/>
                      <w:color w:val="auto"/>
                      <w:lang w:val="en-US" w:eastAsia="zh-CN"/>
                    </w:rPr>
                    <w:t>成品库出产品端使用的遮盖布帘存在破损。</w:t>
                  </w:r>
                </w:p>
              </w:tc>
              <w:tc>
                <w:tcPr>
                  <w:tcW w:w="2667" w:type="pct"/>
                  <w:vAlign w:val="center"/>
                </w:tcPr>
                <w:p w14:paraId="2BD0D002">
                  <w:pPr>
                    <w:snapToGrid w:val="0"/>
                    <w:jc w:val="center"/>
                    <w:rPr>
                      <w:rFonts w:hint="default"/>
                      <w:color w:val="auto"/>
                      <w:lang w:val="en-US" w:eastAsia="zh-CN"/>
                    </w:rPr>
                  </w:pPr>
                  <w:r>
                    <w:rPr>
                      <w:rFonts w:hint="eastAsia"/>
                      <w:color w:val="auto"/>
                      <w:lang w:val="en-US" w:eastAsia="zh-CN"/>
                    </w:rPr>
                    <w:t>要求对遮盖布帘进行更换，保证密闭性。</w:t>
                  </w:r>
                </w:p>
              </w:tc>
              <w:tc>
                <w:tcPr>
                  <w:tcW w:w="674" w:type="pct"/>
                  <w:vAlign w:val="center"/>
                </w:tcPr>
                <w:p w14:paraId="1B451A4A">
                  <w:pPr>
                    <w:snapToGrid w:val="0"/>
                    <w:jc w:val="center"/>
                    <w:rPr>
                      <w:rFonts w:hint="default"/>
                      <w:color w:val="auto"/>
                      <w:lang w:val="en-US" w:eastAsia="zh-CN"/>
                    </w:rPr>
                  </w:pPr>
                  <w:r>
                    <w:rPr>
                      <w:rFonts w:hint="eastAsia"/>
                      <w:color w:val="auto"/>
                      <w:lang w:val="en-US" w:eastAsia="zh-CN"/>
                    </w:rPr>
                    <w:t xml:space="preserve"> 1 个月</w:t>
                  </w:r>
                </w:p>
              </w:tc>
            </w:tr>
          </w:tbl>
          <w:p w14:paraId="3F63299E">
            <w:pPr>
              <w:adjustRightInd w:val="0"/>
              <w:snapToGrid w:val="0"/>
              <w:rPr>
                <w:rFonts w:ascii="宋体" w:hAnsi="宋体"/>
                <w:bCs/>
                <w:color w:val="auto"/>
                <w:szCs w:val="21"/>
              </w:rPr>
            </w:pPr>
          </w:p>
        </w:tc>
      </w:tr>
    </w:tbl>
    <w:p w14:paraId="1B54A544">
      <w:pPr>
        <w:pStyle w:val="24"/>
        <w:jc w:val="center"/>
        <w:rPr>
          <w:rFonts w:ascii="黑体" w:hAnsi="黑体" w:eastAsia="黑体"/>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0001AF9">
      <w:pPr>
        <w:pageBreakBefore/>
        <w:widowControl/>
        <w:spacing w:before="100" w:after="100"/>
        <w:jc w:val="center"/>
        <w:outlineLvl w:val="0"/>
        <w:rPr>
          <w:rFonts w:ascii="黑体" w:hAnsi="黑体" w:eastAsia="黑体"/>
          <w:snapToGrid w:val="0"/>
          <w:color w:val="auto"/>
          <w:kern w:val="0"/>
          <w:sz w:val="30"/>
          <w:szCs w:val="30"/>
        </w:rPr>
      </w:pPr>
      <w:r>
        <w:rPr>
          <w:rFonts w:hint="eastAsia" w:ascii="黑体" w:hAnsi="黑体" w:eastAsia="黑体"/>
          <w:snapToGrid w:val="0"/>
          <w:color w:val="auto"/>
          <w:kern w:val="0"/>
          <w:sz w:val="30"/>
          <w:szCs w:val="30"/>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14:paraId="576F5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07" w:hRule="atLeast"/>
          <w:jc w:val="center"/>
        </w:trPr>
        <w:tc>
          <w:tcPr>
            <w:tcW w:w="800" w:type="dxa"/>
            <w:vAlign w:val="center"/>
          </w:tcPr>
          <w:p w14:paraId="1765F4F3">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14:paraId="6065BDB9">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20D28509">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14:paraId="746F0EA3">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8190" w:type="dxa"/>
            <w:vAlign w:val="center"/>
          </w:tcPr>
          <w:p w14:paraId="42AFF68D">
            <w:pPr>
              <w:pStyle w:val="16"/>
              <w:adjustRightInd w:val="0"/>
              <w:spacing w:line="360" w:lineRule="auto"/>
              <w:ind w:firstLine="482" w:firstLineChars="200"/>
              <w:rPr>
                <w:b/>
                <w:color w:val="auto"/>
                <w:kern w:val="2"/>
                <w:sz w:val="24"/>
                <w:szCs w:val="24"/>
              </w:rPr>
            </w:pPr>
            <w:r>
              <w:rPr>
                <w:b/>
                <w:color w:val="auto"/>
                <w:kern w:val="2"/>
                <w:sz w:val="24"/>
                <w:szCs w:val="24"/>
              </w:rPr>
              <w:t>1、环境空气质量现状</w:t>
            </w:r>
          </w:p>
          <w:p w14:paraId="587B01CB">
            <w:pPr>
              <w:spacing w:line="360" w:lineRule="auto"/>
              <w:ind w:firstLine="480" w:firstLineChars="200"/>
              <w:rPr>
                <w:color w:val="auto"/>
                <w:sz w:val="24"/>
                <w:szCs w:val="32"/>
              </w:rPr>
            </w:pPr>
            <w:r>
              <w:rPr>
                <w:color w:val="auto"/>
                <w:sz w:val="24"/>
                <w:szCs w:val="32"/>
              </w:rPr>
              <w:t>本次环评基本污染物根据陕西省生态环境厅公布的《环保快报202</w:t>
            </w:r>
            <w:r>
              <w:rPr>
                <w:rFonts w:hint="eastAsia"/>
                <w:color w:val="auto"/>
                <w:sz w:val="24"/>
                <w:szCs w:val="32"/>
                <w:lang w:val="en-US" w:eastAsia="zh-CN"/>
              </w:rPr>
              <w:t>4</w:t>
            </w:r>
            <w:r>
              <w:rPr>
                <w:color w:val="auto"/>
                <w:sz w:val="24"/>
                <w:szCs w:val="32"/>
              </w:rPr>
              <w:t>年12月及1~12月全省环境空气质量状况》进行评价。本评价选用202</w:t>
            </w:r>
            <w:r>
              <w:rPr>
                <w:rFonts w:hint="eastAsia"/>
                <w:color w:val="auto"/>
                <w:sz w:val="24"/>
                <w:szCs w:val="32"/>
                <w:lang w:val="en-US" w:eastAsia="zh-CN"/>
              </w:rPr>
              <w:t>4</w:t>
            </w:r>
            <w:r>
              <w:rPr>
                <w:color w:val="auto"/>
                <w:sz w:val="24"/>
                <w:szCs w:val="32"/>
              </w:rPr>
              <w:t>年1~12月关中地区6</w:t>
            </w:r>
            <w:r>
              <w:rPr>
                <w:rFonts w:hint="eastAsia"/>
                <w:color w:val="auto"/>
                <w:sz w:val="24"/>
                <w:szCs w:val="32"/>
                <w:lang w:val="en-US" w:eastAsia="zh-CN"/>
              </w:rPr>
              <w:t>3</w:t>
            </w:r>
            <w:r>
              <w:rPr>
                <w:color w:val="auto"/>
                <w:sz w:val="24"/>
                <w:szCs w:val="32"/>
              </w:rPr>
              <w:t>个县（区）空气质量状况统计表中西咸新区的数据对该区域基本污染物环境质量现状进行评价。</w:t>
            </w:r>
          </w:p>
          <w:p w14:paraId="2805C0D7">
            <w:pPr>
              <w:adjustRightInd w:val="0"/>
              <w:snapToGrid w:val="0"/>
              <w:jc w:val="center"/>
              <w:rPr>
                <w:color w:val="auto"/>
                <w:sz w:val="24"/>
              </w:rPr>
            </w:pPr>
            <w:r>
              <w:rPr>
                <w:b/>
                <w:color w:val="auto"/>
                <w:sz w:val="24"/>
              </w:rPr>
              <w:t>表3-1   基本污染物环境质量现状</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46"/>
              <w:gridCol w:w="2439"/>
              <w:gridCol w:w="1248"/>
              <w:gridCol w:w="1192"/>
              <w:gridCol w:w="1145"/>
              <w:gridCol w:w="1004"/>
            </w:tblGrid>
            <w:tr w14:paraId="294EFC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611D1342">
                  <w:pPr>
                    <w:jc w:val="center"/>
                    <w:rPr>
                      <w:b/>
                      <w:bCs/>
                      <w:color w:val="auto"/>
                      <w:szCs w:val="21"/>
                    </w:rPr>
                  </w:pPr>
                  <w:r>
                    <w:rPr>
                      <w:b/>
                      <w:bCs/>
                      <w:color w:val="auto"/>
                      <w:szCs w:val="21"/>
                    </w:rPr>
                    <w:t>污染物</w:t>
                  </w:r>
                </w:p>
              </w:tc>
              <w:tc>
                <w:tcPr>
                  <w:tcW w:w="1529" w:type="pct"/>
                  <w:vAlign w:val="center"/>
                </w:tcPr>
                <w:p w14:paraId="001467BB">
                  <w:pPr>
                    <w:jc w:val="center"/>
                    <w:rPr>
                      <w:b/>
                      <w:bCs/>
                      <w:color w:val="auto"/>
                      <w:szCs w:val="21"/>
                    </w:rPr>
                  </w:pPr>
                  <w:r>
                    <w:rPr>
                      <w:b/>
                      <w:bCs/>
                      <w:color w:val="auto"/>
                      <w:szCs w:val="21"/>
                    </w:rPr>
                    <w:t>年评价指标</w:t>
                  </w:r>
                </w:p>
              </w:tc>
              <w:tc>
                <w:tcPr>
                  <w:tcW w:w="782" w:type="pct"/>
                  <w:vAlign w:val="center"/>
                </w:tcPr>
                <w:p w14:paraId="5A1A282A">
                  <w:pPr>
                    <w:jc w:val="center"/>
                    <w:rPr>
                      <w:b/>
                      <w:bCs/>
                      <w:color w:val="auto"/>
                      <w:szCs w:val="21"/>
                    </w:rPr>
                  </w:pPr>
                  <w:r>
                    <w:rPr>
                      <w:b/>
                      <w:bCs/>
                      <w:color w:val="auto"/>
                      <w:szCs w:val="21"/>
                    </w:rPr>
                    <w:t>现状浓度（μg/m</w:t>
                  </w:r>
                  <w:r>
                    <w:rPr>
                      <w:b/>
                      <w:bCs/>
                      <w:color w:val="auto"/>
                      <w:szCs w:val="21"/>
                      <w:vertAlign w:val="superscript"/>
                    </w:rPr>
                    <w:t>3</w:t>
                  </w:r>
                  <w:r>
                    <w:rPr>
                      <w:b/>
                      <w:bCs/>
                      <w:color w:val="auto"/>
                      <w:szCs w:val="21"/>
                    </w:rPr>
                    <w:t>）</w:t>
                  </w:r>
                </w:p>
              </w:tc>
              <w:tc>
                <w:tcPr>
                  <w:tcW w:w="747" w:type="pct"/>
                  <w:vAlign w:val="center"/>
                </w:tcPr>
                <w:p w14:paraId="22788EC0">
                  <w:pPr>
                    <w:jc w:val="center"/>
                    <w:rPr>
                      <w:b/>
                      <w:bCs/>
                      <w:color w:val="auto"/>
                      <w:szCs w:val="21"/>
                    </w:rPr>
                  </w:pPr>
                  <w:r>
                    <w:rPr>
                      <w:b/>
                      <w:bCs/>
                      <w:color w:val="auto"/>
                      <w:szCs w:val="21"/>
                    </w:rPr>
                    <w:t>标准值（μg/m</w:t>
                  </w:r>
                  <w:r>
                    <w:rPr>
                      <w:b/>
                      <w:bCs/>
                      <w:color w:val="auto"/>
                      <w:szCs w:val="21"/>
                      <w:vertAlign w:val="superscript"/>
                    </w:rPr>
                    <w:t>3</w:t>
                  </w:r>
                  <w:r>
                    <w:rPr>
                      <w:b/>
                      <w:bCs/>
                      <w:color w:val="auto"/>
                      <w:szCs w:val="21"/>
                    </w:rPr>
                    <w:t>）</w:t>
                  </w:r>
                </w:p>
              </w:tc>
              <w:tc>
                <w:tcPr>
                  <w:tcW w:w="718" w:type="pct"/>
                  <w:vAlign w:val="center"/>
                </w:tcPr>
                <w:p w14:paraId="49017C6E">
                  <w:pPr>
                    <w:jc w:val="center"/>
                    <w:rPr>
                      <w:b/>
                      <w:bCs/>
                      <w:color w:val="auto"/>
                      <w:szCs w:val="21"/>
                    </w:rPr>
                  </w:pPr>
                  <w:r>
                    <w:rPr>
                      <w:b/>
                      <w:bCs/>
                      <w:color w:val="auto"/>
                      <w:szCs w:val="21"/>
                    </w:rPr>
                    <w:t>占标率</w:t>
                  </w:r>
                </w:p>
              </w:tc>
              <w:tc>
                <w:tcPr>
                  <w:tcW w:w="629" w:type="pct"/>
                  <w:vAlign w:val="center"/>
                </w:tcPr>
                <w:p w14:paraId="5A7945A3">
                  <w:pPr>
                    <w:jc w:val="center"/>
                    <w:rPr>
                      <w:b/>
                      <w:bCs/>
                      <w:color w:val="auto"/>
                      <w:szCs w:val="21"/>
                    </w:rPr>
                  </w:pPr>
                  <w:r>
                    <w:rPr>
                      <w:b/>
                      <w:bCs/>
                      <w:color w:val="auto"/>
                      <w:szCs w:val="21"/>
                    </w:rPr>
                    <w:t>达标</w:t>
                  </w:r>
                </w:p>
                <w:p w14:paraId="6E3A44C9">
                  <w:pPr>
                    <w:jc w:val="center"/>
                    <w:rPr>
                      <w:b/>
                      <w:bCs/>
                      <w:color w:val="auto"/>
                      <w:szCs w:val="21"/>
                    </w:rPr>
                  </w:pPr>
                  <w:r>
                    <w:rPr>
                      <w:b/>
                      <w:bCs/>
                      <w:color w:val="auto"/>
                      <w:szCs w:val="21"/>
                    </w:rPr>
                    <w:t>情况</w:t>
                  </w:r>
                </w:p>
              </w:tc>
            </w:tr>
            <w:tr w14:paraId="660AF2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C0F0651">
                  <w:pPr>
                    <w:jc w:val="center"/>
                    <w:rPr>
                      <w:color w:val="auto"/>
                      <w:szCs w:val="21"/>
                    </w:rPr>
                  </w:pPr>
                  <w:r>
                    <w:rPr>
                      <w:color w:val="auto"/>
                      <w:szCs w:val="21"/>
                    </w:rPr>
                    <w:t>SO</w:t>
                  </w:r>
                  <w:r>
                    <w:rPr>
                      <w:color w:val="auto"/>
                      <w:szCs w:val="21"/>
                      <w:vertAlign w:val="subscript"/>
                    </w:rPr>
                    <w:t>2</w:t>
                  </w:r>
                </w:p>
              </w:tc>
              <w:tc>
                <w:tcPr>
                  <w:tcW w:w="1529" w:type="pct"/>
                  <w:vAlign w:val="center"/>
                </w:tcPr>
                <w:p w14:paraId="156B8CE9">
                  <w:pPr>
                    <w:jc w:val="center"/>
                    <w:rPr>
                      <w:color w:val="auto"/>
                      <w:szCs w:val="21"/>
                    </w:rPr>
                  </w:pPr>
                  <w:r>
                    <w:rPr>
                      <w:color w:val="auto"/>
                      <w:szCs w:val="21"/>
                    </w:rPr>
                    <w:t>年平均质量浓度</w:t>
                  </w:r>
                </w:p>
              </w:tc>
              <w:tc>
                <w:tcPr>
                  <w:tcW w:w="782" w:type="pct"/>
                  <w:vAlign w:val="center"/>
                </w:tcPr>
                <w:p w14:paraId="7657263E">
                  <w:pPr>
                    <w:jc w:val="center"/>
                    <w:rPr>
                      <w:rFonts w:hint="eastAsia" w:eastAsia="宋体"/>
                      <w:color w:val="auto"/>
                      <w:szCs w:val="21"/>
                      <w:lang w:eastAsia="zh-CN"/>
                    </w:rPr>
                  </w:pPr>
                  <w:r>
                    <w:rPr>
                      <w:rFonts w:hint="eastAsia"/>
                      <w:color w:val="auto"/>
                      <w:szCs w:val="21"/>
                      <w:lang w:val="en-US" w:eastAsia="zh-CN"/>
                    </w:rPr>
                    <w:t>5</w:t>
                  </w:r>
                </w:p>
              </w:tc>
              <w:tc>
                <w:tcPr>
                  <w:tcW w:w="747" w:type="pct"/>
                  <w:vAlign w:val="center"/>
                </w:tcPr>
                <w:p w14:paraId="3DBA4F39">
                  <w:pPr>
                    <w:jc w:val="center"/>
                    <w:rPr>
                      <w:color w:val="auto"/>
                      <w:szCs w:val="21"/>
                    </w:rPr>
                  </w:pPr>
                  <w:r>
                    <w:rPr>
                      <w:color w:val="auto"/>
                      <w:szCs w:val="21"/>
                    </w:rPr>
                    <w:t>60</w:t>
                  </w:r>
                </w:p>
              </w:tc>
              <w:tc>
                <w:tcPr>
                  <w:tcW w:w="718" w:type="pct"/>
                  <w:vAlign w:val="center"/>
                </w:tcPr>
                <w:p w14:paraId="17333C45">
                  <w:pPr>
                    <w:widowControl/>
                    <w:jc w:val="center"/>
                    <w:textAlignment w:val="center"/>
                    <w:rPr>
                      <w:color w:val="auto"/>
                      <w:szCs w:val="21"/>
                    </w:rPr>
                  </w:pPr>
                  <w:r>
                    <w:rPr>
                      <w:rFonts w:hint="eastAsia"/>
                      <w:color w:val="auto"/>
                      <w:szCs w:val="21"/>
                      <w:lang w:val="en-US" w:eastAsia="zh-CN"/>
                    </w:rPr>
                    <w:t>8.33</w:t>
                  </w:r>
                  <w:r>
                    <w:rPr>
                      <w:color w:val="auto"/>
                      <w:szCs w:val="21"/>
                    </w:rPr>
                    <w:t>%</w:t>
                  </w:r>
                </w:p>
              </w:tc>
              <w:tc>
                <w:tcPr>
                  <w:tcW w:w="629" w:type="pct"/>
                  <w:vAlign w:val="center"/>
                </w:tcPr>
                <w:p w14:paraId="24E686B6">
                  <w:pPr>
                    <w:jc w:val="center"/>
                    <w:rPr>
                      <w:color w:val="auto"/>
                      <w:szCs w:val="21"/>
                    </w:rPr>
                  </w:pPr>
                  <w:r>
                    <w:rPr>
                      <w:color w:val="auto"/>
                      <w:szCs w:val="21"/>
                    </w:rPr>
                    <w:t>达标</w:t>
                  </w:r>
                </w:p>
              </w:tc>
            </w:tr>
            <w:tr w14:paraId="0C193D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0825CC6B">
                  <w:pPr>
                    <w:jc w:val="center"/>
                    <w:rPr>
                      <w:color w:val="auto"/>
                      <w:szCs w:val="21"/>
                    </w:rPr>
                  </w:pPr>
                  <w:r>
                    <w:rPr>
                      <w:color w:val="auto"/>
                      <w:szCs w:val="21"/>
                    </w:rPr>
                    <w:t>NO</w:t>
                  </w:r>
                  <w:r>
                    <w:rPr>
                      <w:color w:val="auto"/>
                      <w:szCs w:val="21"/>
                      <w:vertAlign w:val="subscript"/>
                    </w:rPr>
                    <w:t>2</w:t>
                  </w:r>
                </w:p>
              </w:tc>
              <w:tc>
                <w:tcPr>
                  <w:tcW w:w="1529" w:type="pct"/>
                  <w:vAlign w:val="center"/>
                </w:tcPr>
                <w:p w14:paraId="1E1707E0">
                  <w:pPr>
                    <w:jc w:val="center"/>
                    <w:rPr>
                      <w:color w:val="auto"/>
                      <w:szCs w:val="21"/>
                    </w:rPr>
                  </w:pPr>
                  <w:r>
                    <w:rPr>
                      <w:color w:val="auto"/>
                      <w:szCs w:val="21"/>
                    </w:rPr>
                    <w:t>年平均质量浓度</w:t>
                  </w:r>
                </w:p>
              </w:tc>
              <w:tc>
                <w:tcPr>
                  <w:tcW w:w="782" w:type="pct"/>
                  <w:vAlign w:val="center"/>
                </w:tcPr>
                <w:p w14:paraId="1A5115B1">
                  <w:pPr>
                    <w:jc w:val="center"/>
                    <w:rPr>
                      <w:rFonts w:hint="default" w:eastAsia="宋体"/>
                      <w:color w:val="auto"/>
                      <w:szCs w:val="21"/>
                      <w:lang w:val="en-US" w:eastAsia="zh-CN"/>
                    </w:rPr>
                  </w:pPr>
                  <w:r>
                    <w:rPr>
                      <w:rFonts w:hint="eastAsia"/>
                      <w:color w:val="auto"/>
                      <w:szCs w:val="21"/>
                      <w:lang w:val="en-US" w:eastAsia="zh-CN"/>
                    </w:rPr>
                    <w:t>31</w:t>
                  </w:r>
                </w:p>
              </w:tc>
              <w:tc>
                <w:tcPr>
                  <w:tcW w:w="747" w:type="pct"/>
                  <w:vAlign w:val="center"/>
                </w:tcPr>
                <w:p w14:paraId="6EEB2348">
                  <w:pPr>
                    <w:jc w:val="center"/>
                    <w:rPr>
                      <w:color w:val="auto"/>
                      <w:szCs w:val="21"/>
                    </w:rPr>
                  </w:pPr>
                  <w:r>
                    <w:rPr>
                      <w:color w:val="auto"/>
                      <w:szCs w:val="21"/>
                    </w:rPr>
                    <w:t>40</w:t>
                  </w:r>
                </w:p>
              </w:tc>
              <w:tc>
                <w:tcPr>
                  <w:tcW w:w="718" w:type="pct"/>
                  <w:vAlign w:val="center"/>
                </w:tcPr>
                <w:p w14:paraId="0E17318A">
                  <w:pPr>
                    <w:widowControl/>
                    <w:jc w:val="center"/>
                    <w:textAlignment w:val="center"/>
                    <w:rPr>
                      <w:color w:val="auto"/>
                      <w:szCs w:val="21"/>
                    </w:rPr>
                  </w:pPr>
                  <w:r>
                    <w:rPr>
                      <w:rFonts w:hint="eastAsia"/>
                      <w:color w:val="auto"/>
                      <w:szCs w:val="21"/>
                      <w:lang w:val="en-US" w:eastAsia="zh-CN"/>
                    </w:rPr>
                    <w:t>77.5</w:t>
                  </w:r>
                  <w:r>
                    <w:rPr>
                      <w:color w:val="auto"/>
                      <w:szCs w:val="21"/>
                    </w:rPr>
                    <w:t>%</w:t>
                  </w:r>
                </w:p>
              </w:tc>
              <w:tc>
                <w:tcPr>
                  <w:tcW w:w="629" w:type="pct"/>
                  <w:vAlign w:val="center"/>
                </w:tcPr>
                <w:p w14:paraId="012F4E26">
                  <w:pPr>
                    <w:jc w:val="center"/>
                    <w:rPr>
                      <w:color w:val="auto"/>
                      <w:szCs w:val="21"/>
                    </w:rPr>
                  </w:pPr>
                  <w:r>
                    <w:rPr>
                      <w:color w:val="auto"/>
                      <w:szCs w:val="21"/>
                    </w:rPr>
                    <w:t>达标</w:t>
                  </w:r>
                </w:p>
              </w:tc>
            </w:tr>
            <w:tr w14:paraId="3067AB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22CCD99">
                  <w:pPr>
                    <w:jc w:val="center"/>
                    <w:rPr>
                      <w:color w:val="auto"/>
                      <w:szCs w:val="21"/>
                    </w:rPr>
                  </w:pPr>
                  <w:r>
                    <w:rPr>
                      <w:color w:val="auto"/>
                      <w:szCs w:val="21"/>
                    </w:rPr>
                    <w:t>CO</w:t>
                  </w:r>
                </w:p>
              </w:tc>
              <w:tc>
                <w:tcPr>
                  <w:tcW w:w="1529" w:type="pct"/>
                  <w:vAlign w:val="center"/>
                </w:tcPr>
                <w:p w14:paraId="7727CBD5">
                  <w:pPr>
                    <w:jc w:val="center"/>
                    <w:rPr>
                      <w:color w:val="auto"/>
                      <w:szCs w:val="21"/>
                    </w:rPr>
                  </w:pPr>
                  <w:r>
                    <w:rPr>
                      <w:color w:val="auto"/>
                      <w:szCs w:val="21"/>
                    </w:rPr>
                    <w:t>24小时平均第95百分位浓度</w:t>
                  </w:r>
                </w:p>
              </w:tc>
              <w:tc>
                <w:tcPr>
                  <w:tcW w:w="782" w:type="pct"/>
                  <w:vAlign w:val="center"/>
                </w:tcPr>
                <w:p w14:paraId="0021F91A">
                  <w:pPr>
                    <w:jc w:val="center"/>
                    <w:rPr>
                      <w:rFonts w:hint="default" w:eastAsia="宋体"/>
                      <w:color w:val="auto"/>
                      <w:szCs w:val="21"/>
                      <w:lang w:val="en-US" w:eastAsia="zh-CN"/>
                    </w:rPr>
                  </w:pPr>
                  <w:r>
                    <w:rPr>
                      <w:rFonts w:hint="eastAsia"/>
                      <w:color w:val="auto"/>
                      <w:szCs w:val="21"/>
                      <w:lang w:val="en-US" w:eastAsia="zh-CN"/>
                    </w:rPr>
                    <w:t>1100</w:t>
                  </w:r>
                </w:p>
              </w:tc>
              <w:tc>
                <w:tcPr>
                  <w:tcW w:w="747" w:type="pct"/>
                  <w:vAlign w:val="center"/>
                </w:tcPr>
                <w:p w14:paraId="0BBA4A9B">
                  <w:pPr>
                    <w:jc w:val="center"/>
                    <w:rPr>
                      <w:color w:val="auto"/>
                      <w:szCs w:val="21"/>
                    </w:rPr>
                  </w:pPr>
                  <w:r>
                    <w:rPr>
                      <w:color w:val="auto"/>
                      <w:szCs w:val="21"/>
                    </w:rPr>
                    <w:t>4000</w:t>
                  </w:r>
                </w:p>
              </w:tc>
              <w:tc>
                <w:tcPr>
                  <w:tcW w:w="718" w:type="pct"/>
                  <w:vAlign w:val="center"/>
                </w:tcPr>
                <w:p w14:paraId="0F66592C">
                  <w:pPr>
                    <w:widowControl/>
                    <w:jc w:val="center"/>
                    <w:textAlignment w:val="center"/>
                    <w:rPr>
                      <w:color w:val="auto"/>
                      <w:szCs w:val="21"/>
                    </w:rPr>
                  </w:pPr>
                  <w:r>
                    <w:rPr>
                      <w:rFonts w:hint="eastAsia"/>
                      <w:color w:val="auto"/>
                      <w:szCs w:val="21"/>
                      <w:lang w:val="en-US" w:eastAsia="zh-CN"/>
                    </w:rPr>
                    <w:t>27</w:t>
                  </w:r>
                  <w:r>
                    <w:rPr>
                      <w:color w:val="auto"/>
                      <w:szCs w:val="21"/>
                    </w:rPr>
                    <w:t>.5%</w:t>
                  </w:r>
                </w:p>
              </w:tc>
              <w:tc>
                <w:tcPr>
                  <w:tcW w:w="629" w:type="pct"/>
                  <w:vAlign w:val="center"/>
                </w:tcPr>
                <w:p w14:paraId="611A9E3A">
                  <w:pPr>
                    <w:jc w:val="center"/>
                    <w:rPr>
                      <w:color w:val="auto"/>
                      <w:szCs w:val="21"/>
                    </w:rPr>
                  </w:pPr>
                  <w:r>
                    <w:rPr>
                      <w:color w:val="auto"/>
                      <w:szCs w:val="21"/>
                    </w:rPr>
                    <w:t>达标</w:t>
                  </w:r>
                </w:p>
              </w:tc>
            </w:tr>
            <w:tr w14:paraId="34B165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96C69E6">
                  <w:pPr>
                    <w:jc w:val="center"/>
                    <w:rPr>
                      <w:color w:val="auto"/>
                      <w:szCs w:val="21"/>
                    </w:rPr>
                  </w:pPr>
                  <w:r>
                    <w:rPr>
                      <w:color w:val="auto"/>
                      <w:szCs w:val="21"/>
                    </w:rPr>
                    <w:t>O</w:t>
                  </w:r>
                  <w:r>
                    <w:rPr>
                      <w:color w:val="auto"/>
                      <w:szCs w:val="21"/>
                      <w:vertAlign w:val="subscript"/>
                    </w:rPr>
                    <w:t>3</w:t>
                  </w:r>
                </w:p>
              </w:tc>
              <w:tc>
                <w:tcPr>
                  <w:tcW w:w="1529" w:type="pct"/>
                  <w:vAlign w:val="center"/>
                </w:tcPr>
                <w:p w14:paraId="4F924AC1">
                  <w:pPr>
                    <w:jc w:val="center"/>
                    <w:rPr>
                      <w:color w:val="auto"/>
                      <w:szCs w:val="21"/>
                    </w:rPr>
                  </w:pPr>
                  <w:r>
                    <w:rPr>
                      <w:color w:val="auto"/>
                      <w:szCs w:val="21"/>
                    </w:rPr>
                    <w:t>日最大8小时平均第90百分位浓度</w:t>
                  </w:r>
                </w:p>
              </w:tc>
              <w:tc>
                <w:tcPr>
                  <w:tcW w:w="782" w:type="pct"/>
                  <w:vAlign w:val="center"/>
                </w:tcPr>
                <w:p w14:paraId="772ADB46">
                  <w:pPr>
                    <w:jc w:val="center"/>
                    <w:rPr>
                      <w:rFonts w:hint="default" w:eastAsia="宋体"/>
                      <w:color w:val="auto"/>
                      <w:szCs w:val="21"/>
                      <w:lang w:val="en-US" w:eastAsia="zh-CN"/>
                    </w:rPr>
                  </w:pPr>
                  <w:r>
                    <w:rPr>
                      <w:rFonts w:hint="eastAsia"/>
                      <w:color w:val="auto"/>
                      <w:szCs w:val="21"/>
                      <w:lang w:val="en-US" w:eastAsia="zh-CN"/>
                    </w:rPr>
                    <w:t>168</w:t>
                  </w:r>
                </w:p>
              </w:tc>
              <w:tc>
                <w:tcPr>
                  <w:tcW w:w="747" w:type="pct"/>
                  <w:vAlign w:val="center"/>
                </w:tcPr>
                <w:p w14:paraId="298F20E9">
                  <w:pPr>
                    <w:jc w:val="center"/>
                    <w:rPr>
                      <w:color w:val="auto"/>
                      <w:szCs w:val="21"/>
                    </w:rPr>
                  </w:pPr>
                  <w:r>
                    <w:rPr>
                      <w:color w:val="auto"/>
                      <w:szCs w:val="21"/>
                    </w:rPr>
                    <w:t>160</w:t>
                  </w:r>
                </w:p>
              </w:tc>
              <w:tc>
                <w:tcPr>
                  <w:tcW w:w="718" w:type="pct"/>
                  <w:vAlign w:val="center"/>
                </w:tcPr>
                <w:p w14:paraId="265A70D5">
                  <w:pPr>
                    <w:widowControl/>
                    <w:jc w:val="center"/>
                    <w:textAlignment w:val="center"/>
                    <w:rPr>
                      <w:color w:val="auto"/>
                      <w:szCs w:val="21"/>
                    </w:rPr>
                  </w:pPr>
                  <w:r>
                    <w:rPr>
                      <w:color w:val="auto"/>
                      <w:szCs w:val="21"/>
                    </w:rPr>
                    <w:t>10</w:t>
                  </w:r>
                  <w:r>
                    <w:rPr>
                      <w:rFonts w:hint="eastAsia"/>
                      <w:color w:val="auto"/>
                      <w:szCs w:val="21"/>
                      <w:lang w:val="en-US" w:eastAsia="zh-CN"/>
                    </w:rPr>
                    <w:t>5</w:t>
                  </w:r>
                  <w:r>
                    <w:rPr>
                      <w:color w:val="auto"/>
                      <w:szCs w:val="21"/>
                    </w:rPr>
                    <w:t>%</w:t>
                  </w:r>
                </w:p>
              </w:tc>
              <w:tc>
                <w:tcPr>
                  <w:tcW w:w="629" w:type="pct"/>
                  <w:vAlign w:val="center"/>
                </w:tcPr>
                <w:p w14:paraId="67356866">
                  <w:pPr>
                    <w:jc w:val="center"/>
                    <w:rPr>
                      <w:color w:val="auto"/>
                      <w:szCs w:val="21"/>
                    </w:rPr>
                  </w:pPr>
                  <w:r>
                    <w:rPr>
                      <w:color w:val="auto"/>
                      <w:szCs w:val="21"/>
                    </w:rPr>
                    <w:t>不达标</w:t>
                  </w:r>
                </w:p>
              </w:tc>
            </w:tr>
            <w:tr w14:paraId="73BE88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374692C">
                  <w:pPr>
                    <w:jc w:val="center"/>
                    <w:rPr>
                      <w:color w:val="auto"/>
                      <w:szCs w:val="21"/>
                    </w:rPr>
                  </w:pPr>
                  <w:r>
                    <w:rPr>
                      <w:color w:val="auto"/>
                      <w:szCs w:val="21"/>
                    </w:rPr>
                    <w:t>PM</w:t>
                  </w:r>
                  <w:r>
                    <w:rPr>
                      <w:color w:val="auto"/>
                      <w:szCs w:val="21"/>
                      <w:vertAlign w:val="subscript"/>
                    </w:rPr>
                    <w:t>10</w:t>
                  </w:r>
                </w:p>
              </w:tc>
              <w:tc>
                <w:tcPr>
                  <w:tcW w:w="1529" w:type="pct"/>
                  <w:vAlign w:val="center"/>
                </w:tcPr>
                <w:p w14:paraId="31D68C26">
                  <w:pPr>
                    <w:jc w:val="center"/>
                    <w:rPr>
                      <w:color w:val="auto"/>
                      <w:szCs w:val="21"/>
                    </w:rPr>
                  </w:pPr>
                  <w:r>
                    <w:rPr>
                      <w:color w:val="auto"/>
                      <w:szCs w:val="21"/>
                    </w:rPr>
                    <w:t>年平均质量浓度</w:t>
                  </w:r>
                </w:p>
              </w:tc>
              <w:tc>
                <w:tcPr>
                  <w:tcW w:w="782" w:type="pct"/>
                  <w:vAlign w:val="center"/>
                </w:tcPr>
                <w:p w14:paraId="52FA7537">
                  <w:pPr>
                    <w:jc w:val="center"/>
                    <w:rPr>
                      <w:rFonts w:hint="default" w:eastAsia="宋体"/>
                      <w:color w:val="auto"/>
                      <w:szCs w:val="21"/>
                      <w:lang w:val="en-US" w:eastAsia="zh-CN"/>
                    </w:rPr>
                  </w:pPr>
                  <w:r>
                    <w:rPr>
                      <w:rFonts w:hint="eastAsia"/>
                      <w:color w:val="auto"/>
                      <w:szCs w:val="21"/>
                      <w:lang w:val="en-US" w:eastAsia="zh-CN"/>
                    </w:rPr>
                    <w:t>74</w:t>
                  </w:r>
                </w:p>
              </w:tc>
              <w:tc>
                <w:tcPr>
                  <w:tcW w:w="747" w:type="pct"/>
                  <w:vAlign w:val="center"/>
                </w:tcPr>
                <w:p w14:paraId="411C4BF5">
                  <w:pPr>
                    <w:jc w:val="center"/>
                    <w:rPr>
                      <w:color w:val="auto"/>
                      <w:szCs w:val="21"/>
                    </w:rPr>
                  </w:pPr>
                  <w:r>
                    <w:rPr>
                      <w:color w:val="auto"/>
                      <w:szCs w:val="21"/>
                    </w:rPr>
                    <w:t>70</w:t>
                  </w:r>
                </w:p>
              </w:tc>
              <w:tc>
                <w:tcPr>
                  <w:tcW w:w="718" w:type="pct"/>
                  <w:vAlign w:val="center"/>
                </w:tcPr>
                <w:p w14:paraId="5877170F">
                  <w:pPr>
                    <w:widowControl/>
                    <w:jc w:val="center"/>
                    <w:textAlignment w:val="center"/>
                    <w:rPr>
                      <w:color w:val="auto"/>
                      <w:szCs w:val="21"/>
                    </w:rPr>
                  </w:pPr>
                  <w:r>
                    <w:rPr>
                      <w:color w:val="auto"/>
                      <w:szCs w:val="21"/>
                    </w:rPr>
                    <w:t>1</w:t>
                  </w:r>
                  <w:r>
                    <w:rPr>
                      <w:rFonts w:hint="eastAsia"/>
                      <w:color w:val="auto"/>
                      <w:szCs w:val="21"/>
                      <w:lang w:val="en-US" w:eastAsia="zh-CN"/>
                    </w:rPr>
                    <w:t>05.71</w:t>
                  </w:r>
                  <w:r>
                    <w:rPr>
                      <w:color w:val="auto"/>
                      <w:szCs w:val="21"/>
                    </w:rPr>
                    <w:t>%</w:t>
                  </w:r>
                </w:p>
              </w:tc>
              <w:tc>
                <w:tcPr>
                  <w:tcW w:w="629" w:type="pct"/>
                  <w:vAlign w:val="center"/>
                </w:tcPr>
                <w:p w14:paraId="054B051D">
                  <w:pPr>
                    <w:jc w:val="center"/>
                    <w:rPr>
                      <w:color w:val="auto"/>
                      <w:szCs w:val="21"/>
                    </w:rPr>
                  </w:pPr>
                  <w:r>
                    <w:rPr>
                      <w:color w:val="auto"/>
                      <w:szCs w:val="21"/>
                    </w:rPr>
                    <w:t>不达标</w:t>
                  </w:r>
                </w:p>
              </w:tc>
            </w:tr>
            <w:tr w14:paraId="291CBA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vAlign w:val="center"/>
                </w:tcPr>
                <w:p w14:paraId="5D34C4BC">
                  <w:pPr>
                    <w:jc w:val="center"/>
                    <w:rPr>
                      <w:color w:val="auto"/>
                      <w:szCs w:val="21"/>
                    </w:rPr>
                  </w:pPr>
                  <w:r>
                    <w:rPr>
                      <w:color w:val="auto"/>
                      <w:szCs w:val="21"/>
                    </w:rPr>
                    <w:t>PM</w:t>
                  </w:r>
                  <w:r>
                    <w:rPr>
                      <w:color w:val="auto"/>
                      <w:szCs w:val="21"/>
                      <w:vertAlign w:val="subscript"/>
                    </w:rPr>
                    <w:t>2.5</w:t>
                  </w:r>
                </w:p>
              </w:tc>
              <w:tc>
                <w:tcPr>
                  <w:tcW w:w="1529" w:type="pct"/>
                  <w:vAlign w:val="center"/>
                </w:tcPr>
                <w:p w14:paraId="3502FEAE">
                  <w:pPr>
                    <w:jc w:val="center"/>
                    <w:rPr>
                      <w:color w:val="auto"/>
                      <w:szCs w:val="21"/>
                    </w:rPr>
                  </w:pPr>
                  <w:r>
                    <w:rPr>
                      <w:color w:val="auto"/>
                      <w:szCs w:val="21"/>
                    </w:rPr>
                    <w:t>年平均质量浓度</w:t>
                  </w:r>
                </w:p>
              </w:tc>
              <w:tc>
                <w:tcPr>
                  <w:tcW w:w="782" w:type="pct"/>
                  <w:vAlign w:val="center"/>
                </w:tcPr>
                <w:p w14:paraId="5732ABB9">
                  <w:pPr>
                    <w:jc w:val="center"/>
                    <w:rPr>
                      <w:rFonts w:hint="default" w:eastAsia="宋体"/>
                      <w:color w:val="auto"/>
                      <w:szCs w:val="21"/>
                      <w:lang w:val="en-US" w:eastAsia="zh-CN"/>
                    </w:rPr>
                  </w:pPr>
                  <w:r>
                    <w:rPr>
                      <w:rFonts w:hint="eastAsia"/>
                      <w:color w:val="auto"/>
                      <w:szCs w:val="21"/>
                      <w:lang w:val="en-US" w:eastAsia="zh-CN"/>
                    </w:rPr>
                    <w:t>43</w:t>
                  </w:r>
                </w:p>
              </w:tc>
              <w:tc>
                <w:tcPr>
                  <w:tcW w:w="747" w:type="pct"/>
                  <w:vAlign w:val="center"/>
                </w:tcPr>
                <w:p w14:paraId="6E917883">
                  <w:pPr>
                    <w:jc w:val="center"/>
                    <w:rPr>
                      <w:color w:val="auto"/>
                      <w:szCs w:val="21"/>
                    </w:rPr>
                  </w:pPr>
                  <w:r>
                    <w:rPr>
                      <w:color w:val="auto"/>
                      <w:szCs w:val="21"/>
                    </w:rPr>
                    <w:t>35</w:t>
                  </w:r>
                </w:p>
              </w:tc>
              <w:tc>
                <w:tcPr>
                  <w:tcW w:w="718" w:type="pct"/>
                  <w:vAlign w:val="center"/>
                </w:tcPr>
                <w:p w14:paraId="730DD703">
                  <w:pPr>
                    <w:widowControl/>
                    <w:jc w:val="center"/>
                    <w:textAlignment w:val="center"/>
                    <w:rPr>
                      <w:color w:val="auto"/>
                      <w:szCs w:val="21"/>
                    </w:rPr>
                  </w:pPr>
                  <w:r>
                    <w:rPr>
                      <w:rFonts w:hint="eastAsia"/>
                      <w:color w:val="auto"/>
                      <w:szCs w:val="21"/>
                      <w:lang w:val="en-US" w:eastAsia="zh-CN"/>
                    </w:rPr>
                    <w:t>122.86</w:t>
                  </w:r>
                  <w:r>
                    <w:rPr>
                      <w:color w:val="auto"/>
                      <w:szCs w:val="21"/>
                    </w:rPr>
                    <w:t>%</w:t>
                  </w:r>
                </w:p>
              </w:tc>
              <w:tc>
                <w:tcPr>
                  <w:tcW w:w="629" w:type="pct"/>
                  <w:vAlign w:val="center"/>
                </w:tcPr>
                <w:p w14:paraId="2E64DA0E">
                  <w:pPr>
                    <w:jc w:val="center"/>
                    <w:rPr>
                      <w:color w:val="auto"/>
                      <w:szCs w:val="21"/>
                    </w:rPr>
                  </w:pPr>
                  <w:r>
                    <w:rPr>
                      <w:color w:val="auto"/>
                      <w:szCs w:val="21"/>
                    </w:rPr>
                    <w:t>不达标</w:t>
                  </w:r>
                </w:p>
              </w:tc>
            </w:tr>
          </w:tbl>
          <w:p w14:paraId="5324F2AE">
            <w:pPr>
              <w:spacing w:line="360" w:lineRule="auto"/>
              <w:ind w:firstLine="480" w:firstLineChars="200"/>
              <w:rPr>
                <w:color w:val="auto"/>
                <w:sz w:val="24"/>
                <w:szCs w:val="32"/>
              </w:rPr>
            </w:pPr>
            <w:r>
              <w:rPr>
                <w:color w:val="auto"/>
                <w:sz w:val="24"/>
                <w:szCs w:val="32"/>
              </w:rPr>
              <w:t>由</w:t>
            </w:r>
            <w:r>
              <w:rPr>
                <w:rFonts w:hint="eastAsia"/>
                <w:color w:val="auto"/>
                <w:sz w:val="24"/>
                <w:szCs w:val="32"/>
              </w:rPr>
              <w:t>表中数据可知</w:t>
            </w:r>
            <w:r>
              <w:rPr>
                <w:color w:val="auto"/>
                <w:sz w:val="24"/>
                <w:szCs w:val="32"/>
              </w:rPr>
              <w:t>，项目所在区域SO</w:t>
            </w:r>
            <w:r>
              <w:rPr>
                <w:color w:val="auto"/>
                <w:sz w:val="24"/>
                <w:szCs w:val="32"/>
                <w:vertAlign w:val="subscript"/>
              </w:rPr>
              <w:t>2</w:t>
            </w:r>
            <w:r>
              <w:rPr>
                <w:color w:val="auto"/>
                <w:sz w:val="24"/>
                <w:szCs w:val="32"/>
              </w:rPr>
              <w:t>年平均质量浓度</w:t>
            </w:r>
            <w:r>
              <w:rPr>
                <w:rFonts w:hint="eastAsia"/>
                <w:color w:val="auto"/>
                <w:sz w:val="24"/>
                <w:szCs w:val="32"/>
              </w:rPr>
              <w:t>、N</w:t>
            </w:r>
            <w:r>
              <w:rPr>
                <w:color w:val="auto"/>
                <w:sz w:val="24"/>
                <w:szCs w:val="32"/>
              </w:rPr>
              <w:t>O</w:t>
            </w:r>
            <w:r>
              <w:rPr>
                <w:color w:val="auto"/>
                <w:sz w:val="24"/>
                <w:szCs w:val="32"/>
                <w:vertAlign w:val="subscript"/>
              </w:rPr>
              <w:t>2</w:t>
            </w:r>
            <w:r>
              <w:rPr>
                <w:color w:val="auto"/>
                <w:sz w:val="24"/>
                <w:szCs w:val="32"/>
              </w:rPr>
              <w:t>年平均质量浓度</w:t>
            </w:r>
            <w:r>
              <w:rPr>
                <w:rFonts w:hint="eastAsia"/>
                <w:color w:val="auto"/>
                <w:sz w:val="24"/>
                <w:szCs w:val="32"/>
              </w:rPr>
              <w:t>以及</w:t>
            </w:r>
            <w:r>
              <w:rPr>
                <w:color w:val="auto"/>
                <w:sz w:val="24"/>
                <w:szCs w:val="32"/>
              </w:rPr>
              <w:t>CO</w:t>
            </w:r>
            <w:r>
              <w:rPr>
                <w:rFonts w:hint="eastAsia"/>
                <w:color w:val="auto"/>
                <w:sz w:val="24"/>
                <w:szCs w:val="32"/>
              </w:rPr>
              <w:t>24小时平均第95百分位浓度均</w:t>
            </w:r>
            <w:r>
              <w:rPr>
                <w:color w:val="auto"/>
                <w:sz w:val="24"/>
                <w:szCs w:val="32"/>
              </w:rPr>
              <w:t>满足《环境空气质量标准》（GB3095-2012）中二级标准，O</w:t>
            </w:r>
            <w:r>
              <w:rPr>
                <w:rFonts w:hint="eastAsia"/>
                <w:color w:val="auto"/>
                <w:sz w:val="24"/>
                <w:szCs w:val="32"/>
                <w:vertAlign w:val="subscript"/>
              </w:rPr>
              <w:t>3</w:t>
            </w:r>
            <w:r>
              <w:rPr>
                <w:rFonts w:hint="eastAsia"/>
                <w:color w:val="auto"/>
                <w:sz w:val="24"/>
                <w:szCs w:val="32"/>
              </w:rPr>
              <w:t>日最大8小时平均第90百分位浓度、PM</w:t>
            </w:r>
            <w:r>
              <w:rPr>
                <w:rFonts w:hint="eastAsia"/>
                <w:color w:val="auto"/>
                <w:sz w:val="24"/>
                <w:szCs w:val="32"/>
                <w:vertAlign w:val="subscript"/>
              </w:rPr>
              <w:t>2.5</w:t>
            </w:r>
            <w:r>
              <w:rPr>
                <w:rFonts w:hint="eastAsia"/>
                <w:color w:val="auto"/>
                <w:sz w:val="24"/>
                <w:szCs w:val="32"/>
              </w:rPr>
              <w:t>和PM</w:t>
            </w:r>
            <w:r>
              <w:rPr>
                <w:rFonts w:hint="eastAsia"/>
                <w:color w:val="auto"/>
                <w:sz w:val="24"/>
                <w:szCs w:val="32"/>
                <w:vertAlign w:val="subscript"/>
              </w:rPr>
              <w:t>10</w:t>
            </w:r>
            <w:r>
              <w:rPr>
                <w:color w:val="auto"/>
                <w:sz w:val="24"/>
                <w:szCs w:val="32"/>
              </w:rPr>
              <w:t>年平均质量浓度</w:t>
            </w:r>
            <w:r>
              <w:rPr>
                <w:rFonts w:hint="eastAsia"/>
                <w:color w:val="auto"/>
                <w:sz w:val="24"/>
                <w:szCs w:val="32"/>
              </w:rPr>
              <w:t>均不</w:t>
            </w:r>
            <w:r>
              <w:rPr>
                <w:color w:val="auto"/>
                <w:sz w:val="24"/>
                <w:szCs w:val="32"/>
              </w:rPr>
              <w:t>满足《环境空气质量标准》（GB3095-2012）中二级标准</w:t>
            </w:r>
            <w:r>
              <w:rPr>
                <w:rFonts w:hint="eastAsia"/>
                <w:color w:val="auto"/>
                <w:sz w:val="24"/>
                <w:szCs w:val="32"/>
              </w:rPr>
              <w:t>，所以</w:t>
            </w:r>
            <w:r>
              <w:rPr>
                <w:color w:val="auto"/>
                <w:sz w:val="24"/>
                <w:szCs w:val="32"/>
              </w:rPr>
              <w:t>本项目所在地属于环境空气</w:t>
            </w:r>
            <w:r>
              <w:rPr>
                <w:rFonts w:hint="eastAsia"/>
                <w:color w:val="auto"/>
                <w:sz w:val="24"/>
                <w:szCs w:val="32"/>
              </w:rPr>
              <w:t>不</w:t>
            </w:r>
            <w:r>
              <w:rPr>
                <w:color w:val="auto"/>
                <w:sz w:val="24"/>
                <w:szCs w:val="32"/>
              </w:rPr>
              <w:t>达标区。</w:t>
            </w:r>
          </w:p>
          <w:p w14:paraId="6F465AC7">
            <w:pPr>
              <w:pStyle w:val="16"/>
              <w:adjustRightInd w:val="0"/>
              <w:spacing w:line="360" w:lineRule="auto"/>
              <w:ind w:firstLine="480" w:firstLineChars="200"/>
              <w:rPr>
                <w:bCs/>
                <w:color w:val="auto"/>
                <w:kern w:val="2"/>
                <w:sz w:val="24"/>
                <w:szCs w:val="24"/>
              </w:rPr>
            </w:pPr>
            <w:r>
              <w:rPr>
                <w:bCs/>
                <w:color w:val="auto"/>
                <w:kern w:val="2"/>
                <w:sz w:val="24"/>
                <w:szCs w:val="24"/>
              </w:rPr>
              <w:t>（2）特征污染物环境质量现状</w:t>
            </w:r>
          </w:p>
          <w:p w14:paraId="06F99137">
            <w:pPr>
              <w:spacing w:line="360" w:lineRule="auto"/>
              <w:ind w:firstLine="480" w:firstLineChars="200"/>
              <w:rPr>
                <w:color w:val="auto"/>
                <w:sz w:val="24"/>
                <w:szCs w:val="32"/>
              </w:rPr>
            </w:pPr>
            <w:r>
              <w:rPr>
                <w:color w:val="auto"/>
                <w:sz w:val="24"/>
                <w:szCs w:val="32"/>
              </w:rPr>
              <w:t>本项目产生的特征污染物主要为</w:t>
            </w:r>
            <w:r>
              <w:rPr>
                <w:rFonts w:hint="eastAsia"/>
                <w:color w:val="auto"/>
                <w:sz w:val="24"/>
                <w:szCs w:val="32"/>
                <w:lang w:val="en-US" w:eastAsia="zh-CN"/>
              </w:rPr>
              <w:t>TSP</w:t>
            </w:r>
            <w:r>
              <w:rPr>
                <w:color w:val="auto"/>
                <w:sz w:val="24"/>
                <w:szCs w:val="32"/>
              </w:rPr>
              <w:t>，</w:t>
            </w:r>
            <w:r>
              <w:rPr>
                <w:rFonts w:hint="eastAsia"/>
                <w:color w:val="auto"/>
                <w:sz w:val="24"/>
                <w:szCs w:val="32"/>
              </w:rPr>
              <w:t>本项目</w:t>
            </w:r>
            <w:r>
              <w:rPr>
                <w:rFonts w:hint="eastAsia"/>
                <w:color w:val="auto"/>
                <w:sz w:val="24"/>
                <w:szCs w:val="32"/>
                <w:lang w:val="en-US" w:eastAsia="zh-CN"/>
              </w:rPr>
              <w:t>TSP</w:t>
            </w:r>
            <w:r>
              <w:rPr>
                <w:rFonts w:hint="eastAsia"/>
                <w:color w:val="auto"/>
                <w:sz w:val="24"/>
                <w:szCs w:val="32"/>
              </w:rPr>
              <w:t>引用《</w:t>
            </w:r>
            <w:r>
              <w:rPr>
                <w:rFonts w:hint="eastAsia"/>
                <w:color w:val="auto"/>
                <w:sz w:val="24"/>
                <w:szCs w:val="32"/>
                <w:lang w:val="en-US" w:eastAsia="zh-CN"/>
              </w:rPr>
              <w:t>小型化大功率互连生产线</w:t>
            </w:r>
            <w:r>
              <w:rPr>
                <w:rFonts w:hint="eastAsia"/>
                <w:color w:val="auto"/>
                <w:sz w:val="24"/>
                <w:szCs w:val="32"/>
              </w:rPr>
              <w:t>项目</w:t>
            </w:r>
            <w:r>
              <w:rPr>
                <w:rFonts w:hint="eastAsia"/>
                <w:color w:val="auto"/>
                <w:sz w:val="24"/>
                <w:szCs w:val="32"/>
                <w:lang w:val="en-US" w:eastAsia="zh-CN"/>
              </w:rPr>
              <w:t>监测报告</w:t>
            </w:r>
            <w:r>
              <w:rPr>
                <w:rFonts w:hint="eastAsia"/>
                <w:color w:val="auto"/>
                <w:sz w:val="24"/>
                <w:szCs w:val="32"/>
              </w:rPr>
              <w:t>》数据（</w:t>
            </w:r>
            <w:r>
              <w:rPr>
                <w:color w:val="auto"/>
                <w:sz w:val="24"/>
                <w:szCs w:val="32"/>
              </w:rPr>
              <w:t>具体见附件</w:t>
            </w:r>
            <w:r>
              <w:rPr>
                <w:rFonts w:hint="eastAsia"/>
                <w:color w:val="auto"/>
                <w:sz w:val="24"/>
                <w:szCs w:val="32"/>
                <w:lang w:val="en-US" w:eastAsia="zh-CN"/>
              </w:rPr>
              <w:t>7</w:t>
            </w:r>
            <w:r>
              <w:rPr>
                <w:rFonts w:hint="eastAsia"/>
                <w:color w:val="auto"/>
                <w:sz w:val="24"/>
                <w:szCs w:val="32"/>
              </w:rPr>
              <w:t>），根据《建设项目环境影响报告表编制技术指南（污染影响类）（试行）》中“排放国家、地方环境空气质量标准中有标准限值要求的特征污染物时，引用建设项目周边5千米范围内近3年的现有监测数据”要求，</w:t>
            </w:r>
            <w:r>
              <w:rPr>
                <w:color w:val="auto"/>
                <w:sz w:val="24"/>
                <w:lang w:val="en-US" w:eastAsia="zh-CN"/>
              </w:rPr>
              <w:t>中航富士达科技股份有限公司</w:t>
            </w:r>
            <w:r>
              <w:rPr>
                <w:rFonts w:hint="eastAsia"/>
                <w:color w:val="auto"/>
                <w:sz w:val="24"/>
                <w:szCs w:val="32"/>
                <w:lang w:val="en-US" w:eastAsia="zh-CN"/>
              </w:rPr>
              <w:t>小型化大功率互连生产线</w:t>
            </w:r>
            <w:r>
              <w:rPr>
                <w:rFonts w:hint="eastAsia"/>
                <w:color w:val="auto"/>
                <w:sz w:val="24"/>
                <w:szCs w:val="32"/>
              </w:rPr>
              <w:t>项目</w:t>
            </w:r>
            <w:r>
              <w:rPr>
                <w:rFonts w:hint="eastAsia"/>
                <w:color w:val="auto"/>
                <w:sz w:val="24"/>
                <w:szCs w:val="32"/>
                <w:lang w:val="en-US" w:eastAsia="zh-CN"/>
              </w:rPr>
              <w:t>环境空气监测点</w:t>
            </w:r>
            <w:r>
              <w:rPr>
                <w:rFonts w:hint="eastAsia"/>
                <w:color w:val="auto"/>
                <w:sz w:val="24"/>
                <w:szCs w:val="32"/>
              </w:rPr>
              <w:t>位于本项目</w:t>
            </w:r>
            <w:r>
              <w:rPr>
                <w:rFonts w:hint="eastAsia"/>
                <w:color w:val="auto"/>
                <w:sz w:val="24"/>
                <w:szCs w:val="32"/>
                <w:lang w:val="en-US" w:eastAsia="zh-CN"/>
              </w:rPr>
              <w:t>东南</w:t>
            </w:r>
            <w:r>
              <w:rPr>
                <w:rFonts w:hint="eastAsia"/>
                <w:color w:val="auto"/>
                <w:sz w:val="24"/>
                <w:szCs w:val="32"/>
              </w:rPr>
              <w:t>方向4.</w:t>
            </w:r>
            <w:r>
              <w:rPr>
                <w:rFonts w:hint="eastAsia"/>
                <w:color w:val="auto"/>
                <w:sz w:val="24"/>
                <w:szCs w:val="32"/>
                <w:lang w:val="en-US" w:eastAsia="zh-CN"/>
              </w:rPr>
              <w:t>6</w:t>
            </w:r>
            <w:r>
              <w:rPr>
                <w:rFonts w:hint="eastAsia"/>
                <w:color w:val="auto"/>
                <w:sz w:val="24"/>
                <w:szCs w:val="32"/>
              </w:rPr>
              <w:t>km处，环境质量现状监测时间为</w:t>
            </w:r>
            <w:r>
              <w:rPr>
                <w:rFonts w:hint="eastAsia"/>
                <w:color w:val="auto"/>
                <w:sz w:val="24"/>
                <w:szCs w:val="32"/>
                <w:lang w:val="en-US" w:eastAsia="zh-CN"/>
              </w:rPr>
              <w:t>2024</w:t>
            </w:r>
            <w:r>
              <w:rPr>
                <w:rFonts w:hint="eastAsia"/>
                <w:color w:val="auto"/>
                <w:sz w:val="24"/>
                <w:szCs w:val="32"/>
              </w:rPr>
              <w:t>年</w:t>
            </w:r>
            <w:r>
              <w:rPr>
                <w:rFonts w:hint="eastAsia"/>
                <w:color w:val="auto"/>
                <w:sz w:val="24"/>
                <w:szCs w:val="32"/>
                <w:lang w:val="en-US" w:eastAsia="zh-CN"/>
              </w:rPr>
              <w:t>12</w:t>
            </w:r>
            <w:r>
              <w:rPr>
                <w:rFonts w:hint="eastAsia"/>
                <w:color w:val="auto"/>
                <w:sz w:val="24"/>
                <w:szCs w:val="32"/>
              </w:rPr>
              <w:t>月，符合引用监测数据要求。</w:t>
            </w:r>
          </w:p>
          <w:p w14:paraId="6782C77B">
            <w:pPr>
              <w:spacing w:line="360" w:lineRule="auto"/>
              <w:ind w:firstLine="480" w:firstLineChars="200"/>
              <w:rPr>
                <w:color w:val="auto"/>
                <w:sz w:val="24"/>
              </w:rPr>
            </w:pPr>
            <w:r>
              <w:rPr>
                <w:rFonts w:hint="eastAsia"/>
                <w:color w:val="auto"/>
                <w:sz w:val="24"/>
                <w:szCs w:val="32"/>
              </w:rPr>
              <w:t>①</w:t>
            </w:r>
            <w:r>
              <w:rPr>
                <w:color w:val="auto"/>
                <w:sz w:val="24"/>
              </w:rPr>
              <w:t>监测频次和监测点位</w:t>
            </w:r>
          </w:p>
          <w:p w14:paraId="53A29B4C">
            <w:pPr>
              <w:spacing w:line="360" w:lineRule="auto"/>
              <w:ind w:firstLine="480" w:firstLineChars="200"/>
              <w:rPr>
                <w:color w:val="auto"/>
                <w:sz w:val="24"/>
              </w:rPr>
            </w:pPr>
            <w:r>
              <w:rPr>
                <w:color w:val="auto"/>
                <w:sz w:val="24"/>
              </w:rPr>
              <w:t>监测频次：</w:t>
            </w:r>
            <w:r>
              <w:rPr>
                <w:rFonts w:hint="eastAsia"/>
                <w:color w:val="auto"/>
                <w:sz w:val="24"/>
                <w:szCs w:val="32"/>
              </w:rPr>
              <w:t>监测时间为</w:t>
            </w:r>
            <w:r>
              <w:rPr>
                <w:color w:val="auto"/>
                <w:sz w:val="24"/>
                <w:szCs w:val="32"/>
              </w:rPr>
              <w:t>202</w:t>
            </w:r>
            <w:r>
              <w:rPr>
                <w:rFonts w:hint="eastAsia"/>
                <w:color w:val="auto"/>
                <w:sz w:val="24"/>
                <w:szCs w:val="32"/>
                <w:lang w:val="en-US" w:eastAsia="zh-CN"/>
              </w:rPr>
              <w:t>4</w:t>
            </w:r>
            <w:r>
              <w:rPr>
                <w:rFonts w:hint="eastAsia"/>
                <w:color w:val="auto"/>
                <w:sz w:val="24"/>
                <w:szCs w:val="32"/>
              </w:rPr>
              <w:t>年</w:t>
            </w:r>
            <w:r>
              <w:rPr>
                <w:rFonts w:hint="eastAsia"/>
                <w:color w:val="auto"/>
                <w:sz w:val="24"/>
                <w:szCs w:val="32"/>
                <w:lang w:val="en-US" w:eastAsia="zh-CN"/>
              </w:rPr>
              <w:t>12</w:t>
            </w:r>
            <w:r>
              <w:rPr>
                <w:rFonts w:hint="eastAsia"/>
                <w:color w:val="auto"/>
                <w:sz w:val="24"/>
                <w:szCs w:val="32"/>
              </w:rPr>
              <w:t>月5日至</w:t>
            </w:r>
            <w:r>
              <w:rPr>
                <w:rFonts w:hint="eastAsia"/>
                <w:color w:val="auto"/>
                <w:sz w:val="24"/>
                <w:szCs w:val="32"/>
                <w:lang w:val="en-US" w:eastAsia="zh-CN"/>
              </w:rPr>
              <w:t>12</w:t>
            </w:r>
            <w:r>
              <w:rPr>
                <w:rFonts w:hint="eastAsia"/>
                <w:color w:val="auto"/>
                <w:sz w:val="24"/>
                <w:szCs w:val="32"/>
              </w:rPr>
              <w:t>月7日，连续监测</w:t>
            </w:r>
            <w:r>
              <w:rPr>
                <w:color w:val="auto"/>
                <w:sz w:val="24"/>
                <w:szCs w:val="32"/>
              </w:rPr>
              <w:t>3</w:t>
            </w:r>
            <w:r>
              <w:rPr>
                <w:rFonts w:hint="eastAsia"/>
                <w:color w:val="auto"/>
                <w:sz w:val="24"/>
                <w:szCs w:val="32"/>
              </w:rPr>
              <w:t>天</w:t>
            </w:r>
            <w:r>
              <w:rPr>
                <w:color w:val="auto"/>
                <w:sz w:val="24"/>
              </w:rPr>
              <w:t>。</w:t>
            </w:r>
          </w:p>
          <w:p w14:paraId="24DCEFC1">
            <w:pPr>
              <w:adjustRightInd w:val="0"/>
              <w:snapToGrid w:val="0"/>
              <w:spacing w:line="360" w:lineRule="auto"/>
              <w:ind w:firstLine="480" w:firstLineChars="200"/>
              <w:jc w:val="left"/>
              <w:rPr>
                <w:color w:val="auto"/>
                <w:sz w:val="24"/>
              </w:rPr>
            </w:pPr>
            <w:r>
              <w:rPr>
                <w:color w:val="auto"/>
                <w:sz w:val="24"/>
              </w:rPr>
              <w:t>监测点位：</w:t>
            </w:r>
            <w:r>
              <w:rPr>
                <w:color w:val="auto"/>
                <w:sz w:val="24"/>
                <w:lang w:val="en-US" w:eastAsia="zh-CN"/>
              </w:rPr>
              <w:t>中航富士达科技股份有限公司</w:t>
            </w:r>
            <w:r>
              <w:rPr>
                <w:rFonts w:hint="eastAsia"/>
                <w:color w:val="auto"/>
                <w:sz w:val="24"/>
                <w:szCs w:val="32"/>
                <w:lang w:val="en-US" w:eastAsia="zh-CN"/>
              </w:rPr>
              <w:t>小型化大功率互连生产线</w:t>
            </w:r>
            <w:r>
              <w:rPr>
                <w:rFonts w:hint="eastAsia"/>
                <w:color w:val="auto"/>
                <w:sz w:val="24"/>
                <w:szCs w:val="32"/>
              </w:rPr>
              <w:t>项目</w:t>
            </w:r>
            <w:r>
              <w:rPr>
                <w:color w:val="auto"/>
                <w:sz w:val="24"/>
                <w:lang w:val="en-US" w:eastAsia="zh-CN"/>
              </w:rPr>
              <w:t>常年主导下风向300m</w:t>
            </w:r>
            <w:r>
              <w:rPr>
                <w:rFonts w:hint="default"/>
                <w:color w:val="auto"/>
                <w:sz w:val="24"/>
                <w:lang w:val="en-US" w:eastAsia="zh-CN"/>
              </w:rPr>
              <w:t>处</w:t>
            </w:r>
            <w:r>
              <w:rPr>
                <w:color w:val="auto"/>
                <w:sz w:val="24"/>
              </w:rPr>
              <w:t>。</w:t>
            </w:r>
          </w:p>
          <w:p w14:paraId="42409AFA">
            <w:pPr>
              <w:spacing w:line="360" w:lineRule="auto"/>
              <w:ind w:firstLine="480" w:firstLineChars="200"/>
              <w:rPr>
                <w:color w:val="auto"/>
                <w:sz w:val="24"/>
              </w:rPr>
            </w:pPr>
            <w:r>
              <w:rPr>
                <w:rFonts w:hint="eastAsia"/>
                <w:color w:val="auto"/>
                <w:sz w:val="24"/>
              </w:rPr>
              <w:t>②</w:t>
            </w:r>
            <w:r>
              <w:rPr>
                <w:color w:val="auto"/>
                <w:sz w:val="24"/>
              </w:rPr>
              <w:t>监测结果</w:t>
            </w:r>
          </w:p>
          <w:p w14:paraId="53FFBF52">
            <w:pPr>
              <w:spacing w:line="360" w:lineRule="auto"/>
              <w:ind w:firstLine="480" w:firstLineChars="200"/>
              <w:rPr>
                <w:color w:val="auto"/>
                <w:sz w:val="24"/>
              </w:rPr>
            </w:pPr>
            <w:r>
              <w:rPr>
                <w:color w:val="auto"/>
                <w:sz w:val="24"/>
              </w:rPr>
              <w:t>项目监测结果</w:t>
            </w:r>
            <w:r>
              <w:rPr>
                <w:rFonts w:hint="eastAsia"/>
                <w:color w:val="auto"/>
                <w:sz w:val="24"/>
              </w:rPr>
              <w:t>见</w:t>
            </w:r>
            <w:r>
              <w:rPr>
                <w:color w:val="auto"/>
                <w:sz w:val="24"/>
              </w:rPr>
              <w:t>表3-</w:t>
            </w:r>
            <w:r>
              <w:rPr>
                <w:rFonts w:hint="eastAsia"/>
                <w:color w:val="auto"/>
                <w:sz w:val="24"/>
              </w:rPr>
              <w:t>2</w:t>
            </w:r>
            <w:r>
              <w:rPr>
                <w:color w:val="auto"/>
                <w:sz w:val="24"/>
              </w:rPr>
              <w:t>。</w:t>
            </w:r>
          </w:p>
          <w:p w14:paraId="679F0ED4">
            <w:pPr>
              <w:widowControl/>
              <w:jc w:val="center"/>
              <w:rPr>
                <w:color w:val="auto"/>
                <w:sz w:val="24"/>
              </w:rPr>
            </w:pPr>
            <w:r>
              <w:rPr>
                <w:b/>
                <w:color w:val="auto"/>
                <w:sz w:val="24"/>
              </w:rPr>
              <w:t>表3-2  特征污染物监测结果一览表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386"/>
              <w:gridCol w:w="1782"/>
              <w:gridCol w:w="785"/>
              <w:gridCol w:w="1723"/>
              <w:gridCol w:w="1217"/>
              <w:gridCol w:w="1078"/>
            </w:tblGrid>
            <w:tr w14:paraId="4A958D8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Align w:val="center"/>
                </w:tcPr>
                <w:p w14:paraId="1E99FD05">
                  <w:pPr>
                    <w:widowControl/>
                    <w:jc w:val="center"/>
                    <w:rPr>
                      <w:b/>
                      <w:bCs/>
                      <w:color w:val="auto"/>
                      <w:szCs w:val="21"/>
                    </w:rPr>
                  </w:pPr>
                  <w:r>
                    <w:rPr>
                      <w:b/>
                      <w:bCs/>
                      <w:color w:val="auto"/>
                      <w:szCs w:val="21"/>
                    </w:rPr>
                    <w:t>污染物</w:t>
                  </w:r>
                </w:p>
              </w:tc>
              <w:tc>
                <w:tcPr>
                  <w:tcW w:w="1117" w:type="pct"/>
                  <w:vAlign w:val="center"/>
                </w:tcPr>
                <w:p w14:paraId="6BE30120">
                  <w:pPr>
                    <w:widowControl/>
                    <w:jc w:val="center"/>
                    <w:rPr>
                      <w:b/>
                      <w:bCs/>
                      <w:color w:val="auto"/>
                      <w:szCs w:val="21"/>
                    </w:rPr>
                  </w:pPr>
                  <w:r>
                    <w:rPr>
                      <w:b/>
                      <w:bCs/>
                      <w:color w:val="auto"/>
                      <w:szCs w:val="21"/>
                    </w:rPr>
                    <w:t>采样日期</w:t>
                  </w:r>
                </w:p>
              </w:tc>
              <w:tc>
                <w:tcPr>
                  <w:tcW w:w="492" w:type="pct"/>
                  <w:vAlign w:val="center"/>
                </w:tcPr>
                <w:p w14:paraId="64978C0E">
                  <w:pPr>
                    <w:widowControl/>
                    <w:jc w:val="center"/>
                    <w:rPr>
                      <w:b/>
                      <w:bCs/>
                      <w:color w:val="auto"/>
                      <w:szCs w:val="21"/>
                    </w:rPr>
                  </w:pPr>
                  <w:r>
                    <w:rPr>
                      <w:b/>
                      <w:bCs/>
                      <w:color w:val="auto"/>
                      <w:szCs w:val="21"/>
                    </w:rPr>
                    <w:t>单位</w:t>
                  </w:r>
                </w:p>
              </w:tc>
              <w:tc>
                <w:tcPr>
                  <w:tcW w:w="1080" w:type="pct"/>
                  <w:vAlign w:val="center"/>
                </w:tcPr>
                <w:p w14:paraId="136ED18C">
                  <w:pPr>
                    <w:widowControl/>
                    <w:jc w:val="center"/>
                    <w:rPr>
                      <w:b/>
                      <w:bCs/>
                      <w:color w:val="auto"/>
                      <w:szCs w:val="21"/>
                    </w:rPr>
                  </w:pPr>
                  <w:r>
                    <w:rPr>
                      <w:rFonts w:hint="eastAsia"/>
                      <w:b/>
                      <w:bCs/>
                      <w:color w:val="auto"/>
                      <w:szCs w:val="21"/>
                    </w:rPr>
                    <w:t>监测</w:t>
                  </w:r>
                  <w:r>
                    <w:rPr>
                      <w:b/>
                      <w:bCs/>
                      <w:color w:val="auto"/>
                      <w:szCs w:val="21"/>
                    </w:rPr>
                    <w:t>结果</w:t>
                  </w:r>
                </w:p>
              </w:tc>
              <w:tc>
                <w:tcPr>
                  <w:tcW w:w="763" w:type="pct"/>
                  <w:vAlign w:val="center"/>
                </w:tcPr>
                <w:p w14:paraId="485F3444">
                  <w:pPr>
                    <w:widowControl/>
                    <w:jc w:val="center"/>
                    <w:rPr>
                      <w:b/>
                      <w:bCs/>
                      <w:color w:val="auto"/>
                      <w:szCs w:val="21"/>
                    </w:rPr>
                  </w:pPr>
                  <w:r>
                    <w:rPr>
                      <w:b/>
                      <w:bCs/>
                      <w:color w:val="auto"/>
                      <w:szCs w:val="21"/>
                    </w:rPr>
                    <w:t>标准</w:t>
                  </w:r>
                  <w:r>
                    <w:rPr>
                      <w:rFonts w:hint="eastAsia"/>
                      <w:b/>
                      <w:bCs/>
                      <w:color w:val="auto"/>
                      <w:szCs w:val="21"/>
                    </w:rPr>
                    <w:t>限</w:t>
                  </w:r>
                  <w:r>
                    <w:rPr>
                      <w:b/>
                      <w:bCs/>
                      <w:color w:val="auto"/>
                      <w:szCs w:val="21"/>
                    </w:rPr>
                    <w:t>值</w:t>
                  </w:r>
                </w:p>
              </w:tc>
              <w:tc>
                <w:tcPr>
                  <w:tcW w:w="676" w:type="pct"/>
                  <w:vAlign w:val="center"/>
                </w:tcPr>
                <w:p w14:paraId="51309AD9">
                  <w:pPr>
                    <w:widowControl/>
                    <w:jc w:val="center"/>
                    <w:rPr>
                      <w:b/>
                      <w:bCs/>
                      <w:color w:val="auto"/>
                      <w:szCs w:val="21"/>
                    </w:rPr>
                  </w:pPr>
                  <w:r>
                    <w:rPr>
                      <w:b/>
                      <w:bCs/>
                      <w:color w:val="auto"/>
                      <w:szCs w:val="21"/>
                    </w:rPr>
                    <w:t>达标情况</w:t>
                  </w:r>
                </w:p>
              </w:tc>
            </w:tr>
            <w:tr w14:paraId="7512067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6331543B">
                  <w:pPr>
                    <w:widowControl/>
                    <w:jc w:val="center"/>
                    <w:rPr>
                      <w:rFonts w:hint="default" w:eastAsia="宋体"/>
                      <w:color w:val="auto"/>
                      <w:szCs w:val="21"/>
                      <w:lang w:val="en-US" w:eastAsia="zh-CN"/>
                    </w:rPr>
                  </w:pPr>
                  <w:r>
                    <w:rPr>
                      <w:rFonts w:hint="eastAsia"/>
                      <w:color w:val="auto"/>
                      <w:szCs w:val="21"/>
                      <w:lang w:val="en-US" w:eastAsia="zh-CN"/>
                    </w:rPr>
                    <w:t>TSP</w:t>
                  </w:r>
                </w:p>
              </w:tc>
              <w:tc>
                <w:tcPr>
                  <w:tcW w:w="1117" w:type="pct"/>
                  <w:vAlign w:val="center"/>
                </w:tcPr>
                <w:p w14:paraId="7EE1152F">
                  <w:pPr>
                    <w:widowControl/>
                    <w:jc w:val="center"/>
                    <w:textAlignment w:val="center"/>
                    <w:rPr>
                      <w:rFonts w:hint="default" w:eastAsia="宋体"/>
                      <w:color w:val="auto"/>
                      <w:szCs w:val="21"/>
                      <w:lang w:val="en-US" w:eastAsia="zh-CN"/>
                    </w:rPr>
                  </w:pPr>
                  <w:r>
                    <w:rPr>
                      <w:rFonts w:hint="eastAsia"/>
                      <w:color w:val="auto"/>
                      <w:szCs w:val="21"/>
                      <w:lang w:val="en-US" w:eastAsia="zh-CN"/>
                    </w:rPr>
                    <w:t>12.5</w:t>
                  </w:r>
                </w:p>
              </w:tc>
              <w:tc>
                <w:tcPr>
                  <w:tcW w:w="492" w:type="pct"/>
                  <w:vMerge w:val="restart"/>
                  <w:vAlign w:val="center"/>
                </w:tcPr>
                <w:p w14:paraId="1908BB51">
                  <w:pPr>
                    <w:widowControl/>
                    <w:jc w:val="center"/>
                    <w:textAlignment w:val="center"/>
                    <w:rPr>
                      <w:color w:val="auto"/>
                      <w:szCs w:val="21"/>
                    </w:rPr>
                  </w:pPr>
                  <w:r>
                    <w:rPr>
                      <w:color w:val="auto"/>
                      <w:szCs w:val="21"/>
                    </w:rPr>
                    <w:t>mg/m³</w:t>
                  </w:r>
                </w:p>
              </w:tc>
              <w:tc>
                <w:tcPr>
                  <w:tcW w:w="1080" w:type="pct"/>
                  <w:vAlign w:val="center"/>
                </w:tcPr>
                <w:p w14:paraId="595F2D91">
                  <w:pPr>
                    <w:widowControl/>
                    <w:jc w:val="center"/>
                    <w:rPr>
                      <w:rFonts w:hint="default" w:eastAsia="宋体"/>
                      <w:color w:val="auto"/>
                      <w:szCs w:val="21"/>
                      <w:lang w:val="en-US" w:eastAsia="zh-CN"/>
                    </w:rPr>
                  </w:pPr>
                  <w:r>
                    <w:rPr>
                      <w:rFonts w:hint="eastAsia"/>
                      <w:color w:val="auto"/>
                      <w:szCs w:val="21"/>
                      <w:lang w:val="en-US" w:eastAsia="zh-CN"/>
                    </w:rPr>
                    <w:t>0.109</w:t>
                  </w:r>
                </w:p>
              </w:tc>
              <w:tc>
                <w:tcPr>
                  <w:tcW w:w="763" w:type="pct"/>
                  <w:vMerge w:val="restart"/>
                  <w:vAlign w:val="center"/>
                </w:tcPr>
                <w:p w14:paraId="211C6FF9">
                  <w:pPr>
                    <w:widowControl/>
                    <w:jc w:val="center"/>
                    <w:rPr>
                      <w:rFonts w:hint="default" w:eastAsia="宋体"/>
                      <w:color w:val="auto"/>
                      <w:szCs w:val="21"/>
                      <w:lang w:val="en-US" w:eastAsia="zh-CN"/>
                    </w:rPr>
                  </w:pPr>
                  <w:r>
                    <w:rPr>
                      <w:rFonts w:hint="eastAsia"/>
                      <w:color w:val="auto"/>
                      <w:szCs w:val="21"/>
                      <w:lang w:val="en-US" w:eastAsia="zh-CN"/>
                    </w:rPr>
                    <w:t>0.3</w:t>
                  </w:r>
                </w:p>
              </w:tc>
              <w:tc>
                <w:tcPr>
                  <w:tcW w:w="676" w:type="pct"/>
                  <w:vMerge w:val="restart"/>
                  <w:vAlign w:val="center"/>
                </w:tcPr>
                <w:p w14:paraId="4516C683">
                  <w:pPr>
                    <w:widowControl/>
                    <w:jc w:val="center"/>
                    <w:rPr>
                      <w:color w:val="auto"/>
                      <w:szCs w:val="21"/>
                    </w:rPr>
                  </w:pPr>
                  <w:r>
                    <w:rPr>
                      <w:color w:val="auto"/>
                      <w:szCs w:val="21"/>
                    </w:rPr>
                    <w:t>达标</w:t>
                  </w:r>
                </w:p>
              </w:tc>
            </w:tr>
            <w:tr w14:paraId="698F84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3009D3B">
                  <w:pPr>
                    <w:widowControl/>
                    <w:jc w:val="center"/>
                    <w:rPr>
                      <w:color w:val="auto"/>
                      <w:szCs w:val="21"/>
                    </w:rPr>
                  </w:pPr>
                </w:p>
              </w:tc>
              <w:tc>
                <w:tcPr>
                  <w:tcW w:w="1117" w:type="pct"/>
                  <w:vAlign w:val="center"/>
                </w:tcPr>
                <w:p w14:paraId="512AEEBE">
                  <w:pPr>
                    <w:widowControl/>
                    <w:jc w:val="center"/>
                    <w:textAlignment w:val="center"/>
                    <w:rPr>
                      <w:rFonts w:hint="default" w:eastAsia="宋体"/>
                      <w:color w:val="auto"/>
                      <w:szCs w:val="21"/>
                      <w:lang w:val="en-US" w:eastAsia="zh-CN"/>
                    </w:rPr>
                  </w:pPr>
                  <w:r>
                    <w:rPr>
                      <w:rFonts w:hint="eastAsia"/>
                      <w:color w:val="auto"/>
                      <w:szCs w:val="21"/>
                      <w:lang w:val="en-US" w:eastAsia="zh-CN"/>
                    </w:rPr>
                    <w:t>12.6</w:t>
                  </w:r>
                </w:p>
              </w:tc>
              <w:tc>
                <w:tcPr>
                  <w:tcW w:w="492" w:type="pct"/>
                  <w:vMerge w:val="continue"/>
                  <w:vAlign w:val="center"/>
                </w:tcPr>
                <w:p w14:paraId="208EDED5">
                  <w:pPr>
                    <w:widowControl/>
                    <w:jc w:val="center"/>
                    <w:textAlignment w:val="center"/>
                    <w:rPr>
                      <w:color w:val="auto"/>
                      <w:szCs w:val="21"/>
                    </w:rPr>
                  </w:pPr>
                </w:p>
              </w:tc>
              <w:tc>
                <w:tcPr>
                  <w:tcW w:w="1080" w:type="pct"/>
                  <w:vAlign w:val="center"/>
                </w:tcPr>
                <w:p w14:paraId="40F567A4">
                  <w:pPr>
                    <w:widowControl/>
                    <w:jc w:val="center"/>
                    <w:rPr>
                      <w:rFonts w:hint="default" w:eastAsia="宋体"/>
                      <w:color w:val="auto"/>
                      <w:szCs w:val="21"/>
                      <w:lang w:val="en-US" w:eastAsia="zh-CN"/>
                    </w:rPr>
                  </w:pPr>
                  <w:r>
                    <w:rPr>
                      <w:rFonts w:hint="eastAsia"/>
                      <w:color w:val="auto"/>
                      <w:szCs w:val="21"/>
                      <w:lang w:val="en-US" w:eastAsia="zh-CN"/>
                    </w:rPr>
                    <w:t>0.114</w:t>
                  </w:r>
                </w:p>
              </w:tc>
              <w:tc>
                <w:tcPr>
                  <w:tcW w:w="763" w:type="pct"/>
                  <w:vMerge w:val="continue"/>
                  <w:vAlign w:val="center"/>
                </w:tcPr>
                <w:p w14:paraId="6A2902F2">
                  <w:pPr>
                    <w:widowControl/>
                    <w:jc w:val="center"/>
                    <w:rPr>
                      <w:color w:val="auto"/>
                      <w:szCs w:val="21"/>
                    </w:rPr>
                  </w:pPr>
                </w:p>
              </w:tc>
              <w:tc>
                <w:tcPr>
                  <w:tcW w:w="676" w:type="pct"/>
                  <w:vMerge w:val="continue"/>
                  <w:vAlign w:val="center"/>
                </w:tcPr>
                <w:p w14:paraId="759E9BAB">
                  <w:pPr>
                    <w:widowControl/>
                    <w:jc w:val="center"/>
                    <w:rPr>
                      <w:color w:val="auto"/>
                      <w:szCs w:val="21"/>
                    </w:rPr>
                  </w:pPr>
                </w:p>
              </w:tc>
            </w:tr>
            <w:tr w14:paraId="2A1BA96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2F9CB7EA">
                  <w:pPr>
                    <w:widowControl/>
                    <w:jc w:val="center"/>
                    <w:rPr>
                      <w:color w:val="auto"/>
                      <w:szCs w:val="21"/>
                    </w:rPr>
                  </w:pPr>
                </w:p>
              </w:tc>
              <w:tc>
                <w:tcPr>
                  <w:tcW w:w="1117" w:type="pct"/>
                  <w:vAlign w:val="center"/>
                </w:tcPr>
                <w:p w14:paraId="0C9F1A3E">
                  <w:pPr>
                    <w:widowControl/>
                    <w:jc w:val="center"/>
                    <w:textAlignment w:val="center"/>
                    <w:rPr>
                      <w:rFonts w:hint="default" w:eastAsia="宋体"/>
                      <w:color w:val="auto"/>
                      <w:szCs w:val="21"/>
                      <w:lang w:val="en-US" w:eastAsia="zh-CN"/>
                    </w:rPr>
                  </w:pPr>
                  <w:r>
                    <w:rPr>
                      <w:rFonts w:hint="eastAsia"/>
                      <w:color w:val="auto"/>
                      <w:szCs w:val="21"/>
                      <w:lang w:val="en-US" w:eastAsia="zh-CN"/>
                    </w:rPr>
                    <w:t>12.7</w:t>
                  </w:r>
                </w:p>
              </w:tc>
              <w:tc>
                <w:tcPr>
                  <w:tcW w:w="492" w:type="pct"/>
                  <w:vMerge w:val="continue"/>
                  <w:vAlign w:val="center"/>
                </w:tcPr>
                <w:p w14:paraId="30D7BE85">
                  <w:pPr>
                    <w:widowControl/>
                    <w:jc w:val="center"/>
                    <w:textAlignment w:val="center"/>
                    <w:rPr>
                      <w:color w:val="auto"/>
                      <w:szCs w:val="21"/>
                    </w:rPr>
                  </w:pPr>
                </w:p>
              </w:tc>
              <w:tc>
                <w:tcPr>
                  <w:tcW w:w="1080" w:type="pct"/>
                  <w:vAlign w:val="center"/>
                </w:tcPr>
                <w:p w14:paraId="54006524">
                  <w:pPr>
                    <w:widowControl/>
                    <w:jc w:val="center"/>
                    <w:rPr>
                      <w:rFonts w:hint="default" w:eastAsia="宋体"/>
                      <w:color w:val="auto"/>
                      <w:szCs w:val="21"/>
                      <w:lang w:val="en-US" w:eastAsia="zh-CN"/>
                    </w:rPr>
                  </w:pPr>
                  <w:r>
                    <w:rPr>
                      <w:rFonts w:hint="eastAsia"/>
                      <w:color w:val="auto"/>
                      <w:szCs w:val="21"/>
                      <w:lang w:val="en-US" w:eastAsia="zh-CN"/>
                    </w:rPr>
                    <w:t>0.103</w:t>
                  </w:r>
                </w:p>
              </w:tc>
              <w:tc>
                <w:tcPr>
                  <w:tcW w:w="763" w:type="pct"/>
                  <w:vMerge w:val="continue"/>
                  <w:vAlign w:val="center"/>
                </w:tcPr>
                <w:p w14:paraId="5ED2BE33">
                  <w:pPr>
                    <w:widowControl/>
                    <w:jc w:val="center"/>
                    <w:rPr>
                      <w:color w:val="auto"/>
                      <w:szCs w:val="21"/>
                    </w:rPr>
                  </w:pPr>
                </w:p>
              </w:tc>
              <w:tc>
                <w:tcPr>
                  <w:tcW w:w="676" w:type="pct"/>
                  <w:vMerge w:val="continue"/>
                  <w:vAlign w:val="center"/>
                </w:tcPr>
                <w:p w14:paraId="7C5CC6DA">
                  <w:pPr>
                    <w:widowControl/>
                    <w:jc w:val="center"/>
                    <w:rPr>
                      <w:color w:val="auto"/>
                      <w:szCs w:val="21"/>
                    </w:rPr>
                  </w:pPr>
                </w:p>
              </w:tc>
            </w:tr>
          </w:tbl>
          <w:p w14:paraId="43A4EAA8">
            <w:pPr>
              <w:spacing w:line="360" w:lineRule="auto"/>
              <w:ind w:firstLine="480" w:firstLineChars="200"/>
              <w:rPr>
                <w:color w:val="auto"/>
                <w:sz w:val="24"/>
              </w:rPr>
            </w:pPr>
            <w:r>
              <w:rPr>
                <w:color w:val="auto"/>
                <w:sz w:val="24"/>
              </w:rPr>
              <w:t>由引用监测结果可知，项目</w:t>
            </w:r>
            <w:r>
              <w:rPr>
                <w:rFonts w:hint="eastAsia"/>
                <w:color w:val="auto"/>
                <w:sz w:val="24"/>
              </w:rPr>
              <w:t>所在区域</w:t>
            </w:r>
            <w:r>
              <w:rPr>
                <w:rFonts w:hint="eastAsia"/>
                <w:color w:val="auto"/>
                <w:sz w:val="24"/>
                <w:lang w:val="en-US" w:eastAsia="zh-CN"/>
              </w:rPr>
              <w:t>TSP</w:t>
            </w:r>
            <w:r>
              <w:rPr>
                <w:color w:val="auto"/>
                <w:sz w:val="24"/>
              </w:rPr>
              <w:t>满足</w:t>
            </w:r>
            <w:r>
              <w:rPr>
                <w:rFonts w:hint="eastAsia"/>
                <w:color w:val="auto"/>
                <w:sz w:val="24"/>
                <w:szCs w:val="21"/>
                <w:lang w:bidi="ar"/>
              </w:rPr>
              <w:t>《环境空气质量标准》（HJ 3095-2012）表2规定浓度限值</w:t>
            </w:r>
            <w:r>
              <w:rPr>
                <w:rFonts w:hint="eastAsia"/>
                <w:color w:val="auto"/>
                <w:sz w:val="24"/>
              </w:rPr>
              <w:t>。</w:t>
            </w:r>
          </w:p>
          <w:p w14:paraId="40056985">
            <w:pPr>
              <w:spacing w:line="360" w:lineRule="auto"/>
              <w:ind w:left="420" w:leftChars="200"/>
              <w:rPr>
                <w:b/>
                <w:color w:val="auto"/>
                <w:sz w:val="24"/>
              </w:rPr>
            </w:pPr>
            <w:r>
              <w:rPr>
                <w:rFonts w:hint="eastAsia"/>
                <w:b/>
                <w:color w:val="auto"/>
                <w:sz w:val="24"/>
              </w:rPr>
              <w:t>2、</w:t>
            </w:r>
            <w:r>
              <w:rPr>
                <w:b/>
                <w:color w:val="auto"/>
                <w:sz w:val="24"/>
              </w:rPr>
              <w:t>声环境质量现状</w:t>
            </w:r>
          </w:p>
          <w:p w14:paraId="6141FE9E">
            <w:pPr>
              <w:keepNext/>
              <w:keepLines/>
              <w:spacing w:line="360" w:lineRule="auto"/>
              <w:ind w:firstLine="480" w:firstLineChars="200"/>
              <w:jc w:val="left"/>
              <w:rPr>
                <w:color w:val="auto"/>
              </w:rPr>
            </w:pPr>
            <w:r>
              <w:rPr>
                <w:rFonts w:hint="eastAsia"/>
                <w:color w:val="auto"/>
                <w:sz w:val="24"/>
                <w:lang w:val="en-US" w:eastAsia="zh-CN"/>
              </w:rPr>
              <w:t>经调查，本项目厂界外周边50米范围内无敏感点，</w:t>
            </w:r>
            <w:r>
              <w:rPr>
                <w:rFonts w:hint="eastAsia"/>
                <w:color w:val="auto"/>
                <w:sz w:val="24"/>
              </w:rPr>
              <w:t>根据《建设项目环境影响报告表编制技术指南》，原则上不开展</w:t>
            </w:r>
            <w:r>
              <w:rPr>
                <w:rFonts w:hint="eastAsia"/>
                <w:color w:val="auto"/>
                <w:sz w:val="24"/>
                <w:lang w:val="en-US" w:eastAsia="zh-CN"/>
              </w:rPr>
              <w:t>声</w:t>
            </w:r>
            <w:r>
              <w:rPr>
                <w:rFonts w:hint="eastAsia"/>
                <w:color w:val="auto"/>
                <w:sz w:val="24"/>
              </w:rPr>
              <w:t>环境质量现状调查。</w:t>
            </w:r>
          </w:p>
          <w:p w14:paraId="68D430FF">
            <w:pPr>
              <w:adjustRightInd w:val="0"/>
              <w:snapToGrid w:val="0"/>
              <w:spacing w:line="360" w:lineRule="auto"/>
              <w:ind w:firstLine="482" w:firstLineChars="200"/>
              <w:rPr>
                <w:b/>
                <w:bCs/>
                <w:color w:val="auto"/>
                <w:sz w:val="24"/>
              </w:rPr>
            </w:pPr>
            <w:r>
              <w:rPr>
                <w:rFonts w:hint="eastAsia"/>
                <w:b/>
                <w:color w:val="auto"/>
                <w:sz w:val="24"/>
              </w:rPr>
              <w:t>3、</w:t>
            </w:r>
            <w:r>
              <w:rPr>
                <w:rFonts w:hint="eastAsia"/>
                <w:b/>
                <w:bCs/>
                <w:color w:val="auto"/>
                <w:sz w:val="24"/>
              </w:rPr>
              <w:t>土壤、地下水环境质量现状</w:t>
            </w:r>
          </w:p>
          <w:p w14:paraId="7892CF9F">
            <w:pPr>
              <w:adjustRightInd w:val="0"/>
              <w:snapToGrid w:val="0"/>
              <w:spacing w:line="360" w:lineRule="auto"/>
              <w:ind w:firstLine="480" w:firstLineChars="200"/>
              <w:rPr>
                <w:color w:val="auto"/>
                <w:sz w:val="24"/>
              </w:rPr>
            </w:pPr>
            <w:r>
              <w:rPr>
                <w:rFonts w:hint="eastAsia"/>
                <w:color w:val="auto"/>
                <w:sz w:val="24"/>
              </w:rPr>
              <w:t>根据《建设项目环境影响报告表编制技术指南》，原则上不开展土壤和地下水环境质量现状调查。</w:t>
            </w:r>
            <w:r>
              <w:rPr>
                <w:rFonts w:hint="eastAsia" w:ascii="宋体" w:hAnsi="宋体" w:cs="宋体"/>
                <w:color w:val="auto"/>
                <w:sz w:val="24"/>
              </w:rPr>
              <w:t>生产区</w:t>
            </w:r>
            <w:r>
              <w:rPr>
                <w:rFonts w:ascii="宋体" w:hAnsi="宋体" w:cs="宋体"/>
                <w:color w:val="auto"/>
                <w:sz w:val="24"/>
              </w:rPr>
              <w:t>全部硬化，</w:t>
            </w:r>
            <w:r>
              <w:rPr>
                <w:rFonts w:hint="eastAsia"/>
                <w:color w:val="auto"/>
                <w:sz w:val="24"/>
                <w:szCs w:val="32"/>
              </w:rPr>
              <w:t>项目不存在土壤、地下水环境污染的途径，</w:t>
            </w:r>
            <w:r>
              <w:rPr>
                <w:rFonts w:ascii="宋体" w:hAnsi="宋体" w:cs="宋体"/>
                <w:color w:val="auto"/>
                <w:sz w:val="24"/>
              </w:rPr>
              <w:t>因此不对</w:t>
            </w:r>
            <w:r>
              <w:rPr>
                <w:rFonts w:hint="eastAsia" w:ascii="宋体" w:hAnsi="宋体" w:cs="宋体"/>
                <w:color w:val="auto"/>
                <w:sz w:val="24"/>
              </w:rPr>
              <w:t>土壤和</w:t>
            </w:r>
            <w:r>
              <w:rPr>
                <w:rFonts w:ascii="宋体" w:hAnsi="宋体" w:cs="宋体"/>
                <w:color w:val="auto"/>
                <w:sz w:val="24"/>
              </w:rPr>
              <w:t>地下水进行现状调查。</w:t>
            </w:r>
          </w:p>
          <w:p w14:paraId="2730FED7">
            <w:pPr>
              <w:adjustRightInd w:val="0"/>
              <w:snapToGrid w:val="0"/>
              <w:spacing w:line="360" w:lineRule="auto"/>
              <w:ind w:firstLine="482" w:firstLineChars="200"/>
              <w:rPr>
                <w:b/>
                <w:bCs/>
                <w:color w:val="auto"/>
                <w:sz w:val="24"/>
              </w:rPr>
            </w:pPr>
            <w:r>
              <w:rPr>
                <w:rFonts w:hint="eastAsia"/>
                <w:b/>
                <w:bCs/>
                <w:color w:val="auto"/>
                <w:sz w:val="24"/>
              </w:rPr>
              <w:t>4、生态</w:t>
            </w:r>
            <w:r>
              <w:rPr>
                <w:b/>
                <w:bCs/>
                <w:color w:val="auto"/>
                <w:sz w:val="24"/>
              </w:rPr>
              <w:t>环境质量现状</w:t>
            </w:r>
          </w:p>
          <w:p w14:paraId="44F26022">
            <w:pPr>
              <w:adjustRightInd w:val="0"/>
              <w:snapToGrid w:val="0"/>
              <w:spacing w:line="360" w:lineRule="auto"/>
              <w:ind w:firstLine="480" w:firstLineChars="200"/>
              <w:rPr>
                <w:color w:val="auto"/>
                <w:kern w:val="0"/>
                <w:szCs w:val="21"/>
              </w:rPr>
            </w:pPr>
            <w:r>
              <w:rPr>
                <w:rFonts w:hint="eastAsia"/>
                <w:color w:val="auto"/>
                <w:sz w:val="24"/>
              </w:rPr>
              <w:t>根据《建设项目环境影响报告表编制技术指南》，本项目在现有厂区内进行</w:t>
            </w:r>
            <w:r>
              <w:rPr>
                <w:rFonts w:hint="eastAsia"/>
                <w:color w:val="auto"/>
                <w:sz w:val="24"/>
                <w:lang w:val="en-US" w:eastAsia="zh-CN"/>
              </w:rPr>
              <w:t>扩建</w:t>
            </w:r>
            <w:r>
              <w:rPr>
                <w:rFonts w:hint="eastAsia"/>
                <w:color w:val="auto"/>
                <w:sz w:val="24"/>
              </w:rPr>
              <w:t>，无新增用地，故不进行生态现状调查。</w:t>
            </w:r>
          </w:p>
        </w:tc>
      </w:tr>
      <w:tr w14:paraId="72AF2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45130084">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2C42CCA8">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14:paraId="2AA0DBAC">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8190" w:type="dxa"/>
            <w:vAlign w:val="center"/>
          </w:tcPr>
          <w:p w14:paraId="34228624">
            <w:pPr>
              <w:pStyle w:val="22"/>
              <w:spacing w:before="120" w:beforeLines="50" w:after="0" w:line="360" w:lineRule="auto"/>
              <w:ind w:left="0" w:leftChars="0" w:firstLine="480" w:firstLineChars="200"/>
              <w:rPr>
                <w:color w:val="auto"/>
                <w:sz w:val="24"/>
              </w:rPr>
            </w:pPr>
            <w:bookmarkStart w:id="3" w:name="_Hlk68125174"/>
            <w:r>
              <w:rPr>
                <w:color w:val="auto"/>
                <w:sz w:val="24"/>
              </w:rPr>
              <w:t>根据现场调查，拟建项目周边环境敏感点情况见表</w:t>
            </w:r>
            <w:bookmarkEnd w:id="3"/>
            <w:r>
              <w:rPr>
                <w:color w:val="auto"/>
                <w:sz w:val="24"/>
              </w:rPr>
              <w:t>3-</w:t>
            </w:r>
            <w:r>
              <w:rPr>
                <w:rFonts w:hint="eastAsia"/>
                <w:color w:val="auto"/>
                <w:sz w:val="24"/>
                <w:lang w:val="en-US" w:eastAsia="zh-CN"/>
              </w:rPr>
              <w:t>3</w:t>
            </w:r>
            <w:r>
              <w:rPr>
                <w:color w:val="auto"/>
                <w:sz w:val="24"/>
              </w:rPr>
              <w:t>。</w:t>
            </w:r>
          </w:p>
          <w:p w14:paraId="6E390232">
            <w:pPr>
              <w:pStyle w:val="5"/>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3</w:t>
            </w:r>
            <w:r>
              <w:rPr>
                <w:rFonts w:hint="eastAsia" w:ascii="Times New Roman" w:hAnsi="Times New Roman" w:eastAsia="宋体"/>
                <w:b/>
                <w:color w:val="auto"/>
                <w:sz w:val="24"/>
              </w:rPr>
              <w:t xml:space="preserve"> </w:t>
            </w:r>
            <w:r>
              <w:rPr>
                <w:rFonts w:ascii="Times New Roman" w:hAnsi="Times New Roman" w:eastAsia="宋体"/>
                <w:b/>
                <w:color w:val="auto"/>
                <w:sz w:val="24"/>
              </w:rPr>
              <w:t xml:space="preserve"> 主要环境保护目标一览表</w:t>
            </w:r>
          </w:p>
          <w:tbl>
            <w:tblPr>
              <w:tblStyle w:val="27"/>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943"/>
              <w:gridCol w:w="1319"/>
              <w:gridCol w:w="1217"/>
              <w:gridCol w:w="426"/>
              <w:gridCol w:w="1839"/>
              <w:gridCol w:w="766"/>
              <w:gridCol w:w="906"/>
            </w:tblGrid>
            <w:tr w14:paraId="75C26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7" w:type="pct"/>
                  <w:vMerge w:val="restart"/>
                  <w:noWrap w:val="0"/>
                  <w:vAlign w:val="center"/>
                </w:tcPr>
                <w:p w14:paraId="355D0BDE">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保护内容</w:t>
                  </w:r>
                </w:p>
              </w:tc>
              <w:tc>
                <w:tcPr>
                  <w:tcW w:w="591" w:type="pct"/>
                  <w:vMerge w:val="restart"/>
                  <w:noWrap w:val="0"/>
                  <w:vAlign w:val="center"/>
                </w:tcPr>
                <w:p w14:paraId="0809F799">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名称</w:t>
                  </w:r>
                </w:p>
              </w:tc>
              <w:tc>
                <w:tcPr>
                  <w:tcW w:w="1590" w:type="pct"/>
                  <w:gridSpan w:val="2"/>
                  <w:tcBorders>
                    <w:bottom w:val="single" w:color="000000" w:sz="2" w:space="0"/>
                  </w:tcBorders>
                  <w:noWrap w:val="0"/>
                  <w:vAlign w:val="center"/>
                </w:tcPr>
                <w:p w14:paraId="3FE3546D">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坐标/m</w:t>
                  </w:r>
                </w:p>
              </w:tc>
              <w:tc>
                <w:tcPr>
                  <w:tcW w:w="267" w:type="pct"/>
                  <w:vMerge w:val="restart"/>
                  <w:noWrap w:val="0"/>
                  <w:vAlign w:val="center"/>
                </w:tcPr>
                <w:p w14:paraId="733918D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保护对象</w:t>
                  </w:r>
                </w:p>
              </w:tc>
              <w:tc>
                <w:tcPr>
                  <w:tcW w:w="1153" w:type="pct"/>
                  <w:vMerge w:val="restart"/>
                  <w:noWrap w:val="0"/>
                  <w:vAlign w:val="center"/>
                </w:tcPr>
                <w:p w14:paraId="6F5073D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r>
                    <w:rPr>
                      <w:rFonts w:hint="eastAsia"/>
                      <w:color w:val="auto"/>
                      <w:szCs w:val="21"/>
                    </w:rPr>
                    <w:t>环境功能区</w:t>
                  </w:r>
                </w:p>
              </w:tc>
              <w:tc>
                <w:tcPr>
                  <w:tcW w:w="480" w:type="pct"/>
                  <w:vMerge w:val="restart"/>
                  <w:noWrap w:val="0"/>
                  <w:vAlign w:val="center"/>
                </w:tcPr>
                <w:p w14:paraId="697DEA6C">
                  <w:pPr>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rPr>
                  </w:pPr>
                  <w:r>
                    <w:rPr>
                      <w:rFonts w:hint="eastAsia"/>
                      <w:color w:val="auto"/>
                      <w:szCs w:val="21"/>
                    </w:rPr>
                    <w:t>相对厂址方位</w:t>
                  </w:r>
                </w:p>
              </w:tc>
              <w:tc>
                <w:tcPr>
                  <w:tcW w:w="568" w:type="pct"/>
                  <w:vMerge w:val="restart"/>
                  <w:tcBorders>
                    <w:top w:val="single" w:color="auto" w:sz="12" w:space="0"/>
                  </w:tcBorders>
                  <w:noWrap w:val="0"/>
                  <w:vAlign w:val="center"/>
                </w:tcPr>
                <w:p w14:paraId="2D7D9609">
                  <w:pPr>
                    <w:pStyle w:val="21"/>
                    <w:keepNext w:val="0"/>
                    <w:keepLines w:val="0"/>
                    <w:pageBreakBefore w:val="0"/>
                    <w:widowControl w:val="0"/>
                    <w:kinsoku/>
                    <w:wordWrap/>
                    <w:overflowPunct/>
                    <w:topLinePunct w:val="0"/>
                    <w:autoSpaceDE/>
                    <w:autoSpaceDN/>
                    <w:bidi w:val="0"/>
                    <w:adjustRightInd w:val="0"/>
                    <w:snapToGrid w:val="0"/>
                    <w:ind w:left="0"/>
                    <w:jc w:val="center"/>
                    <w:textAlignment w:val="auto"/>
                    <w:rPr>
                      <w:color w:val="auto"/>
                      <w:sz w:val="21"/>
                      <w:szCs w:val="21"/>
                    </w:rPr>
                  </w:pPr>
                  <w:r>
                    <w:rPr>
                      <w:rFonts w:hint="eastAsia"/>
                      <w:color w:val="auto"/>
                      <w:sz w:val="21"/>
                      <w:szCs w:val="21"/>
                    </w:rPr>
                    <w:t>相对厂界距离（</w:t>
                  </w:r>
                  <w:r>
                    <w:rPr>
                      <w:rFonts w:hint="eastAsia"/>
                      <w:color w:val="auto"/>
                      <w:sz w:val="21"/>
                      <w:szCs w:val="21"/>
                      <w:lang w:val="en-US" w:eastAsia="zh-CN"/>
                    </w:rPr>
                    <w:t>k</w:t>
                  </w:r>
                  <w:r>
                    <w:rPr>
                      <w:color w:val="auto"/>
                      <w:sz w:val="21"/>
                      <w:szCs w:val="21"/>
                    </w:rPr>
                    <w:t>m</w:t>
                  </w:r>
                  <w:r>
                    <w:rPr>
                      <w:rFonts w:hint="eastAsia"/>
                      <w:color w:val="auto"/>
                      <w:sz w:val="21"/>
                      <w:szCs w:val="21"/>
                    </w:rPr>
                    <w:t>）</w:t>
                  </w:r>
                </w:p>
              </w:tc>
            </w:tr>
            <w:tr w14:paraId="1C190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7" w:type="pct"/>
                  <w:vMerge w:val="continue"/>
                  <w:noWrap w:val="0"/>
                  <w:vAlign w:val="center"/>
                </w:tcPr>
                <w:p w14:paraId="2946536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591" w:type="pct"/>
                  <w:vMerge w:val="continue"/>
                  <w:noWrap w:val="0"/>
                  <w:vAlign w:val="center"/>
                </w:tcPr>
                <w:p w14:paraId="320C1D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827" w:type="pct"/>
                  <w:tcBorders>
                    <w:top w:val="single" w:color="000000" w:sz="2" w:space="0"/>
                    <w:right w:val="single" w:color="000000" w:sz="2" w:space="0"/>
                  </w:tcBorders>
                  <w:noWrap w:val="0"/>
                  <w:vAlign w:val="center"/>
                </w:tcPr>
                <w:p w14:paraId="07975CA3">
                  <w:pPr>
                    <w:keepNext w:val="0"/>
                    <w:keepLines w:val="0"/>
                    <w:pageBreakBefore w:val="0"/>
                    <w:widowControl w:val="0"/>
                    <w:kinsoku/>
                    <w:wordWrap/>
                    <w:overflowPunct/>
                    <w:topLinePunct w:val="0"/>
                    <w:autoSpaceDE/>
                    <w:autoSpaceDN/>
                    <w:bidi w:val="0"/>
                    <w:adjustRightInd w:val="0"/>
                    <w:snapToGrid w:val="0"/>
                    <w:ind w:left="-105" w:leftChars="-50" w:right="-105" w:rightChars="-50"/>
                    <w:jc w:val="center"/>
                    <w:textAlignment w:val="auto"/>
                    <w:rPr>
                      <w:rFonts w:hint="eastAsia"/>
                      <w:color w:val="auto"/>
                      <w:szCs w:val="21"/>
                    </w:rPr>
                  </w:pPr>
                  <w:r>
                    <w:rPr>
                      <w:rFonts w:hint="eastAsia"/>
                      <w:color w:val="auto"/>
                      <w:szCs w:val="21"/>
                    </w:rPr>
                    <w:t>X</w:t>
                  </w:r>
                </w:p>
              </w:tc>
              <w:tc>
                <w:tcPr>
                  <w:tcW w:w="762" w:type="pct"/>
                  <w:tcBorders>
                    <w:top w:val="single" w:color="000000" w:sz="2" w:space="0"/>
                    <w:left w:val="single" w:color="000000" w:sz="2" w:space="0"/>
                  </w:tcBorders>
                  <w:noWrap w:val="0"/>
                  <w:vAlign w:val="center"/>
                </w:tcPr>
                <w:p w14:paraId="08E66EEE">
                  <w:pPr>
                    <w:keepNext w:val="0"/>
                    <w:keepLines w:val="0"/>
                    <w:pageBreakBefore w:val="0"/>
                    <w:widowControl w:val="0"/>
                    <w:kinsoku/>
                    <w:wordWrap/>
                    <w:overflowPunct/>
                    <w:topLinePunct w:val="0"/>
                    <w:autoSpaceDE/>
                    <w:autoSpaceDN/>
                    <w:bidi w:val="0"/>
                    <w:adjustRightInd w:val="0"/>
                    <w:snapToGrid w:val="0"/>
                    <w:ind w:left="-105" w:leftChars="-50" w:right="-105" w:rightChars="-50"/>
                    <w:jc w:val="center"/>
                    <w:textAlignment w:val="auto"/>
                    <w:rPr>
                      <w:rFonts w:hint="eastAsia"/>
                      <w:color w:val="auto"/>
                      <w:szCs w:val="21"/>
                    </w:rPr>
                  </w:pPr>
                  <w:r>
                    <w:rPr>
                      <w:rFonts w:hint="eastAsia"/>
                      <w:color w:val="auto"/>
                      <w:szCs w:val="21"/>
                    </w:rPr>
                    <w:t>Y</w:t>
                  </w:r>
                </w:p>
              </w:tc>
              <w:tc>
                <w:tcPr>
                  <w:tcW w:w="267" w:type="pct"/>
                  <w:vMerge w:val="continue"/>
                  <w:noWrap w:val="0"/>
                  <w:vAlign w:val="center"/>
                </w:tcPr>
                <w:p w14:paraId="46D4CA9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1153" w:type="pct"/>
                  <w:vMerge w:val="continue"/>
                  <w:noWrap w:val="0"/>
                  <w:vAlign w:val="center"/>
                </w:tcPr>
                <w:p w14:paraId="5CB882D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480" w:type="pct"/>
                  <w:vMerge w:val="continue"/>
                  <w:noWrap w:val="0"/>
                  <w:vAlign w:val="center"/>
                </w:tcPr>
                <w:p w14:paraId="4EE0BDF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rPr>
                  </w:pPr>
                </w:p>
              </w:tc>
              <w:tc>
                <w:tcPr>
                  <w:tcW w:w="568" w:type="pct"/>
                  <w:vMerge w:val="continue"/>
                  <w:tcBorders>
                    <w:bottom w:val="single" w:color="auto" w:sz="4" w:space="0"/>
                  </w:tcBorders>
                  <w:noWrap w:val="0"/>
                  <w:vAlign w:val="center"/>
                </w:tcPr>
                <w:p w14:paraId="56BCD290">
                  <w:pPr>
                    <w:pStyle w:val="21"/>
                    <w:keepNext w:val="0"/>
                    <w:keepLines w:val="0"/>
                    <w:pageBreakBefore w:val="0"/>
                    <w:widowControl w:val="0"/>
                    <w:kinsoku/>
                    <w:wordWrap/>
                    <w:overflowPunct/>
                    <w:topLinePunct w:val="0"/>
                    <w:autoSpaceDE/>
                    <w:autoSpaceDN/>
                    <w:bidi w:val="0"/>
                    <w:adjustRightInd w:val="0"/>
                    <w:snapToGrid w:val="0"/>
                    <w:ind w:left="0"/>
                    <w:jc w:val="center"/>
                    <w:textAlignment w:val="auto"/>
                    <w:rPr>
                      <w:rFonts w:hint="eastAsia"/>
                      <w:color w:val="auto"/>
                      <w:sz w:val="21"/>
                      <w:szCs w:val="21"/>
                    </w:rPr>
                  </w:pPr>
                </w:p>
              </w:tc>
            </w:tr>
            <w:tr w14:paraId="3AA691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7" w:type="pct"/>
                  <w:noWrap w:val="0"/>
                  <w:vAlign w:val="center"/>
                </w:tcPr>
                <w:p w14:paraId="30F356A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环境</w:t>
                  </w:r>
                </w:p>
                <w:p w14:paraId="7C4D75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空气</w:t>
                  </w:r>
                </w:p>
              </w:tc>
              <w:tc>
                <w:tcPr>
                  <w:tcW w:w="591" w:type="pct"/>
                  <w:noWrap w:val="0"/>
                  <w:vAlign w:val="center"/>
                </w:tcPr>
                <w:p w14:paraId="506902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bookmarkStart w:id="5" w:name="_GoBack"/>
                  <w:r>
                    <w:rPr>
                      <w:rFonts w:hint="eastAsia"/>
                      <w:color w:val="auto"/>
                      <w:szCs w:val="21"/>
                      <w:lang w:val="en-US" w:eastAsia="zh-CN"/>
                    </w:rPr>
                    <w:t>中丰店村</w:t>
                  </w:r>
                  <w:bookmarkEnd w:id="5"/>
                </w:p>
              </w:tc>
              <w:tc>
                <w:tcPr>
                  <w:tcW w:w="827" w:type="pct"/>
                  <w:tcBorders>
                    <w:right w:val="single" w:color="000000" w:sz="2" w:space="0"/>
                  </w:tcBorders>
                  <w:noWrap w:val="0"/>
                  <w:vAlign w:val="center"/>
                </w:tcPr>
                <w:p w14:paraId="45CE5CB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108.7470016</w:t>
                  </w:r>
                </w:p>
              </w:tc>
              <w:tc>
                <w:tcPr>
                  <w:tcW w:w="762" w:type="pct"/>
                  <w:tcBorders>
                    <w:left w:val="single" w:color="000000" w:sz="2" w:space="0"/>
                  </w:tcBorders>
                  <w:noWrap w:val="0"/>
                  <w:vAlign w:val="center"/>
                </w:tcPr>
                <w:p w14:paraId="07CEDA0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34.1822014</w:t>
                  </w:r>
                </w:p>
              </w:tc>
              <w:tc>
                <w:tcPr>
                  <w:tcW w:w="267" w:type="pct"/>
                  <w:noWrap w:val="0"/>
                  <w:vAlign w:val="center"/>
                </w:tcPr>
                <w:p w14:paraId="37E503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村民</w:t>
                  </w:r>
                </w:p>
              </w:tc>
              <w:tc>
                <w:tcPr>
                  <w:tcW w:w="1153" w:type="pct"/>
                  <w:noWrap w:val="0"/>
                  <w:vAlign w:val="center"/>
                </w:tcPr>
                <w:p w14:paraId="3BF761F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《环境空气质量标准》（GB3095-2012）二级标准</w:t>
                  </w:r>
                </w:p>
              </w:tc>
              <w:tc>
                <w:tcPr>
                  <w:tcW w:w="480" w:type="pct"/>
                  <w:noWrap w:val="0"/>
                  <w:vAlign w:val="center"/>
                </w:tcPr>
                <w:p w14:paraId="716F974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W</w:t>
                  </w:r>
                </w:p>
              </w:tc>
              <w:tc>
                <w:tcPr>
                  <w:tcW w:w="568" w:type="pct"/>
                  <w:tcBorders>
                    <w:top w:val="single" w:color="auto" w:sz="4" w:space="0"/>
                  </w:tcBorders>
                  <w:noWrap w:val="0"/>
                  <w:vAlign w:val="center"/>
                </w:tcPr>
                <w:p w14:paraId="3F30489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olor w:val="auto"/>
                      <w:szCs w:val="21"/>
                      <w:lang w:val="en-US" w:eastAsia="zh-CN"/>
                    </w:rPr>
                  </w:pPr>
                  <w:r>
                    <w:rPr>
                      <w:rFonts w:hint="eastAsia"/>
                      <w:color w:val="auto"/>
                      <w:szCs w:val="21"/>
                      <w:lang w:val="en-US" w:eastAsia="zh-CN"/>
                    </w:rPr>
                    <w:t>0.330</w:t>
                  </w:r>
                </w:p>
              </w:tc>
            </w:tr>
          </w:tbl>
          <w:p w14:paraId="020142C9">
            <w:pPr>
              <w:adjustRightInd w:val="0"/>
              <w:snapToGrid w:val="0"/>
              <w:jc w:val="both"/>
              <w:rPr>
                <w:color w:val="auto"/>
                <w:kern w:val="0"/>
                <w:szCs w:val="21"/>
              </w:rPr>
            </w:pPr>
          </w:p>
        </w:tc>
      </w:tr>
      <w:tr w14:paraId="013724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00" w:type="dxa"/>
            <w:tcMar>
              <w:left w:w="28" w:type="dxa"/>
              <w:right w:w="28" w:type="dxa"/>
            </w:tcMar>
            <w:vAlign w:val="center"/>
          </w:tcPr>
          <w:p w14:paraId="669CECBF">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14:paraId="2B6F537E">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14:paraId="4BEFCC3D">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14:paraId="16CA550D">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14:paraId="77C03B95">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8190" w:type="dxa"/>
            <w:vAlign w:val="center"/>
          </w:tcPr>
          <w:p w14:paraId="14177522">
            <w:pPr>
              <w:widowControl/>
              <w:numPr>
                <w:ilvl w:val="0"/>
                <w:numId w:val="8"/>
              </w:numPr>
              <w:spacing w:line="360" w:lineRule="auto"/>
              <w:ind w:firstLine="480" w:firstLineChars="200"/>
              <w:rPr>
                <w:color w:val="auto"/>
                <w:sz w:val="24"/>
              </w:rPr>
            </w:pPr>
            <w:r>
              <w:rPr>
                <w:rFonts w:hint="eastAsia"/>
                <w:color w:val="auto"/>
                <w:sz w:val="24"/>
              </w:rPr>
              <w:t>废气：施工期</w:t>
            </w:r>
            <w:r>
              <w:rPr>
                <w:rFonts w:hint="eastAsia"/>
                <w:color w:val="auto"/>
                <w:sz w:val="24"/>
                <w:lang w:val="en-US" w:eastAsia="zh-CN"/>
              </w:rPr>
              <w:t>颗粒物</w:t>
            </w:r>
            <w:r>
              <w:rPr>
                <w:rFonts w:hint="eastAsia"/>
                <w:color w:val="auto"/>
                <w:sz w:val="24"/>
              </w:rPr>
              <w:t>排放标准执行《施工场界扬尘排放限值》（DB61/1078-2017）；运营期</w:t>
            </w:r>
            <w:r>
              <w:rPr>
                <w:rFonts w:hint="eastAsia"/>
                <w:color w:val="auto"/>
                <w:sz w:val="24"/>
                <w:lang w:val="en-US" w:eastAsia="zh-CN"/>
              </w:rPr>
              <w:t>颗粒物</w:t>
            </w:r>
            <w:r>
              <w:rPr>
                <w:rFonts w:hint="eastAsia"/>
                <w:color w:val="auto"/>
                <w:sz w:val="24"/>
              </w:rPr>
              <w:t>排放执行</w:t>
            </w:r>
            <w:r>
              <w:rPr>
                <w:color w:val="auto"/>
                <w:sz w:val="24"/>
                <w:szCs w:val="24"/>
              </w:rPr>
              <w:t>《大气污染物综合排放标准》</w:t>
            </w:r>
            <w:r>
              <w:rPr>
                <w:rFonts w:hint="eastAsia"/>
                <w:color w:val="auto"/>
                <w:sz w:val="24"/>
                <w:szCs w:val="24"/>
              </w:rPr>
              <w:t>（</w:t>
            </w:r>
            <w:r>
              <w:rPr>
                <w:color w:val="auto"/>
                <w:sz w:val="24"/>
                <w:szCs w:val="24"/>
              </w:rPr>
              <w:t>GB16297-1996</w:t>
            </w:r>
            <w:r>
              <w:rPr>
                <w:rFonts w:hint="eastAsia"/>
                <w:color w:val="auto"/>
                <w:sz w:val="24"/>
                <w:szCs w:val="24"/>
              </w:rPr>
              <w:t>）表2</w:t>
            </w:r>
            <w:r>
              <w:rPr>
                <w:rFonts w:hint="eastAsia"/>
                <w:color w:val="auto"/>
                <w:sz w:val="24"/>
                <w:szCs w:val="24"/>
                <w:lang w:val="en-US" w:eastAsia="zh-CN"/>
              </w:rPr>
              <w:t>二级排放标准及</w:t>
            </w:r>
            <w:r>
              <w:rPr>
                <w:color w:val="auto"/>
                <w:sz w:val="24"/>
                <w:szCs w:val="24"/>
              </w:rPr>
              <w:t>无组织排放监控浓度限值</w:t>
            </w:r>
            <w:r>
              <w:rPr>
                <w:rFonts w:hint="eastAsia"/>
                <w:color w:val="auto"/>
                <w:sz w:val="24"/>
              </w:rPr>
              <w:t>。</w:t>
            </w:r>
          </w:p>
          <w:p w14:paraId="47C96966">
            <w:pPr>
              <w:pStyle w:val="5"/>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4</w:t>
            </w:r>
            <w:r>
              <w:rPr>
                <w:rFonts w:ascii="Times New Roman" w:hAnsi="Times New Roman" w:eastAsia="宋体"/>
                <w:b/>
                <w:color w:val="auto"/>
                <w:sz w:val="24"/>
              </w:rPr>
              <w:t xml:space="preserve">  </w:t>
            </w:r>
            <w:r>
              <w:rPr>
                <w:rFonts w:hint="eastAsia" w:ascii="Times New Roman" w:hAnsi="Times New Roman" w:eastAsia="宋体"/>
                <w:b/>
                <w:color w:val="auto"/>
                <w:sz w:val="24"/>
                <w:lang w:val="en-US" w:eastAsia="zh-CN"/>
              </w:rPr>
              <w:t>颗粒物</w:t>
            </w:r>
            <w:r>
              <w:rPr>
                <w:rFonts w:ascii="Times New Roman" w:hAnsi="Times New Roman" w:eastAsia="宋体"/>
                <w:b/>
                <w:color w:val="auto"/>
                <w:sz w:val="24"/>
              </w:rPr>
              <w:t>排放标准</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658"/>
              <w:gridCol w:w="659"/>
              <w:gridCol w:w="1520"/>
              <w:gridCol w:w="1161"/>
              <w:gridCol w:w="1209"/>
              <w:gridCol w:w="1416"/>
              <w:gridCol w:w="1348"/>
            </w:tblGrid>
            <w:tr w14:paraId="05632B7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40" w:hRule="atLeast"/>
              </w:trPr>
              <w:tc>
                <w:tcPr>
                  <w:tcW w:w="413" w:type="pct"/>
                  <w:vMerge w:val="restart"/>
                  <w:tcBorders>
                    <w:tl2br w:val="nil"/>
                    <w:tr2bl w:val="nil"/>
                  </w:tcBorders>
                  <w:noWrap w:val="0"/>
                  <w:vAlign w:val="center"/>
                </w:tcPr>
                <w:p w14:paraId="437D3E60">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val="en-US" w:eastAsia="zh-CN"/>
                    </w:rPr>
                  </w:pPr>
                  <w:r>
                    <w:rPr>
                      <w:rFonts w:hint="eastAsia" w:hAnsi="宋体"/>
                      <w:color w:val="auto"/>
                      <w:szCs w:val="21"/>
                      <w:lang w:val="en-US" w:eastAsia="zh-CN"/>
                    </w:rPr>
                    <w:t>阶段</w:t>
                  </w:r>
                </w:p>
              </w:tc>
              <w:tc>
                <w:tcPr>
                  <w:tcW w:w="413" w:type="pct"/>
                  <w:vMerge w:val="restart"/>
                  <w:tcBorders>
                    <w:tl2br w:val="nil"/>
                    <w:tr2bl w:val="nil"/>
                  </w:tcBorders>
                  <w:noWrap w:val="0"/>
                  <w:vAlign w:val="center"/>
                </w:tcPr>
                <w:p w14:paraId="5958803E">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color w:val="auto"/>
                      <w:szCs w:val="21"/>
                    </w:rPr>
                  </w:pPr>
                  <w:r>
                    <w:rPr>
                      <w:rFonts w:hint="eastAsia" w:hAnsi="宋体"/>
                      <w:color w:val="auto"/>
                      <w:szCs w:val="21"/>
                    </w:rPr>
                    <w:t>污染物</w:t>
                  </w:r>
                </w:p>
              </w:tc>
              <w:tc>
                <w:tcPr>
                  <w:tcW w:w="953" w:type="pct"/>
                  <w:vMerge w:val="restart"/>
                  <w:tcBorders>
                    <w:tl2br w:val="nil"/>
                    <w:tr2bl w:val="nil"/>
                  </w:tcBorders>
                  <w:noWrap w:val="0"/>
                  <w:vAlign w:val="center"/>
                </w:tcPr>
                <w:p w14:paraId="728B5F3B">
                  <w:pPr>
                    <w:adjustRightInd w:val="0"/>
                    <w:snapToGrid w:val="0"/>
                    <w:jc w:val="center"/>
                    <w:rPr>
                      <w:color w:val="auto"/>
                      <w:szCs w:val="21"/>
                    </w:rPr>
                  </w:pPr>
                  <w:r>
                    <w:rPr>
                      <w:rFonts w:hint="eastAsia" w:hAnsi="宋体"/>
                      <w:color w:val="auto"/>
                      <w:szCs w:val="21"/>
                    </w:rPr>
                    <w:t>最高允许排放浓度（</w:t>
                  </w:r>
                  <w:r>
                    <w:rPr>
                      <w:color w:val="auto"/>
                      <w:szCs w:val="21"/>
                    </w:rPr>
                    <w:t>mg/m</w:t>
                  </w:r>
                  <w:r>
                    <w:rPr>
                      <w:color w:val="auto"/>
                      <w:szCs w:val="21"/>
                      <w:vertAlign w:val="superscript"/>
                    </w:rPr>
                    <w:t>3</w:t>
                  </w:r>
                  <w:r>
                    <w:rPr>
                      <w:rFonts w:hint="eastAsia" w:hAnsi="宋体"/>
                      <w:color w:val="auto"/>
                      <w:szCs w:val="21"/>
                    </w:rPr>
                    <w:t>）</w:t>
                  </w:r>
                </w:p>
              </w:tc>
              <w:tc>
                <w:tcPr>
                  <w:tcW w:w="1486" w:type="pct"/>
                  <w:gridSpan w:val="2"/>
                  <w:tcBorders>
                    <w:tl2br w:val="nil"/>
                    <w:tr2bl w:val="nil"/>
                  </w:tcBorders>
                  <w:noWrap w:val="0"/>
                  <w:vAlign w:val="center"/>
                </w:tcPr>
                <w:p w14:paraId="2054BC13">
                  <w:pPr>
                    <w:adjustRightInd w:val="0"/>
                    <w:snapToGrid w:val="0"/>
                    <w:jc w:val="center"/>
                    <w:rPr>
                      <w:color w:val="auto"/>
                      <w:szCs w:val="21"/>
                    </w:rPr>
                  </w:pPr>
                  <w:r>
                    <w:rPr>
                      <w:rFonts w:hint="eastAsia" w:hAnsi="宋体"/>
                      <w:color w:val="auto"/>
                      <w:szCs w:val="21"/>
                    </w:rPr>
                    <w:t>最高允许排放速率</w:t>
                  </w:r>
                </w:p>
              </w:tc>
              <w:tc>
                <w:tcPr>
                  <w:tcW w:w="1733" w:type="pct"/>
                  <w:gridSpan w:val="2"/>
                  <w:tcBorders>
                    <w:tl2br w:val="nil"/>
                    <w:tr2bl w:val="nil"/>
                  </w:tcBorders>
                  <w:noWrap w:val="0"/>
                  <w:vAlign w:val="center"/>
                </w:tcPr>
                <w:p w14:paraId="2C7F4B82">
                  <w:pPr>
                    <w:adjustRightInd w:val="0"/>
                    <w:snapToGrid w:val="0"/>
                    <w:jc w:val="center"/>
                    <w:rPr>
                      <w:color w:val="auto"/>
                      <w:szCs w:val="21"/>
                    </w:rPr>
                  </w:pPr>
                  <w:r>
                    <w:rPr>
                      <w:rFonts w:hint="eastAsia" w:hAnsi="宋体"/>
                      <w:color w:val="auto"/>
                      <w:szCs w:val="21"/>
                    </w:rPr>
                    <w:t>无组织排放监控浓度限值</w:t>
                  </w:r>
                </w:p>
              </w:tc>
            </w:tr>
            <w:tr w14:paraId="33C31F8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40" w:hRule="atLeast"/>
              </w:trPr>
              <w:tc>
                <w:tcPr>
                  <w:tcW w:w="413" w:type="pct"/>
                  <w:vMerge w:val="continue"/>
                  <w:tcBorders>
                    <w:tl2br w:val="nil"/>
                    <w:tr2bl w:val="nil"/>
                  </w:tcBorders>
                  <w:noWrap w:val="0"/>
                  <w:vAlign w:val="center"/>
                </w:tcPr>
                <w:p w14:paraId="03EC8C18">
                  <w:pPr>
                    <w:keepNext w:val="0"/>
                    <w:keepLines w:val="0"/>
                    <w:pageBreakBefore w:val="0"/>
                    <w:widowControl/>
                    <w:kinsoku/>
                    <w:wordWrap/>
                    <w:overflowPunct/>
                    <w:topLinePunct w:val="0"/>
                    <w:autoSpaceDE/>
                    <w:autoSpaceDN/>
                    <w:bidi w:val="0"/>
                    <w:adjustRightInd w:val="0"/>
                    <w:snapToGrid w:val="0"/>
                    <w:ind w:left="-105" w:leftChars="-50" w:right="-105" w:rightChars="-50"/>
                    <w:jc w:val="left"/>
                    <w:textAlignment w:val="auto"/>
                    <w:rPr>
                      <w:color w:val="auto"/>
                      <w:szCs w:val="21"/>
                    </w:rPr>
                  </w:pPr>
                </w:p>
              </w:tc>
              <w:tc>
                <w:tcPr>
                  <w:tcW w:w="413" w:type="pct"/>
                  <w:vMerge w:val="continue"/>
                  <w:tcBorders>
                    <w:tl2br w:val="nil"/>
                    <w:tr2bl w:val="nil"/>
                  </w:tcBorders>
                  <w:noWrap w:val="0"/>
                  <w:vAlign w:val="center"/>
                </w:tcPr>
                <w:p w14:paraId="1B27966B">
                  <w:pPr>
                    <w:keepNext w:val="0"/>
                    <w:keepLines w:val="0"/>
                    <w:pageBreakBefore w:val="0"/>
                    <w:widowControl/>
                    <w:kinsoku/>
                    <w:wordWrap/>
                    <w:overflowPunct/>
                    <w:topLinePunct w:val="0"/>
                    <w:autoSpaceDE/>
                    <w:autoSpaceDN/>
                    <w:bidi w:val="0"/>
                    <w:adjustRightInd w:val="0"/>
                    <w:snapToGrid w:val="0"/>
                    <w:ind w:left="-105" w:leftChars="-50" w:right="-105" w:rightChars="-50"/>
                    <w:jc w:val="left"/>
                    <w:textAlignment w:val="auto"/>
                    <w:rPr>
                      <w:color w:val="auto"/>
                      <w:szCs w:val="21"/>
                    </w:rPr>
                  </w:pPr>
                </w:p>
              </w:tc>
              <w:tc>
                <w:tcPr>
                  <w:tcW w:w="953" w:type="pct"/>
                  <w:vMerge w:val="continue"/>
                  <w:tcBorders>
                    <w:tl2br w:val="nil"/>
                    <w:tr2bl w:val="nil"/>
                  </w:tcBorders>
                  <w:noWrap w:val="0"/>
                  <w:vAlign w:val="center"/>
                </w:tcPr>
                <w:p w14:paraId="01C91576">
                  <w:pPr>
                    <w:widowControl/>
                    <w:jc w:val="left"/>
                    <w:rPr>
                      <w:color w:val="auto"/>
                      <w:szCs w:val="21"/>
                    </w:rPr>
                  </w:pPr>
                </w:p>
              </w:tc>
              <w:tc>
                <w:tcPr>
                  <w:tcW w:w="728" w:type="pct"/>
                  <w:tcBorders>
                    <w:tl2br w:val="nil"/>
                    <w:tr2bl w:val="nil"/>
                  </w:tcBorders>
                  <w:noWrap w:val="0"/>
                  <w:vAlign w:val="center"/>
                </w:tcPr>
                <w:p w14:paraId="3EFEE971">
                  <w:pPr>
                    <w:adjustRightInd w:val="0"/>
                    <w:snapToGrid w:val="0"/>
                    <w:jc w:val="center"/>
                    <w:rPr>
                      <w:color w:val="auto"/>
                      <w:szCs w:val="21"/>
                    </w:rPr>
                  </w:pPr>
                  <w:r>
                    <w:rPr>
                      <w:rFonts w:hint="eastAsia" w:hAnsi="宋体"/>
                      <w:color w:val="auto"/>
                      <w:szCs w:val="21"/>
                    </w:rPr>
                    <w:t>排气筒（</w:t>
                  </w:r>
                  <w:r>
                    <w:rPr>
                      <w:color w:val="auto"/>
                      <w:szCs w:val="21"/>
                    </w:rPr>
                    <w:t>m</w:t>
                  </w:r>
                  <w:r>
                    <w:rPr>
                      <w:rFonts w:hint="eastAsia" w:hAnsi="宋体"/>
                      <w:color w:val="auto"/>
                      <w:szCs w:val="21"/>
                    </w:rPr>
                    <w:t>）</w:t>
                  </w:r>
                </w:p>
              </w:tc>
              <w:tc>
                <w:tcPr>
                  <w:tcW w:w="758" w:type="pct"/>
                  <w:tcBorders>
                    <w:tl2br w:val="nil"/>
                    <w:tr2bl w:val="nil"/>
                  </w:tcBorders>
                  <w:noWrap w:val="0"/>
                  <w:vAlign w:val="center"/>
                </w:tcPr>
                <w:p w14:paraId="1E486554">
                  <w:pPr>
                    <w:adjustRightInd w:val="0"/>
                    <w:snapToGrid w:val="0"/>
                    <w:jc w:val="center"/>
                    <w:rPr>
                      <w:color w:val="auto"/>
                      <w:szCs w:val="21"/>
                    </w:rPr>
                  </w:pPr>
                  <w:r>
                    <w:rPr>
                      <w:rFonts w:hint="eastAsia" w:hAnsi="宋体"/>
                      <w:color w:val="auto"/>
                      <w:szCs w:val="21"/>
                    </w:rPr>
                    <w:t>二级（</w:t>
                  </w:r>
                  <w:r>
                    <w:rPr>
                      <w:color w:val="auto"/>
                      <w:szCs w:val="21"/>
                    </w:rPr>
                    <w:t>kg/h</w:t>
                  </w:r>
                  <w:r>
                    <w:rPr>
                      <w:rFonts w:hint="eastAsia" w:hAnsi="宋体"/>
                      <w:color w:val="auto"/>
                      <w:szCs w:val="21"/>
                    </w:rPr>
                    <w:t>）</w:t>
                  </w:r>
                </w:p>
              </w:tc>
              <w:tc>
                <w:tcPr>
                  <w:tcW w:w="888" w:type="pct"/>
                  <w:tcBorders>
                    <w:tl2br w:val="nil"/>
                    <w:tr2bl w:val="nil"/>
                  </w:tcBorders>
                  <w:noWrap w:val="0"/>
                  <w:vAlign w:val="center"/>
                </w:tcPr>
                <w:p w14:paraId="3854BB55">
                  <w:pPr>
                    <w:adjustRightInd w:val="0"/>
                    <w:snapToGrid w:val="0"/>
                    <w:jc w:val="center"/>
                    <w:rPr>
                      <w:color w:val="auto"/>
                      <w:szCs w:val="21"/>
                    </w:rPr>
                  </w:pPr>
                  <w:r>
                    <w:rPr>
                      <w:rFonts w:hint="eastAsia" w:hAnsi="宋体"/>
                      <w:color w:val="auto"/>
                      <w:szCs w:val="21"/>
                    </w:rPr>
                    <w:t>监控点</w:t>
                  </w:r>
                </w:p>
              </w:tc>
              <w:tc>
                <w:tcPr>
                  <w:tcW w:w="844" w:type="pct"/>
                  <w:tcBorders>
                    <w:tl2br w:val="nil"/>
                    <w:tr2bl w:val="nil"/>
                  </w:tcBorders>
                  <w:noWrap w:val="0"/>
                  <w:vAlign w:val="center"/>
                </w:tcPr>
                <w:p w14:paraId="7DCE542F">
                  <w:pPr>
                    <w:adjustRightInd w:val="0"/>
                    <w:snapToGrid w:val="0"/>
                    <w:jc w:val="center"/>
                    <w:rPr>
                      <w:color w:val="auto"/>
                      <w:szCs w:val="21"/>
                    </w:rPr>
                  </w:pPr>
                  <w:r>
                    <w:rPr>
                      <w:rFonts w:hint="eastAsia" w:hAnsi="宋体"/>
                      <w:color w:val="auto"/>
                      <w:szCs w:val="21"/>
                    </w:rPr>
                    <w:t>浓度</w:t>
                  </w:r>
                  <w:r>
                    <w:rPr>
                      <w:color w:val="auto"/>
                      <w:szCs w:val="21"/>
                    </w:rPr>
                    <w:t>(mg/m</w:t>
                  </w:r>
                  <w:r>
                    <w:rPr>
                      <w:color w:val="auto"/>
                      <w:szCs w:val="21"/>
                      <w:vertAlign w:val="superscript"/>
                    </w:rPr>
                    <w:t>3</w:t>
                  </w:r>
                  <w:r>
                    <w:rPr>
                      <w:color w:val="auto"/>
                      <w:szCs w:val="21"/>
                    </w:rPr>
                    <w:t>)</w:t>
                  </w:r>
                </w:p>
              </w:tc>
            </w:tr>
            <w:tr w14:paraId="581EA37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 w:hRule="atLeast"/>
              </w:trPr>
              <w:tc>
                <w:tcPr>
                  <w:tcW w:w="413" w:type="pct"/>
                  <w:tcBorders>
                    <w:tl2br w:val="nil"/>
                    <w:tr2bl w:val="nil"/>
                  </w:tcBorders>
                  <w:noWrap w:val="0"/>
                  <w:vAlign w:val="center"/>
                </w:tcPr>
                <w:p w14:paraId="119A3C23">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val="en-US" w:eastAsia="zh-CN"/>
                    </w:rPr>
                  </w:pPr>
                  <w:r>
                    <w:rPr>
                      <w:rFonts w:hint="eastAsia" w:hAnsi="宋体"/>
                      <w:color w:val="auto"/>
                      <w:szCs w:val="21"/>
                      <w:lang w:val="en-US" w:eastAsia="zh-CN"/>
                    </w:rPr>
                    <w:t>施工期</w:t>
                  </w:r>
                </w:p>
              </w:tc>
              <w:tc>
                <w:tcPr>
                  <w:tcW w:w="413" w:type="pct"/>
                  <w:tcBorders>
                    <w:tl2br w:val="nil"/>
                    <w:tr2bl w:val="nil"/>
                  </w:tcBorders>
                  <w:noWrap w:val="0"/>
                  <w:vAlign w:val="center"/>
                </w:tcPr>
                <w:p w14:paraId="70F43D1B">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eastAsia="zh-CN"/>
                    </w:rPr>
                  </w:pPr>
                  <w:r>
                    <w:rPr>
                      <w:rFonts w:hint="eastAsia"/>
                      <w:color w:val="auto"/>
                      <w:lang w:val="en-US" w:eastAsia="zh-CN"/>
                    </w:rPr>
                    <w:t>颗粒物</w:t>
                  </w:r>
                </w:p>
              </w:tc>
              <w:tc>
                <w:tcPr>
                  <w:tcW w:w="953" w:type="pct"/>
                  <w:tcBorders>
                    <w:tl2br w:val="nil"/>
                    <w:tr2bl w:val="nil"/>
                  </w:tcBorders>
                  <w:noWrap w:val="0"/>
                  <w:vAlign w:val="center"/>
                </w:tcPr>
                <w:p w14:paraId="039D43D6">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728" w:type="pct"/>
                  <w:tcBorders>
                    <w:tl2br w:val="nil"/>
                    <w:tr2bl w:val="nil"/>
                  </w:tcBorders>
                  <w:noWrap w:val="0"/>
                  <w:vAlign w:val="center"/>
                </w:tcPr>
                <w:p w14:paraId="7768321B">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758" w:type="pct"/>
                  <w:tcBorders>
                    <w:tl2br w:val="nil"/>
                    <w:tr2bl w:val="nil"/>
                  </w:tcBorders>
                  <w:noWrap w:val="0"/>
                  <w:vAlign w:val="center"/>
                </w:tcPr>
                <w:p w14:paraId="5A69FFBD">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888" w:type="pct"/>
                  <w:tcBorders>
                    <w:tl2br w:val="nil"/>
                    <w:tr2bl w:val="nil"/>
                  </w:tcBorders>
                  <w:noWrap w:val="0"/>
                  <w:vAlign w:val="center"/>
                </w:tcPr>
                <w:p w14:paraId="7A2B29AF">
                  <w:pPr>
                    <w:adjustRightInd w:val="0"/>
                    <w:snapToGrid w:val="0"/>
                    <w:jc w:val="center"/>
                    <w:rPr>
                      <w:rFonts w:hint="eastAsia" w:hAnsi="宋体"/>
                      <w:color w:val="auto"/>
                      <w:szCs w:val="21"/>
                    </w:rPr>
                  </w:pPr>
                  <w:r>
                    <w:rPr>
                      <w:rFonts w:hint="eastAsia" w:hAnsi="宋体"/>
                      <w:color w:val="auto"/>
                      <w:szCs w:val="21"/>
                    </w:rPr>
                    <w:t>周界外浓度最高点</w:t>
                  </w:r>
                </w:p>
              </w:tc>
              <w:tc>
                <w:tcPr>
                  <w:tcW w:w="844" w:type="pct"/>
                  <w:tcBorders>
                    <w:tl2br w:val="nil"/>
                    <w:tr2bl w:val="nil"/>
                  </w:tcBorders>
                  <w:noWrap w:val="0"/>
                  <w:vAlign w:val="center"/>
                </w:tcPr>
                <w:p w14:paraId="00E55575">
                  <w:pPr>
                    <w:adjustRightInd w:val="0"/>
                    <w:snapToGrid w:val="0"/>
                    <w:jc w:val="center"/>
                    <w:rPr>
                      <w:color w:val="auto"/>
                      <w:szCs w:val="21"/>
                    </w:rPr>
                  </w:pPr>
                  <w:r>
                    <w:rPr>
                      <w:bCs/>
                      <w:color w:val="auto"/>
                      <w:szCs w:val="21"/>
                    </w:rPr>
                    <w:t>≤0.7</w:t>
                  </w:r>
                </w:p>
              </w:tc>
            </w:tr>
            <w:tr w14:paraId="1537B4B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 w:hRule="atLeast"/>
              </w:trPr>
              <w:tc>
                <w:tcPr>
                  <w:tcW w:w="413" w:type="pct"/>
                  <w:tcBorders>
                    <w:tl2br w:val="nil"/>
                    <w:tr2bl w:val="nil"/>
                  </w:tcBorders>
                  <w:noWrap w:val="0"/>
                  <w:vAlign w:val="center"/>
                </w:tcPr>
                <w:p w14:paraId="126C52CD">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eastAsia" w:hAnsi="宋体" w:eastAsia="宋体"/>
                      <w:color w:val="auto"/>
                      <w:szCs w:val="21"/>
                      <w:lang w:val="en-US" w:eastAsia="zh-CN"/>
                    </w:rPr>
                  </w:pPr>
                  <w:r>
                    <w:rPr>
                      <w:rFonts w:hint="eastAsia" w:hAnsi="宋体"/>
                      <w:color w:val="auto"/>
                      <w:szCs w:val="21"/>
                      <w:lang w:val="en-US" w:eastAsia="zh-CN"/>
                    </w:rPr>
                    <w:t>运营期</w:t>
                  </w:r>
                </w:p>
              </w:tc>
              <w:tc>
                <w:tcPr>
                  <w:tcW w:w="413" w:type="pct"/>
                  <w:tcBorders>
                    <w:tl2br w:val="nil"/>
                    <w:tr2bl w:val="nil"/>
                  </w:tcBorders>
                  <w:noWrap w:val="0"/>
                  <w:vAlign w:val="center"/>
                </w:tcPr>
                <w:p w14:paraId="648798B8">
                  <w:pPr>
                    <w:keepNext w:val="0"/>
                    <w:keepLines w:val="0"/>
                    <w:pageBreakBefore w:val="0"/>
                    <w:kinsoku/>
                    <w:wordWrap/>
                    <w:overflowPunct/>
                    <w:topLinePunct w:val="0"/>
                    <w:autoSpaceDE/>
                    <w:autoSpaceDN/>
                    <w:bidi w:val="0"/>
                    <w:adjustRightInd w:val="0"/>
                    <w:snapToGrid w:val="0"/>
                    <w:ind w:left="-105" w:leftChars="-50" w:right="-105" w:rightChars="-50"/>
                    <w:jc w:val="center"/>
                    <w:textAlignment w:val="auto"/>
                    <w:rPr>
                      <w:rFonts w:hint="default" w:eastAsia="宋体"/>
                      <w:color w:val="auto"/>
                      <w:szCs w:val="21"/>
                      <w:lang w:val="en-US" w:eastAsia="zh-CN"/>
                    </w:rPr>
                  </w:pPr>
                  <w:r>
                    <w:rPr>
                      <w:rFonts w:hint="eastAsia" w:hAnsi="宋体"/>
                      <w:color w:val="auto"/>
                      <w:szCs w:val="21"/>
                      <w:lang w:val="en-US" w:eastAsia="zh-CN"/>
                    </w:rPr>
                    <w:t>颗粒物</w:t>
                  </w:r>
                </w:p>
              </w:tc>
              <w:tc>
                <w:tcPr>
                  <w:tcW w:w="953" w:type="pct"/>
                  <w:tcBorders>
                    <w:tl2br w:val="nil"/>
                    <w:tr2bl w:val="nil"/>
                  </w:tcBorders>
                  <w:noWrap w:val="0"/>
                  <w:vAlign w:val="center"/>
                </w:tcPr>
                <w:p w14:paraId="5DFD4934">
                  <w:pPr>
                    <w:adjustRightInd w:val="0"/>
                    <w:snapToGrid w:val="0"/>
                    <w:jc w:val="center"/>
                    <w:rPr>
                      <w:color w:val="auto"/>
                      <w:szCs w:val="21"/>
                    </w:rPr>
                  </w:pPr>
                  <w:r>
                    <w:rPr>
                      <w:color w:val="auto"/>
                      <w:szCs w:val="21"/>
                    </w:rPr>
                    <w:t>120</w:t>
                  </w:r>
                </w:p>
              </w:tc>
              <w:tc>
                <w:tcPr>
                  <w:tcW w:w="728" w:type="pct"/>
                  <w:tcBorders>
                    <w:tl2br w:val="nil"/>
                    <w:tr2bl w:val="nil"/>
                  </w:tcBorders>
                  <w:noWrap w:val="0"/>
                  <w:vAlign w:val="center"/>
                </w:tcPr>
                <w:p w14:paraId="68A5C271">
                  <w:pPr>
                    <w:adjustRightInd w:val="0"/>
                    <w:snapToGrid w:val="0"/>
                    <w:jc w:val="center"/>
                    <w:rPr>
                      <w:color w:val="auto"/>
                      <w:szCs w:val="21"/>
                    </w:rPr>
                  </w:pPr>
                  <w:r>
                    <w:rPr>
                      <w:color w:val="auto"/>
                      <w:szCs w:val="21"/>
                    </w:rPr>
                    <w:t>15</w:t>
                  </w:r>
                </w:p>
              </w:tc>
              <w:tc>
                <w:tcPr>
                  <w:tcW w:w="758" w:type="pct"/>
                  <w:tcBorders>
                    <w:tl2br w:val="nil"/>
                    <w:tr2bl w:val="nil"/>
                  </w:tcBorders>
                  <w:noWrap w:val="0"/>
                  <w:vAlign w:val="center"/>
                </w:tcPr>
                <w:p w14:paraId="36791DA9">
                  <w:pPr>
                    <w:adjustRightInd w:val="0"/>
                    <w:snapToGrid w:val="0"/>
                    <w:jc w:val="center"/>
                    <w:rPr>
                      <w:color w:val="auto"/>
                      <w:szCs w:val="21"/>
                    </w:rPr>
                  </w:pPr>
                  <w:r>
                    <w:rPr>
                      <w:color w:val="auto"/>
                      <w:szCs w:val="21"/>
                    </w:rPr>
                    <w:t>3.5</w:t>
                  </w:r>
                </w:p>
              </w:tc>
              <w:tc>
                <w:tcPr>
                  <w:tcW w:w="888" w:type="pct"/>
                  <w:tcBorders>
                    <w:tl2br w:val="nil"/>
                    <w:tr2bl w:val="nil"/>
                  </w:tcBorders>
                  <w:noWrap w:val="0"/>
                  <w:vAlign w:val="center"/>
                </w:tcPr>
                <w:p w14:paraId="5B7BD7ED">
                  <w:pPr>
                    <w:adjustRightInd w:val="0"/>
                    <w:snapToGrid w:val="0"/>
                    <w:jc w:val="center"/>
                    <w:rPr>
                      <w:color w:val="auto"/>
                      <w:szCs w:val="21"/>
                    </w:rPr>
                  </w:pPr>
                  <w:r>
                    <w:rPr>
                      <w:rFonts w:hint="eastAsia" w:hAnsi="宋体"/>
                      <w:color w:val="auto"/>
                      <w:szCs w:val="21"/>
                    </w:rPr>
                    <w:t>周界外浓度最高点</w:t>
                  </w:r>
                </w:p>
              </w:tc>
              <w:tc>
                <w:tcPr>
                  <w:tcW w:w="844" w:type="pct"/>
                  <w:tcBorders>
                    <w:tl2br w:val="nil"/>
                    <w:tr2bl w:val="nil"/>
                  </w:tcBorders>
                  <w:noWrap w:val="0"/>
                  <w:vAlign w:val="center"/>
                </w:tcPr>
                <w:p w14:paraId="44F013BA">
                  <w:pPr>
                    <w:adjustRightInd w:val="0"/>
                    <w:snapToGrid w:val="0"/>
                    <w:jc w:val="center"/>
                    <w:rPr>
                      <w:color w:val="auto"/>
                      <w:szCs w:val="21"/>
                    </w:rPr>
                  </w:pPr>
                  <w:r>
                    <w:rPr>
                      <w:color w:val="auto"/>
                      <w:szCs w:val="21"/>
                    </w:rPr>
                    <w:t>1.0</w:t>
                  </w:r>
                </w:p>
              </w:tc>
            </w:tr>
          </w:tbl>
          <w:p w14:paraId="5BC9CAB9">
            <w:pPr>
              <w:numPr>
                <w:ilvl w:val="0"/>
                <w:numId w:val="8"/>
              </w:numPr>
              <w:spacing w:line="360" w:lineRule="auto"/>
              <w:ind w:left="0" w:leftChars="0"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废水：</w:t>
            </w:r>
            <w:r>
              <w:rPr>
                <w:rFonts w:hint="eastAsia" w:ascii="Times New Roman" w:hAnsi="Times New Roman" w:eastAsia="宋体" w:cs="Times New Roman"/>
                <w:color w:val="auto"/>
                <w:sz w:val="24"/>
                <w:lang w:val="en-US" w:eastAsia="zh-CN"/>
              </w:rPr>
              <w:t>项目无废水外排</w:t>
            </w:r>
            <w:r>
              <w:rPr>
                <w:rFonts w:hint="eastAsia" w:ascii="Times New Roman" w:hAnsi="Times New Roman" w:eastAsia="宋体" w:cs="Times New Roman"/>
                <w:color w:val="auto"/>
                <w:sz w:val="24"/>
              </w:rPr>
              <w:t>。</w:t>
            </w:r>
          </w:p>
          <w:p w14:paraId="39679094">
            <w:pPr>
              <w:numPr>
                <w:ilvl w:val="0"/>
                <w:numId w:val="8"/>
              </w:numPr>
              <w:spacing w:line="360" w:lineRule="auto"/>
              <w:ind w:left="0" w:leftChars="0" w:firstLine="480" w:firstLineChars="200"/>
              <w:rPr>
                <w:color w:val="auto"/>
                <w:sz w:val="24"/>
              </w:rPr>
            </w:pPr>
            <w:r>
              <w:rPr>
                <w:color w:val="auto"/>
                <w:sz w:val="24"/>
              </w:rPr>
              <w:t>噪声：施工期噪声执行《建筑施工场界环境噪声排放标准》（GB12523-2011）中的相关要求；运营期厂界噪声执行《工业企业厂界环境噪声排放标准》（GB12348-2008）</w:t>
            </w:r>
            <w:r>
              <w:rPr>
                <w:rFonts w:hint="eastAsia"/>
                <w:color w:val="auto"/>
                <w:sz w:val="24"/>
              </w:rPr>
              <w:t>2</w:t>
            </w:r>
            <w:r>
              <w:rPr>
                <w:color w:val="auto"/>
                <w:sz w:val="24"/>
              </w:rPr>
              <w:t>类标准限值。</w:t>
            </w:r>
          </w:p>
          <w:p w14:paraId="7BC85747">
            <w:pPr>
              <w:pStyle w:val="5"/>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5</w:t>
            </w:r>
            <w:r>
              <w:rPr>
                <w:rFonts w:ascii="Times New Roman" w:hAnsi="Times New Roman" w:eastAsia="宋体"/>
                <w:b/>
                <w:color w:val="auto"/>
                <w:sz w:val="24"/>
              </w:rPr>
              <w:t xml:space="preserve"> </w:t>
            </w:r>
            <w:r>
              <w:rPr>
                <w:rFonts w:hint="eastAsia" w:ascii="Times New Roman" w:hAnsi="Times New Roman" w:eastAsia="宋体"/>
                <w:b/>
                <w:color w:val="auto"/>
                <w:sz w:val="24"/>
              </w:rPr>
              <w:t xml:space="preserve">  </w:t>
            </w:r>
            <w:r>
              <w:rPr>
                <w:rFonts w:ascii="Times New Roman" w:hAnsi="Times New Roman" w:eastAsia="宋体"/>
                <w:b/>
                <w:color w:val="auto"/>
                <w:sz w:val="24"/>
              </w:rPr>
              <w:t xml:space="preserve"> 噪声排放标准</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1335"/>
              <w:gridCol w:w="1305"/>
              <w:gridCol w:w="1289"/>
              <w:gridCol w:w="2593"/>
            </w:tblGrid>
            <w:tr w14:paraId="0EC62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restart"/>
                  <w:tcMar>
                    <w:top w:w="0" w:type="dxa"/>
                    <w:left w:w="57" w:type="dxa"/>
                    <w:bottom w:w="0" w:type="dxa"/>
                    <w:right w:w="57" w:type="dxa"/>
                  </w:tcMar>
                  <w:vAlign w:val="center"/>
                </w:tcPr>
                <w:p w14:paraId="1E388967">
                  <w:pPr>
                    <w:adjustRightInd w:val="0"/>
                    <w:snapToGrid w:val="0"/>
                    <w:jc w:val="center"/>
                    <w:rPr>
                      <w:b/>
                      <w:color w:val="auto"/>
                      <w:kern w:val="0"/>
                      <w:szCs w:val="21"/>
                    </w:rPr>
                  </w:pPr>
                  <w:r>
                    <w:rPr>
                      <w:b/>
                      <w:color w:val="auto"/>
                      <w:kern w:val="0"/>
                      <w:szCs w:val="21"/>
                    </w:rPr>
                    <w:t>项目阶段</w:t>
                  </w:r>
                </w:p>
              </w:tc>
              <w:tc>
                <w:tcPr>
                  <w:tcW w:w="837" w:type="pct"/>
                  <w:vMerge w:val="restart"/>
                  <w:vAlign w:val="center"/>
                </w:tcPr>
                <w:p w14:paraId="467689AD">
                  <w:pPr>
                    <w:adjustRightInd w:val="0"/>
                    <w:snapToGrid w:val="0"/>
                    <w:jc w:val="center"/>
                    <w:rPr>
                      <w:b/>
                      <w:color w:val="auto"/>
                      <w:kern w:val="0"/>
                      <w:szCs w:val="21"/>
                    </w:rPr>
                  </w:pPr>
                  <w:r>
                    <w:rPr>
                      <w:b/>
                      <w:color w:val="auto"/>
                      <w:kern w:val="0"/>
                      <w:szCs w:val="21"/>
                    </w:rPr>
                    <w:t>功能类别</w:t>
                  </w:r>
                </w:p>
              </w:tc>
              <w:tc>
                <w:tcPr>
                  <w:tcW w:w="1626" w:type="pct"/>
                  <w:gridSpan w:val="2"/>
                  <w:vAlign w:val="center"/>
                </w:tcPr>
                <w:p w14:paraId="61AD1A35">
                  <w:pPr>
                    <w:adjustRightInd w:val="0"/>
                    <w:snapToGrid w:val="0"/>
                    <w:jc w:val="center"/>
                    <w:rPr>
                      <w:b/>
                      <w:color w:val="auto"/>
                      <w:kern w:val="0"/>
                      <w:szCs w:val="21"/>
                    </w:rPr>
                  </w:pPr>
                  <w:r>
                    <w:rPr>
                      <w:b/>
                      <w:color w:val="auto"/>
                      <w:kern w:val="0"/>
                      <w:szCs w:val="21"/>
                    </w:rPr>
                    <w:t>限值</w:t>
                  </w:r>
                  <w:r>
                    <w:rPr>
                      <w:b/>
                      <w:bCs/>
                      <w:color w:val="auto"/>
                      <w:kern w:val="0"/>
                      <w:szCs w:val="21"/>
                    </w:rPr>
                    <w:t>dB(A)</w:t>
                  </w:r>
                </w:p>
              </w:tc>
              <w:tc>
                <w:tcPr>
                  <w:tcW w:w="1626" w:type="pct"/>
                  <w:vMerge w:val="restart"/>
                  <w:vAlign w:val="center"/>
                </w:tcPr>
                <w:p w14:paraId="2D7F6D6B">
                  <w:pPr>
                    <w:adjustRightInd w:val="0"/>
                    <w:snapToGrid w:val="0"/>
                    <w:jc w:val="center"/>
                    <w:rPr>
                      <w:b/>
                      <w:color w:val="auto"/>
                      <w:kern w:val="0"/>
                      <w:szCs w:val="21"/>
                    </w:rPr>
                  </w:pPr>
                  <w:r>
                    <w:rPr>
                      <w:rFonts w:hint="eastAsia"/>
                      <w:b/>
                      <w:color w:val="auto"/>
                      <w:kern w:val="0"/>
                      <w:szCs w:val="21"/>
                    </w:rPr>
                    <w:t>位置</w:t>
                  </w:r>
                </w:p>
              </w:tc>
            </w:tr>
            <w:tr w14:paraId="1C079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continue"/>
                  <w:tcMar>
                    <w:top w:w="0" w:type="dxa"/>
                    <w:left w:w="57" w:type="dxa"/>
                    <w:bottom w:w="0" w:type="dxa"/>
                    <w:right w:w="57" w:type="dxa"/>
                  </w:tcMar>
                  <w:vAlign w:val="center"/>
                </w:tcPr>
                <w:p w14:paraId="1ECC9032">
                  <w:pPr>
                    <w:adjustRightInd w:val="0"/>
                    <w:snapToGrid w:val="0"/>
                    <w:jc w:val="center"/>
                    <w:rPr>
                      <w:b/>
                      <w:color w:val="auto"/>
                      <w:kern w:val="0"/>
                      <w:szCs w:val="21"/>
                    </w:rPr>
                  </w:pPr>
                </w:p>
              </w:tc>
              <w:tc>
                <w:tcPr>
                  <w:tcW w:w="837" w:type="pct"/>
                  <w:vMerge w:val="continue"/>
                  <w:vAlign w:val="center"/>
                </w:tcPr>
                <w:p w14:paraId="4DA3B9B8">
                  <w:pPr>
                    <w:adjustRightInd w:val="0"/>
                    <w:snapToGrid w:val="0"/>
                    <w:jc w:val="center"/>
                    <w:rPr>
                      <w:b/>
                      <w:color w:val="auto"/>
                      <w:kern w:val="0"/>
                      <w:szCs w:val="21"/>
                    </w:rPr>
                  </w:pPr>
                </w:p>
              </w:tc>
              <w:tc>
                <w:tcPr>
                  <w:tcW w:w="818" w:type="pct"/>
                  <w:vAlign w:val="center"/>
                </w:tcPr>
                <w:p w14:paraId="47ADCD65">
                  <w:pPr>
                    <w:adjustRightInd w:val="0"/>
                    <w:snapToGrid w:val="0"/>
                    <w:jc w:val="center"/>
                    <w:rPr>
                      <w:b/>
                      <w:bCs/>
                      <w:color w:val="auto"/>
                      <w:kern w:val="0"/>
                      <w:szCs w:val="21"/>
                    </w:rPr>
                  </w:pPr>
                  <w:r>
                    <w:rPr>
                      <w:b/>
                      <w:bCs/>
                      <w:color w:val="auto"/>
                      <w:kern w:val="0"/>
                      <w:szCs w:val="21"/>
                    </w:rPr>
                    <w:t>昼间</w:t>
                  </w:r>
                </w:p>
              </w:tc>
              <w:tc>
                <w:tcPr>
                  <w:tcW w:w="808" w:type="pct"/>
                  <w:vAlign w:val="center"/>
                </w:tcPr>
                <w:p w14:paraId="37FD16FD">
                  <w:pPr>
                    <w:adjustRightInd w:val="0"/>
                    <w:snapToGrid w:val="0"/>
                    <w:jc w:val="center"/>
                    <w:rPr>
                      <w:b/>
                      <w:bCs/>
                      <w:color w:val="auto"/>
                      <w:kern w:val="0"/>
                      <w:szCs w:val="21"/>
                    </w:rPr>
                  </w:pPr>
                  <w:r>
                    <w:rPr>
                      <w:b/>
                      <w:bCs/>
                      <w:color w:val="auto"/>
                      <w:kern w:val="0"/>
                      <w:szCs w:val="21"/>
                    </w:rPr>
                    <w:t>夜间</w:t>
                  </w:r>
                </w:p>
              </w:tc>
              <w:tc>
                <w:tcPr>
                  <w:tcW w:w="1626" w:type="pct"/>
                  <w:vMerge w:val="continue"/>
                  <w:vAlign w:val="center"/>
                </w:tcPr>
                <w:p w14:paraId="3D248F02">
                  <w:pPr>
                    <w:adjustRightInd w:val="0"/>
                    <w:snapToGrid w:val="0"/>
                    <w:jc w:val="center"/>
                    <w:rPr>
                      <w:b/>
                      <w:bCs/>
                      <w:color w:val="auto"/>
                      <w:kern w:val="0"/>
                      <w:szCs w:val="21"/>
                    </w:rPr>
                  </w:pPr>
                </w:p>
              </w:tc>
            </w:tr>
            <w:tr w14:paraId="58F1F5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tcMar>
                    <w:top w:w="0" w:type="dxa"/>
                    <w:left w:w="57" w:type="dxa"/>
                    <w:bottom w:w="0" w:type="dxa"/>
                    <w:right w:w="57" w:type="dxa"/>
                  </w:tcMar>
                  <w:vAlign w:val="center"/>
                </w:tcPr>
                <w:p w14:paraId="192D65B3">
                  <w:pPr>
                    <w:adjustRightInd w:val="0"/>
                    <w:snapToGrid w:val="0"/>
                    <w:jc w:val="center"/>
                    <w:rPr>
                      <w:bCs/>
                      <w:color w:val="auto"/>
                      <w:kern w:val="0"/>
                      <w:szCs w:val="21"/>
                    </w:rPr>
                  </w:pPr>
                  <w:r>
                    <w:rPr>
                      <w:bCs/>
                      <w:color w:val="auto"/>
                      <w:kern w:val="0"/>
                      <w:szCs w:val="21"/>
                    </w:rPr>
                    <w:t>施工期</w:t>
                  </w:r>
                </w:p>
              </w:tc>
              <w:tc>
                <w:tcPr>
                  <w:tcW w:w="837" w:type="pct"/>
                  <w:vAlign w:val="center"/>
                </w:tcPr>
                <w:p w14:paraId="2C8EEA3C">
                  <w:pPr>
                    <w:adjustRightInd w:val="0"/>
                    <w:snapToGrid w:val="0"/>
                    <w:jc w:val="center"/>
                    <w:rPr>
                      <w:bCs/>
                      <w:color w:val="auto"/>
                      <w:kern w:val="0"/>
                      <w:szCs w:val="21"/>
                    </w:rPr>
                  </w:pPr>
                  <w:r>
                    <w:rPr>
                      <w:bCs/>
                      <w:color w:val="auto"/>
                      <w:kern w:val="0"/>
                      <w:szCs w:val="21"/>
                    </w:rPr>
                    <w:t>/</w:t>
                  </w:r>
                </w:p>
              </w:tc>
              <w:tc>
                <w:tcPr>
                  <w:tcW w:w="818" w:type="pct"/>
                  <w:vAlign w:val="center"/>
                </w:tcPr>
                <w:p w14:paraId="5FC1BE76">
                  <w:pPr>
                    <w:adjustRightInd w:val="0"/>
                    <w:snapToGrid w:val="0"/>
                    <w:jc w:val="center"/>
                    <w:rPr>
                      <w:bCs/>
                      <w:color w:val="auto"/>
                      <w:kern w:val="0"/>
                      <w:szCs w:val="21"/>
                    </w:rPr>
                  </w:pPr>
                  <w:r>
                    <w:rPr>
                      <w:bCs/>
                      <w:color w:val="auto"/>
                      <w:kern w:val="0"/>
                      <w:szCs w:val="21"/>
                    </w:rPr>
                    <w:t>70</w:t>
                  </w:r>
                </w:p>
              </w:tc>
              <w:tc>
                <w:tcPr>
                  <w:tcW w:w="808" w:type="pct"/>
                  <w:vAlign w:val="center"/>
                </w:tcPr>
                <w:p w14:paraId="12A38BD6">
                  <w:pPr>
                    <w:adjustRightInd w:val="0"/>
                    <w:snapToGrid w:val="0"/>
                    <w:jc w:val="center"/>
                    <w:rPr>
                      <w:bCs/>
                      <w:color w:val="auto"/>
                      <w:kern w:val="0"/>
                      <w:szCs w:val="21"/>
                    </w:rPr>
                  </w:pPr>
                  <w:r>
                    <w:rPr>
                      <w:bCs/>
                      <w:color w:val="auto"/>
                      <w:kern w:val="0"/>
                      <w:szCs w:val="21"/>
                    </w:rPr>
                    <w:t>55</w:t>
                  </w:r>
                </w:p>
              </w:tc>
              <w:tc>
                <w:tcPr>
                  <w:tcW w:w="1626" w:type="pct"/>
                  <w:vAlign w:val="center"/>
                </w:tcPr>
                <w:p w14:paraId="30F7EC0D">
                  <w:pPr>
                    <w:adjustRightInd w:val="0"/>
                    <w:snapToGrid w:val="0"/>
                    <w:jc w:val="center"/>
                    <w:rPr>
                      <w:bCs/>
                      <w:color w:val="auto"/>
                      <w:kern w:val="0"/>
                      <w:szCs w:val="21"/>
                    </w:rPr>
                  </w:pPr>
                  <w:r>
                    <w:rPr>
                      <w:rFonts w:hint="eastAsia"/>
                      <w:bCs/>
                      <w:color w:val="auto"/>
                      <w:kern w:val="0"/>
                      <w:szCs w:val="21"/>
                    </w:rPr>
                    <w:t>厂界四周</w:t>
                  </w:r>
                </w:p>
              </w:tc>
            </w:tr>
            <w:tr w14:paraId="60B52F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pct"/>
                  <w:tcMar>
                    <w:top w:w="0" w:type="dxa"/>
                    <w:left w:w="57" w:type="dxa"/>
                    <w:bottom w:w="0" w:type="dxa"/>
                    <w:right w:w="57" w:type="dxa"/>
                  </w:tcMar>
                  <w:vAlign w:val="center"/>
                </w:tcPr>
                <w:p w14:paraId="76923A23">
                  <w:pPr>
                    <w:adjustRightInd w:val="0"/>
                    <w:snapToGrid w:val="0"/>
                    <w:jc w:val="center"/>
                    <w:rPr>
                      <w:color w:val="auto"/>
                      <w:kern w:val="0"/>
                      <w:szCs w:val="21"/>
                    </w:rPr>
                  </w:pPr>
                  <w:r>
                    <w:rPr>
                      <w:color w:val="auto"/>
                      <w:kern w:val="0"/>
                      <w:szCs w:val="21"/>
                    </w:rPr>
                    <w:t>运营期</w:t>
                  </w:r>
                </w:p>
              </w:tc>
              <w:tc>
                <w:tcPr>
                  <w:tcW w:w="837" w:type="pct"/>
                  <w:vAlign w:val="center"/>
                </w:tcPr>
                <w:p w14:paraId="25E15824">
                  <w:pPr>
                    <w:adjustRightInd w:val="0"/>
                    <w:snapToGrid w:val="0"/>
                    <w:jc w:val="center"/>
                    <w:rPr>
                      <w:color w:val="auto"/>
                      <w:kern w:val="0"/>
                      <w:szCs w:val="21"/>
                    </w:rPr>
                  </w:pPr>
                  <w:r>
                    <w:rPr>
                      <w:rFonts w:hint="eastAsia"/>
                      <w:color w:val="auto"/>
                      <w:kern w:val="0"/>
                      <w:szCs w:val="21"/>
                    </w:rPr>
                    <w:t>2</w:t>
                  </w:r>
                  <w:r>
                    <w:rPr>
                      <w:color w:val="auto"/>
                      <w:kern w:val="0"/>
                      <w:szCs w:val="21"/>
                    </w:rPr>
                    <w:t>类</w:t>
                  </w:r>
                </w:p>
              </w:tc>
              <w:tc>
                <w:tcPr>
                  <w:tcW w:w="818" w:type="pct"/>
                  <w:vAlign w:val="center"/>
                </w:tcPr>
                <w:p w14:paraId="7CD636ED">
                  <w:pPr>
                    <w:adjustRightInd w:val="0"/>
                    <w:snapToGrid w:val="0"/>
                    <w:jc w:val="center"/>
                    <w:rPr>
                      <w:color w:val="auto"/>
                      <w:kern w:val="0"/>
                      <w:szCs w:val="21"/>
                    </w:rPr>
                  </w:pPr>
                  <w:r>
                    <w:rPr>
                      <w:color w:val="auto"/>
                      <w:kern w:val="0"/>
                      <w:szCs w:val="21"/>
                    </w:rPr>
                    <w:t>6</w:t>
                  </w:r>
                  <w:r>
                    <w:rPr>
                      <w:rFonts w:hint="eastAsia"/>
                      <w:color w:val="auto"/>
                      <w:kern w:val="0"/>
                      <w:szCs w:val="21"/>
                    </w:rPr>
                    <w:t>0</w:t>
                  </w:r>
                </w:p>
              </w:tc>
              <w:tc>
                <w:tcPr>
                  <w:tcW w:w="808" w:type="pct"/>
                  <w:vAlign w:val="center"/>
                </w:tcPr>
                <w:p w14:paraId="114AF369">
                  <w:pPr>
                    <w:adjustRightInd w:val="0"/>
                    <w:snapToGrid w:val="0"/>
                    <w:jc w:val="center"/>
                    <w:rPr>
                      <w:color w:val="auto"/>
                      <w:kern w:val="0"/>
                      <w:szCs w:val="21"/>
                    </w:rPr>
                  </w:pPr>
                  <w:r>
                    <w:rPr>
                      <w:color w:val="auto"/>
                      <w:kern w:val="0"/>
                      <w:szCs w:val="21"/>
                    </w:rPr>
                    <w:t>5</w:t>
                  </w:r>
                  <w:r>
                    <w:rPr>
                      <w:rFonts w:hint="eastAsia"/>
                      <w:color w:val="auto"/>
                      <w:kern w:val="0"/>
                      <w:szCs w:val="21"/>
                    </w:rPr>
                    <w:t>0</w:t>
                  </w:r>
                </w:p>
              </w:tc>
              <w:tc>
                <w:tcPr>
                  <w:tcW w:w="1626" w:type="pct"/>
                  <w:vAlign w:val="center"/>
                </w:tcPr>
                <w:p w14:paraId="3C282FA9">
                  <w:pPr>
                    <w:adjustRightInd w:val="0"/>
                    <w:snapToGrid w:val="0"/>
                    <w:jc w:val="center"/>
                    <w:rPr>
                      <w:color w:val="auto"/>
                      <w:kern w:val="0"/>
                      <w:szCs w:val="21"/>
                    </w:rPr>
                  </w:pPr>
                  <w:r>
                    <w:rPr>
                      <w:rFonts w:hint="eastAsia"/>
                      <w:bCs/>
                      <w:color w:val="auto"/>
                      <w:kern w:val="0"/>
                      <w:szCs w:val="21"/>
                    </w:rPr>
                    <w:t>厂界四周</w:t>
                  </w:r>
                </w:p>
              </w:tc>
            </w:tr>
          </w:tbl>
          <w:p w14:paraId="7CCD9908">
            <w:pPr>
              <w:tabs>
                <w:tab w:val="left" w:pos="1680"/>
              </w:tabs>
              <w:adjustRightInd w:val="0"/>
              <w:snapToGrid w:val="0"/>
              <w:spacing w:line="360" w:lineRule="auto"/>
              <w:ind w:firstLine="480" w:firstLineChars="200"/>
              <w:jc w:val="both"/>
              <w:rPr>
                <w:color w:val="auto"/>
                <w:kern w:val="0"/>
                <w:szCs w:val="21"/>
              </w:rPr>
            </w:pPr>
            <w:r>
              <w:rPr>
                <w:color w:val="auto"/>
                <w:sz w:val="24"/>
              </w:rPr>
              <w:t>4、固废：</w:t>
            </w:r>
            <w:r>
              <w:rPr>
                <w:rFonts w:hint="eastAsia"/>
                <w:color w:val="auto"/>
                <w:sz w:val="24"/>
              </w:rPr>
              <w:t>一般固废执行</w:t>
            </w:r>
            <w:r>
              <w:rPr>
                <w:color w:val="auto"/>
                <w:sz w:val="24"/>
              </w:rPr>
              <w:t>《一般工业固体废物贮存和填埋污染控制标准》（GB18599-2020）、危险废物执行《危险废物贮存污染控制标准》（GB18597-2023）中相关规定。</w:t>
            </w:r>
          </w:p>
        </w:tc>
      </w:tr>
      <w:tr w14:paraId="356E9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800" w:type="dxa"/>
            <w:vAlign w:val="center"/>
          </w:tcPr>
          <w:p w14:paraId="5BC8ED5E">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14:paraId="6FC51E24">
            <w:pPr>
              <w:adjustRightInd w:val="0"/>
              <w:snapToGrid w:val="0"/>
              <w:jc w:val="center"/>
              <w:rPr>
                <w:rFonts w:ascii="宋体" w:hAnsi="宋体" w:cs="宋体"/>
                <w:color w:val="auto"/>
                <w:kern w:val="0"/>
                <w:szCs w:val="21"/>
              </w:rPr>
            </w:pPr>
            <w:r>
              <w:rPr>
                <w:rFonts w:hint="eastAsia" w:ascii="宋体" w:hAnsi="宋体" w:cs="宋体"/>
                <w:color w:val="auto"/>
                <w:kern w:val="0"/>
                <w:szCs w:val="21"/>
              </w:rPr>
              <w:t>控制</w:t>
            </w:r>
          </w:p>
          <w:p w14:paraId="2FBE94C7">
            <w:pPr>
              <w:adjustRightInd w:val="0"/>
              <w:snapToGrid w:val="0"/>
              <w:jc w:val="center"/>
              <w:rPr>
                <w:rFonts w:ascii="宋体" w:hAnsi="宋体" w:cs="宋体"/>
                <w:color w:val="auto"/>
                <w:kern w:val="0"/>
                <w:szCs w:val="21"/>
              </w:rPr>
            </w:pPr>
            <w:r>
              <w:rPr>
                <w:rFonts w:hint="eastAsia" w:ascii="宋体" w:hAnsi="宋体" w:cs="宋体"/>
                <w:color w:val="auto"/>
                <w:kern w:val="0"/>
                <w:szCs w:val="21"/>
              </w:rPr>
              <w:t>指标</w:t>
            </w:r>
          </w:p>
        </w:tc>
        <w:tc>
          <w:tcPr>
            <w:tcW w:w="8190" w:type="dxa"/>
            <w:vAlign w:val="center"/>
          </w:tcPr>
          <w:p w14:paraId="0C731539">
            <w:pPr>
              <w:spacing w:line="360" w:lineRule="auto"/>
              <w:ind w:firstLine="480" w:firstLineChars="200"/>
              <w:rPr>
                <w:color w:val="auto"/>
                <w:sz w:val="24"/>
              </w:rPr>
            </w:pPr>
          </w:p>
          <w:p w14:paraId="109CA8AB">
            <w:pPr>
              <w:tabs>
                <w:tab w:val="left" w:pos="1680"/>
              </w:tabs>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十四五</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期间总量控制要求，</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十四五</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期间污染物控制指标为COD、NH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-N、</w:t>
            </w:r>
            <w:r>
              <w:rPr>
                <w:rFonts w:hint="eastAsia" w:ascii="Times New Roman" w:hAnsi="Times New Roman" w:eastAsia="宋体" w:cs="Times New Roman"/>
                <w:color w:val="auto"/>
                <w:sz w:val="24"/>
                <w:lang w:val="en-US" w:eastAsia="zh-CN"/>
              </w:rPr>
              <w:t>NO</w:t>
            </w:r>
            <w:r>
              <w:rPr>
                <w:rFonts w:hint="eastAsia" w:ascii="Times New Roman" w:hAnsi="Times New Roman" w:eastAsia="宋体" w:cs="Times New Roman"/>
                <w:color w:val="auto"/>
                <w:sz w:val="24"/>
                <w:vertAlign w:val="subscript"/>
                <w:lang w:val="en-US" w:eastAsia="zh-CN"/>
              </w:rPr>
              <w:t>X</w:t>
            </w:r>
            <w:r>
              <w:rPr>
                <w:rFonts w:hint="default" w:ascii="Times New Roman" w:hAnsi="Times New Roman" w:eastAsia="宋体" w:cs="Times New Roman"/>
                <w:color w:val="auto"/>
                <w:sz w:val="24"/>
              </w:rPr>
              <w:t>、VOCs。</w:t>
            </w:r>
          </w:p>
          <w:p w14:paraId="7360BB4A">
            <w:pPr>
              <w:tabs>
                <w:tab w:val="left" w:pos="1680"/>
              </w:tabs>
              <w:adjustRightInd w:val="0"/>
              <w:snapToGrid w:val="0"/>
              <w:spacing w:line="360" w:lineRule="auto"/>
              <w:ind w:firstLine="480" w:firstLineChars="200"/>
              <w:jc w:val="left"/>
              <w:rPr>
                <w:rFonts w:ascii="Times New Roman" w:cs="Times New Roman"/>
                <w:color w:val="auto"/>
                <w:kern w:val="0"/>
                <w:szCs w:val="20"/>
              </w:rPr>
            </w:pPr>
            <w:r>
              <w:rPr>
                <w:rFonts w:hint="eastAsia" w:ascii="Times New Roman" w:hAnsi="Times New Roman" w:eastAsia="宋体" w:cs="Times New Roman"/>
                <w:color w:val="auto"/>
                <w:sz w:val="24"/>
              </w:rPr>
              <w:t>本项目</w:t>
            </w:r>
            <w:r>
              <w:rPr>
                <w:rFonts w:hint="eastAsia" w:eastAsia="宋体" w:cs="Times New Roman"/>
                <w:color w:val="auto"/>
                <w:sz w:val="24"/>
                <w:lang w:val="en-US" w:eastAsia="zh-CN"/>
              </w:rPr>
              <w:t>无</w:t>
            </w:r>
            <w:r>
              <w:rPr>
                <w:rFonts w:ascii="Times New Roman" w:hAnsi="Times New Roman" w:cs="Times New Roman"/>
                <w:color w:val="auto"/>
                <w:sz w:val="24"/>
              </w:rPr>
              <w:t>废水外排</w:t>
            </w:r>
            <w:r>
              <w:rPr>
                <w:rFonts w:hint="eastAsia" w:cs="Times New Roman"/>
                <w:color w:val="auto"/>
                <w:sz w:val="24"/>
                <w:lang w:eastAsia="zh-CN"/>
              </w:rPr>
              <w:t>，</w:t>
            </w:r>
            <w:r>
              <w:rPr>
                <w:rFonts w:ascii="Times New Roman" w:hAnsi="Times New Roman" w:cs="Times New Roman"/>
                <w:color w:val="auto"/>
                <w:sz w:val="24"/>
              </w:rPr>
              <w:t>不排放总量控制的相关废气因子</w:t>
            </w:r>
            <w:r>
              <w:rPr>
                <w:rFonts w:hint="eastAsia" w:cs="Times New Roman"/>
                <w:color w:val="auto"/>
                <w:sz w:val="24"/>
                <w:lang w:eastAsia="zh-CN"/>
              </w:rPr>
              <w:t>，</w:t>
            </w:r>
            <w:r>
              <w:rPr>
                <w:rFonts w:ascii="Times New Roman" w:hAnsi="Times New Roman" w:cs="Times New Roman"/>
                <w:color w:val="auto"/>
                <w:sz w:val="24"/>
              </w:rPr>
              <w:t>因此不需要申请总量</w:t>
            </w:r>
            <w:r>
              <w:rPr>
                <w:rFonts w:hint="default" w:ascii="Times New Roman" w:hAnsi="Times New Roman" w:eastAsia="宋体" w:cs="Times New Roman"/>
                <w:color w:val="auto"/>
                <w:sz w:val="24"/>
              </w:rPr>
              <w:t>。</w:t>
            </w:r>
          </w:p>
        </w:tc>
      </w:tr>
    </w:tbl>
    <w:p w14:paraId="75F2DD9D">
      <w:pPr>
        <w:pStyle w:val="24"/>
        <w:jc w:val="center"/>
        <w:rPr>
          <w:rFonts w:ascii="黑体" w:hAnsi="黑体" w:eastAsia="黑体"/>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6BEC6C1">
      <w:pPr>
        <w:pStyle w:val="24"/>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四、主要环境影响和保护措施</w:t>
      </w:r>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8239"/>
      </w:tblGrid>
      <w:tr w14:paraId="536937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1" w:hRule="atLeast"/>
          <w:jc w:val="center"/>
        </w:trPr>
        <w:tc>
          <w:tcPr>
            <w:tcW w:w="742" w:type="dxa"/>
            <w:tcMar>
              <w:left w:w="28" w:type="dxa"/>
              <w:right w:w="28" w:type="dxa"/>
            </w:tcMar>
            <w:vAlign w:val="center"/>
          </w:tcPr>
          <w:p w14:paraId="6F80EAB8">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施工</w:t>
            </w:r>
          </w:p>
          <w:p w14:paraId="670C4F3B">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期环</w:t>
            </w:r>
          </w:p>
          <w:p w14:paraId="22985D86">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境保</w:t>
            </w:r>
          </w:p>
          <w:p w14:paraId="15957FD7">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护措</w:t>
            </w:r>
          </w:p>
          <w:p w14:paraId="48D133B2">
            <w:pPr>
              <w:pStyle w:val="24"/>
              <w:adjustRightInd w:val="0"/>
              <w:snapToGrid w:val="0"/>
              <w:spacing w:before="0" w:beforeAutospacing="0" w:after="0" w:afterAutospacing="0"/>
              <w:jc w:val="center"/>
              <w:rPr>
                <w:rFonts w:cs="宋体"/>
                <w:bCs/>
                <w:color w:val="auto"/>
                <w:kern w:val="2"/>
                <w:sz w:val="21"/>
                <w:szCs w:val="21"/>
              </w:rPr>
            </w:pPr>
            <w:r>
              <w:rPr>
                <w:rFonts w:hint="eastAsia" w:cs="宋体"/>
                <w:color w:val="auto"/>
                <w:kern w:val="2"/>
                <w:sz w:val="21"/>
                <w:szCs w:val="21"/>
              </w:rPr>
              <w:t>施</w:t>
            </w:r>
          </w:p>
        </w:tc>
        <w:tc>
          <w:tcPr>
            <w:tcW w:w="8239" w:type="dxa"/>
            <w:vAlign w:val="center"/>
          </w:tcPr>
          <w:p w14:paraId="50866ED0">
            <w:pPr>
              <w:pStyle w:val="8"/>
              <w:adjustRightInd w:val="0"/>
              <w:snapToGrid w:val="0"/>
              <w:spacing w:after="0" w:line="360" w:lineRule="auto"/>
              <w:ind w:left="0" w:leftChars="0" w:firstLine="480" w:firstLineChars="200"/>
              <w:jc w:val="left"/>
              <w:rPr>
                <w:bCs/>
                <w:color w:val="auto"/>
                <w:szCs w:val="24"/>
              </w:rPr>
            </w:pPr>
            <w:r>
              <w:rPr>
                <w:bCs/>
                <w:color w:val="auto"/>
                <w:szCs w:val="24"/>
              </w:rPr>
              <w:t>本项目为</w:t>
            </w:r>
            <w:r>
              <w:rPr>
                <w:rFonts w:hint="eastAsia"/>
                <w:bCs/>
                <w:color w:val="auto"/>
                <w:szCs w:val="24"/>
                <w:lang w:val="en-US" w:eastAsia="zh-CN"/>
              </w:rPr>
              <w:t>扩建</w:t>
            </w:r>
            <w:r>
              <w:rPr>
                <w:bCs/>
                <w:color w:val="auto"/>
                <w:szCs w:val="24"/>
              </w:rPr>
              <w:t>项目，利用现有厂区，进行</w:t>
            </w:r>
            <w:r>
              <w:rPr>
                <w:color w:val="auto"/>
                <w:szCs w:val="24"/>
              </w:rPr>
              <w:t>生产设备的安装、调试等作业</w:t>
            </w:r>
            <w:r>
              <w:rPr>
                <w:bCs/>
                <w:color w:val="auto"/>
                <w:szCs w:val="24"/>
              </w:rPr>
              <w:t>。</w:t>
            </w:r>
          </w:p>
          <w:p w14:paraId="7F0345BD">
            <w:pPr>
              <w:pStyle w:val="59"/>
              <w:adjustRightInd w:val="0"/>
              <w:snapToGrid w:val="0"/>
              <w:spacing w:line="360" w:lineRule="auto"/>
              <w:ind w:firstLine="498"/>
              <w:rPr>
                <w:rFonts w:hAnsi="Times New Roman" w:cs="Times New Roman"/>
                <w:b/>
                <w:color w:val="auto"/>
                <w:spacing w:val="4"/>
                <w:szCs w:val="24"/>
              </w:rPr>
            </w:pPr>
            <w:r>
              <w:rPr>
                <w:rFonts w:hAnsi="Times New Roman" w:cs="Times New Roman"/>
                <w:b/>
                <w:color w:val="auto"/>
                <w:spacing w:val="4"/>
                <w:szCs w:val="24"/>
              </w:rPr>
              <w:t>1、</w:t>
            </w:r>
            <w:r>
              <w:rPr>
                <w:rFonts w:hAnsi="Times New Roman" w:cs="Times New Roman"/>
                <w:b/>
                <w:bCs/>
                <w:color w:val="auto"/>
                <w:szCs w:val="24"/>
              </w:rPr>
              <w:t>施工期大气污染保护措施</w:t>
            </w:r>
          </w:p>
          <w:p w14:paraId="3064F5CF">
            <w:pPr>
              <w:adjustRightInd w:val="0"/>
              <w:snapToGrid w:val="0"/>
              <w:spacing w:line="360" w:lineRule="auto"/>
              <w:ind w:firstLine="480" w:firstLineChars="200"/>
              <w:jc w:val="left"/>
              <w:rPr>
                <w:color w:val="auto"/>
                <w:sz w:val="24"/>
              </w:rPr>
            </w:pPr>
            <w:r>
              <w:rPr>
                <w:color w:val="auto"/>
                <w:sz w:val="24"/>
              </w:rPr>
              <w:t>施工过程中产生的废气主要为施工机械</w:t>
            </w:r>
            <w:r>
              <w:rPr>
                <w:rFonts w:hint="eastAsia"/>
                <w:color w:val="auto"/>
                <w:sz w:val="24"/>
              </w:rPr>
              <w:t>和</w:t>
            </w:r>
            <w:r>
              <w:rPr>
                <w:color w:val="auto"/>
                <w:sz w:val="24"/>
              </w:rPr>
              <w:t>汽车尾气。</w:t>
            </w:r>
          </w:p>
          <w:p w14:paraId="6618A80C">
            <w:pPr>
              <w:adjustRightInd w:val="0"/>
              <w:snapToGrid w:val="0"/>
              <w:spacing w:line="360" w:lineRule="auto"/>
              <w:ind w:firstLine="480" w:firstLineChars="200"/>
              <w:jc w:val="left"/>
              <w:rPr>
                <w:color w:val="auto"/>
                <w:sz w:val="24"/>
              </w:rPr>
            </w:pPr>
            <w:r>
              <w:rPr>
                <w:color w:val="auto"/>
                <w:sz w:val="24"/>
                <w:lang w:bidi="ar"/>
              </w:rPr>
              <w:t>本项目为减小施工期施工机械、材料运输车辆尾气对周围环境的影响，要求拟采取如下控制措施：</w:t>
            </w:r>
          </w:p>
          <w:p w14:paraId="1CDBE9C5">
            <w:pPr>
              <w:adjustRightInd w:val="0"/>
              <w:snapToGrid w:val="0"/>
              <w:spacing w:line="360" w:lineRule="auto"/>
              <w:ind w:firstLine="480" w:firstLineChars="200"/>
              <w:jc w:val="left"/>
              <w:rPr>
                <w:color w:val="auto"/>
                <w:sz w:val="24"/>
              </w:rPr>
            </w:pPr>
            <w:r>
              <w:rPr>
                <w:color w:val="auto"/>
                <w:sz w:val="24"/>
                <w:lang w:bidi="ar"/>
              </w:rPr>
              <w:t>①选用符合国家标准的施工机械设备和运输车辆；</w:t>
            </w:r>
          </w:p>
          <w:p w14:paraId="106AE44B">
            <w:pPr>
              <w:adjustRightInd w:val="0"/>
              <w:snapToGrid w:val="0"/>
              <w:spacing w:line="360" w:lineRule="auto"/>
              <w:ind w:firstLine="480" w:firstLineChars="200"/>
              <w:jc w:val="left"/>
              <w:rPr>
                <w:color w:val="auto"/>
                <w:sz w:val="24"/>
              </w:rPr>
            </w:pPr>
            <w:r>
              <w:rPr>
                <w:color w:val="auto"/>
                <w:sz w:val="24"/>
                <w:lang w:bidi="ar"/>
              </w:rPr>
              <w:t>②加强对施工机械及施工车辆的检修和维护，严禁使用超期服役和尾气超标的施工机械及车辆；</w:t>
            </w:r>
          </w:p>
          <w:p w14:paraId="42537757">
            <w:pPr>
              <w:adjustRightInd w:val="0"/>
              <w:snapToGrid w:val="0"/>
              <w:spacing w:line="360" w:lineRule="auto"/>
              <w:ind w:firstLine="480" w:firstLineChars="200"/>
              <w:jc w:val="left"/>
              <w:rPr>
                <w:color w:val="auto"/>
                <w:sz w:val="24"/>
              </w:rPr>
            </w:pPr>
            <w:r>
              <w:rPr>
                <w:color w:val="auto"/>
                <w:sz w:val="24"/>
                <w:lang w:bidi="ar"/>
              </w:rPr>
              <w:t>③尽可能使用气动和电动设备及机械，或使用优质燃油，以减少机械和车辆有害气体的排放。采取以上措施后，可有效减少施工机械、车辆尾气对周围环境的影响，排放废气可满足非道路移动机械相关标准要求。</w:t>
            </w:r>
          </w:p>
          <w:p w14:paraId="73C81D09">
            <w:pPr>
              <w:adjustRightInd w:val="0"/>
              <w:snapToGrid w:val="0"/>
              <w:spacing w:line="360" w:lineRule="auto"/>
              <w:ind w:firstLine="480" w:firstLineChars="200"/>
              <w:rPr>
                <w:bCs/>
                <w:color w:val="auto"/>
                <w:sz w:val="24"/>
              </w:rPr>
            </w:pPr>
            <w:r>
              <w:rPr>
                <w:color w:val="auto"/>
                <w:sz w:val="24"/>
              </w:rPr>
              <w:t>本项目施工场地位于已建成的厂区内，项目施工期短，</w:t>
            </w:r>
            <w:r>
              <w:rPr>
                <w:rFonts w:hint="eastAsia"/>
                <w:color w:val="auto"/>
                <w:sz w:val="24"/>
              </w:rPr>
              <w:t>无扬尘产生</w:t>
            </w:r>
            <w:r>
              <w:rPr>
                <w:color w:val="auto"/>
                <w:sz w:val="24"/>
              </w:rPr>
              <w:t>，不会对项目周边产生较大的影响</w:t>
            </w:r>
            <w:r>
              <w:rPr>
                <w:bCs/>
                <w:color w:val="auto"/>
                <w:sz w:val="24"/>
              </w:rPr>
              <w:t>。</w:t>
            </w:r>
          </w:p>
          <w:p w14:paraId="14EDA322">
            <w:pPr>
              <w:pStyle w:val="59"/>
              <w:adjustRightInd w:val="0"/>
              <w:snapToGrid w:val="0"/>
              <w:spacing w:line="360" w:lineRule="auto"/>
              <w:ind w:firstLine="498"/>
              <w:rPr>
                <w:rFonts w:hAnsi="Times New Roman" w:cs="Times New Roman"/>
                <w:b/>
                <w:color w:val="auto"/>
                <w:spacing w:val="4"/>
                <w:szCs w:val="24"/>
              </w:rPr>
            </w:pPr>
            <w:r>
              <w:rPr>
                <w:rFonts w:hAnsi="Times New Roman" w:cs="Times New Roman"/>
                <w:b/>
                <w:color w:val="auto"/>
                <w:spacing w:val="4"/>
                <w:szCs w:val="24"/>
              </w:rPr>
              <w:t>2、</w:t>
            </w:r>
            <w:r>
              <w:rPr>
                <w:rFonts w:hAnsi="Times New Roman" w:cs="Times New Roman"/>
                <w:b/>
                <w:bCs/>
                <w:color w:val="auto"/>
                <w:szCs w:val="24"/>
              </w:rPr>
              <w:t>施工期声环境污染保护措施</w:t>
            </w:r>
          </w:p>
          <w:p w14:paraId="516F0622">
            <w:pPr>
              <w:pStyle w:val="60"/>
              <w:adjustRightInd w:val="0"/>
              <w:snapToGrid w:val="0"/>
              <w:rPr>
                <w:bCs/>
                <w:color w:val="auto"/>
              </w:rPr>
            </w:pPr>
            <w:r>
              <w:rPr>
                <w:rFonts w:hint="eastAsia"/>
                <w:color w:val="auto"/>
              </w:rPr>
              <w:t>施工期</w:t>
            </w:r>
            <w:r>
              <w:rPr>
                <w:color w:val="auto"/>
              </w:rPr>
              <w:t>噪声主要为施工时产生的机械噪声和运输车辆产生的噪声。通过严格控制高噪声设备的作业时间、禁止夜间进行施工作业、尽量采取低噪声机械进行作业、加强环境管理</w:t>
            </w:r>
            <w:r>
              <w:rPr>
                <w:rFonts w:hint="eastAsia"/>
                <w:color w:val="auto"/>
              </w:rPr>
              <w:t>、</w:t>
            </w:r>
            <w:r>
              <w:rPr>
                <w:color w:val="auto"/>
              </w:rPr>
              <w:t>运输车辆在进入施工区附近区域后，要适当降低车速，避免或杜绝鸣笛等方法最大限度的减少噪声对环境的影响</w:t>
            </w:r>
            <w:r>
              <w:rPr>
                <w:bCs/>
                <w:color w:val="auto"/>
              </w:rPr>
              <w:t>。</w:t>
            </w:r>
          </w:p>
          <w:p w14:paraId="7C2C9A03">
            <w:pPr>
              <w:pStyle w:val="59"/>
              <w:adjustRightInd w:val="0"/>
              <w:snapToGrid w:val="0"/>
              <w:spacing w:line="360" w:lineRule="auto"/>
              <w:ind w:firstLine="498"/>
              <w:rPr>
                <w:rFonts w:hAnsi="Times New Roman" w:cs="Times New Roman"/>
                <w:b/>
                <w:color w:val="auto"/>
                <w:spacing w:val="4"/>
                <w:szCs w:val="24"/>
              </w:rPr>
            </w:pPr>
            <w:r>
              <w:rPr>
                <w:rFonts w:hAnsi="Times New Roman" w:cs="Times New Roman"/>
                <w:b/>
                <w:color w:val="auto"/>
                <w:spacing w:val="4"/>
                <w:szCs w:val="24"/>
              </w:rPr>
              <w:t>3、</w:t>
            </w:r>
            <w:r>
              <w:rPr>
                <w:rFonts w:hAnsi="Times New Roman" w:cs="Times New Roman"/>
                <w:b/>
                <w:bCs/>
                <w:color w:val="auto"/>
                <w:szCs w:val="24"/>
              </w:rPr>
              <w:t>施工期水污染保护措施</w:t>
            </w:r>
          </w:p>
          <w:p w14:paraId="7FBD296F">
            <w:pPr>
              <w:adjustRightInd w:val="0"/>
              <w:snapToGrid w:val="0"/>
              <w:spacing w:line="360" w:lineRule="auto"/>
              <w:ind w:firstLine="480" w:firstLineChars="200"/>
              <w:rPr>
                <w:rFonts w:hAnsi="Times New Roman" w:cs="Times New Roman"/>
                <w:color w:val="auto"/>
                <w:spacing w:val="-4"/>
                <w:szCs w:val="24"/>
              </w:rPr>
            </w:pPr>
            <w:r>
              <w:rPr>
                <w:color w:val="auto"/>
                <w:sz w:val="24"/>
              </w:rPr>
              <w:t>施工过程中产生的废水主要为施工人员排放的生活污水。</w:t>
            </w:r>
            <w:r>
              <w:rPr>
                <w:rFonts w:ascii="Times New Roman" w:hAnsi="Times New Roman" w:eastAsia="宋体" w:cs="Times New Roman"/>
                <w:color w:val="auto"/>
                <w:sz w:val="24"/>
              </w:rPr>
              <w:t>本项目施工场地内无施工人员临时住所，项目施工期短，依托厂区已有的卫生设施。</w:t>
            </w:r>
          </w:p>
          <w:p w14:paraId="1586E545">
            <w:pPr>
              <w:adjustRightInd w:val="0"/>
              <w:snapToGrid w:val="0"/>
              <w:spacing w:line="360" w:lineRule="auto"/>
              <w:ind w:firstLine="498" w:firstLineChars="200"/>
              <w:rPr>
                <w:b/>
                <w:color w:val="auto"/>
                <w:spacing w:val="4"/>
                <w:sz w:val="24"/>
              </w:rPr>
            </w:pPr>
            <w:r>
              <w:rPr>
                <w:b/>
                <w:color w:val="auto"/>
                <w:spacing w:val="4"/>
                <w:sz w:val="24"/>
              </w:rPr>
              <w:t>4、</w:t>
            </w:r>
            <w:r>
              <w:rPr>
                <w:b/>
                <w:bCs/>
                <w:color w:val="auto"/>
                <w:sz w:val="24"/>
              </w:rPr>
              <w:t>固体废物污染防治措施</w:t>
            </w:r>
          </w:p>
          <w:p w14:paraId="0927DDB5">
            <w:pPr>
              <w:pStyle w:val="59"/>
              <w:adjustRightInd w:val="0"/>
              <w:snapToGrid w:val="0"/>
              <w:spacing w:line="360" w:lineRule="auto"/>
              <w:rPr>
                <w:color w:val="auto"/>
              </w:rPr>
            </w:pPr>
            <w:r>
              <w:rPr>
                <w:rFonts w:hAnsi="Times New Roman" w:cs="Times New Roman"/>
                <w:color w:val="auto"/>
                <w:szCs w:val="24"/>
              </w:rPr>
              <w:t>本项目施工期产生的固体废物主要为建筑垃圾及施工人员的生活垃圾等。施工期建筑垃圾收集后统一堆放于指定地点</w:t>
            </w:r>
            <w:r>
              <w:rPr>
                <w:rFonts w:hint="eastAsia" w:hAnsi="Times New Roman" w:cs="Times New Roman"/>
                <w:color w:val="auto"/>
                <w:szCs w:val="24"/>
                <w:lang w:val="en-US" w:eastAsia="zh-CN"/>
              </w:rPr>
              <w:t>回用于生产</w:t>
            </w:r>
            <w:r>
              <w:rPr>
                <w:rFonts w:hAnsi="Times New Roman" w:cs="Times New Roman"/>
                <w:color w:val="auto"/>
                <w:szCs w:val="24"/>
              </w:rPr>
              <w:t>；生活垃圾依托现有工程处理措施。</w:t>
            </w:r>
          </w:p>
        </w:tc>
      </w:tr>
    </w:tbl>
    <w:p w14:paraId="244AC19B">
      <w:pPr>
        <w:rPr>
          <w:color w:val="auto"/>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2480"/>
      </w:tblGrid>
      <w:tr w14:paraId="74B6C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1" w:hRule="atLeast"/>
        </w:trPr>
        <w:tc>
          <w:tcPr>
            <w:tcW w:w="281" w:type="pct"/>
          </w:tcPr>
          <w:p w14:paraId="171AFD71">
            <w:pPr>
              <w:adjustRightInd w:val="0"/>
              <w:snapToGrid w:val="0"/>
              <w:jc w:val="center"/>
              <w:rPr>
                <w:bCs/>
                <w:color w:val="auto"/>
                <w:kern w:val="21"/>
                <w:szCs w:val="21"/>
              </w:rPr>
            </w:pPr>
            <w:r>
              <w:rPr>
                <w:bCs/>
                <w:color w:val="auto"/>
                <w:kern w:val="21"/>
                <w:szCs w:val="21"/>
              </w:rPr>
              <w:t>运营期环</w:t>
            </w:r>
          </w:p>
          <w:p w14:paraId="088F437E">
            <w:pPr>
              <w:adjustRightInd w:val="0"/>
              <w:snapToGrid w:val="0"/>
              <w:jc w:val="center"/>
              <w:rPr>
                <w:bCs/>
                <w:color w:val="auto"/>
                <w:kern w:val="21"/>
                <w:szCs w:val="21"/>
              </w:rPr>
            </w:pPr>
            <w:r>
              <w:rPr>
                <w:bCs/>
                <w:color w:val="auto"/>
                <w:kern w:val="21"/>
                <w:szCs w:val="21"/>
              </w:rPr>
              <w:t>境影响和</w:t>
            </w:r>
          </w:p>
          <w:p w14:paraId="7E079F30">
            <w:pPr>
              <w:adjustRightInd w:val="0"/>
              <w:snapToGrid w:val="0"/>
              <w:jc w:val="center"/>
              <w:rPr>
                <w:color w:val="auto"/>
              </w:rPr>
            </w:pPr>
            <w:r>
              <w:rPr>
                <w:bCs/>
                <w:color w:val="auto"/>
                <w:kern w:val="21"/>
                <w:szCs w:val="21"/>
              </w:rPr>
              <w:t>保护措施</w:t>
            </w:r>
          </w:p>
        </w:tc>
        <w:tc>
          <w:tcPr>
            <w:tcW w:w="4718" w:type="pct"/>
          </w:tcPr>
          <w:p w14:paraId="79F922EE">
            <w:pPr>
              <w:adjustRightInd w:val="0"/>
              <w:snapToGrid w:val="0"/>
              <w:spacing w:line="360" w:lineRule="auto"/>
              <w:ind w:firstLine="482" w:firstLineChars="200"/>
              <w:rPr>
                <w:b/>
                <w:color w:val="auto"/>
                <w:sz w:val="24"/>
              </w:rPr>
            </w:pPr>
            <w:r>
              <w:rPr>
                <w:rFonts w:hint="eastAsia"/>
                <w:b/>
                <w:color w:val="auto"/>
                <w:sz w:val="24"/>
              </w:rPr>
              <w:t>1、废气</w:t>
            </w:r>
          </w:p>
          <w:p w14:paraId="75765A26">
            <w:pPr>
              <w:adjustRightInd w:val="0"/>
              <w:snapToGrid w:val="0"/>
              <w:spacing w:line="360" w:lineRule="auto"/>
              <w:ind w:firstLine="480" w:firstLineChars="200"/>
              <w:rPr>
                <w:bCs/>
                <w:color w:val="auto"/>
                <w:sz w:val="24"/>
              </w:rPr>
            </w:pPr>
            <w:r>
              <w:rPr>
                <w:rFonts w:hint="eastAsia"/>
                <w:bCs/>
                <w:color w:val="auto"/>
                <w:sz w:val="24"/>
              </w:rPr>
              <w:t>（1）产排污环节</w:t>
            </w:r>
          </w:p>
          <w:p w14:paraId="63D3226A">
            <w:pPr>
              <w:adjustRightInd w:val="0"/>
              <w:snapToGrid w:val="0"/>
              <w:spacing w:line="360" w:lineRule="auto"/>
              <w:ind w:firstLine="480" w:firstLineChars="200"/>
              <w:rPr>
                <w:b/>
                <w:color w:val="auto"/>
                <w:sz w:val="24"/>
              </w:rPr>
            </w:pPr>
            <w:r>
              <w:rPr>
                <w:bCs/>
                <w:color w:val="auto"/>
                <w:sz w:val="24"/>
              </w:rPr>
              <w:t>本项目产生废气的主要污染物为</w:t>
            </w:r>
            <w:r>
              <w:rPr>
                <w:rFonts w:hint="eastAsia"/>
                <w:bCs/>
                <w:color w:val="auto"/>
                <w:sz w:val="24"/>
                <w:lang w:val="en-US" w:eastAsia="zh-CN"/>
              </w:rPr>
              <w:t>颗粒物</w:t>
            </w:r>
            <w:r>
              <w:rPr>
                <w:bCs/>
                <w:color w:val="auto"/>
                <w:sz w:val="24"/>
              </w:rPr>
              <w:t>。产排污环节</w:t>
            </w:r>
            <w:r>
              <w:rPr>
                <w:rFonts w:hint="eastAsia"/>
                <w:bCs/>
                <w:color w:val="auto"/>
                <w:sz w:val="24"/>
              </w:rPr>
              <w:t>等情况</w:t>
            </w:r>
            <w:r>
              <w:rPr>
                <w:bCs/>
                <w:color w:val="auto"/>
                <w:sz w:val="24"/>
              </w:rPr>
              <w:t>见</w:t>
            </w:r>
            <w:r>
              <w:rPr>
                <w:rFonts w:hint="eastAsia"/>
                <w:bCs/>
                <w:color w:val="auto"/>
                <w:sz w:val="24"/>
              </w:rPr>
              <w:t>下表</w:t>
            </w:r>
            <w:r>
              <w:rPr>
                <w:bCs/>
                <w:color w:val="auto"/>
                <w:sz w:val="24"/>
              </w:rPr>
              <w:t>。</w:t>
            </w:r>
          </w:p>
          <w:p w14:paraId="055CA675">
            <w:pPr>
              <w:adjustRightInd w:val="0"/>
              <w:snapToGrid w:val="0"/>
              <w:jc w:val="center"/>
              <w:rPr>
                <w:b/>
                <w:bCs/>
                <w:color w:val="auto"/>
                <w:sz w:val="24"/>
              </w:rPr>
            </w:pPr>
            <w:r>
              <w:rPr>
                <w:b/>
                <w:color w:val="auto"/>
                <w:sz w:val="24"/>
              </w:rPr>
              <w:t>表4-1</w:t>
            </w:r>
            <w:r>
              <w:rPr>
                <w:b/>
                <w:bCs/>
                <w:color w:val="auto"/>
                <w:sz w:val="24"/>
              </w:rPr>
              <w:t xml:space="preserve">  </w:t>
            </w:r>
            <w:r>
              <w:rPr>
                <w:rFonts w:hint="eastAsia"/>
                <w:b/>
                <w:bCs/>
                <w:color w:val="auto"/>
                <w:sz w:val="24"/>
                <w:lang w:val="en-US" w:eastAsia="zh-CN"/>
              </w:rPr>
              <w:t>本项目</w:t>
            </w:r>
            <w:r>
              <w:rPr>
                <w:b/>
                <w:bCs/>
                <w:color w:val="auto"/>
                <w:sz w:val="24"/>
              </w:rPr>
              <w:t>废气污染源源强核算结果及相关参数一览表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869"/>
              <w:gridCol w:w="844"/>
              <w:gridCol w:w="898"/>
              <w:gridCol w:w="898"/>
              <w:gridCol w:w="898"/>
              <w:gridCol w:w="1013"/>
              <w:gridCol w:w="834"/>
              <w:gridCol w:w="866"/>
              <w:gridCol w:w="792"/>
              <w:gridCol w:w="792"/>
              <w:gridCol w:w="807"/>
              <w:gridCol w:w="636"/>
              <w:gridCol w:w="1195"/>
            </w:tblGrid>
            <w:tr w14:paraId="10EA57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Merge w:val="restart"/>
                  <w:vAlign w:val="center"/>
                </w:tcPr>
                <w:p w14:paraId="6058968E">
                  <w:pPr>
                    <w:adjustRightInd w:val="0"/>
                    <w:snapToGrid w:val="0"/>
                    <w:jc w:val="center"/>
                    <w:rPr>
                      <w:color w:val="auto"/>
                      <w:sz w:val="21"/>
                      <w:szCs w:val="21"/>
                    </w:rPr>
                  </w:pPr>
                  <w:r>
                    <w:rPr>
                      <w:rFonts w:hint="eastAsia"/>
                      <w:color w:val="auto"/>
                      <w:sz w:val="21"/>
                      <w:szCs w:val="21"/>
                    </w:rPr>
                    <w:t>排放源</w:t>
                  </w:r>
                </w:p>
              </w:tc>
              <w:tc>
                <w:tcPr>
                  <w:tcW w:w="354" w:type="pct"/>
                  <w:vMerge w:val="restart"/>
                  <w:vAlign w:val="center"/>
                </w:tcPr>
                <w:p w14:paraId="74DAA074">
                  <w:pPr>
                    <w:adjustRightInd w:val="0"/>
                    <w:snapToGrid w:val="0"/>
                    <w:jc w:val="center"/>
                    <w:rPr>
                      <w:color w:val="auto"/>
                      <w:sz w:val="21"/>
                      <w:szCs w:val="21"/>
                    </w:rPr>
                  </w:pPr>
                  <w:r>
                    <w:rPr>
                      <w:rFonts w:hint="eastAsia"/>
                      <w:color w:val="auto"/>
                      <w:sz w:val="21"/>
                      <w:szCs w:val="21"/>
                    </w:rPr>
                    <w:t>产污环节</w:t>
                  </w:r>
                </w:p>
              </w:tc>
              <w:tc>
                <w:tcPr>
                  <w:tcW w:w="344" w:type="pct"/>
                  <w:vMerge w:val="restart"/>
                  <w:vAlign w:val="center"/>
                </w:tcPr>
                <w:p w14:paraId="4916447B">
                  <w:pPr>
                    <w:adjustRightInd w:val="0"/>
                    <w:snapToGrid w:val="0"/>
                    <w:jc w:val="center"/>
                    <w:rPr>
                      <w:color w:val="auto"/>
                      <w:sz w:val="21"/>
                      <w:szCs w:val="21"/>
                    </w:rPr>
                  </w:pPr>
                  <w:r>
                    <w:rPr>
                      <w:color w:val="auto"/>
                      <w:sz w:val="21"/>
                      <w:szCs w:val="21"/>
                    </w:rPr>
                    <w:t>污染物种类</w:t>
                  </w:r>
                </w:p>
              </w:tc>
              <w:tc>
                <w:tcPr>
                  <w:tcW w:w="1511" w:type="pct"/>
                  <w:gridSpan w:val="4"/>
                  <w:vAlign w:val="center"/>
                </w:tcPr>
                <w:p w14:paraId="3D844FFD">
                  <w:pPr>
                    <w:adjustRightInd w:val="0"/>
                    <w:snapToGrid w:val="0"/>
                    <w:jc w:val="center"/>
                    <w:rPr>
                      <w:color w:val="auto"/>
                      <w:sz w:val="21"/>
                      <w:szCs w:val="21"/>
                    </w:rPr>
                  </w:pPr>
                  <w:r>
                    <w:rPr>
                      <w:color w:val="auto"/>
                      <w:sz w:val="21"/>
                      <w:szCs w:val="21"/>
                    </w:rPr>
                    <w:t>污染物产生</w:t>
                  </w:r>
                </w:p>
              </w:tc>
              <w:tc>
                <w:tcPr>
                  <w:tcW w:w="693" w:type="pct"/>
                  <w:gridSpan w:val="2"/>
                  <w:vAlign w:val="center"/>
                </w:tcPr>
                <w:p w14:paraId="03F336AA">
                  <w:pPr>
                    <w:adjustRightInd w:val="0"/>
                    <w:snapToGrid w:val="0"/>
                    <w:jc w:val="center"/>
                    <w:rPr>
                      <w:color w:val="auto"/>
                      <w:sz w:val="21"/>
                      <w:szCs w:val="21"/>
                    </w:rPr>
                  </w:pPr>
                  <w:r>
                    <w:rPr>
                      <w:color w:val="auto"/>
                      <w:sz w:val="21"/>
                      <w:szCs w:val="21"/>
                    </w:rPr>
                    <w:t>治理措施</w:t>
                  </w:r>
                </w:p>
              </w:tc>
              <w:tc>
                <w:tcPr>
                  <w:tcW w:w="975" w:type="pct"/>
                  <w:gridSpan w:val="3"/>
                  <w:vAlign w:val="center"/>
                </w:tcPr>
                <w:p w14:paraId="59188FED">
                  <w:pPr>
                    <w:adjustRightInd w:val="0"/>
                    <w:snapToGrid w:val="0"/>
                    <w:jc w:val="center"/>
                    <w:rPr>
                      <w:color w:val="auto"/>
                      <w:sz w:val="21"/>
                      <w:szCs w:val="21"/>
                    </w:rPr>
                  </w:pPr>
                  <w:r>
                    <w:rPr>
                      <w:color w:val="auto"/>
                      <w:sz w:val="21"/>
                      <w:szCs w:val="21"/>
                    </w:rPr>
                    <w:t>污染物排放</w:t>
                  </w:r>
                </w:p>
              </w:tc>
              <w:tc>
                <w:tcPr>
                  <w:tcW w:w="259" w:type="pct"/>
                  <w:vMerge w:val="restart"/>
                  <w:vAlign w:val="center"/>
                </w:tcPr>
                <w:p w14:paraId="021345BE">
                  <w:pPr>
                    <w:adjustRightInd w:val="0"/>
                    <w:snapToGrid w:val="0"/>
                    <w:jc w:val="center"/>
                    <w:rPr>
                      <w:color w:val="auto"/>
                      <w:sz w:val="21"/>
                      <w:szCs w:val="21"/>
                    </w:rPr>
                  </w:pPr>
                  <w:r>
                    <w:rPr>
                      <w:color w:val="auto"/>
                      <w:sz w:val="21"/>
                      <w:szCs w:val="21"/>
                    </w:rPr>
                    <w:t>排放时间/h/a</w:t>
                  </w:r>
                </w:p>
              </w:tc>
              <w:tc>
                <w:tcPr>
                  <w:tcW w:w="487" w:type="pct"/>
                  <w:vMerge w:val="restart"/>
                  <w:vAlign w:val="center"/>
                </w:tcPr>
                <w:p w14:paraId="3CE54739">
                  <w:pPr>
                    <w:adjustRightInd w:val="0"/>
                    <w:snapToGrid w:val="0"/>
                    <w:jc w:val="center"/>
                    <w:rPr>
                      <w:color w:val="auto"/>
                      <w:sz w:val="21"/>
                      <w:szCs w:val="21"/>
                    </w:rPr>
                  </w:pPr>
                  <w:r>
                    <w:rPr>
                      <w:color w:val="auto"/>
                      <w:sz w:val="21"/>
                      <w:szCs w:val="21"/>
                    </w:rPr>
                    <w:t>排放标准值（mg/m</w:t>
                  </w:r>
                  <w:r>
                    <w:rPr>
                      <w:color w:val="auto"/>
                      <w:sz w:val="21"/>
                      <w:szCs w:val="21"/>
                      <w:vertAlign w:val="superscript"/>
                    </w:rPr>
                    <w:t>3</w:t>
                  </w:r>
                  <w:r>
                    <w:rPr>
                      <w:color w:val="auto"/>
                      <w:sz w:val="21"/>
                      <w:szCs w:val="21"/>
                    </w:rPr>
                    <w:t>）</w:t>
                  </w:r>
                </w:p>
              </w:tc>
            </w:tr>
            <w:tr w14:paraId="32AD0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Merge w:val="continue"/>
                  <w:vAlign w:val="center"/>
                </w:tcPr>
                <w:p w14:paraId="7A8F1E2C">
                  <w:pPr>
                    <w:adjustRightInd w:val="0"/>
                    <w:snapToGrid w:val="0"/>
                    <w:jc w:val="center"/>
                    <w:rPr>
                      <w:color w:val="auto"/>
                      <w:sz w:val="21"/>
                      <w:szCs w:val="21"/>
                    </w:rPr>
                  </w:pPr>
                </w:p>
              </w:tc>
              <w:tc>
                <w:tcPr>
                  <w:tcW w:w="354" w:type="pct"/>
                  <w:vMerge w:val="continue"/>
                  <w:vAlign w:val="center"/>
                </w:tcPr>
                <w:p w14:paraId="241ACB68">
                  <w:pPr>
                    <w:adjustRightInd w:val="0"/>
                    <w:snapToGrid w:val="0"/>
                    <w:jc w:val="center"/>
                    <w:rPr>
                      <w:color w:val="auto"/>
                      <w:sz w:val="21"/>
                      <w:szCs w:val="21"/>
                    </w:rPr>
                  </w:pPr>
                </w:p>
              </w:tc>
              <w:tc>
                <w:tcPr>
                  <w:tcW w:w="344" w:type="pct"/>
                  <w:vMerge w:val="continue"/>
                  <w:vAlign w:val="center"/>
                </w:tcPr>
                <w:p w14:paraId="1FAD2D11">
                  <w:pPr>
                    <w:adjustRightInd w:val="0"/>
                    <w:snapToGrid w:val="0"/>
                    <w:jc w:val="center"/>
                    <w:rPr>
                      <w:color w:val="auto"/>
                      <w:sz w:val="21"/>
                      <w:szCs w:val="21"/>
                    </w:rPr>
                  </w:pPr>
                </w:p>
              </w:tc>
              <w:tc>
                <w:tcPr>
                  <w:tcW w:w="366" w:type="pct"/>
                  <w:vAlign w:val="center"/>
                </w:tcPr>
                <w:p w14:paraId="2978E9A5">
                  <w:pPr>
                    <w:adjustRightInd w:val="0"/>
                    <w:snapToGrid w:val="0"/>
                    <w:jc w:val="center"/>
                    <w:rPr>
                      <w:color w:val="auto"/>
                      <w:sz w:val="21"/>
                      <w:szCs w:val="21"/>
                    </w:rPr>
                  </w:pPr>
                  <w:r>
                    <w:rPr>
                      <w:color w:val="auto"/>
                      <w:sz w:val="21"/>
                      <w:szCs w:val="21"/>
                    </w:rPr>
                    <w:t>排放方式</w:t>
                  </w:r>
                </w:p>
              </w:tc>
              <w:tc>
                <w:tcPr>
                  <w:tcW w:w="366" w:type="pct"/>
                  <w:tcBorders>
                    <w:right w:val="single" w:color="000000" w:sz="8" w:space="0"/>
                  </w:tcBorders>
                  <w:vAlign w:val="center"/>
                </w:tcPr>
                <w:p w14:paraId="7FB23682">
                  <w:pPr>
                    <w:pStyle w:val="84"/>
                    <w:adjustRightInd w:val="0"/>
                    <w:snapToGrid w:val="0"/>
                    <w:spacing w:line="240" w:lineRule="auto"/>
                    <w:ind w:firstLine="0"/>
                    <w:jc w:val="center"/>
                    <w:rPr>
                      <w:color w:val="auto"/>
                      <w:sz w:val="21"/>
                      <w:szCs w:val="21"/>
                    </w:rPr>
                  </w:pPr>
                  <w:r>
                    <w:rPr>
                      <w:color w:val="auto"/>
                      <w:sz w:val="21"/>
                      <w:szCs w:val="21"/>
                    </w:rPr>
                    <w:t>产生量t/a</w:t>
                  </w:r>
                </w:p>
              </w:tc>
              <w:tc>
                <w:tcPr>
                  <w:tcW w:w="366" w:type="pct"/>
                  <w:tcBorders>
                    <w:left w:val="single" w:color="000000" w:sz="8" w:space="0"/>
                  </w:tcBorders>
                  <w:vAlign w:val="center"/>
                </w:tcPr>
                <w:p w14:paraId="5751D355">
                  <w:pPr>
                    <w:pStyle w:val="84"/>
                    <w:adjustRightInd w:val="0"/>
                    <w:snapToGrid w:val="0"/>
                    <w:spacing w:line="240" w:lineRule="auto"/>
                    <w:ind w:firstLine="0"/>
                    <w:jc w:val="center"/>
                    <w:rPr>
                      <w:color w:val="auto"/>
                      <w:sz w:val="21"/>
                      <w:szCs w:val="21"/>
                    </w:rPr>
                  </w:pPr>
                  <w:r>
                    <w:rPr>
                      <w:rFonts w:hint="eastAsia"/>
                      <w:color w:val="auto"/>
                      <w:sz w:val="21"/>
                      <w:szCs w:val="21"/>
                    </w:rPr>
                    <w:t>产生</w:t>
                  </w:r>
                  <w:r>
                    <w:rPr>
                      <w:color w:val="auto"/>
                      <w:sz w:val="21"/>
                      <w:szCs w:val="21"/>
                    </w:rPr>
                    <w:t>速率kg/h</w:t>
                  </w:r>
                </w:p>
              </w:tc>
              <w:tc>
                <w:tcPr>
                  <w:tcW w:w="412" w:type="pct"/>
                  <w:tcBorders>
                    <w:left w:val="single" w:color="auto" w:sz="4" w:space="0"/>
                  </w:tcBorders>
                  <w:vAlign w:val="center"/>
                </w:tcPr>
                <w:p w14:paraId="7577D8E6">
                  <w:pPr>
                    <w:pStyle w:val="84"/>
                    <w:adjustRightInd w:val="0"/>
                    <w:snapToGrid w:val="0"/>
                    <w:spacing w:line="240" w:lineRule="auto"/>
                    <w:ind w:firstLine="0"/>
                    <w:jc w:val="center"/>
                    <w:rPr>
                      <w:color w:val="auto"/>
                      <w:sz w:val="21"/>
                      <w:szCs w:val="21"/>
                    </w:rPr>
                  </w:pPr>
                  <w:r>
                    <w:rPr>
                      <w:color w:val="auto"/>
                      <w:sz w:val="21"/>
                      <w:szCs w:val="21"/>
                    </w:rPr>
                    <w:t>产生浓度mg/m</w:t>
                  </w:r>
                  <w:r>
                    <w:rPr>
                      <w:color w:val="auto"/>
                      <w:sz w:val="21"/>
                      <w:szCs w:val="21"/>
                      <w:vertAlign w:val="superscript"/>
                    </w:rPr>
                    <w:t>3</w:t>
                  </w:r>
                </w:p>
              </w:tc>
              <w:tc>
                <w:tcPr>
                  <w:tcW w:w="340" w:type="pct"/>
                  <w:vAlign w:val="center"/>
                </w:tcPr>
                <w:p w14:paraId="4E665D02">
                  <w:pPr>
                    <w:adjustRightInd w:val="0"/>
                    <w:snapToGrid w:val="0"/>
                    <w:jc w:val="center"/>
                    <w:rPr>
                      <w:color w:val="auto"/>
                      <w:sz w:val="21"/>
                      <w:szCs w:val="21"/>
                    </w:rPr>
                  </w:pPr>
                  <w:r>
                    <w:rPr>
                      <w:color w:val="auto"/>
                      <w:sz w:val="21"/>
                      <w:szCs w:val="21"/>
                    </w:rPr>
                    <w:t>工艺</w:t>
                  </w:r>
                </w:p>
              </w:tc>
              <w:tc>
                <w:tcPr>
                  <w:tcW w:w="353" w:type="pct"/>
                  <w:tcBorders>
                    <w:right w:val="single" w:color="auto" w:sz="4" w:space="0"/>
                  </w:tcBorders>
                  <w:vAlign w:val="center"/>
                </w:tcPr>
                <w:p w14:paraId="782E6C50">
                  <w:pPr>
                    <w:adjustRightInd w:val="0"/>
                    <w:snapToGrid w:val="0"/>
                    <w:jc w:val="center"/>
                    <w:rPr>
                      <w:color w:val="auto"/>
                      <w:sz w:val="21"/>
                      <w:szCs w:val="21"/>
                    </w:rPr>
                  </w:pPr>
                  <w:r>
                    <w:rPr>
                      <w:color w:val="auto"/>
                      <w:sz w:val="21"/>
                      <w:szCs w:val="21"/>
                    </w:rPr>
                    <w:t>效率/%</w:t>
                  </w:r>
                </w:p>
              </w:tc>
              <w:tc>
                <w:tcPr>
                  <w:tcW w:w="323" w:type="pct"/>
                  <w:vAlign w:val="center"/>
                </w:tcPr>
                <w:p w14:paraId="2D8644A4">
                  <w:pPr>
                    <w:pStyle w:val="84"/>
                    <w:adjustRightInd w:val="0"/>
                    <w:snapToGrid w:val="0"/>
                    <w:spacing w:line="240" w:lineRule="auto"/>
                    <w:ind w:firstLine="0"/>
                    <w:jc w:val="center"/>
                    <w:rPr>
                      <w:color w:val="auto"/>
                      <w:sz w:val="21"/>
                      <w:szCs w:val="21"/>
                    </w:rPr>
                  </w:pPr>
                  <w:r>
                    <w:rPr>
                      <w:color w:val="auto"/>
                      <w:sz w:val="21"/>
                      <w:szCs w:val="21"/>
                    </w:rPr>
                    <w:t>排放量t/a</w:t>
                  </w:r>
                </w:p>
              </w:tc>
              <w:tc>
                <w:tcPr>
                  <w:tcW w:w="323" w:type="pct"/>
                  <w:vAlign w:val="center"/>
                </w:tcPr>
                <w:p w14:paraId="0E9AFE56">
                  <w:pPr>
                    <w:pStyle w:val="84"/>
                    <w:adjustRightInd w:val="0"/>
                    <w:snapToGrid w:val="0"/>
                    <w:spacing w:line="240" w:lineRule="auto"/>
                    <w:ind w:firstLine="0"/>
                    <w:jc w:val="center"/>
                    <w:rPr>
                      <w:color w:val="auto"/>
                      <w:sz w:val="21"/>
                      <w:szCs w:val="21"/>
                    </w:rPr>
                  </w:pPr>
                  <w:r>
                    <w:rPr>
                      <w:rFonts w:hint="eastAsia"/>
                      <w:color w:val="auto"/>
                      <w:sz w:val="21"/>
                      <w:szCs w:val="21"/>
                    </w:rPr>
                    <w:t>排放</w:t>
                  </w:r>
                  <w:r>
                    <w:rPr>
                      <w:color w:val="auto"/>
                      <w:sz w:val="21"/>
                      <w:szCs w:val="21"/>
                    </w:rPr>
                    <w:t>速率kg/h</w:t>
                  </w:r>
                </w:p>
              </w:tc>
              <w:tc>
                <w:tcPr>
                  <w:tcW w:w="329" w:type="pct"/>
                  <w:vAlign w:val="center"/>
                </w:tcPr>
                <w:p w14:paraId="1C28ACA6">
                  <w:pPr>
                    <w:pStyle w:val="84"/>
                    <w:adjustRightInd w:val="0"/>
                    <w:snapToGrid w:val="0"/>
                    <w:spacing w:line="240" w:lineRule="auto"/>
                    <w:ind w:firstLine="0"/>
                    <w:jc w:val="center"/>
                    <w:rPr>
                      <w:color w:val="auto"/>
                      <w:sz w:val="21"/>
                      <w:szCs w:val="21"/>
                    </w:rPr>
                  </w:pPr>
                  <w:r>
                    <w:rPr>
                      <w:color w:val="auto"/>
                      <w:sz w:val="21"/>
                      <w:szCs w:val="21"/>
                    </w:rPr>
                    <w:t>排放浓度mg/m</w:t>
                  </w:r>
                  <w:r>
                    <w:rPr>
                      <w:color w:val="auto"/>
                      <w:sz w:val="21"/>
                      <w:szCs w:val="21"/>
                      <w:vertAlign w:val="superscript"/>
                    </w:rPr>
                    <w:t>3</w:t>
                  </w:r>
                </w:p>
              </w:tc>
              <w:tc>
                <w:tcPr>
                  <w:tcW w:w="259" w:type="pct"/>
                  <w:vMerge w:val="continue"/>
                  <w:vAlign w:val="center"/>
                </w:tcPr>
                <w:p w14:paraId="3B650CC4">
                  <w:pPr>
                    <w:adjustRightInd w:val="0"/>
                    <w:snapToGrid w:val="0"/>
                    <w:jc w:val="center"/>
                    <w:rPr>
                      <w:color w:val="auto"/>
                      <w:sz w:val="21"/>
                      <w:szCs w:val="21"/>
                    </w:rPr>
                  </w:pPr>
                </w:p>
              </w:tc>
              <w:tc>
                <w:tcPr>
                  <w:tcW w:w="487" w:type="pct"/>
                  <w:vMerge w:val="continue"/>
                  <w:vAlign w:val="center"/>
                </w:tcPr>
                <w:p w14:paraId="5F50B515">
                  <w:pPr>
                    <w:adjustRightInd w:val="0"/>
                    <w:snapToGrid w:val="0"/>
                    <w:jc w:val="center"/>
                    <w:rPr>
                      <w:color w:val="auto"/>
                      <w:sz w:val="21"/>
                      <w:szCs w:val="21"/>
                    </w:rPr>
                  </w:pPr>
                </w:p>
              </w:tc>
            </w:tr>
            <w:tr w14:paraId="37AFDB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73" w:type="pct"/>
                  <w:vAlign w:val="center"/>
                </w:tcPr>
                <w:p w14:paraId="1199F869">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DA005</w:t>
                  </w:r>
                </w:p>
              </w:tc>
              <w:tc>
                <w:tcPr>
                  <w:tcW w:w="354" w:type="pct"/>
                  <w:vAlign w:val="center"/>
                </w:tcPr>
                <w:p w14:paraId="68524623">
                  <w:pPr>
                    <w:adjustRightInd w:val="0"/>
                    <w:snapToGrid w:val="0"/>
                    <w:jc w:val="center"/>
                    <w:rPr>
                      <w:rFonts w:hint="default"/>
                      <w:color w:val="auto"/>
                      <w:sz w:val="21"/>
                      <w:szCs w:val="21"/>
                      <w:lang w:val="en-US" w:eastAsia="zh-CN"/>
                    </w:rPr>
                  </w:pPr>
                  <w:r>
                    <w:rPr>
                      <w:rFonts w:hint="eastAsia"/>
                      <w:color w:val="auto"/>
                      <w:sz w:val="21"/>
                      <w:szCs w:val="21"/>
                      <w:lang w:val="en-US" w:eastAsia="zh-CN"/>
                    </w:rPr>
                    <w:t>前处理</w:t>
                  </w:r>
                </w:p>
              </w:tc>
              <w:tc>
                <w:tcPr>
                  <w:tcW w:w="344" w:type="pct"/>
                  <w:vAlign w:val="center"/>
                </w:tcPr>
                <w:p w14:paraId="535A8C2F">
                  <w:pPr>
                    <w:adjustRightInd w:val="0"/>
                    <w:snapToGrid w:val="0"/>
                    <w:jc w:val="center"/>
                    <w:rPr>
                      <w:rFonts w:hint="eastAsia"/>
                      <w:color w:val="auto"/>
                      <w:sz w:val="21"/>
                      <w:szCs w:val="21"/>
                      <w:lang w:val="en-US" w:eastAsia="zh-CN"/>
                    </w:rPr>
                  </w:pPr>
                  <w:r>
                    <w:rPr>
                      <w:rFonts w:hint="eastAsia"/>
                      <w:color w:val="auto"/>
                      <w:sz w:val="21"/>
                      <w:szCs w:val="21"/>
                      <w:lang w:val="en-US" w:eastAsia="zh-CN"/>
                    </w:rPr>
                    <w:t>颗粒物</w:t>
                  </w:r>
                </w:p>
              </w:tc>
              <w:tc>
                <w:tcPr>
                  <w:tcW w:w="366" w:type="pct"/>
                  <w:vAlign w:val="center"/>
                </w:tcPr>
                <w:p w14:paraId="056DF9C4">
                  <w:pPr>
                    <w:adjustRightInd w:val="0"/>
                    <w:snapToGrid w:val="0"/>
                    <w:jc w:val="center"/>
                    <w:rPr>
                      <w:rFonts w:hint="eastAsia"/>
                      <w:color w:val="auto"/>
                      <w:sz w:val="21"/>
                      <w:szCs w:val="21"/>
                    </w:rPr>
                  </w:pPr>
                  <w:r>
                    <w:rPr>
                      <w:rFonts w:hint="eastAsia"/>
                      <w:color w:val="auto"/>
                      <w:sz w:val="21"/>
                      <w:szCs w:val="21"/>
                    </w:rPr>
                    <w:t>有组织</w:t>
                  </w:r>
                </w:p>
              </w:tc>
              <w:tc>
                <w:tcPr>
                  <w:tcW w:w="366" w:type="pct"/>
                  <w:tcBorders>
                    <w:right w:val="single" w:color="000000" w:sz="8" w:space="0"/>
                  </w:tcBorders>
                  <w:vAlign w:val="center"/>
                </w:tcPr>
                <w:p w14:paraId="361EDD9E">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6.45</w:t>
                  </w:r>
                </w:p>
              </w:tc>
              <w:tc>
                <w:tcPr>
                  <w:tcW w:w="366" w:type="pct"/>
                  <w:tcBorders>
                    <w:left w:val="single" w:color="000000" w:sz="8" w:space="0"/>
                  </w:tcBorders>
                  <w:shd w:val="clear" w:color="auto" w:fill="auto"/>
                  <w:vAlign w:val="center"/>
                </w:tcPr>
                <w:p w14:paraId="20D595E4">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2.15</w:t>
                  </w:r>
                </w:p>
              </w:tc>
              <w:tc>
                <w:tcPr>
                  <w:tcW w:w="412" w:type="pct"/>
                  <w:tcBorders>
                    <w:left w:val="single" w:color="auto" w:sz="4" w:space="0"/>
                  </w:tcBorders>
                  <w:shd w:val="clear" w:color="auto" w:fill="auto"/>
                  <w:vAlign w:val="center"/>
                </w:tcPr>
                <w:p w14:paraId="571D3EB5">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107.5</w:t>
                  </w:r>
                </w:p>
              </w:tc>
              <w:tc>
                <w:tcPr>
                  <w:tcW w:w="340" w:type="pct"/>
                  <w:vAlign w:val="center"/>
                </w:tcPr>
                <w:p w14:paraId="15DB789A">
                  <w:pPr>
                    <w:adjustRightInd w:val="0"/>
                    <w:snapToGrid w:val="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集气罩+布袋除尘器</w:t>
                  </w:r>
                </w:p>
              </w:tc>
              <w:tc>
                <w:tcPr>
                  <w:tcW w:w="353" w:type="pct"/>
                  <w:tcBorders>
                    <w:right w:val="single" w:color="000000" w:sz="8" w:space="0"/>
                  </w:tcBorders>
                  <w:vAlign w:val="center"/>
                </w:tcPr>
                <w:p w14:paraId="5F1382C5">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收集95%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处理</w:t>
                  </w:r>
                  <w:r>
                    <w:rPr>
                      <w:rFonts w:hint="eastAsia" w:cs="Times New Roman"/>
                      <w:color w:val="auto"/>
                      <w:sz w:val="21"/>
                      <w:szCs w:val="21"/>
                      <w:lang w:val="en-US" w:eastAsia="zh-CN"/>
                    </w:rPr>
                    <w:t>92</w:t>
                  </w:r>
                  <w:r>
                    <w:rPr>
                      <w:rFonts w:hint="default" w:ascii="Times New Roman" w:hAnsi="Times New Roman" w:eastAsia="宋体" w:cs="Times New Roman"/>
                      <w:color w:val="auto"/>
                      <w:sz w:val="21"/>
                      <w:szCs w:val="21"/>
                      <w:lang w:val="en-US" w:eastAsia="zh-CN"/>
                    </w:rPr>
                    <w:t>%</w:t>
                  </w:r>
                </w:p>
              </w:tc>
              <w:tc>
                <w:tcPr>
                  <w:tcW w:w="792" w:type="dxa"/>
                  <w:shd w:val="clear" w:color="auto" w:fill="auto"/>
                  <w:vAlign w:val="center"/>
                </w:tcPr>
                <w:p w14:paraId="073C6853">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792" w:type="dxa"/>
                  <w:shd w:val="clear" w:color="auto" w:fill="auto"/>
                  <w:vAlign w:val="center"/>
                </w:tcPr>
                <w:p w14:paraId="5348B197">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0.16</w:t>
                  </w:r>
                </w:p>
              </w:tc>
              <w:tc>
                <w:tcPr>
                  <w:tcW w:w="807" w:type="dxa"/>
                  <w:shd w:val="clear" w:color="auto" w:fill="auto"/>
                  <w:vAlign w:val="center"/>
                </w:tcPr>
                <w:p w14:paraId="7720B3AE">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8.17</w:t>
                  </w:r>
                </w:p>
              </w:tc>
              <w:tc>
                <w:tcPr>
                  <w:tcW w:w="259" w:type="pct"/>
                  <w:shd w:val="clear" w:color="auto" w:fill="auto"/>
                  <w:vAlign w:val="center"/>
                </w:tcPr>
                <w:p w14:paraId="7B54F95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3000</w:t>
                  </w:r>
                </w:p>
              </w:tc>
              <w:tc>
                <w:tcPr>
                  <w:tcW w:w="487" w:type="pct"/>
                  <w:shd w:val="clear" w:color="auto" w:fill="auto"/>
                  <w:vAlign w:val="center"/>
                </w:tcPr>
                <w:p w14:paraId="25DBDAC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120</w:t>
                  </w:r>
                </w:p>
              </w:tc>
            </w:tr>
            <w:tr w14:paraId="6953BC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73" w:type="pct"/>
                  <w:vAlign w:val="center"/>
                </w:tcPr>
                <w:p w14:paraId="451BE3F3">
                  <w:pPr>
                    <w:adjustRightInd w:val="0"/>
                    <w:snapToGrid w:val="0"/>
                    <w:jc w:val="center"/>
                    <w:rPr>
                      <w:rFonts w:hint="eastAsia"/>
                      <w:color w:val="auto"/>
                      <w:sz w:val="21"/>
                      <w:szCs w:val="21"/>
                      <w:lang w:val="en-US" w:eastAsia="zh-CN"/>
                    </w:rPr>
                  </w:pPr>
                  <w:r>
                    <w:rPr>
                      <w:rFonts w:hint="eastAsia"/>
                      <w:color w:val="auto"/>
                      <w:sz w:val="21"/>
                      <w:szCs w:val="21"/>
                      <w:lang w:val="en-US" w:eastAsia="zh-CN"/>
                    </w:rPr>
                    <w:t>筛分分选粉尘</w:t>
                  </w:r>
                </w:p>
              </w:tc>
              <w:tc>
                <w:tcPr>
                  <w:tcW w:w="354" w:type="pct"/>
                  <w:vAlign w:val="center"/>
                </w:tcPr>
                <w:p w14:paraId="24A8424B">
                  <w:pPr>
                    <w:adjustRightInd w:val="0"/>
                    <w:snapToGrid w:val="0"/>
                    <w:jc w:val="center"/>
                    <w:rPr>
                      <w:rFonts w:hint="default"/>
                      <w:color w:val="auto"/>
                      <w:sz w:val="21"/>
                      <w:szCs w:val="21"/>
                      <w:lang w:val="en-US" w:eastAsia="zh-CN"/>
                    </w:rPr>
                  </w:pPr>
                  <w:r>
                    <w:rPr>
                      <w:rFonts w:hint="eastAsia"/>
                      <w:color w:val="auto"/>
                      <w:sz w:val="21"/>
                      <w:szCs w:val="21"/>
                      <w:lang w:val="en-US" w:eastAsia="zh-CN"/>
                    </w:rPr>
                    <w:t>前处理</w:t>
                  </w:r>
                </w:p>
              </w:tc>
              <w:tc>
                <w:tcPr>
                  <w:tcW w:w="344" w:type="pct"/>
                  <w:vAlign w:val="center"/>
                </w:tcPr>
                <w:p w14:paraId="0265FAA4">
                  <w:pPr>
                    <w:adjustRightInd w:val="0"/>
                    <w:snapToGrid w:val="0"/>
                    <w:jc w:val="center"/>
                    <w:rPr>
                      <w:rFonts w:hint="default"/>
                      <w:color w:val="auto"/>
                      <w:sz w:val="21"/>
                      <w:szCs w:val="21"/>
                      <w:lang w:val="en-US" w:eastAsia="zh-CN"/>
                    </w:rPr>
                  </w:pPr>
                  <w:r>
                    <w:rPr>
                      <w:rFonts w:hint="eastAsia"/>
                      <w:color w:val="auto"/>
                      <w:sz w:val="21"/>
                      <w:szCs w:val="21"/>
                      <w:lang w:val="en-US" w:eastAsia="zh-CN"/>
                    </w:rPr>
                    <w:t>颗粒物</w:t>
                  </w:r>
                </w:p>
              </w:tc>
              <w:tc>
                <w:tcPr>
                  <w:tcW w:w="366" w:type="pct"/>
                  <w:vAlign w:val="center"/>
                </w:tcPr>
                <w:p w14:paraId="4FD6225B">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无组织</w:t>
                  </w:r>
                </w:p>
              </w:tc>
              <w:tc>
                <w:tcPr>
                  <w:tcW w:w="366" w:type="pct"/>
                  <w:tcBorders>
                    <w:right w:val="single" w:color="000000" w:sz="8" w:space="0"/>
                  </w:tcBorders>
                  <w:vAlign w:val="center"/>
                </w:tcPr>
                <w:p w14:paraId="5983A517">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0.32</w:t>
                  </w:r>
                </w:p>
              </w:tc>
              <w:tc>
                <w:tcPr>
                  <w:tcW w:w="366" w:type="pct"/>
                  <w:tcBorders>
                    <w:left w:val="single" w:color="000000" w:sz="8" w:space="0"/>
                  </w:tcBorders>
                  <w:shd w:val="clear" w:color="auto" w:fill="auto"/>
                  <w:vAlign w:val="center"/>
                </w:tcPr>
                <w:p w14:paraId="32ADE59F">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0.11</w:t>
                  </w:r>
                </w:p>
              </w:tc>
              <w:tc>
                <w:tcPr>
                  <w:tcW w:w="412" w:type="pct"/>
                  <w:tcBorders>
                    <w:left w:val="single" w:color="auto" w:sz="4" w:space="0"/>
                  </w:tcBorders>
                  <w:shd w:val="clear" w:color="auto" w:fill="auto"/>
                  <w:vAlign w:val="center"/>
                </w:tcPr>
                <w:p w14:paraId="7C589B41">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340" w:type="pct"/>
                  <w:vAlign w:val="center"/>
                </w:tcPr>
                <w:p w14:paraId="6D8A6212">
                  <w:pPr>
                    <w:adjustRightInd w:val="0"/>
                    <w:snapToGrid w:val="0"/>
                    <w:jc w:val="center"/>
                    <w:rPr>
                      <w:rFonts w:hint="default" w:ascii="Times New Roman" w:hAnsi="Times New Roman" w:eastAsia="宋体" w:cs="Times New Roman"/>
                      <w:color w:val="auto"/>
                      <w:sz w:val="21"/>
                      <w:szCs w:val="21"/>
                      <w:lang w:val="en-US" w:eastAsia="zh-CN"/>
                    </w:rPr>
                  </w:pPr>
                  <w:r>
                    <w:rPr>
                      <w:color w:val="auto"/>
                      <w:sz w:val="21"/>
                      <w:szCs w:val="21"/>
                    </w:rPr>
                    <w:t>喷淋</w:t>
                  </w:r>
                  <w:r>
                    <w:rPr>
                      <w:rFonts w:hint="eastAsia"/>
                      <w:color w:val="auto"/>
                      <w:sz w:val="21"/>
                      <w:szCs w:val="21"/>
                      <w:lang w:val="en-US" w:eastAsia="zh-CN"/>
                    </w:rPr>
                    <w:t>除尘</w:t>
                  </w:r>
                  <w:r>
                    <w:rPr>
                      <w:rFonts w:hint="eastAsia"/>
                      <w:color w:val="auto"/>
                      <w:sz w:val="21"/>
                      <w:szCs w:val="21"/>
                    </w:rPr>
                    <w:t>、</w:t>
                  </w:r>
                  <w:r>
                    <w:rPr>
                      <w:color w:val="auto"/>
                      <w:sz w:val="21"/>
                      <w:szCs w:val="21"/>
                    </w:rPr>
                    <w:t>厂房隔挡</w:t>
                  </w:r>
                </w:p>
              </w:tc>
              <w:tc>
                <w:tcPr>
                  <w:tcW w:w="353" w:type="pct"/>
                  <w:tcBorders>
                    <w:right w:val="single" w:color="000000" w:sz="8" w:space="0"/>
                  </w:tcBorders>
                  <w:vAlign w:val="center"/>
                </w:tcPr>
                <w:p w14:paraId="3FA2AC33">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处理60%</w:t>
                  </w:r>
                </w:p>
              </w:tc>
              <w:tc>
                <w:tcPr>
                  <w:tcW w:w="323" w:type="pct"/>
                  <w:shd w:val="clear" w:color="auto" w:fill="auto"/>
                  <w:vAlign w:val="center"/>
                </w:tcPr>
                <w:p w14:paraId="00072A74">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0.128</w:t>
                  </w:r>
                </w:p>
              </w:tc>
              <w:tc>
                <w:tcPr>
                  <w:tcW w:w="323" w:type="pct"/>
                  <w:shd w:val="clear" w:color="auto" w:fill="auto"/>
                  <w:vAlign w:val="center"/>
                </w:tcPr>
                <w:p w14:paraId="373DAD15">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0.043</w:t>
                  </w:r>
                </w:p>
              </w:tc>
              <w:tc>
                <w:tcPr>
                  <w:tcW w:w="329" w:type="pct"/>
                  <w:shd w:val="clear" w:color="auto" w:fill="auto"/>
                  <w:vAlign w:val="center"/>
                </w:tcPr>
                <w:p w14:paraId="2AC208FF">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259" w:type="pct"/>
                  <w:shd w:val="clear" w:color="auto" w:fill="auto"/>
                  <w:vAlign w:val="center"/>
                </w:tcPr>
                <w:p w14:paraId="27765DC4">
                  <w:pPr>
                    <w:adjustRightInd w:val="0"/>
                    <w:snapToGrid w:val="0"/>
                    <w:jc w:val="center"/>
                    <w:rPr>
                      <w:rFonts w:hint="default"/>
                      <w:color w:val="auto"/>
                      <w:sz w:val="21"/>
                      <w:szCs w:val="21"/>
                      <w:lang w:val="en-US" w:eastAsia="zh-CN"/>
                    </w:rPr>
                  </w:pPr>
                  <w:r>
                    <w:rPr>
                      <w:rFonts w:hint="eastAsia"/>
                      <w:color w:val="auto"/>
                      <w:sz w:val="21"/>
                      <w:szCs w:val="21"/>
                      <w:lang w:val="en-US" w:eastAsia="zh-CN"/>
                    </w:rPr>
                    <w:t>3000</w:t>
                  </w:r>
                </w:p>
              </w:tc>
              <w:tc>
                <w:tcPr>
                  <w:tcW w:w="487" w:type="pct"/>
                  <w:shd w:val="clear" w:color="auto" w:fill="auto"/>
                  <w:vAlign w:val="center"/>
                </w:tcPr>
                <w:p w14:paraId="5A553C62">
                  <w:pPr>
                    <w:adjustRightInd w:val="0"/>
                    <w:snapToGrid w:val="0"/>
                    <w:jc w:val="center"/>
                    <w:rPr>
                      <w:rFonts w:hint="default"/>
                      <w:color w:val="auto"/>
                      <w:sz w:val="21"/>
                      <w:szCs w:val="21"/>
                      <w:lang w:val="en-US" w:eastAsia="zh-CN"/>
                    </w:rPr>
                  </w:pPr>
                  <w:r>
                    <w:rPr>
                      <w:rFonts w:hint="eastAsia"/>
                      <w:color w:val="auto"/>
                      <w:sz w:val="21"/>
                      <w:szCs w:val="21"/>
                      <w:lang w:val="en-US" w:eastAsia="zh-CN"/>
                    </w:rPr>
                    <w:t>1.0</w:t>
                  </w:r>
                </w:p>
              </w:tc>
            </w:tr>
          </w:tbl>
          <w:p w14:paraId="2E25D124">
            <w:pPr>
              <w:adjustRightInd w:val="0"/>
              <w:snapToGrid w:val="0"/>
              <w:jc w:val="center"/>
              <w:rPr>
                <w:b/>
                <w:bCs/>
                <w:color w:val="auto"/>
                <w:sz w:val="24"/>
              </w:rPr>
            </w:pPr>
            <w:r>
              <w:rPr>
                <w:b/>
                <w:color w:val="auto"/>
                <w:sz w:val="24"/>
              </w:rPr>
              <w:t>表4-</w:t>
            </w:r>
            <w:r>
              <w:rPr>
                <w:rFonts w:hint="eastAsia"/>
                <w:b/>
                <w:color w:val="auto"/>
                <w:sz w:val="24"/>
                <w:lang w:val="en-US" w:eastAsia="zh-CN"/>
              </w:rPr>
              <w:t>2</w:t>
            </w:r>
            <w:r>
              <w:rPr>
                <w:b/>
                <w:bCs/>
                <w:color w:val="auto"/>
                <w:sz w:val="24"/>
              </w:rPr>
              <w:t xml:space="preserve">  </w:t>
            </w:r>
            <w:r>
              <w:rPr>
                <w:rFonts w:hint="eastAsia"/>
                <w:b/>
                <w:bCs/>
                <w:color w:val="auto"/>
                <w:sz w:val="24"/>
                <w:lang w:val="en-US" w:eastAsia="zh-CN"/>
              </w:rPr>
              <w:t>扩建后全厂</w:t>
            </w:r>
            <w:r>
              <w:rPr>
                <w:b/>
                <w:bCs/>
                <w:color w:val="auto"/>
                <w:sz w:val="24"/>
              </w:rPr>
              <w:t>废气污染源源强核算结果及相关参数一览表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872"/>
              <w:gridCol w:w="843"/>
              <w:gridCol w:w="897"/>
              <w:gridCol w:w="899"/>
              <w:gridCol w:w="899"/>
              <w:gridCol w:w="1007"/>
              <w:gridCol w:w="833"/>
              <w:gridCol w:w="865"/>
              <w:gridCol w:w="794"/>
              <w:gridCol w:w="794"/>
              <w:gridCol w:w="804"/>
              <w:gridCol w:w="637"/>
              <w:gridCol w:w="1196"/>
            </w:tblGrid>
            <w:tr w14:paraId="0D972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restart"/>
                  <w:vAlign w:val="center"/>
                </w:tcPr>
                <w:p w14:paraId="3B94B1BE">
                  <w:pPr>
                    <w:adjustRightInd w:val="0"/>
                    <w:snapToGrid w:val="0"/>
                    <w:jc w:val="center"/>
                    <w:rPr>
                      <w:color w:val="auto"/>
                      <w:sz w:val="21"/>
                      <w:szCs w:val="21"/>
                    </w:rPr>
                  </w:pPr>
                  <w:r>
                    <w:rPr>
                      <w:rFonts w:hint="eastAsia"/>
                      <w:color w:val="auto"/>
                      <w:sz w:val="21"/>
                      <w:szCs w:val="21"/>
                    </w:rPr>
                    <w:t>排放源</w:t>
                  </w:r>
                </w:p>
              </w:tc>
              <w:tc>
                <w:tcPr>
                  <w:tcW w:w="355" w:type="pct"/>
                  <w:vMerge w:val="restart"/>
                  <w:vAlign w:val="center"/>
                </w:tcPr>
                <w:p w14:paraId="378B0DEF">
                  <w:pPr>
                    <w:adjustRightInd w:val="0"/>
                    <w:snapToGrid w:val="0"/>
                    <w:jc w:val="center"/>
                    <w:rPr>
                      <w:color w:val="auto"/>
                      <w:sz w:val="21"/>
                      <w:szCs w:val="21"/>
                    </w:rPr>
                  </w:pPr>
                  <w:r>
                    <w:rPr>
                      <w:rFonts w:hint="eastAsia"/>
                      <w:color w:val="auto"/>
                      <w:sz w:val="21"/>
                      <w:szCs w:val="21"/>
                    </w:rPr>
                    <w:t>产污环节</w:t>
                  </w:r>
                </w:p>
              </w:tc>
              <w:tc>
                <w:tcPr>
                  <w:tcW w:w="344" w:type="pct"/>
                  <w:vMerge w:val="restart"/>
                  <w:vAlign w:val="center"/>
                </w:tcPr>
                <w:p w14:paraId="7D564C3B">
                  <w:pPr>
                    <w:adjustRightInd w:val="0"/>
                    <w:snapToGrid w:val="0"/>
                    <w:jc w:val="center"/>
                    <w:rPr>
                      <w:color w:val="auto"/>
                      <w:sz w:val="21"/>
                      <w:szCs w:val="21"/>
                    </w:rPr>
                  </w:pPr>
                  <w:r>
                    <w:rPr>
                      <w:color w:val="auto"/>
                      <w:sz w:val="21"/>
                      <w:szCs w:val="21"/>
                    </w:rPr>
                    <w:t>污染物种类</w:t>
                  </w:r>
                </w:p>
              </w:tc>
              <w:tc>
                <w:tcPr>
                  <w:tcW w:w="1509" w:type="pct"/>
                  <w:gridSpan w:val="4"/>
                  <w:vAlign w:val="center"/>
                </w:tcPr>
                <w:p w14:paraId="2157138A">
                  <w:pPr>
                    <w:adjustRightInd w:val="0"/>
                    <w:snapToGrid w:val="0"/>
                    <w:jc w:val="center"/>
                    <w:rPr>
                      <w:color w:val="auto"/>
                      <w:sz w:val="21"/>
                      <w:szCs w:val="21"/>
                    </w:rPr>
                  </w:pPr>
                  <w:r>
                    <w:rPr>
                      <w:color w:val="auto"/>
                      <w:sz w:val="21"/>
                      <w:szCs w:val="21"/>
                    </w:rPr>
                    <w:t>污染物产生</w:t>
                  </w:r>
                </w:p>
              </w:tc>
              <w:tc>
                <w:tcPr>
                  <w:tcW w:w="693" w:type="pct"/>
                  <w:gridSpan w:val="2"/>
                  <w:vAlign w:val="center"/>
                </w:tcPr>
                <w:p w14:paraId="062413FD">
                  <w:pPr>
                    <w:adjustRightInd w:val="0"/>
                    <w:snapToGrid w:val="0"/>
                    <w:jc w:val="center"/>
                    <w:rPr>
                      <w:color w:val="auto"/>
                      <w:sz w:val="21"/>
                      <w:szCs w:val="21"/>
                    </w:rPr>
                  </w:pPr>
                  <w:r>
                    <w:rPr>
                      <w:color w:val="auto"/>
                      <w:sz w:val="21"/>
                      <w:szCs w:val="21"/>
                    </w:rPr>
                    <w:t>治理措施</w:t>
                  </w:r>
                </w:p>
              </w:tc>
              <w:tc>
                <w:tcPr>
                  <w:tcW w:w="974" w:type="pct"/>
                  <w:gridSpan w:val="3"/>
                  <w:vAlign w:val="center"/>
                </w:tcPr>
                <w:p w14:paraId="360DEC7A">
                  <w:pPr>
                    <w:adjustRightInd w:val="0"/>
                    <w:snapToGrid w:val="0"/>
                    <w:jc w:val="center"/>
                    <w:rPr>
                      <w:color w:val="auto"/>
                      <w:sz w:val="21"/>
                      <w:szCs w:val="21"/>
                    </w:rPr>
                  </w:pPr>
                  <w:r>
                    <w:rPr>
                      <w:color w:val="auto"/>
                      <w:sz w:val="21"/>
                      <w:szCs w:val="21"/>
                    </w:rPr>
                    <w:t>污染物排放</w:t>
                  </w:r>
                </w:p>
              </w:tc>
              <w:tc>
                <w:tcPr>
                  <w:tcW w:w="259" w:type="pct"/>
                  <w:vMerge w:val="restart"/>
                  <w:vAlign w:val="center"/>
                </w:tcPr>
                <w:p w14:paraId="7CDECF1F">
                  <w:pPr>
                    <w:adjustRightInd w:val="0"/>
                    <w:snapToGrid w:val="0"/>
                    <w:jc w:val="center"/>
                    <w:rPr>
                      <w:color w:val="auto"/>
                      <w:sz w:val="21"/>
                      <w:szCs w:val="21"/>
                    </w:rPr>
                  </w:pPr>
                  <w:r>
                    <w:rPr>
                      <w:color w:val="auto"/>
                      <w:sz w:val="21"/>
                      <w:szCs w:val="21"/>
                    </w:rPr>
                    <w:t>排放时间/h/a</w:t>
                  </w:r>
                </w:p>
              </w:tc>
              <w:tc>
                <w:tcPr>
                  <w:tcW w:w="487" w:type="pct"/>
                  <w:vMerge w:val="restart"/>
                  <w:vAlign w:val="center"/>
                </w:tcPr>
                <w:p w14:paraId="11278346">
                  <w:pPr>
                    <w:adjustRightInd w:val="0"/>
                    <w:snapToGrid w:val="0"/>
                    <w:jc w:val="center"/>
                    <w:rPr>
                      <w:color w:val="auto"/>
                      <w:sz w:val="21"/>
                      <w:szCs w:val="21"/>
                    </w:rPr>
                  </w:pPr>
                  <w:r>
                    <w:rPr>
                      <w:color w:val="auto"/>
                      <w:sz w:val="21"/>
                      <w:szCs w:val="21"/>
                    </w:rPr>
                    <w:t>排放标准值（mg/m</w:t>
                  </w:r>
                  <w:r>
                    <w:rPr>
                      <w:color w:val="auto"/>
                      <w:sz w:val="21"/>
                      <w:szCs w:val="21"/>
                      <w:vertAlign w:val="superscript"/>
                    </w:rPr>
                    <w:t>3</w:t>
                  </w:r>
                  <w:r>
                    <w:rPr>
                      <w:color w:val="auto"/>
                      <w:sz w:val="21"/>
                      <w:szCs w:val="21"/>
                    </w:rPr>
                    <w:t>）</w:t>
                  </w:r>
                </w:p>
              </w:tc>
            </w:tr>
            <w:tr w14:paraId="76784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4" w:type="pct"/>
                  <w:vMerge w:val="continue"/>
                  <w:vAlign w:val="center"/>
                </w:tcPr>
                <w:p w14:paraId="73A88E42">
                  <w:pPr>
                    <w:adjustRightInd w:val="0"/>
                    <w:snapToGrid w:val="0"/>
                    <w:jc w:val="center"/>
                    <w:rPr>
                      <w:color w:val="auto"/>
                      <w:sz w:val="21"/>
                      <w:szCs w:val="21"/>
                    </w:rPr>
                  </w:pPr>
                </w:p>
              </w:tc>
              <w:tc>
                <w:tcPr>
                  <w:tcW w:w="355" w:type="pct"/>
                  <w:vMerge w:val="continue"/>
                  <w:vAlign w:val="center"/>
                </w:tcPr>
                <w:p w14:paraId="1488A4DD">
                  <w:pPr>
                    <w:adjustRightInd w:val="0"/>
                    <w:snapToGrid w:val="0"/>
                    <w:jc w:val="center"/>
                    <w:rPr>
                      <w:color w:val="auto"/>
                      <w:sz w:val="21"/>
                      <w:szCs w:val="21"/>
                    </w:rPr>
                  </w:pPr>
                </w:p>
              </w:tc>
              <w:tc>
                <w:tcPr>
                  <w:tcW w:w="344" w:type="pct"/>
                  <w:vMerge w:val="continue"/>
                  <w:vAlign w:val="center"/>
                </w:tcPr>
                <w:p w14:paraId="63A1749A">
                  <w:pPr>
                    <w:adjustRightInd w:val="0"/>
                    <w:snapToGrid w:val="0"/>
                    <w:jc w:val="center"/>
                    <w:rPr>
                      <w:color w:val="auto"/>
                      <w:sz w:val="21"/>
                      <w:szCs w:val="21"/>
                    </w:rPr>
                  </w:pPr>
                </w:p>
              </w:tc>
              <w:tc>
                <w:tcPr>
                  <w:tcW w:w="366" w:type="pct"/>
                  <w:vAlign w:val="center"/>
                </w:tcPr>
                <w:p w14:paraId="35E9F81E">
                  <w:pPr>
                    <w:adjustRightInd w:val="0"/>
                    <w:snapToGrid w:val="0"/>
                    <w:jc w:val="center"/>
                    <w:rPr>
                      <w:color w:val="auto"/>
                      <w:sz w:val="21"/>
                      <w:szCs w:val="21"/>
                    </w:rPr>
                  </w:pPr>
                  <w:r>
                    <w:rPr>
                      <w:color w:val="auto"/>
                      <w:sz w:val="21"/>
                      <w:szCs w:val="21"/>
                    </w:rPr>
                    <w:t>排放方式</w:t>
                  </w:r>
                </w:p>
              </w:tc>
              <w:tc>
                <w:tcPr>
                  <w:tcW w:w="366" w:type="pct"/>
                  <w:tcBorders>
                    <w:right w:val="single" w:color="000000" w:sz="8" w:space="0"/>
                  </w:tcBorders>
                  <w:vAlign w:val="center"/>
                </w:tcPr>
                <w:p w14:paraId="3DB6BB0C">
                  <w:pPr>
                    <w:pStyle w:val="84"/>
                    <w:adjustRightInd w:val="0"/>
                    <w:snapToGrid w:val="0"/>
                    <w:spacing w:line="240" w:lineRule="auto"/>
                    <w:ind w:firstLine="0"/>
                    <w:jc w:val="center"/>
                    <w:rPr>
                      <w:color w:val="auto"/>
                      <w:sz w:val="21"/>
                      <w:szCs w:val="21"/>
                    </w:rPr>
                  </w:pPr>
                  <w:r>
                    <w:rPr>
                      <w:color w:val="auto"/>
                      <w:sz w:val="21"/>
                      <w:szCs w:val="21"/>
                    </w:rPr>
                    <w:t>产生量t/a</w:t>
                  </w:r>
                </w:p>
              </w:tc>
              <w:tc>
                <w:tcPr>
                  <w:tcW w:w="366" w:type="pct"/>
                  <w:tcBorders>
                    <w:left w:val="single" w:color="000000" w:sz="8" w:space="0"/>
                  </w:tcBorders>
                  <w:vAlign w:val="center"/>
                </w:tcPr>
                <w:p w14:paraId="3F087A31">
                  <w:pPr>
                    <w:pStyle w:val="84"/>
                    <w:adjustRightInd w:val="0"/>
                    <w:snapToGrid w:val="0"/>
                    <w:spacing w:line="240" w:lineRule="auto"/>
                    <w:ind w:firstLine="0"/>
                    <w:jc w:val="center"/>
                    <w:rPr>
                      <w:color w:val="auto"/>
                      <w:sz w:val="21"/>
                      <w:szCs w:val="21"/>
                    </w:rPr>
                  </w:pPr>
                  <w:r>
                    <w:rPr>
                      <w:rFonts w:hint="eastAsia"/>
                      <w:color w:val="auto"/>
                      <w:sz w:val="21"/>
                      <w:szCs w:val="21"/>
                    </w:rPr>
                    <w:t>产生</w:t>
                  </w:r>
                  <w:r>
                    <w:rPr>
                      <w:color w:val="auto"/>
                      <w:sz w:val="21"/>
                      <w:szCs w:val="21"/>
                    </w:rPr>
                    <w:t>速率kg/h</w:t>
                  </w:r>
                </w:p>
              </w:tc>
              <w:tc>
                <w:tcPr>
                  <w:tcW w:w="409" w:type="pct"/>
                  <w:tcBorders>
                    <w:left w:val="single" w:color="auto" w:sz="4" w:space="0"/>
                  </w:tcBorders>
                  <w:vAlign w:val="center"/>
                </w:tcPr>
                <w:p w14:paraId="6DE2F3AF">
                  <w:pPr>
                    <w:pStyle w:val="84"/>
                    <w:adjustRightInd w:val="0"/>
                    <w:snapToGrid w:val="0"/>
                    <w:spacing w:line="240" w:lineRule="auto"/>
                    <w:ind w:firstLine="0"/>
                    <w:jc w:val="center"/>
                    <w:rPr>
                      <w:color w:val="auto"/>
                      <w:sz w:val="21"/>
                      <w:szCs w:val="21"/>
                    </w:rPr>
                  </w:pPr>
                  <w:r>
                    <w:rPr>
                      <w:color w:val="auto"/>
                      <w:sz w:val="21"/>
                      <w:szCs w:val="21"/>
                    </w:rPr>
                    <w:t>产生浓度mg/m</w:t>
                  </w:r>
                  <w:r>
                    <w:rPr>
                      <w:color w:val="auto"/>
                      <w:sz w:val="21"/>
                      <w:szCs w:val="21"/>
                      <w:vertAlign w:val="superscript"/>
                    </w:rPr>
                    <w:t>3</w:t>
                  </w:r>
                </w:p>
              </w:tc>
              <w:tc>
                <w:tcPr>
                  <w:tcW w:w="340" w:type="pct"/>
                  <w:vAlign w:val="center"/>
                </w:tcPr>
                <w:p w14:paraId="543B31D2">
                  <w:pPr>
                    <w:adjustRightInd w:val="0"/>
                    <w:snapToGrid w:val="0"/>
                    <w:jc w:val="center"/>
                    <w:rPr>
                      <w:color w:val="auto"/>
                      <w:sz w:val="21"/>
                      <w:szCs w:val="21"/>
                    </w:rPr>
                  </w:pPr>
                  <w:r>
                    <w:rPr>
                      <w:color w:val="auto"/>
                      <w:sz w:val="21"/>
                      <w:szCs w:val="21"/>
                    </w:rPr>
                    <w:t>工艺</w:t>
                  </w:r>
                </w:p>
              </w:tc>
              <w:tc>
                <w:tcPr>
                  <w:tcW w:w="352" w:type="pct"/>
                  <w:tcBorders>
                    <w:right w:val="single" w:color="auto" w:sz="4" w:space="0"/>
                  </w:tcBorders>
                  <w:vAlign w:val="center"/>
                </w:tcPr>
                <w:p w14:paraId="1C667565">
                  <w:pPr>
                    <w:adjustRightInd w:val="0"/>
                    <w:snapToGrid w:val="0"/>
                    <w:jc w:val="center"/>
                    <w:rPr>
                      <w:color w:val="auto"/>
                      <w:sz w:val="21"/>
                      <w:szCs w:val="21"/>
                    </w:rPr>
                  </w:pPr>
                  <w:r>
                    <w:rPr>
                      <w:color w:val="auto"/>
                      <w:sz w:val="21"/>
                      <w:szCs w:val="21"/>
                    </w:rPr>
                    <w:t>效率/%</w:t>
                  </w:r>
                </w:p>
              </w:tc>
              <w:tc>
                <w:tcPr>
                  <w:tcW w:w="323" w:type="pct"/>
                  <w:vAlign w:val="center"/>
                </w:tcPr>
                <w:p w14:paraId="6CE95381">
                  <w:pPr>
                    <w:pStyle w:val="84"/>
                    <w:adjustRightInd w:val="0"/>
                    <w:snapToGrid w:val="0"/>
                    <w:spacing w:line="240" w:lineRule="auto"/>
                    <w:ind w:firstLine="0"/>
                    <w:jc w:val="center"/>
                    <w:rPr>
                      <w:color w:val="auto"/>
                      <w:sz w:val="21"/>
                      <w:szCs w:val="21"/>
                    </w:rPr>
                  </w:pPr>
                  <w:r>
                    <w:rPr>
                      <w:color w:val="auto"/>
                      <w:sz w:val="21"/>
                      <w:szCs w:val="21"/>
                    </w:rPr>
                    <w:t>排放量t/a</w:t>
                  </w:r>
                </w:p>
              </w:tc>
              <w:tc>
                <w:tcPr>
                  <w:tcW w:w="323" w:type="pct"/>
                  <w:vAlign w:val="center"/>
                </w:tcPr>
                <w:p w14:paraId="3BB8001C">
                  <w:pPr>
                    <w:pStyle w:val="84"/>
                    <w:adjustRightInd w:val="0"/>
                    <w:snapToGrid w:val="0"/>
                    <w:spacing w:line="240" w:lineRule="auto"/>
                    <w:ind w:firstLine="0"/>
                    <w:jc w:val="center"/>
                    <w:rPr>
                      <w:color w:val="auto"/>
                      <w:sz w:val="21"/>
                      <w:szCs w:val="21"/>
                    </w:rPr>
                  </w:pPr>
                  <w:r>
                    <w:rPr>
                      <w:rFonts w:hint="eastAsia"/>
                      <w:color w:val="auto"/>
                      <w:sz w:val="21"/>
                      <w:szCs w:val="21"/>
                    </w:rPr>
                    <w:t>排放</w:t>
                  </w:r>
                  <w:r>
                    <w:rPr>
                      <w:color w:val="auto"/>
                      <w:sz w:val="21"/>
                      <w:szCs w:val="21"/>
                    </w:rPr>
                    <w:t>速率kg/h</w:t>
                  </w:r>
                </w:p>
              </w:tc>
              <w:tc>
                <w:tcPr>
                  <w:tcW w:w="327" w:type="pct"/>
                  <w:vAlign w:val="center"/>
                </w:tcPr>
                <w:p w14:paraId="46430CFA">
                  <w:pPr>
                    <w:pStyle w:val="84"/>
                    <w:adjustRightInd w:val="0"/>
                    <w:snapToGrid w:val="0"/>
                    <w:spacing w:line="240" w:lineRule="auto"/>
                    <w:ind w:firstLine="0"/>
                    <w:jc w:val="center"/>
                    <w:rPr>
                      <w:color w:val="auto"/>
                      <w:sz w:val="21"/>
                      <w:szCs w:val="21"/>
                    </w:rPr>
                  </w:pPr>
                  <w:r>
                    <w:rPr>
                      <w:color w:val="auto"/>
                      <w:sz w:val="21"/>
                      <w:szCs w:val="21"/>
                    </w:rPr>
                    <w:t>排放浓度mg/m</w:t>
                  </w:r>
                  <w:r>
                    <w:rPr>
                      <w:color w:val="auto"/>
                      <w:sz w:val="21"/>
                      <w:szCs w:val="21"/>
                      <w:vertAlign w:val="superscript"/>
                    </w:rPr>
                    <w:t>3</w:t>
                  </w:r>
                </w:p>
              </w:tc>
              <w:tc>
                <w:tcPr>
                  <w:tcW w:w="259" w:type="pct"/>
                  <w:vMerge w:val="continue"/>
                  <w:vAlign w:val="center"/>
                </w:tcPr>
                <w:p w14:paraId="346737BF">
                  <w:pPr>
                    <w:adjustRightInd w:val="0"/>
                    <w:snapToGrid w:val="0"/>
                    <w:jc w:val="center"/>
                    <w:rPr>
                      <w:color w:val="auto"/>
                      <w:sz w:val="21"/>
                      <w:szCs w:val="21"/>
                    </w:rPr>
                  </w:pPr>
                </w:p>
              </w:tc>
              <w:tc>
                <w:tcPr>
                  <w:tcW w:w="487" w:type="pct"/>
                  <w:vMerge w:val="continue"/>
                  <w:vAlign w:val="center"/>
                </w:tcPr>
                <w:p w14:paraId="6CDAE003">
                  <w:pPr>
                    <w:adjustRightInd w:val="0"/>
                    <w:snapToGrid w:val="0"/>
                    <w:jc w:val="center"/>
                    <w:rPr>
                      <w:color w:val="auto"/>
                      <w:sz w:val="21"/>
                      <w:szCs w:val="21"/>
                    </w:rPr>
                  </w:pPr>
                </w:p>
              </w:tc>
            </w:tr>
            <w:tr w14:paraId="21A3CC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74" w:type="pct"/>
                  <w:vAlign w:val="center"/>
                </w:tcPr>
                <w:p w14:paraId="5093A451">
                  <w:pPr>
                    <w:adjustRightInd w:val="0"/>
                    <w:snapToGrid w:val="0"/>
                    <w:jc w:val="center"/>
                    <w:rPr>
                      <w:color w:val="auto"/>
                      <w:sz w:val="21"/>
                      <w:szCs w:val="21"/>
                    </w:rPr>
                  </w:pPr>
                  <w:r>
                    <w:rPr>
                      <w:rFonts w:hint="eastAsia"/>
                      <w:color w:val="auto"/>
                      <w:sz w:val="21"/>
                      <w:szCs w:val="21"/>
                    </w:rPr>
                    <w:t>DA001</w:t>
                  </w:r>
                </w:p>
              </w:tc>
              <w:tc>
                <w:tcPr>
                  <w:tcW w:w="355" w:type="pct"/>
                  <w:shd w:val="clear" w:color="auto" w:fill="auto"/>
                  <w:vAlign w:val="center"/>
                </w:tcPr>
                <w:p w14:paraId="57297CC6">
                  <w:pPr>
                    <w:adjustRightInd w:val="0"/>
                    <w:snapToGrid w:val="0"/>
                    <w:jc w:val="center"/>
                    <w:rPr>
                      <w:rFonts w:hint="default"/>
                      <w:color w:val="auto"/>
                      <w:sz w:val="21"/>
                      <w:szCs w:val="21"/>
                      <w:lang w:val="en-US"/>
                    </w:rPr>
                  </w:pPr>
                  <w:r>
                    <w:rPr>
                      <w:rFonts w:hint="eastAsia"/>
                      <w:color w:val="auto"/>
                      <w:sz w:val="21"/>
                      <w:szCs w:val="21"/>
                      <w:lang w:val="en-US" w:eastAsia="zh-CN"/>
                    </w:rPr>
                    <w:t>鄂破、筛分</w:t>
                  </w:r>
                </w:p>
              </w:tc>
              <w:tc>
                <w:tcPr>
                  <w:tcW w:w="344" w:type="pct"/>
                  <w:vAlign w:val="center"/>
                </w:tcPr>
                <w:p w14:paraId="4BCE35E0">
                  <w:pPr>
                    <w:adjustRightInd w:val="0"/>
                    <w:snapToGrid w:val="0"/>
                    <w:jc w:val="center"/>
                    <w:rPr>
                      <w:rFonts w:hint="eastAsia" w:eastAsia="宋体"/>
                      <w:color w:val="auto"/>
                      <w:sz w:val="21"/>
                      <w:szCs w:val="21"/>
                      <w:lang w:eastAsia="zh-CN"/>
                    </w:rPr>
                  </w:pPr>
                  <w:r>
                    <w:rPr>
                      <w:rFonts w:hint="eastAsia"/>
                      <w:color w:val="auto"/>
                      <w:sz w:val="21"/>
                      <w:szCs w:val="21"/>
                      <w:lang w:val="en-US" w:eastAsia="zh-CN"/>
                    </w:rPr>
                    <w:t>颗粒物</w:t>
                  </w:r>
                </w:p>
              </w:tc>
              <w:tc>
                <w:tcPr>
                  <w:tcW w:w="366" w:type="pct"/>
                  <w:vAlign w:val="center"/>
                </w:tcPr>
                <w:p w14:paraId="3E1F1587">
                  <w:pPr>
                    <w:adjustRightInd w:val="0"/>
                    <w:snapToGrid w:val="0"/>
                    <w:jc w:val="center"/>
                    <w:rPr>
                      <w:color w:val="auto"/>
                      <w:sz w:val="21"/>
                      <w:szCs w:val="21"/>
                    </w:rPr>
                  </w:pPr>
                  <w:r>
                    <w:rPr>
                      <w:rFonts w:hint="eastAsia"/>
                      <w:color w:val="auto"/>
                      <w:sz w:val="21"/>
                      <w:szCs w:val="21"/>
                    </w:rPr>
                    <w:t>有组织</w:t>
                  </w:r>
                </w:p>
              </w:tc>
              <w:tc>
                <w:tcPr>
                  <w:tcW w:w="899" w:type="dxa"/>
                  <w:tcBorders>
                    <w:right w:val="single" w:color="000000" w:sz="8" w:space="0"/>
                  </w:tcBorders>
                  <w:vAlign w:val="center"/>
                </w:tcPr>
                <w:p w14:paraId="19B45F7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67.85</w:t>
                  </w:r>
                </w:p>
              </w:tc>
              <w:tc>
                <w:tcPr>
                  <w:tcW w:w="899" w:type="dxa"/>
                  <w:tcBorders>
                    <w:left w:val="single" w:color="000000" w:sz="8" w:space="0"/>
                  </w:tcBorders>
                  <w:shd w:val="clear" w:color="auto" w:fill="auto"/>
                  <w:vAlign w:val="center"/>
                </w:tcPr>
                <w:p w14:paraId="5447A35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22.62</w:t>
                  </w:r>
                </w:p>
              </w:tc>
              <w:tc>
                <w:tcPr>
                  <w:tcW w:w="1007" w:type="dxa"/>
                  <w:tcBorders>
                    <w:left w:val="single" w:color="auto" w:sz="4" w:space="0"/>
                  </w:tcBorders>
                  <w:shd w:val="clear" w:color="auto" w:fill="auto"/>
                  <w:vAlign w:val="center"/>
                </w:tcPr>
                <w:p w14:paraId="1B0D03D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541.0</w:t>
                  </w:r>
                  <w:r>
                    <w:rPr>
                      <w:rFonts w:hint="eastAsia" w:cs="Times New Roman"/>
                      <w:i w:val="0"/>
                      <w:iCs w:val="0"/>
                      <w:color w:val="auto"/>
                      <w:kern w:val="0"/>
                      <w:sz w:val="21"/>
                      <w:szCs w:val="21"/>
                      <w:u w:val="none"/>
                      <w:lang w:val="en-US" w:eastAsia="zh-CN" w:bidi="ar"/>
                    </w:rPr>
                    <w:t>4</w:t>
                  </w:r>
                </w:p>
              </w:tc>
              <w:tc>
                <w:tcPr>
                  <w:tcW w:w="340" w:type="pct"/>
                  <w:vMerge w:val="restart"/>
                  <w:vAlign w:val="center"/>
                </w:tcPr>
                <w:p w14:paraId="0081DEA7">
                  <w:pPr>
                    <w:adjustRightInd w:val="0"/>
                    <w:snapToGrid w:val="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集气罩+布袋除尘器</w:t>
                  </w:r>
                </w:p>
              </w:tc>
              <w:tc>
                <w:tcPr>
                  <w:tcW w:w="352" w:type="pct"/>
                  <w:tcBorders>
                    <w:right w:val="single" w:color="000000" w:sz="8" w:space="0"/>
                  </w:tcBorders>
                  <w:shd w:val="clear" w:color="auto" w:fill="auto"/>
                  <w:vAlign w:val="center"/>
                </w:tcPr>
                <w:p w14:paraId="54B3B5C4">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收集95%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处理</w:t>
                  </w:r>
                  <w:r>
                    <w:rPr>
                      <w:rFonts w:hint="eastAsia" w:cs="Times New Roman"/>
                      <w:color w:val="auto"/>
                      <w:sz w:val="21"/>
                      <w:szCs w:val="21"/>
                      <w:lang w:val="en-US" w:eastAsia="zh-CN"/>
                    </w:rPr>
                    <w:t>92</w:t>
                  </w:r>
                  <w:r>
                    <w:rPr>
                      <w:rFonts w:hint="default" w:ascii="Times New Roman" w:hAnsi="Times New Roman" w:eastAsia="宋体" w:cs="Times New Roman"/>
                      <w:color w:val="auto"/>
                      <w:sz w:val="21"/>
                      <w:szCs w:val="21"/>
                      <w:lang w:val="en-US" w:eastAsia="zh-CN"/>
                    </w:rPr>
                    <w:t>%</w:t>
                  </w:r>
                </w:p>
              </w:tc>
              <w:tc>
                <w:tcPr>
                  <w:tcW w:w="794" w:type="dxa"/>
                  <w:shd w:val="clear" w:color="auto" w:fill="auto"/>
                  <w:vAlign w:val="center"/>
                </w:tcPr>
                <w:p w14:paraId="1ED9596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5.1</w:t>
                  </w:r>
                  <w:r>
                    <w:rPr>
                      <w:rFonts w:hint="eastAsia" w:cs="Times New Roman"/>
                      <w:i w:val="0"/>
                      <w:iCs w:val="0"/>
                      <w:color w:val="auto"/>
                      <w:kern w:val="0"/>
                      <w:sz w:val="21"/>
                      <w:szCs w:val="21"/>
                      <w:u w:val="none"/>
                      <w:lang w:val="en-US" w:eastAsia="zh-CN" w:bidi="ar"/>
                    </w:rPr>
                    <w:t>6</w:t>
                  </w:r>
                </w:p>
              </w:tc>
              <w:tc>
                <w:tcPr>
                  <w:tcW w:w="794" w:type="dxa"/>
                  <w:shd w:val="clear" w:color="auto" w:fill="auto"/>
                  <w:vAlign w:val="center"/>
                </w:tcPr>
                <w:p w14:paraId="315241C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1.7</w:t>
                  </w:r>
                  <w:r>
                    <w:rPr>
                      <w:rFonts w:hint="eastAsia" w:cs="Times New Roman"/>
                      <w:i w:val="0"/>
                      <w:iCs w:val="0"/>
                      <w:color w:val="auto"/>
                      <w:kern w:val="0"/>
                      <w:sz w:val="21"/>
                      <w:szCs w:val="21"/>
                      <w:u w:val="none"/>
                      <w:lang w:val="en-US" w:eastAsia="zh-CN" w:bidi="ar"/>
                    </w:rPr>
                    <w:t>2</w:t>
                  </w:r>
                </w:p>
              </w:tc>
              <w:tc>
                <w:tcPr>
                  <w:tcW w:w="804" w:type="dxa"/>
                  <w:shd w:val="clear" w:color="auto" w:fill="auto"/>
                  <w:vAlign w:val="center"/>
                </w:tcPr>
                <w:p w14:paraId="5F1D9D8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41.1</w:t>
                  </w:r>
                  <w:r>
                    <w:rPr>
                      <w:rFonts w:hint="eastAsia" w:cs="Times New Roman"/>
                      <w:i w:val="0"/>
                      <w:iCs w:val="0"/>
                      <w:color w:val="auto"/>
                      <w:kern w:val="0"/>
                      <w:sz w:val="21"/>
                      <w:szCs w:val="21"/>
                      <w:u w:val="none"/>
                      <w:lang w:val="en-US" w:eastAsia="zh-CN" w:bidi="ar"/>
                    </w:rPr>
                    <w:t>2</w:t>
                  </w:r>
                </w:p>
              </w:tc>
              <w:tc>
                <w:tcPr>
                  <w:tcW w:w="259" w:type="pct"/>
                  <w:vMerge w:val="restart"/>
                  <w:vAlign w:val="center"/>
                </w:tcPr>
                <w:p w14:paraId="263E78D3">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3000</w:t>
                  </w:r>
                </w:p>
              </w:tc>
              <w:tc>
                <w:tcPr>
                  <w:tcW w:w="487" w:type="pct"/>
                  <w:vMerge w:val="restart"/>
                  <w:vAlign w:val="center"/>
                </w:tcPr>
                <w:p w14:paraId="208602CC">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120</w:t>
                  </w:r>
                </w:p>
              </w:tc>
            </w:tr>
            <w:tr w14:paraId="452E7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4" w:type="pct"/>
                  <w:vAlign w:val="center"/>
                </w:tcPr>
                <w:p w14:paraId="151A3E72">
                  <w:pPr>
                    <w:adjustRightInd w:val="0"/>
                    <w:snapToGrid w:val="0"/>
                    <w:jc w:val="center"/>
                    <w:rPr>
                      <w:color w:val="auto"/>
                      <w:sz w:val="21"/>
                      <w:szCs w:val="21"/>
                    </w:rPr>
                  </w:pPr>
                  <w:r>
                    <w:rPr>
                      <w:rFonts w:hint="eastAsia"/>
                      <w:color w:val="auto"/>
                      <w:sz w:val="21"/>
                      <w:szCs w:val="21"/>
                    </w:rPr>
                    <w:t>DA002</w:t>
                  </w:r>
                </w:p>
              </w:tc>
              <w:tc>
                <w:tcPr>
                  <w:tcW w:w="355" w:type="pct"/>
                  <w:shd w:val="clear" w:color="auto" w:fill="auto"/>
                  <w:vAlign w:val="center"/>
                </w:tcPr>
                <w:p w14:paraId="27393144">
                  <w:pPr>
                    <w:adjustRightInd w:val="0"/>
                    <w:snapToGrid w:val="0"/>
                    <w:jc w:val="center"/>
                    <w:rPr>
                      <w:color w:val="auto"/>
                      <w:sz w:val="21"/>
                      <w:szCs w:val="21"/>
                    </w:rPr>
                  </w:pPr>
                  <w:r>
                    <w:rPr>
                      <w:rFonts w:hint="eastAsia"/>
                      <w:color w:val="auto"/>
                      <w:sz w:val="21"/>
                      <w:szCs w:val="21"/>
                      <w:lang w:val="en-US" w:eastAsia="zh-CN"/>
                    </w:rPr>
                    <w:t>反击破</w:t>
                  </w:r>
                </w:p>
              </w:tc>
              <w:tc>
                <w:tcPr>
                  <w:tcW w:w="344" w:type="pct"/>
                  <w:vAlign w:val="center"/>
                </w:tcPr>
                <w:p w14:paraId="6FD80726">
                  <w:pPr>
                    <w:adjustRightInd w:val="0"/>
                    <w:snapToGrid w:val="0"/>
                    <w:jc w:val="center"/>
                    <w:rPr>
                      <w:color w:val="auto"/>
                      <w:sz w:val="21"/>
                      <w:szCs w:val="21"/>
                    </w:rPr>
                  </w:pPr>
                  <w:r>
                    <w:rPr>
                      <w:rFonts w:hint="eastAsia"/>
                      <w:color w:val="auto"/>
                      <w:sz w:val="21"/>
                      <w:szCs w:val="21"/>
                      <w:lang w:val="en-US" w:eastAsia="zh-CN"/>
                    </w:rPr>
                    <w:t>颗粒物</w:t>
                  </w:r>
                </w:p>
              </w:tc>
              <w:tc>
                <w:tcPr>
                  <w:tcW w:w="366" w:type="pct"/>
                  <w:vAlign w:val="center"/>
                </w:tcPr>
                <w:p w14:paraId="6015D789">
                  <w:pPr>
                    <w:adjustRightInd w:val="0"/>
                    <w:snapToGrid w:val="0"/>
                    <w:jc w:val="center"/>
                    <w:rPr>
                      <w:color w:val="auto"/>
                      <w:sz w:val="21"/>
                      <w:szCs w:val="21"/>
                    </w:rPr>
                  </w:pPr>
                  <w:r>
                    <w:rPr>
                      <w:rFonts w:hint="eastAsia"/>
                      <w:color w:val="auto"/>
                      <w:sz w:val="21"/>
                      <w:szCs w:val="21"/>
                    </w:rPr>
                    <w:t>有组织</w:t>
                  </w:r>
                </w:p>
              </w:tc>
              <w:tc>
                <w:tcPr>
                  <w:tcW w:w="899" w:type="dxa"/>
                  <w:tcBorders>
                    <w:right w:val="single" w:color="000000" w:sz="8" w:space="0"/>
                  </w:tcBorders>
                  <w:vAlign w:val="center"/>
                </w:tcPr>
                <w:p w14:paraId="58F2BEF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1126.15</w:t>
                  </w:r>
                </w:p>
              </w:tc>
              <w:tc>
                <w:tcPr>
                  <w:tcW w:w="899" w:type="dxa"/>
                  <w:tcBorders>
                    <w:left w:val="single" w:color="000000" w:sz="8" w:space="0"/>
                  </w:tcBorders>
                  <w:shd w:val="clear" w:color="auto" w:fill="auto"/>
                  <w:vAlign w:val="center"/>
                </w:tcPr>
                <w:p w14:paraId="552CE73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375.38</w:t>
                  </w:r>
                </w:p>
              </w:tc>
              <w:tc>
                <w:tcPr>
                  <w:tcW w:w="1007" w:type="dxa"/>
                  <w:tcBorders>
                    <w:left w:val="single" w:color="auto" w:sz="4" w:space="0"/>
                  </w:tcBorders>
                  <w:shd w:val="clear" w:color="auto" w:fill="auto"/>
                  <w:vAlign w:val="center"/>
                </w:tcPr>
                <w:p w14:paraId="33A2926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22081.4</w:t>
                  </w:r>
                  <w:r>
                    <w:rPr>
                      <w:rFonts w:hint="eastAsia" w:cs="Times New Roman"/>
                      <w:i w:val="0"/>
                      <w:iCs w:val="0"/>
                      <w:color w:val="auto"/>
                      <w:kern w:val="0"/>
                      <w:sz w:val="21"/>
                      <w:szCs w:val="21"/>
                      <w:u w:val="none"/>
                      <w:lang w:val="en-US" w:eastAsia="zh-CN" w:bidi="ar"/>
                    </w:rPr>
                    <w:t>5</w:t>
                  </w:r>
                </w:p>
              </w:tc>
              <w:tc>
                <w:tcPr>
                  <w:tcW w:w="340" w:type="pct"/>
                  <w:vMerge w:val="continue"/>
                  <w:vAlign w:val="center"/>
                </w:tcPr>
                <w:p w14:paraId="3B669659">
                  <w:pPr>
                    <w:adjustRightInd w:val="0"/>
                    <w:snapToGrid w:val="0"/>
                    <w:jc w:val="center"/>
                    <w:rPr>
                      <w:rFonts w:hint="eastAsia" w:ascii="Times New Roman" w:hAnsi="Times New Roman" w:eastAsia="宋体" w:cs="Times New Roman"/>
                      <w:color w:val="auto"/>
                      <w:sz w:val="21"/>
                      <w:szCs w:val="21"/>
                      <w:lang w:val="en-US" w:eastAsia="zh-CN"/>
                    </w:rPr>
                  </w:pPr>
                </w:p>
              </w:tc>
              <w:tc>
                <w:tcPr>
                  <w:tcW w:w="352" w:type="pct"/>
                  <w:tcBorders>
                    <w:right w:val="single" w:color="000000" w:sz="8" w:space="0"/>
                  </w:tcBorders>
                  <w:shd w:val="clear" w:color="auto" w:fill="auto"/>
                  <w:vAlign w:val="center"/>
                </w:tcPr>
                <w:p w14:paraId="37B88832">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收集95%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处理99.9</w:t>
                  </w:r>
                  <w:r>
                    <w:rPr>
                      <w:rFonts w:hint="default" w:ascii="Times New Roman" w:hAnsi="Times New Roman" w:eastAsia="宋体" w:cs="Times New Roman"/>
                      <w:color w:val="auto"/>
                      <w:sz w:val="21"/>
                      <w:szCs w:val="21"/>
                      <w:lang w:val="en-US" w:eastAsia="zh-CN"/>
                    </w:rPr>
                    <w:t>%</w:t>
                  </w:r>
                </w:p>
              </w:tc>
              <w:tc>
                <w:tcPr>
                  <w:tcW w:w="794" w:type="dxa"/>
                  <w:shd w:val="clear" w:color="auto" w:fill="auto"/>
                  <w:vAlign w:val="center"/>
                </w:tcPr>
                <w:p w14:paraId="5420BD5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w:t>
                  </w:r>
                  <w:r>
                    <w:rPr>
                      <w:rFonts w:hint="eastAsia" w:cs="Times New Roman"/>
                      <w:i w:val="0"/>
                      <w:iCs w:val="0"/>
                      <w:color w:val="auto"/>
                      <w:kern w:val="0"/>
                      <w:sz w:val="21"/>
                      <w:szCs w:val="21"/>
                      <w:u w:val="none"/>
                      <w:lang w:val="en-US" w:eastAsia="zh-CN" w:bidi="ar"/>
                    </w:rPr>
                    <w:t>7</w:t>
                  </w:r>
                </w:p>
              </w:tc>
              <w:tc>
                <w:tcPr>
                  <w:tcW w:w="794" w:type="dxa"/>
                  <w:shd w:val="clear" w:color="auto" w:fill="auto"/>
                  <w:vAlign w:val="center"/>
                </w:tcPr>
                <w:p w14:paraId="113B043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r>
                    <w:rPr>
                      <w:rFonts w:hint="eastAsia" w:cs="Times New Roman"/>
                      <w:i w:val="0"/>
                      <w:iCs w:val="0"/>
                      <w:color w:val="auto"/>
                      <w:kern w:val="0"/>
                      <w:sz w:val="21"/>
                      <w:szCs w:val="21"/>
                      <w:u w:val="none"/>
                      <w:lang w:val="en-US" w:eastAsia="zh-CN" w:bidi="ar"/>
                    </w:rPr>
                    <w:t>6</w:t>
                  </w:r>
                </w:p>
              </w:tc>
              <w:tc>
                <w:tcPr>
                  <w:tcW w:w="804" w:type="dxa"/>
                  <w:shd w:val="clear" w:color="auto" w:fill="auto"/>
                  <w:vAlign w:val="center"/>
                </w:tcPr>
                <w:p w14:paraId="5B3A48A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15.51</w:t>
                  </w:r>
                </w:p>
              </w:tc>
              <w:tc>
                <w:tcPr>
                  <w:tcW w:w="259" w:type="pct"/>
                  <w:vMerge w:val="continue"/>
                  <w:vAlign w:val="center"/>
                </w:tcPr>
                <w:p w14:paraId="1DFA0DA1">
                  <w:pPr>
                    <w:adjustRightInd w:val="0"/>
                    <w:snapToGrid w:val="0"/>
                    <w:jc w:val="center"/>
                    <w:rPr>
                      <w:color w:val="auto"/>
                      <w:sz w:val="21"/>
                      <w:szCs w:val="21"/>
                    </w:rPr>
                  </w:pPr>
                </w:p>
              </w:tc>
              <w:tc>
                <w:tcPr>
                  <w:tcW w:w="487" w:type="pct"/>
                  <w:vMerge w:val="continue"/>
                  <w:vAlign w:val="center"/>
                </w:tcPr>
                <w:p w14:paraId="4F9F3DA1">
                  <w:pPr>
                    <w:adjustRightInd w:val="0"/>
                    <w:snapToGrid w:val="0"/>
                    <w:jc w:val="center"/>
                    <w:rPr>
                      <w:color w:val="auto"/>
                      <w:sz w:val="21"/>
                      <w:szCs w:val="21"/>
                    </w:rPr>
                  </w:pPr>
                </w:p>
              </w:tc>
            </w:tr>
            <w:tr w14:paraId="43D185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74" w:type="pct"/>
                  <w:vAlign w:val="center"/>
                </w:tcPr>
                <w:p w14:paraId="5BFF3C57">
                  <w:pPr>
                    <w:adjustRightInd w:val="0"/>
                    <w:snapToGrid w:val="0"/>
                    <w:jc w:val="center"/>
                    <w:rPr>
                      <w:color w:val="auto"/>
                      <w:sz w:val="21"/>
                      <w:szCs w:val="21"/>
                    </w:rPr>
                  </w:pPr>
                  <w:r>
                    <w:rPr>
                      <w:rFonts w:hint="eastAsia"/>
                      <w:color w:val="auto"/>
                      <w:sz w:val="21"/>
                      <w:szCs w:val="21"/>
                    </w:rPr>
                    <w:t>DA003</w:t>
                  </w:r>
                </w:p>
              </w:tc>
              <w:tc>
                <w:tcPr>
                  <w:tcW w:w="355" w:type="pct"/>
                  <w:vAlign w:val="center"/>
                </w:tcPr>
                <w:p w14:paraId="518BA2E4">
                  <w:pPr>
                    <w:adjustRightInd w:val="0"/>
                    <w:snapToGrid w:val="0"/>
                    <w:jc w:val="center"/>
                    <w:rPr>
                      <w:rFonts w:hint="default"/>
                      <w:color w:val="auto"/>
                      <w:sz w:val="21"/>
                      <w:szCs w:val="21"/>
                      <w:lang w:val="en-US"/>
                    </w:rPr>
                  </w:pPr>
                  <w:r>
                    <w:rPr>
                      <w:rFonts w:hint="eastAsia"/>
                      <w:color w:val="auto"/>
                      <w:sz w:val="21"/>
                      <w:szCs w:val="21"/>
                      <w:lang w:val="en-US" w:eastAsia="zh-CN"/>
                    </w:rPr>
                    <w:t>一级振动筛、分选</w:t>
                  </w:r>
                </w:p>
              </w:tc>
              <w:tc>
                <w:tcPr>
                  <w:tcW w:w="344" w:type="pct"/>
                  <w:vAlign w:val="center"/>
                </w:tcPr>
                <w:p w14:paraId="7C752DA5">
                  <w:pPr>
                    <w:adjustRightInd w:val="0"/>
                    <w:snapToGrid w:val="0"/>
                    <w:jc w:val="center"/>
                    <w:rPr>
                      <w:color w:val="auto"/>
                      <w:sz w:val="21"/>
                      <w:szCs w:val="21"/>
                    </w:rPr>
                  </w:pPr>
                  <w:r>
                    <w:rPr>
                      <w:rFonts w:hint="eastAsia"/>
                      <w:color w:val="auto"/>
                      <w:sz w:val="21"/>
                      <w:szCs w:val="21"/>
                      <w:lang w:val="en-US" w:eastAsia="zh-CN"/>
                    </w:rPr>
                    <w:t>颗粒物</w:t>
                  </w:r>
                </w:p>
              </w:tc>
              <w:tc>
                <w:tcPr>
                  <w:tcW w:w="366" w:type="pct"/>
                  <w:vAlign w:val="center"/>
                </w:tcPr>
                <w:p w14:paraId="0ADB6F98">
                  <w:pPr>
                    <w:adjustRightInd w:val="0"/>
                    <w:snapToGrid w:val="0"/>
                    <w:jc w:val="center"/>
                    <w:rPr>
                      <w:color w:val="auto"/>
                      <w:sz w:val="21"/>
                      <w:szCs w:val="21"/>
                    </w:rPr>
                  </w:pPr>
                  <w:r>
                    <w:rPr>
                      <w:rFonts w:hint="eastAsia"/>
                      <w:color w:val="auto"/>
                      <w:sz w:val="21"/>
                      <w:szCs w:val="21"/>
                    </w:rPr>
                    <w:t>有组织</w:t>
                  </w:r>
                </w:p>
              </w:tc>
              <w:tc>
                <w:tcPr>
                  <w:tcW w:w="899" w:type="dxa"/>
                  <w:tcBorders>
                    <w:right w:val="single" w:color="000000" w:sz="8" w:space="0"/>
                  </w:tcBorders>
                  <w:vAlign w:val="center"/>
                </w:tcPr>
                <w:p w14:paraId="7229AD08">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48.40</w:t>
                  </w:r>
                </w:p>
              </w:tc>
              <w:tc>
                <w:tcPr>
                  <w:tcW w:w="899" w:type="dxa"/>
                  <w:tcBorders>
                    <w:left w:val="single" w:color="000000" w:sz="8" w:space="0"/>
                  </w:tcBorders>
                  <w:shd w:val="clear" w:color="auto" w:fill="auto"/>
                  <w:vAlign w:val="center"/>
                </w:tcPr>
                <w:p w14:paraId="21474C3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16.13</w:t>
                  </w:r>
                </w:p>
              </w:tc>
              <w:tc>
                <w:tcPr>
                  <w:tcW w:w="1007" w:type="dxa"/>
                  <w:tcBorders>
                    <w:left w:val="single" w:color="auto" w:sz="4" w:space="0"/>
                  </w:tcBorders>
                  <w:shd w:val="clear" w:color="auto" w:fill="auto"/>
                  <w:vAlign w:val="center"/>
                </w:tcPr>
                <w:p w14:paraId="0382DA4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293.3</w:t>
                  </w:r>
                  <w:r>
                    <w:rPr>
                      <w:rFonts w:hint="eastAsia" w:cs="Times New Roman"/>
                      <w:i w:val="0"/>
                      <w:iCs w:val="0"/>
                      <w:color w:val="auto"/>
                      <w:kern w:val="0"/>
                      <w:sz w:val="21"/>
                      <w:szCs w:val="21"/>
                      <w:u w:val="none"/>
                      <w:lang w:val="en-US" w:eastAsia="zh-CN" w:bidi="ar"/>
                    </w:rPr>
                    <w:t>4</w:t>
                  </w:r>
                </w:p>
              </w:tc>
              <w:tc>
                <w:tcPr>
                  <w:tcW w:w="340" w:type="pct"/>
                  <w:vMerge w:val="continue"/>
                  <w:vAlign w:val="center"/>
                </w:tcPr>
                <w:p w14:paraId="504382E8">
                  <w:pPr>
                    <w:adjustRightInd w:val="0"/>
                    <w:snapToGrid w:val="0"/>
                    <w:jc w:val="center"/>
                    <w:rPr>
                      <w:rFonts w:hint="eastAsia" w:ascii="Times New Roman" w:hAnsi="Times New Roman" w:eastAsia="宋体" w:cs="Times New Roman"/>
                      <w:color w:val="auto"/>
                      <w:sz w:val="21"/>
                      <w:szCs w:val="21"/>
                      <w:lang w:val="en-US" w:eastAsia="zh-CN"/>
                    </w:rPr>
                  </w:pPr>
                </w:p>
              </w:tc>
              <w:tc>
                <w:tcPr>
                  <w:tcW w:w="352" w:type="pct"/>
                  <w:vMerge w:val="restart"/>
                  <w:tcBorders>
                    <w:right w:val="single" w:color="000000" w:sz="8" w:space="0"/>
                  </w:tcBorders>
                  <w:shd w:val="clear" w:color="auto" w:fill="auto"/>
                  <w:vAlign w:val="center"/>
                </w:tcPr>
                <w:p w14:paraId="45131F72">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收集95%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处理</w:t>
                  </w:r>
                  <w:r>
                    <w:rPr>
                      <w:rFonts w:hint="eastAsia" w:cs="Times New Roman"/>
                      <w:color w:val="auto"/>
                      <w:sz w:val="21"/>
                      <w:szCs w:val="21"/>
                      <w:lang w:val="en-US" w:eastAsia="zh-CN"/>
                    </w:rPr>
                    <w:t>92</w:t>
                  </w:r>
                  <w:r>
                    <w:rPr>
                      <w:rFonts w:hint="default" w:ascii="Times New Roman" w:hAnsi="Times New Roman" w:eastAsia="宋体" w:cs="Times New Roman"/>
                      <w:color w:val="auto"/>
                      <w:sz w:val="21"/>
                      <w:szCs w:val="21"/>
                      <w:lang w:val="en-US" w:eastAsia="zh-CN"/>
                    </w:rPr>
                    <w:t>%</w:t>
                  </w:r>
                </w:p>
              </w:tc>
              <w:tc>
                <w:tcPr>
                  <w:tcW w:w="794" w:type="dxa"/>
                  <w:shd w:val="clear" w:color="auto" w:fill="auto"/>
                  <w:vAlign w:val="center"/>
                </w:tcPr>
                <w:p w14:paraId="2A424D0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3.68</w:t>
                  </w:r>
                </w:p>
              </w:tc>
              <w:tc>
                <w:tcPr>
                  <w:tcW w:w="794" w:type="dxa"/>
                  <w:shd w:val="clear" w:color="auto" w:fill="auto"/>
                  <w:vAlign w:val="center"/>
                </w:tcPr>
                <w:p w14:paraId="0FE9F14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w:t>
                  </w:r>
                  <w:r>
                    <w:rPr>
                      <w:rFonts w:hint="eastAsia" w:cs="Times New Roman"/>
                      <w:i w:val="0"/>
                      <w:iCs w:val="0"/>
                      <w:color w:val="auto"/>
                      <w:kern w:val="0"/>
                      <w:sz w:val="21"/>
                      <w:szCs w:val="21"/>
                      <w:u w:val="none"/>
                      <w:lang w:val="en-US" w:eastAsia="zh-CN" w:bidi="ar"/>
                    </w:rPr>
                    <w:t>3</w:t>
                  </w:r>
                </w:p>
              </w:tc>
              <w:tc>
                <w:tcPr>
                  <w:tcW w:w="804" w:type="dxa"/>
                  <w:shd w:val="clear" w:color="auto" w:fill="auto"/>
                  <w:vAlign w:val="center"/>
                </w:tcPr>
                <w:p w14:paraId="2BC0BB6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22.29</w:t>
                  </w:r>
                </w:p>
              </w:tc>
              <w:tc>
                <w:tcPr>
                  <w:tcW w:w="259" w:type="pct"/>
                  <w:vMerge w:val="continue"/>
                  <w:vAlign w:val="center"/>
                </w:tcPr>
                <w:p w14:paraId="1C75209A">
                  <w:pPr>
                    <w:adjustRightInd w:val="0"/>
                    <w:snapToGrid w:val="0"/>
                    <w:jc w:val="center"/>
                    <w:rPr>
                      <w:color w:val="auto"/>
                      <w:sz w:val="21"/>
                      <w:szCs w:val="21"/>
                    </w:rPr>
                  </w:pPr>
                </w:p>
              </w:tc>
              <w:tc>
                <w:tcPr>
                  <w:tcW w:w="487" w:type="pct"/>
                  <w:vMerge w:val="continue"/>
                  <w:vAlign w:val="center"/>
                </w:tcPr>
                <w:p w14:paraId="31B37914">
                  <w:pPr>
                    <w:adjustRightInd w:val="0"/>
                    <w:snapToGrid w:val="0"/>
                    <w:jc w:val="center"/>
                    <w:rPr>
                      <w:color w:val="auto"/>
                      <w:sz w:val="21"/>
                      <w:szCs w:val="21"/>
                    </w:rPr>
                  </w:pPr>
                </w:p>
              </w:tc>
            </w:tr>
            <w:tr w14:paraId="6F2F3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74" w:type="pct"/>
                  <w:vAlign w:val="center"/>
                </w:tcPr>
                <w:p w14:paraId="630C3E21">
                  <w:pPr>
                    <w:adjustRightInd w:val="0"/>
                    <w:snapToGrid w:val="0"/>
                    <w:jc w:val="center"/>
                    <w:rPr>
                      <w:color w:val="auto"/>
                      <w:sz w:val="21"/>
                      <w:szCs w:val="21"/>
                    </w:rPr>
                  </w:pPr>
                  <w:r>
                    <w:rPr>
                      <w:rFonts w:hint="eastAsia"/>
                      <w:color w:val="auto"/>
                      <w:sz w:val="21"/>
                      <w:szCs w:val="21"/>
                    </w:rPr>
                    <w:t>DA004</w:t>
                  </w:r>
                </w:p>
              </w:tc>
              <w:tc>
                <w:tcPr>
                  <w:tcW w:w="355" w:type="pct"/>
                  <w:vAlign w:val="center"/>
                </w:tcPr>
                <w:p w14:paraId="2684909B">
                  <w:pPr>
                    <w:adjustRightInd w:val="0"/>
                    <w:snapToGrid w:val="0"/>
                    <w:jc w:val="center"/>
                    <w:rPr>
                      <w:rFonts w:hint="default"/>
                      <w:color w:val="auto"/>
                      <w:sz w:val="21"/>
                      <w:szCs w:val="21"/>
                      <w:lang w:val="en-US"/>
                    </w:rPr>
                  </w:pPr>
                  <w:r>
                    <w:rPr>
                      <w:rFonts w:hint="eastAsia"/>
                      <w:color w:val="auto"/>
                      <w:sz w:val="21"/>
                      <w:szCs w:val="21"/>
                      <w:lang w:val="en-US" w:eastAsia="zh-CN"/>
                    </w:rPr>
                    <w:t>二级振动筛、分选</w:t>
                  </w:r>
                </w:p>
              </w:tc>
              <w:tc>
                <w:tcPr>
                  <w:tcW w:w="344" w:type="pct"/>
                  <w:vAlign w:val="center"/>
                </w:tcPr>
                <w:p w14:paraId="2BEBE802">
                  <w:pPr>
                    <w:adjustRightInd w:val="0"/>
                    <w:snapToGrid w:val="0"/>
                    <w:jc w:val="center"/>
                    <w:rPr>
                      <w:color w:val="auto"/>
                      <w:sz w:val="21"/>
                      <w:szCs w:val="21"/>
                    </w:rPr>
                  </w:pPr>
                  <w:r>
                    <w:rPr>
                      <w:rFonts w:hint="eastAsia"/>
                      <w:color w:val="auto"/>
                      <w:sz w:val="21"/>
                      <w:szCs w:val="21"/>
                      <w:lang w:val="en-US" w:eastAsia="zh-CN"/>
                    </w:rPr>
                    <w:t>颗粒物</w:t>
                  </w:r>
                </w:p>
              </w:tc>
              <w:tc>
                <w:tcPr>
                  <w:tcW w:w="366" w:type="pct"/>
                  <w:vAlign w:val="center"/>
                </w:tcPr>
                <w:p w14:paraId="52D447A9">
                  <w:pPr>
                    <w:adjustRightInd w:val="0"/>
                    <w:snapToGrid w:val="0"/>
                    <w:jc w:val="center"/>
                    <w:rPr>
                      <w:color w:val="auto"/>
                      <w:sz w:val="21"/>
                      <w:szCs w:val="21"/>
                    </w:rPr>
                  </w:pPr>
                  <w:r>
                    <w:rPr>
                      <w:rFonts w:hint="eastAsia"/>
                      <w:color w:val="auto"/>
                      <w:sz w:val="21"/>
                      <w:szCs w:val="21"/>
                    </w:rPr>
                    <w:t>有组织</w:t>
                  </w:r>
                </w:p>
              </w:tc>
              <w:tc>
                <w:tcPr>
                  <w:tcW w:w="899" w:type="dxa"/>
                  <w:tcBorders>
                    <w:right w:val="single" w:color="000000" w:sz="8" w:space="0"/>
                  </w:tcBorders>
                  <w:vAlign w:val="center"/>
                </w:tcPr>
                <w:p w14:paraId="2DB2F92B">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12.9</w:t>
                  </w:r>
                  <w:r>
                    <w:rPr>
                      <w:rFonts w:hint="eastAsia" w:cs="Times New Roman"/>
                      <w:i w:val="0"/>
                      <w:iCs w:val="0"/>
                      <w:color w:val="auto"/>
                      <w:kern w:val="0"/>
                      <w:sz w:val="21"/>
                      <w:szCs w:val="21"/>
                      <w:u w:val="none"/>
                      <w:lang w:val="en-US" w:eastAsia="zh-CN" w:bidi="ar"/>
                    </w:rPr>
                    <w:t>4</w:t>
                  </w:r>
                </w:p>
              </w:tc>
              <w:tc>
                <w:tcPr>
                  <w:tcW w:w="899" w:type="dxa"/>
                  <w:tcBorders>
                    <w:left w:val="single" w:color="000000" w:sz="8" w:space="0"/>
                  </w:tcBorders>
                  <w:shd w:val="clear" w:color="auto" w:fill="auto"/>
                  <w:vAlign w:val="center"/>
                </w:tcPr>
                <w:p w14:paraId="3828BF6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4.31</w:t>
                  </w:r>
                </w:p>
              </w:tc>
              <w:tc>
                <w:tcPr>
                  <w:tcW w:w="1007" w:type="dxa"/>
                  <w:tcBorders>
                    <w:left w:val="single" w:color="auto" w:sz="4" w:space="0"/>
                  </w:tcBorders>
                  <w:shd w:val="clear" w:color="auto" w:fill="auto"/>
                  <w:vAlign w:val="center"/>
                </w:tcPr>
                <w:p w14:paraId="261BDB1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165.8</w:t>
                  </w:r>
                  <w:r>
                    <w:rPr>
                      <w:rFonts w:hint="eastAsia" w:cs="Times New Roman"/>
                      <w:i w:val="0"/>
                      <w:iCs w:val="0"/>
                      <w:color w:val="auto"/>
                      <w:kern w:val="0"/>
                      <w:sz w:val="21"/>
                      <w:szCs w:val="21"/>
                      <w:u w:val="none"/>
                      <w:lang w:val="en-US" w:eastAsia="zh-CN" w:bidi="ar"/>
                    </w:rPr>
                    <w:t>4</w:t>
                  </w:r>
                </w:p>
              </w:tc>
              <w:tc>
                <w:tcPr>
                  <w:tcW w:w="340" w:type="pct"/>
                  <w:vMerge w:val="continue"/>
                  <w:vAlign w:val="center"/>
                </w:tcPr>
                <w:p w14:paraId="2246FBD1">
                  <w:pPr>
                    <w:adjustRightInd w:val="0"/>
                    <w:snapToGrid w:val="0"/>
                    <w:jc w:val="center"/>
                    <w:rPr>
                      <w:rFonts w:hint="eastAsia" w:ascii="Times New Roman" w:hAnsi="Times New Roman" w:eastAsia="宋体" w:cs="Times New Roman"/>
                      <w:color w:val="auto"/>
                      <w:sz w:val="21"/>
                      <w:szCs w:val="21"/>
                      <w:lang w:val="en-US" w:eastAsia="zh-CN"/>
                    </w:rPr>
                  </w:pPr>
                </w:p>
              </w:tc>
              <w:tc>
                <w:tcPr>
                  <w:tcW w:w="352" w:type="pct"/>
                  <w:vMerge w:val="continue"/>
                  <w:tcBorders>
                    <w:right w:val="single" w:color="000000" w:sz="8" w:space="0"/>
                  </w:tcBorders>
                  <w:vAlign w:val="center"/>
                </w:tcPr>
                <w:p w14:paraId="52294EC0">
                  <w:pPr>
                    <w:adjustRightInd w:val="0"/>
                    <w:snapToGrid w:val="0"/>
                    <w:jc w:val="center"/>
                    <w:rPr>
                      <w:rFonts w:hint="eastAsia" w:ascii="Times New Roman" w:hAnsi="Times New Roman" w:eastAsia="宋体" w:cs="Times New Roman"/>
                      <w:color w:val="auto"/>
                      <w:sz w:val="21"/>
                      <w:szCs w:val="21"/>
                      <w:lang w:val="en-US" w:eastAsia="zh-CN"/>
                    </w:rPr>
                  </w:pPr>
                </w:p>
              </w:tc>
              <w:tc>
                <w:tcPr>
                  <w:tcW w:w="794" w:type="dxa"/>
                  <w:shd w:val="clear" w:color="auto" w:fill="auto"/>
                  <w:vAlign w:val="center"/>
                </w:tcPr>
                <w:p w14:paraId="7A483C2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0.98</w:t>
                  </w:r>
                </w:p>
              </w:tc>
              <w:tc>
                <w:tcPr>
                  <w:tcW w:w="794" w:type="dxa"/>
                  <w:shd w:val="clear" w:color="auto" w:fill="auto"/>
                  <w:vAlign w:val="center"/>
                </w:tcPr>
                <w:p w14:paraId="5879820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r>
                    <w:rPr>
                      <w:rFonts w:hint="eastAsia" w:cs="Times New Roman"/>
                      <w:i w:val="0"/>
                      <w:iCs w:val="0"/>
                      <w:color w:val="auto"/>
                      <w:kern w:val="0"/>
                      <w:sz w:val="21"/>
                      <w:szCs w:val="21"/>
                      <w:u w:val="none"/>
                      <w:lang w:val="en-US" w:eastAsia="zh-CN" w:bidi="ar"/>
                    </w:rPr>
                    <w:t>3</w:t>
                  </w:r>
                </w:p>
              </w:tc>
              <w:tc>
                <w:tcPr>
                  <w:tcW w:w="804" w:type="dxa"/>
                  <w:shd w:val="clear" w:color="auto" w:fill="auto"/>
                  <w:vAlign w:val="center"/>
                </w:tcPr>
                <w:p w14:paraId="69A0545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12.60</w:t>
                  </w:r>
                </w:p>
              </w:tc>
              <w:tc>
                <w:tcPr>
                  <w:tcW w:w="259" w:type="pct"/>
                  <w:vMerge w:val="continue"/>
                  <w:vAlign w:val="center"/>
                </w:tcPr>
                <w:p w14:paraId="398839BF">
                  <w:pPr>
                    <w:adjustRightInd w:val="0"/>
                    <w:snapToGrid w:val="0"/>
                    <w:jc w:val="center"/>
                    <w:rPr>
                      <w:color w:val="auto"/>
                      <w:sz w:val="21"/>
                      <w:szCs w:val="21"/>
                    </w:rPr>
                  </w:pPr>
                </w:p>
              </w:tc>
              <w:tc>
                <w:tcPr>
                  <w:tcW w:w="487" w:type="pct"/>
                  <w:vMerge w:val="continue"/>
                  <w:vAlign w:val="center"/>
                </w:tcPr>
                <w:p w14:paraId="6AF57B60">
                  <w:pPr>
                    <w:adjustRightInd w:val="0"/>
                    <w:snapToGrid w:val="0"/>
                    <w:jc w:val="center"/>
                    <w:rPr>
                      <w:color w:val="auto"/>
                      <w:sz w:val="21"/>
                      <w:szCs w:val="21"/>
                    </w:rPr>
                  </w:pPr>
                </w:p>
              </w:tc>
            </w:tr>
            <w:tr w14:paraId="40FEC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374" w:type="pct"/>
                  <w:vAlign w:val="center"/>
                </w:tcPr>
                <w:p w14:paraId="12D2B396">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DA005</w:t>
                  </w:r>
                </w:p>
              </w:tc>
              <w:tc>
                <w:tcPr>
                  <w:tcW w:w="355" w:type="pct"/>
                  <w:vAlign w:val="center"/>
                </w:tcPr>
                <w:p w14:paraId="162DEB83">
                  <w:pPr>
                    <w:adjustRightInd w:val="0"/>
                    <w:snapToGrid w:val="0"/>
                    <w:jc w:val="center"/>
                    <w:rPr>
                      <w:rFonts w:hint="default"/>
                      <w:color w:val="auto"/>
                      <w:sz w:val="21"/>
                      <w:szCs w:val="21"/>
                      <w:lang w:val="en-US" w:eastAsia="zh-CN"/>
                    </w:rPr>
                  </w:pPr>
                  <w:r>
                    <w:rPr>
                      <w:rFonts w:hint="eastAsia"/>
                      <w:color w:val="auto"/>
                      <w:sz w:val="21"/>
                      <w:szCs w:val="21"/>
                      <w:lang w:val="en-US" w:eastAsia="zh-CN"/>
                    </w:rPr>
                    <w:t>前处理</w:t>
                  </w:r>
                </w:p>
              </w:tc>
              <w:tc>
                <w:tcPr>
                  <w:tcW w:w="344" w:type="pct"/>
                  <w:vAlign w:val="center"/>
                </w:tcPr>
                <w:p w14:paraId="391C3D5A">
                  <w:pPr>
                    <w:adjustRightInd w:val="0"/>
                    <w:snapToGrid w:val="0"/>
                    <w:jc w:val="center"/>
                    <w:rPr>
                      <w:rFonts w:hint="eastAsia"/>
                      <w:color w:val="auto"/>
                      <w:sz w:val="21"/>
                      <w:szCs w:val="21"/>
                      <w:lang w:val="en-US" w:eastAsia="zh-CN"/>
                    </w:rPr>
                  </w:pPr>
                  <w:r>
                    <w:rPr>
                      <w:rFonts w:hint="eastAsia"/>
                      <w:color w:val="auto"/>
                      <w:sz w:val="21"/>
                      <w:szCs w:val="21"/>
                      <w:lang w:val="en-US" w:eastAsia="zh-CN"/>
                    </w:rPr>
                    <w:t>颗粒物</w:t>
                  </w:r>
                </w:p>
              </w:tc>
              <w:tc>
                <w:tcPr>
                  <w:tcW w:w="366" w:type="pct"/>
                  <w:vAlign w:val="center"/>
                </w:tcPr>
                <w:p w14:paraId="17E88CA5">
                  <w:pPr>
                    <w:adjustRightInd w:val="0"/>
                    <w:snapToGrid w:val="0"/>
                    <w:jc w:val="center"/>
                    <w:rPr>
                      <w:rFonts w:hint="eastAsia"/>
                      <w:color w:val="auto"/>
                      <w:sz w:val="21"/>
                      <w:szCs w:val="21"/>
                    </w:rPr>
                  </w:pPr>
                  <w:r>
                    <w:rPr>
                      <w:rFonts w:hint="eastAsia"/>
                      <w:color w:val="auto"/>
                      <w:sz w:val="21"/>
                      <w:szCs w:val="21"/>
                    </w:rPr>
                    <w:t>有组织</w:t>
                  </w:r>
                </w:p>
              </w:tc>
              <w:tc>
                <w:tcPr>
                  <w:tcW w:w="899" w:type="dxa"/>
                  <w:tcBorders>
                    <w:right w:val="single" w:color="000000" w:sz="8" w:space="0"/>
                  </w:tcBorders>
                  <w:vAlign w:val="center"/>
                </w:tcPr>
                <w:p w14:paraId="097C0BDA">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6.45</w:t>
                  </w:r>
                </w:p>
              </w:tc>
              <w:tc>
                <w:tcPr>
                  <w:tcW w:w="899" w:type="dxa"/>
                  <w:tcBorders>
                    <w:left w:val="single" w:color="000000" w:sz="8" w:space="0"/>
                  </w:tcBorders>
                  <w:shd w:val="clear" w:color="auto" w:fill="auto"/>
                  <w:vAlign w:val="center"/>
                </w:tcPr>
                <w:p w14:paraId="06E65190">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2.15</w:t>
                  </w:r>
                </w:p>
              </w:tc>
              <w:tc>
                <w:tcPr>
                  <w:tcW w:w="1007" w:type="dxa"/>
                  <w:tcBorders>
                    <w:left w:val="single" w:color="auto" w:sz="4" w:space="0"/>
                  </w:tcBorders>
                  <w:shd w:val="clear" w:color="auto" w:fill="auto"/>
                  <w:vAlign w:val="center"/>
                </w:tcPr>
                <w:p w14:paraId="244AF06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107.5</w:t>
                  </w:r>
                  <w:r>
                    <w:rPr>
                      <w:rFonts w:hint="eastAsia" w:cs="Times New Roman"/>
                      <w:i w:val="0"/>
                      <w:iCs w:val="0"/>
                      <w:color w:val="auto"/>
                      <w:kern w:val="0"/>
                      <w:sz w:val="21"/>
                      <w:szCs w:val="21"/>
                      <w:u w:val="none"/>
                      <w:lang w:val="en-US" w:eastAsia="zh-CN" w:bidi="ar"/>
                    </w:rPr>
                    <w:t>0</w:t>
                  </w:r>
                </w:p>
              </w:tc>
              <w:tc>
                <w:tcPr>
                  <w:tcW w:w="340" w:type="pct"/>
                  <w:vMerge w:val="continue"/>
                  <w:vAlign w:val="center"/>
                </w:tcPr>
                <w:p w14:paraId="4AE66D2D">
                  <w:pPr>
                    <w:adjustRightInd w:val="0"/>
                    <w:snapToGrid w:val="0"/>
                    <w:jc w:val="center"/>
                    <w:rPr>
                      <w:rFonts w:hint="eastAsia" w:ascii="Times New Roman" w:hAnsi="Times New Roman" w:eastAsia="宋体" w:cs="Times New Roman"/>
                      <w:color w:val="auto"/>
                      <w:sz w:val="21"/>
                      <w:szCs w:val="21"/>
                      <w:lang w:val="en-US" w:eastAsia="zh-CN"/>
                    </w:rPr>
                  </w:pPr>
                </w:p>
              </w:tc>
              <w:tc>
                <w:tcPr>
                  <w:tcW w:w="352" w:type="pct"/>
                  <w:vMerge w:val="continue"/>
                  <w:tcBorders>
                    <w:right w:val="single" w:color="000000" w:sz="8" w:space="0"/>
                  </w:tcBorders>
                  <w:vAlign w:val="center"/>
                </w:tcPr>
                <w:p w14:paraId="775C2AE2">
                  <w:pPr>
                    <w:adjustRightInd w:val="0"/>
                    <w:snapToGrid w:val="0"/>
                    <w:jc w:val="center"/>
                    <w:rPr>
                      <w:rFonts w:hint="eastAsia" w:ascii="Times New Roman" w:hAnsi="Times New Roman" w:eastAsia="宋体" w:cs="Times New Roman"/>
                      <w:color w:val="auto"/>
                      <w:sz w:val="21"/>
                      <w:szCs w:val="21"/>
                      <w:lang w:val="en-US" w:eastAsia="zh-CN"/>
                    </w:rPr>
                  </w:pPr>
                </w:p>
              </w:tc>
              <w:tc>
                <w:tcPr>
                  <w:tcW w:w="794" w:type="dxa"/>
                  <w:shd w:val="clear" w:color="auto" w:fill="auto"/>
                  <w:vAlign w:val="center"/>
                </w:tcPr>
                <w:p w14:paraId="3B819015">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794" w:type="dxa"/>
                  <w:shd w:val="clear" w:color="auto" w:fill="auto"/>
                  <w:vAlign w:val="center"/>
                </w:tcPr>
                <w:p w14:paraId="2D1C8F99">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0.16</w:t>
                  </w:r>
                </w:p>
              </w:tc>
              <w:tc>
                <w:tcPr>
                  <w:tcW w:w="804" w:type="dxa"/>
                  <w:shd w:val="clear" w:color="auto" w:fill="auto"/>
                  <w:vAlign w:val="center"/>
                </w:tcPr>
                <w:p w14:paraId="712B6D68">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8.17</w:t>
                  </w:r>
                </w:p>
              </w:tc>
              <w:tc>
                <w:tcPr>
                  <w:tcW w:w="259" w:type="pct"/>
                  <w:vMerge w:val="continue"/>
                  <w:vAlign w:val="center"/>
                </w:tcPr>
                <w:p w14:paraId="1DB3D4CB">
                  <w:pPr>
                    <w:adjustRightInd w:val="0"/>
                    <w:snapToGrid w:val="0"/>
                    <w:jc w:val="center"/>
                    <w:rPr>
                      <w:color w:val="auto"/>
                      <w:sz w:val="21"/>
                      <w:szCs w:val="21"/>
                    </w:rPr>
                  </w:pPr>
                </w:p>
              </w:tc>
              <w:tc>
                <w:tcPr>
                  <w:tcW w:w="487" w:type="pct"/>
                  <w:vMerge w:val="continue"/>
                  <w:vAlign w:val="center"/>
                </w:tcPr>
                <w:p w14:paraId="61CF6ABE">
                  <w:pPr>
                    <w:adjustRightInd w:val="0"/>
                    <w:snapToGrid w:val="0"/>
                    <w:jc w:val="center"/>
                    <w:rPr>
                      <w:color w:val="auto"/>
                      <w:sz w:val="21"/>
                      <w:szCs w:val="21"/>
                    </w:rPr>
                  </w:pPr>
                </w:p>
              </w:tc>
            </w:tr>
            <w:tr w14:paraId="0E633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0" w:type="pct"/>
                  <w:gridSpan w:val="2"/>
                  <w:vAlign w:val="center"/>
                </w:tcPr>
                <w:p w14:paraId="10ACADB5">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破碎筛分分选粉尘</w:t>
                  </w:r>
                </w:p>
              </w:tc>
              <w:tc>
                <w:tcPr>
                  <w:tcW w:w="344" w:type="pct"/>
                  <w:vMerge w:val="restart"/>
                  <w:vAlign w:val="center"/>
                </w:tcPr>
                <w:p w14:paraId="3FF6021D">
                  <w:pPr>
                    <w:keepNext w:val="0"/>
                    <w:keepLines w:val="0"/>
                    <w:pageBreakBefore w:val="0"/>
                    <w:widowControl w:val="0"/>
                    <w:kinsoku/>
                    <w:wordWrap/>
                    <w:overflowPunct/>
                    <w:topLinePunct w:val="0"/>
                    <w:autoSpaceDE/>
                    <w:autoSpaceDN/>
                    <w:bidi w:val="0"/>
                    <w:adjustRightInd w:val="0"/>
                    <w:snapToGrid w:val="0"/>
                    <w:jc w:val="center"/>
                    <w:textAlignment w:val="auto"/>
                    <w:rPr>
                      <w:color w:val="auto"/>
                      <w:sz w:val="21"/>
                      <w:szCs w:val="21"/>
                    </w:rPr>
                  </w:pPr>
                  <w:r>
                    <w:rPr>
                      <w:rFonts w:hint="eastAsia"/>
                      <w:color w:val="auto"/>
                      <w:sz w:val="21"/>
                      <w:szCs w:val="21"/>
                      <w:lang w:val="en-US" w:eastAsia="zh-CN"/>
                    </w:rPr>
                    <w:t>颗粒物</w:t>
                  </w:r>
                </w:p>
              </w:tc>
              <w:tc>
                <w:tcPr>
                  <w:tcW w:w="366" w:type="pct"/>
                  <w:vMerge w:val="restart"/>
                  <w:vAlign w:val="center"/>
                </w:tcPr>
                <w:p w14:paraId="1246D7C2">
                  <w:pPr>
                    <w:keepNext w:val="0"/>
                    <w:keepLines w:val="0"/>
                    <w:pageBreakBefore w:val="0"/>
                    <w:widowControl w:val="0"/>
                    <w:kinsoku/>
                    <w:wordWrap/>
                    <w:overflowPunct/>
                    <w:topLinePunct w:val="0"/>
                    <w:autoSpaceDE/>
                    <w:autoSpaceDN/>
                    <w:bidi w:val="0"/>
                    <w:adjustRightInd w:val="0"/>
                    <w:snapToGrid w:val="0"/>
                    <w:jc w:val="center"/>
                    <w:textAlignment w:val="auto"/>
                    <w:rPr>
                      <w:color w:val="auto"/>
                      <w:sz w:val="21"/>
                      <w:szCs w:val="21"/>
                    </w:rPr>
                  </w:pPr>
                  <w:r>
                    <w:rPr>
                      <w:rFonts w:hint="eastAsia"/>
                      <w:color w:val="auto"/>
                      <w:sz w:val="21"/>
                      <w:szCs w:val="21"/>
                    </w:rPr>
                    <w:t>无组织</w:t>
                  </w:r>
                </w:p>
              </w:tc>
              <w:tc>
                <w:tcPr>
                  <w:tcW w:w="366" w:type="pct"/>
                  <w:tcBorders>
                    <w:right w:val="single" w:color="000000" w:sz="8" w:space="0"/>
                  </w:tcBorders>
                  <w:vAlign w:val="center"/>
                </w:tcPr>
                <w:p w14:paraId="4E184183">
                  <w:pPr>
                    <w:adjustRightInd w:val="0"/>
                    <w:snapToGrid w:val="0"/>
                    <w:jc w:val="center"/>
                    <w:rPr>
                      <w:rFonts w:hint="default" w:eastAsia="宋体"/>
                      <w:color w:val="auto"/>
                      <w:sz w:val="21"/>
                      <w:szCs w:val="21"/>
                      <w:lang w:val="en-US" w:eastAsia="zh-CN"/>
                    </w:rPr>
                  </w:pPr>
                  <w:r>
                    <w:rPr>
                      <w:rFonts w:hint="eastAsia" w:cs="Times New Roman"/>
                      <w:color w:val="auto"/>
                      <w:sz w:val="21"/>
                      <w:szCs w:val="21"/>
                      <w:lang w:val="en-US" w:eastAsia="zh-CN"/>
                    </w:rPr>
                    <w:t>63.09</w:t>
                  </w:r>
                </w:p>
              </w:tc>
              <w:tc>
                <w:tcPr>
                  <w:tcW w:w="366" w:type="pct"/>
                  <w:tcBorders>
                    <w:left w:val="single" w:color="000000" w:sz="8" w:space="0"/>
                  </w:tcBorders>
                  <w:vAlign w:val="center"/>
                </w:tcPr>
                <w:p w14:paraId="6F6347DB">
                  <w:pPr>
                    <w:adjustRightInd w:val="0"/>
                    <w:snapToGrid w:val="0"/>
                    <w:jc w:val="center"/>
                    <w:rPr>
                      <w:rFonts w:hint="default" w:eastAsia="宋体"/>
                      <w:color w:val="auto"/>
                      <w:sz w:val="21"/>
                      <w:szCs w:val="21"/>
                      <w:lang w:val="en-US" w:eastAsia="zh-CN"/>
                    </w:rPr>
                  </w:pPr>
                  <w:r>
                    <w:rPr>
                      <w:rFonts w:hint="eastAsia" w:cs="Times New Roman"/>
                      <w:color w:val="auto"/>
                      <w:sz w:val="21"/>
                      <w:szCs w:val="21"/>
                      <w:lang w:val="en-US" w:eastAsia="zh-CN"/>
                    </w:rPr>
                    <w:t>21.03</w:t>
                  </w:r>
                </w:p>
              </w:tc>
              <w:tc>
                <w:tcPr>
                  <w:tcW w:w="409" w:type="pct"/>
                  <w:vMerge w:val="restart"/>
                  <w:tcBorders>
                    <w:left w:val="single" w:color="auto" w:sz="4" w:space="0"/>
                  </w:tcBorders>
                  <w:vAlign w:val="center"/>
                </w:tcPr>
                <w:p w14:paraId="4AE8A51D">
                  <w:pPr>
                    <w:adjustRightInd w:val="0"/>
                    <w:snapToGrid w:val="0"/>
                    <w:jc w:val="center"/>
                    <w:rPr>
                      <w:color w:val="auto"/>
                      <w:sz w:val="21"/>
                      <w:szCs w:val="21"/>
                    </w:rPr>
                  </w:pPr>
                  <w:r>
                    <w:rPr>
                      <w:rFonts w:hint="eastAsia"/>
                      <w:color w:val="auto"/>
                      <w:sz w:val="21"/>
                      <w:szCs w:val="21"/>
                    </w:rPr>
                    <w:t>/</w:t>
                  </w:r>
                </w:p>
              </w:tc>
              <w:tc>
                <w:tcPr>
                  <w:tcW w:w="340" w:type="pct"/>
                  <w:vAlign w:val="center"/>
                </w:tcPr>
                <w:p w14:paraId="01EFFBC8">
                  <w:pPr>
                    <w:adjustRightInd w:val="0"/>
                    <w:snapToGrid w:val="0"/>
                    <w:jc w:val="center"/>
                    <w:rPr>
                      <w:color w:val="auto"/>
                      <w:sz w:val="21"/>
                      <w:szCs w:val="21"/>
                    </w:rPr>
                  </w:pPr>
                  <w:r>
                    <w:rPr>
                      <w:color w:val="auto"/>
                      <w:sz w:val="21"/>
                      <w:szCs w:val="21"/>
                    </w:rPr>
                    <w:t>喷淋</w:t>
                  </w:r>
                  <w:r>
                    <w:rPr>
                      <w:rFonts w:hint="eastAsia"/>
                      <w:color w:val="auto"/>
                      <w:sz w:val="21"/>
                      <w:szCs w:val="21"/>
                      <w:lang w:val="en-US" w:eastAsia="zh-CN"/>
                    </w:rPr>
                    <w:t>除尘</w:t>
                  </w:r>
                  <w:r>
                    <w:rPr>
                      <w:rFonts w:hint="eastAsia"/>
                      <w:color w:val="auto"/>
                      <w:sz w:val="21"/>
                      <w:szCs w:val="21"/>
                    </w:rPr>
                    <w:t>、</w:t>
                  </w:r>
                  <w:r>
                    <w:rPr>
                      <w:color w:val="auto"/>
                      <w:sz w:val="21"/>
                      <w:szCs w:val="21"/>
                    </w:rPr>
                    <w:t>厂房隔挡</w:t>
                  </w:r>
                </w:p>
              </w:tc>
              <w:tc>
                <w:tcPr>
                  <w:tcW w:w="352" w:type="pct"/>
                  <w:tcBorders>
                    <w:right w:val="single" w:color="000000" w:sz="8" w:space="0"/>
                  </w:tcBorders>
                  <w:vAlign w:val="center"/>
                </w:tcPr>
                <w:p w14:paraId="65C2AB5D">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处理60%</w:t>
                  </w:r>
                </w:p>
              </w:tc>
              <w:tc>
                <w:tcPr>
                  <w:tcW w:w="323" w:type="pct"/>
                  <w:vAlign w:val="center"/>
                </w:tcPr>
                <w:p w14:paraId="72295462">
                  <w:pPr>
                    <w:adjustRightInd w:val="0"/>
                    <w:snapToGrid w:val="0"/>
                    <w:jc w:val="center"/>
                    <w:rPr>
                      <w:rFonts w:hint="default" w:eastAsia="宋体"/>
                      <w:color w:val="auto"/>
                      <w:sz w:val="21"/>
                      <w:szCs w:val="21"/>
                      <w:lang w:val="en-US" w:eastAsia="zh-CN"/>
                    </w:rPr>
                  </w:pPr>
                  <w:r>
                    <w:rPr>
                      <w:rFonts w:hint="eastAsia" w:cs="Times New Roman"/>
                      <w:color w:val="auto"/>
                      <w:sz w:val="21"/>
                      <w:szCs w:val="21"/>
                      <w:lang w:val="en-US" w:eastAsia="zh-CN"/>
                    </w:rPr>
                    <w:t>25.24</w:t>
                  </w:r>
                </w:p>
              </w:tc>
              <w:tc>
                <w:tcPr>
                  <w:tcW w:w="323" w:type="pct"/>
                  <w:vAlign w:val="center"/>
                </w:tcPr>
                <w:p w14:paraId="64F649D6">
                  <w:pPr>
                    <w:adjustRightInd w:val="0"/>
                    <w:snapToGrid w:val="0"/>
                    <w:jc w:val="center"/>
                    <w:rPr>
                      <w:rFonts w:hint="default" w:eastAsia="宋体"/>
                      <w:color w:val="auto"/>
                      <w:sz w:val="21"/>
                      <w:szCs w:val="21"/>
                      <w:lang w:val="en-US" w:eastAsia="zh-CN"/>
                    </w:rPr>
                  </w:pPr>
                  <w:r>
                    <w:rPr>
                      <w:rFonts w:hint="eastAsia" w:cs="Times New Roman"/>
                      <w:color w:val="auto"/>
                      <w:sz w:val="21"/>
                      <w:szCs w:val="21"/>
                      <w:lang w:val="en-US" w:eastAsia="zh-CN"/>
                    </w:rPr>
                    <w:t>8.41</w:t>
                  </w:r>
                </w:p>
              </w:tc>
              <w:tc>
                <w:tcPr>
                  <w:tcW w:w="327" w:type="pct"/>
                  <w:vMerge w:val="restart"/>
                  <w:vAlign w:val="center"/>
                </w:tcPr>
                <w:p w14:paraId="346B9359">
                  <w:pPr>
                    <w:adjustRightInd w:val="0"/>
                    <w:snapToGrid w:val="0"/>
                    <w:jc w:val="center"/>
                    <w:rPr>
                      <w:color w:val="auto"/>
                      <w:sz w:val="21"/>
                      <w:szCs w:val="21"/>
                    </w:rPr>
                  </w:pPr>
                  <w:r>
                    <w:rPr>
                      <w:rFonts w:hint="eastAsia"/>
                      <w:color w:val="auto"/>
                      <w:sz w:val="21"/>
                      <w:szCs w:val="21"/>
                    </w:rPr>
                    <w:t>/</w:t>
                  </w:r>
                </w:p>
              </w:tc>
              <w:tc>
                <w:tcPr>
                  <w:tcW w:w="259" w:type="pct"/>
                  <w:vAlign w:val="center"/>
                </w:tcPr>
                <w:p w14:paraId="1CBC3883">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3000</w:t>
                  </w:r>
                </w:p>
              </w:tc>
              <w:tc>
                <w:tcPr>
                  <w:tcW w:w="487" w:type="pct"/>
                  <w:vMerge w:val="restart"/>
                  <w:vAlign w:val="center"/>
                </w:tcPr>
                <w:p w14:paraId="1B414482">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1.0</w:t>
                  </w:r>
                </w:p>
              </w:tc>
            </w:tr>
            <w:tr w14:paraId="2F74C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730" w:type="pct"/>
                  <w:gridSpan w:val="2"/>
                  <w:vAlign w:val="center"/>
                </w:tcPr>
                <w:p w14:paraId="65B3179D">
                  <w:pPr>
                    <w:adjustRightInd w:val="0"/>
                    <w:snapToGrid w:val="0"/>
                    <w:jc w:val="center"/>
                    <w:rPr>
                      <w:rFonts w:hint="eastAsia" w:eastAsia="宋体"/>
                      <w:color w:val="auto"/>
                      <w:sz w:val="21"/>
                      <w:szCs w:val="21"/>
                      <w:lang w:eastAsia="zh-CN"/>
                    </w:rPr>
                  </w:pPr>
                  <w:r>
                    <w:rPr>
                      <w:rFonts w:hint="eastAsia"/>
                      <w:color w:val="auto"/>
                      <w:sz w:val="21"/>
                      <w:szCs w:val="21"/>
                      <w:lang w:val="en-US" w:eastAsia="zh-CN"/>
                    </w:rPr>
                    <w:t>装卸粉尘</w:t>
                  </w:r>
                </w:p>
              </w:tc>
              <w:tc>
                <w:tcPr>
                  <w:tcW w:w="344" w:type="pct"/>
                  <w:vMerge w:val="continue"/>
                  <w:vAlign w:val="center"/>
                </w:tcPr>
                <w:p w14:paraId="12283A77">
                  <w:pPr>
                    <w:adjustRightInd w:val="0"/>
                    <w:snapToGrid w:val="0"/>
                    <w:jc w:val="center"/>
                    <w:rPr>
                      <w:color w:val="auto"/>
                      <w:sz w:val="21"/>
                      <w:szCs w:val="21"/>
                    </w:rPr>
                  </w:pPr>
                </w:p>
              </w:tc>
              <w:tc>
                <w:tcPr>
                  <w:tcW w:w="366" w:type="pct"/>
                  <w:vMerge w:val="continue"/>
                  <w:vAlign w:val="center"/>
                </w:tcPr>
                <w:p w14:paraId="2B971EC8">
                  <w:pPr>
                    <w:adjustRightInd w:val="0"/>
                    <w:snapToGrid w:val="0"/>
                    <w:jc w:val="center"/>
                    <w:rPr>
                      <w:color w:val="auto"/>
                      <w:sz w:val="21"/>
                      <w:szCs w:val="21"/>
                    </w:rPr>
                  </w:pPr>
                </w:p>
              </w:tc>
              <w:tc>
                <w:tcPr>
                  <w:tcW w:w="366" w:type="pct"/>
                  <w:tcBorders>
                    <w:right w:val="single" w:color="000000" w:sz="8" w:space="0"/>
                  </w:tcBorders>
                  <w:vAlign w:val="center"/>
                </w:tcPr>
                <w:p w14:paraId="66900653">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215.136</w:t>
                  </w:r>
                </w:p>
              </w:tc>
              <w:tc>
                <w:tcPr>
                  <w:tcW w:w="366" w:type="pct"/>
                  <w:tcBorders>
                    <w:left w:val="single" w:color="000000" w:sz="8" w:space="0"/>
                  </w:tcBorders>
                  <w:vAlign w:val="center"/>
                </w:tcPr>
                <w:p w14:paraId="1ABE8AFF">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143.424</w:t>
                  </w:r>
                </w:p>
              </w:tc>
              <w:tc>
                <w:tcPr>
                  <w:tcW w:w="409" w:type="pct"/>
                  <w:vMerge w:val="continue"/>
                  <w:tcBorders>
                    <w:left w:val="single" w:color="auto" w:sz="4" w:space="0"/>
                  </w:tcBorders>
                  <w:vAlign w:val="center"/>
                </w:tcPr>
                <w:p w14:paraId="547CF7D2">
                  <w:pPr>
                    <w:adjustRightInd w:val="0"/>
                    <w:snapToGrid w:val="0"/>
                    <w:jc w:val="center"/>
                    <w:rPr>
                      <w:rFonts w:hint="eastAsia" w:ascii="Times New Roman" w:hAnsi="Times New Roman" w:eastAsia="宋体" w:cs="Times New Roman"/>
                      <w:color w:val="auto"/>
                      <w:sz w:val="21"/>
                      <w:szCs w:val="21"/>
                      <w:lang w:val="en-US" w:eastAsia="zh-CN"/>
                    </w:rPr>
                  </w:pPr>
                </w:p>
              </w:tc>
              <w:tc>
                <w:tcPr>
                  <w:tcW w:w="340" w:type="pct"/>
                  <w:shd w:val="clear" w:color="auto" w:fill="auto"/>
                  <w:vAlign w:val="center"/>
                </w:tcPr>
                <w:p w14:paraId="4681A951">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喷淋，遮挡</w:t>
                  </w:r>
                </w:p>
              </w:tc>
              <w:tc>
                <w:tcPr>
                  <w:tcW w:w="352" w:type="pct"/>
                  <w:tcBorders>
                    <w:right w:val="single" w:color="000000" w:sz="8" w:space="0"/>
                  </w:tcBorders>
                  <w:vAlign w:val="center"/>
                </w:tcPr>
                <w:p w14:paraId="51CA6194">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323" w:type="pct"/>
                  <w:vAlign w:val="center"/>
                </w:tcPr>
                <w:p w14:paraId="7294EAF2">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24.192</w:t>
                  </w:r>
                </w:p>
              </w:tc>
              <w:tc>
                <w:tcPr>
                  <w:tcW w:w="323" w:type="pct"/>
                  <w:vAlign w:val="center"/>
                </w:tcPr>
                <w:p w14:paraId="6E465F5A">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16.128</w:t>
                  </w:r>
                </w:p>
              </w:tc>
              <w:tc>
                <w:tcPr>
                  <w:tcW w:w="327" w:type="pct"/>
                  <w:vMerge w:val="continue"/>
                  <w:vAlign w:val="center"/>
                </w:tcPr>
                <w:p w14:paraId="408AAD8E">
                  <w:pPr>
                    <w:adjustRightInd w:val="0"/>
                    <w:snapToGrid w:val="0"/>
                    <w:jc w:val="center"/>
                    <w:rPr>
                      <w:color w:val="auto"/>
                      <w:sz w:val="21"/>
                      <w:szCs w:val="21"/>
                    </w:rPr>
                  </w:pPr>
                </w:p>
              </w:tc>
              <w:tc>
                <w:tcPr>
                  <w:tcW w:w="259" w:type="pct"/>
                  <w:vAlign w:val="center"/>
                </w:tcPr>
                <w:p w14:paraId="5EDEB7EF">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1500</w:t>
                  </w:r>
                </w:p>
              </w:tc>
              <w:tc>
                <w:tcPr>
                  <w:tcW w:w="487" w:type="pct"/>
                  <w:vMerge w:val="continue"/>
                  <w:vAlign w:val="center"/>
                </w:tcPr>
                <w:p w14:paraId="6F8C8241">
                  <w:pPr>
                    <w:adjustRightInd w:val="0"/>
                    <w:snapToGrid w:val="0"/>
                    <w:jc w:val="center"/>
                    <w:rPr>
                      <w:color w:val="auto"/>
                      <w:sz w:val="21"/>
                      <w:szCs w:val="21"/>
                    </w:rPr>
                  </w:pPr>
                </w:p>
              </w:tc>
            </w:tr>
            <w:tr w14:paraId="641EB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30" w:type="pct"/>
                  <w:gridSpan w:val="2"/>
                  <w:vAlign w:val="center"/>
                </w:tcPr>
                <w:p w14:paraId="57B0B39E">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车辆运输扬尘</w:t>
                  </w:r>
                </w:p>
              </w:tc>
              <w:tc>
                <w:tcPr>
                  <w:tcW w:w="344" w:type="pct"/>
                  <w:vMerge w:val="continue"/>
                  <w:vAlign w:val="center"/>
                </w:tcPr>
                <w:p w14:paraId="419B54E7">
                  <w:pPr>
                    <w:adjustRightInd w:val="0"/>
                    <w:snapToGrid w:val="0"/>
                    <w:jc w:val="center"/>
                    <w:rPr>
                      <w:color w:val="auto"/>
                      <w:sz w:val="21"/>
                      <w:szCs w:val="21"/>
                    </w:rPr>
                  </w:pPr>
                </w:p>
              </w:tc>
              <w:tc>
                <w:tcPr>
                  <w:tcW w:w="366" w:type="pct"/>
                  <w:vMerge w:val="continue"/>
                  <w:vAlign w:val="center"/>
                </w:tcPr>
                <w:p w14:paraId="7E494A0F">
                  <w:pPr>
                    <w:adjustRightInd w:val="0"/>
                    <w:snapToGrid w:val="0"/>
                    <w:jc w:val="center"/>
                    <w:rPr>
                      <w:color w:val="auto"/>
                      <w:sz w:val="21"/>
                      <w:szCs w:val="21"/>
                    </w:rPr>
                  </w:pPr>
                </w:p>
              </w:tc>
              <w:tc>
                <w:tcPr>
                  <w:tcW w:w="366" w:type="pct"/>
                  <w:tcBorders>
                    <w:right w:val="single" w:color="000000" w:sz="8" w:space="0"/>
                  </w:tcBorders>
                  <w:vAlign w:val="center"/>
                </w:tcPr>
                <w:p w14:paraId="47B0B815">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23.688</w:t>
                  </w:r>
                </w:p>
              </w:tc>
              <w:tc>
                <w:tcPr>
                  <w:tcW w:w="366" w:type="pct"/>
                  <w:tcBorders>
                    <w:left w:val="single" w:color="000000" w:sz="8" w:space="0"/>
                  </w:tcBorders>
                  <w:vAlign w:val="center"/>
                </w:tcPr>
                <w:p w14:paraId="1CE38ACA">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26.352</w:t>
                  </w:r>
                </w:p>
              </w:tc>
              <w:tc>
                <w:tcPr>
                  <w:tcW w:w="409" w:type="pct"/>
                  <w:vMerge w:val="continue"/>
                  <w:tcBorders>
                    <w:left w:val="single" w:color="auto" w:sz="4" w:space="0"/>
                  </w:tcBorders>
                  <w:vAlign w:val="center"/>
                </w:tcPr>
                <w:p w14:paraId="4EE65008">
                  <w:pPr>
                    <w:adjustRightInd w:val="0"/>
                    <w:snapToGrid w:val="0"/>
                    <w:jc w:val="center"/>
                    <w:rPr>
                      <w:rFonts w:hint="eastAsia" w:ascii="Times New Roman" w:hAnsi="Times New Roman" w:eastAsia="宋体" w:cs="Times New Roman"/>
                      <w:color w:val="auto"/>
                      <w:sz w:val="21"/>
                      <w:szCs w:val="21"/>
                      <w:lang w:val="en-US" w:eastAsia="zh-CN"/>
                    </w:rPr>
                  </w:pPr>
                </w:p>
              </w:tc>
              <w:tc>
                <w:tcPr>
                  <w:tcW w:w="340" w:type="pct"/>
                  <w:shd w:val="clear" w:color="auto" w:fill="auto"/>
                  <w:vAlign w:val="center"/>
                </w:tcPr>
                <w:p w14:paraId="011E9C22">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车辆清洗、喷淋降尘</w:t>
                  </w:r>
                </w:p>
              </w:tc>
              <w:tc>
                <w:tcPr>
                  <w:tcW w:w="352" w:type="pct"/>
                  <w:tcBorders>
                    <w:right w:val="single" w:color="000000" w:sz="8" w:space="0"/>
                  </w:tcBorders>
                  <w:vAlign w:val="center"/>
                </w:tcPr>
                <w:p w14:paraId="38895898">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95%</w:t>
                  </w:r>
                </w:p>
              </w:tc>
              <w:tc>
                <w:tcPr>
                  <w:tcW w:w="323" w:type="pct"/>
                  <w:vAlign w:val="center"/>
                </w:tcPr>
                <w:p w14:paraId="4B2B65BF">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1.188</w:t>
                  </w:r>
                </w:p>
              </w:tc>
              <w:tc>
                <w:tcPr>
                  <w:tcW w:w="323" w:type="pct"/>
                  <w:vAlign w:val="center"/>
                </w:tcPr>
                <w:p w14:paraId="6CBA7FD4">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1.3176</w:t>
                  </w:r>
                </w:p>
              </w:tc>
              <w:tc>
                <w:tcPr>
                  <w:tcW w:w="327" w:type="pct"/>
                  <w:vMerge w:val="continue"/>
                  <w:vAlign w:val="center"/>
                </w:tcPr>
                <w:p w14:paraId="542658E5">
                  <w:pPr>
                    <w:adjustRightInd w:val="0"/>
                    <w:snapToGrid w:val="0"/>
                    <w:jc w:val="center"/>
                    <w:rPr>
                      <w:color w:val="auto"/>
                      <w:sz w:val="21"/>
                      <w:szCs w:val="21"/>
                    </w:rPr>
                  </w:pPr>
                </w:p>
              </w:tc>
              <w:tc>
                <w:tcPr>
                  <w:tcW w:w="259" w:type="pct"/>
                  <w:vAlign w:val="center"/>
                </w:tcPr>
                <w:p w14:paraId="3353B807">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900</w:t>
                  </w:r>
                </w:p>
              </w:tc>
              <w:tc>
                <w:tcPr>
                  <w:tcW w:w="487" w:type="pct"/>
                  <w:vMerge w:val="continue"/>
                  <w:vAlign w:val="center"/>
                </w:tcPr>
                <w:p w14:paraId="0E7D0929">
                  <w:pPr>
                    <w:adjustRightInd w:val="0"/>
                    <w:snapToGrid w:val="0"/>
                    <w:jc w:val="center"/>
                    <w:rPr>
                      <w:color w:val="auto"/>
                      <w:sz w:val="21"/>
                      <w:szCs w:val="21"/>
                    </w:rPr>
                  </w:pPr>
                </w:p>
              </w:tc>
            </w:tr>
          </w:tbl>
          <w:p w14:paraId="28503AD8">
            <w:pPr>
              <w:pStyle w:val="16"/>
              <w:rPr>
                <w:color w:val="auto"/>
              </w:rPr>
            </w:pPr>
          </w:p>
        </w:tc>
      </w:tr>
    </w:tbl>
    <w:p w14:paraId="65276A1C">
      <w:pPr>
        <w:rPr>
          <w:color w:val="auto"/>
        </w:rPr>
        <w:sectPr>
          <w:pgSz w:w="16840" w:h="11907" w:orient="landscape"/>
          <w:pgMar w:top="1531" w:right="1701" w:bottom="1531" w:left="2127" w:header="851" w:footer="850" w:gutter="0"/>
          <w:pgBorders>
            <w:top w:val="none" w:sz="0" w:space="0"/>
            <w:left w:val="none" w:sz="0" w:space="0"/>
            <w:bottom w:val="none" w:sz="0" w:space="0"/>
            <w:right w:val="none" w:sz="0" w:space="0"/>
          </w:pgBorders>
          <w:cols w:space="720" w:num="1"/>
          <w:docGrid w:linePitch="312" w:charSpace="0"/>
        </w:sectPr>
      </w:pPr>
    </w:p>
    <w:tbl>
      <w:tblPr>
        <w:tblStyle w:val="27"/>
        <w:tblW w:w="508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8649"/>
      </w:tblGrid>
      <w:tr w14:paraId="2D1E2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3" w:hRule="atLeast"/>
          <w:jc w:val="center"/>
        </w:trPr>
        <w:tc>
          <w:tcPr>
            <w:tcW w:w="268" w:type="pct"/>
            <w:tcMar>
              <w:left w:w="28" w:type="dxa"/>
              <w:right w:w="28" w:type="dxa"/>
            </w:tcMar>
            <w:vAlign w:val="center"/>
          </w:tcPr>
          <w:p w14:paraId="4848F746">
            <w:pPr>
              <w:adjustRightInd w:val="0"/>
              <w:snapToGrid w:val="0"/>
              <w:jc w:val="center"/>
              <w:rPr>
                <w:bCs/>
                <w:color w:val="auto"/>
                <w:szCs w:val="21"/>
              </w:rPr>
            </w:pPr>
            <w:r>
              <w:rPr>
                <w:bCs/>
                <w:color w:val="auto"/>
                <w:szCs w:val="21"/>
              </w:rPr>
              <w:t>运营</w:t>
            </w:r>
          </w:p>
          <w:p w14:paraId="515BCA15">
            <w:pPr>
              <w:adjustRightInd w:val="0"/>
              <w:snapToGrid w:val="0"/>
              <w:jc w:val="center"/>
              <w:rPr>
                <w:bCs/>
                <w:color w:val="auto"/>
                <w:szCs w:val="21"/>
              </w:rPr>
            </w:pPr>
            <w:r>
              <w:rPr>
                <w:bCs/>
                <w:color w:val="auto"/>
                <w:szCs w:val="21"/>
              </w:rPr>
              <w:t>期环</w:t>
            </w:r>
          </w:p>
          <w:p w14:paraId="33DE00FD">
            <w:pPr>
              <w:adjustRightInd w:val="0"/>
              <w:snapToGrid w:val="0"/>
              <w:jc w:val="center"/>
              <w:rPr>
                <w:bCs/>
                <w:color w:val="auto"/>
                <w:szCs w:val="21"/>
              </w:rPr>
            </w:pPr>
            <w:r>
              <w:rPr>
                <w:bCs/>
                <w:color w:val="auto"/>
                <w:szCs w:val="21"/>
              </w:rPr>
              <w:t>境影</w:t>
            </w:r>
          </w:p>
          <w:p w14:paraId="48798B2F">
            <w:pPr>
              <w:adjustRightInd w:val="0"/>
              <w:snapToGrid w:val="0"/>
              <w:jc w:val="center"/>
              <w:rPr>
                <w:bCs/>
                <w:color w:val="auto"/>
                <w:szCs w:val="21"/>
              </w:rPr>
            </w:pPr>
            <w:r>
              <w:rPr>
                <w:bCs/>
                <w:color w:val="auto"/>
                <w:szCs w:val="21"/>
              </w:rPr>
              <w:t>响和</w:t>
            </w:r>
          </w:p>
          <w:p w14:paraId="00F42D01">
            <w:pPr>
              <w:adjustRightInd w:val="0"/>
              <w:snapToGrid w:val="0"/>
              <w:jc w:val="center"/>
              <w:rPr>
                <w:bCs/>
                <w:color w:val="auto"/>
                <w:szCs w:val="21"/>
              </w:rPr>
            </w:pPr>
            <w:r>
              <w:rPr>
                <w:bCs/>
                <w:color w:val="auto"/>
                <w:szCs w:val="21"/>
              </w:rPr>
              <w:t>保护</w:t>
            </w:r>
          </w:p>
          <w:p w14:paraId="327D7851">
            <w:pPr>
              <w:adjustRightInd w:val="0"/>
              <w:snapToGrid w:val="0"/>
              <w:jc w:val="center"/>
              <w:rPr>
                <w:bCs/>
                <w:color w:val="auto"/>
                <w:szCs w:val="21"/>
              </w:rPr>
            </w:pPr>
            <w:r>
              <w:rPr>
                <w:bCs/>
                <w:color w:val="auto"/>
                <w:szCs w:val="21"/>
              </w:rPr>
              <w:t>措施</w:t>
            </w:r>
          </w:p>
        </w:tc>
        <w:tc>
          <w:tcPr>
            <w:tcW w:w="4731" w:type="pct"/>
            <w:vAlign w:val="center"/>
          </w:tcPr>
          <w:p w14:paraId="6D683D41">
            <w:pPr>
              <w:adjustRightInd w:val="0"/>
              <w:snapToGrid w:val="0"/>
              <w:spacing w:line="360" w:lineRule="auto"/>
              <w:ind w:firstLine="480" w:firstLineChars="200"/>
              <w:rPr>
                <w:bCs/>
                <w:color w:val="auto"/>
                <w:sz w:val="24"/>
              </w:rPr>
            </w:pPr>
            <w:r>
              <w:rPr>
                <w:rFonts w:hint="eastAsia"/>
                <w:bCs/>
                <w:color w:val="auto"/>
                <w:sz w:val="24"/>
              </w:rPr>
              <w:t>（2）</w:t>
            </w:r>
            <w:r>
              <w:rPr>
                <w:bCs/>
                <w:color w:val="auto"/>
                <w:sz w:val="24"/>
              </w:rPr>
              <w:t>废气排放源强核算</w:t>
            </w:r>
          </w:p>
          <w:p w14:paraId="1158BD4D">
            <w:pPr>
              <w:spacing w:line="360" w:lineRule="auto"/>
              <w:ind w:firstLine="480" w:firstLineChars="200"/>
              <w:rPr>
                <w:color w:val="auto"/>
                <w:sz w:val="24"/>
              </w:rPr>
            </w:pPr>
            <w:r>
              <w:rPr>
                <w:rFonts w:hint="eastAsia"/>
                <w:color w:val="auto"/>
                <w:sz w:val="24"/>
              </w:rPr>
              <w:t>本次</w:t>
            </w:r>
            <w:r>
              <w:rPr>
                <w:rFonts w:hint="eastAsia"/>
                <w:color w:val="auto"/>
                <w:sz w:val="24"/>
                <w:lang w:val="en-US" w:eastAsia="zh-CN"/>
              </w:rPr>
              <w:t>扩建</w:t>
            </w:r>
            <w:r>
              <w:rPr>
                <w:rFonts w:hint="eastAsia"/>
                <w:color w:val="auto"/>
                <w:sz w:val="24"/>
              </w:rPr>
              <w:t>项目产生的废气主要是</w:t>
            </w:r>
            <w:r>
              <w:rPr>
                <w:rFonts w:hint="eastAsia" w:cs="Times New Roman"/>
                <w:color w:val="auto"/>
                <w:sz w:val="24"/>
                <w:szCs w:val="24"/>
                <w:lang w:val="en-US" w:eastAsia="zh-CN"/>
              </w:rPr>
              <w:t>装修垃圾</w:t>
            </w:r>
            <w:r>
              <w:rPr>
                <w:rFonts w:hint="eastAsia"/>
                <w:color w:val="auto"/>
                <w:sz w:val="24"/>
                <w:lang w:val="en-US" w:eastAsia="zh-CN"/>
              </w:rPr>
              <w:t>前处理</w:t>
            </w:r>
            <w:r>
              <w:rPr>
                <w:rFonts w:hint="eastAsia" w:ascii="Times New Roman" w:hAnsi="Times New Roman" w:cs="Times New Roman"/>
                <w:color w:val="auto"/>
                <w:sz w:val="24"/>
                <w:szCs w:val="24"/>
                <w:lang w:val="en-US" w:eastAsia="zh-CN"/>
              </w:rPr>
              <w:t>筛分</w:t>
            </w:r>
            <w:r>
              <w:rPr>
                <w:rFonts w:hint="eastAsia" w:cs="Times New Roman"/>
                <w:color w:val="auto"/>
                <w:sz w:val="24"/>
                <w:szCs w:val="24"/>
                <w:lang w:val="en-US" w:eastAsia="zh-CN"/>
              </w:rPr>
              <w:t>、风选</w:t>
            </w:r>
            <w:r>
              <w:rPr>
                <w:rFonts w:hint="eastAsia" w:ascii="Times New Roman" w:hAnsi="Times New Roman" w:cs="Times New Roman"/>
                <w:color w:val="auto"/>
                <w:sz w:val="24"/>
                <w:szCs w:val="24"/>
                <w:lang w:val="en-US" w:eastAsia="zh-CN"/>
              </w:rPr>
              <w:t>粉尘</w:t>
            </w:r>
            <w:r>
              <w:rPr>
                <w:rFonts w:hint="eastAsia" w:cs="Times New Roman"/>
                <w:color w:val="auto"/>
                <w:sz w:val="24"/>
                <w:szCs w:val="24"/>
                <w:lang w:val="en-US" w:eastAsia="zh-CN"/>
              </w:rPr>
              <w:t>和皮带粉尘</w:t>
            </w:r>
            <w:r>
              <w:rPr>
                <w:rFonts w:hint="eastAsia"/>
                <w:color w:val="auto"/>
                <w:sz w:val="24"/>
              </w:rPr>
              <w:t>。</w:t>
            </w:r>
          </w:p>
          <w:p w14:paraId="6D4AC14A">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hAnsi="宋体" w:cs="Times New Roman"/>
                <w:color w:val="auto"/>
                <w:sz w:val="24"/>
                <w:lang w:val="en-US" w:eastAsia="zh-CN"/>
              </w:rPr>
            </w:pPr>
            <w:r>
              <w:rPr>
                <w:rFonts w:hint="eastAsia" w:ascii="宋体" w:hAnsi="宋体" w:eastAsia="宋体" w:cs="宋体"/>
                <w:color w:val="auto"/>
                <w:sz w:val="24"/>
                <w:lang w:val="en-US" w:eastAsia="zh-CN"/>
              </w:rPr>
              <w:t>①</w:t>
            </w:r>
            <w:r>
              <w:rPr>
                <w:rFonts w:hint="eastAsia" w:hAnsi="宋体" w:cs="Times New Roman"/>
                <w:color w:val="auto"/>
                <w:sz w:val="24"/>
                <w:lang w:val="en-US" w:eastAsia="zh-CN"/>
              </w:rPr>
              <w:t>装修垃圾破碎、筛分、分选粉尘</w:t>
            </w:r>
          </w:p>
          <w:p w14:paraId="6E60B994">
            <w:pPr>
              <w:pStyle w:val="4"/>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color w:val="auto"/>
                <w:lang w:val="en-US" w:eastAsia="zh-CN"/>
              </w:rPr>
            </w:pPr>
            <w:r>
              <w:rPr>
                <w:rFonts w:hint="eastAsia" w:hAnsi="宋体" w:cs="Times New Roman"/>
                <w:color w:val="auto"/>
                <w:sz w:val="24"/>
                <w:lang w:val="en-US" w:eastAsia="zh-CN"/>
              </w:rPr>
              <w:t>本项目对50万吨装修垃圾进行前处理，通过粗选筛分机、无轴滚筛机、高压风选机，对装修垃圾进行粗筛和风选，类比原有工程粗筛工序废气，前处理工序废气产生量为6.45t/a。</w:t>
            </w:r>
          </w:p>
          <w:p w14:paraId="0FDC4B58">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hAnsi="宋体" w:cs="Times New Roman"/>
                <w:color w:val="auto"/>
                <w:sz w:val="24"/>
                <w:lang w:val="en-US" w:eastAsia="zh-CN"/>
              </w:rPr>
            </w:pPr>
            <w:r>
              <w:rPr>
                <w:rFonts w:hint="eastAsia" w:hAnsi="宋体" w:cs="Times New Roman"/>
                <w:color w:val="auto"/>
                <w:sz w:val="24"/>
                <w:lang w:val="en-US" w:eastAsia="zh-CN"/>
              </w:rPr>
              <w:t>本项目装修垃圾经过前处理后，大部分废铁及轻物质被去除，粗筛风选后的物料满足现有企业原有处理线处理能力。根据实际市场实际需求，部分物料进入原有破碎筛分分选处理线。因原有原料减少，装修垃圾替代部分原有原料，本次计算按企业原有处理线处理规模满负荷360万吨进行考虑。原有处理线</w:t>
            </w:r>
            <w:r>
              <w:rPr>
                <w:rFonts w:hint="eastAsia" w:ascii="Times New Roman" w:hAnsi="宋体" w:cs="Times New Roman"/>
                <w:color w:val="auto"/>
                <w:sz w:val="24"/>
                <w:lang w:val="en-US" w:eastAsia="zh-CN"/>
              </w:rPr>
              <w:t>采用给料机下料，使用颚式破碎机对大块</w:t>
            </w:r>
            <w:r>
              <w:rPr>
                <w:rFonts w:hint="eastAsia" w:hAnsi="宋体" w:cs="Times New Roman"/>
                <w:color w:val="auto"/>
                <w:sz w:val="24"/>
                <w:lang w:val="en-US" w:eastAsia="zh-CN"/>
              </w:rPr>
              <w:t>装修垃圾</w:t>
            </w:r>
            <w:r>
              <w:rPr>
                <w:rFonts w:hint="eastAsia" w:ascii="Times New Roman" w:hAnsi="宋体" w:cs="Times New Roman"/>
                <w:color w:val="auto"/>
                <w:sz w:val="24"/>
                <w:lang w:val="en-US" w:eastAsia="zh-CN"/>
              </w:rPr>
              <w:t>粗破，再经反击破碎机二次破碎，然后经振动筛二级筛分后得到不同粒径的成品</w:t>
            </w:r>
            <w:r>
              <w:rPr>
                <w:rFonts w:hint="eastAsia" w:hAnsi="宋体" w:cs="Times New Roman"/>
                <w:color w:val="auto"/>
                <w:sz w:val="24"/>
                <w:lang w:val="en-US" w:eastAsia="zh-CN"/>
              </w:rPr>
              <w:t>。参考原有工程实测数据</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陕西弘伟生态环保产业园建筑垃圾资源化利用项目污染物</w:t>
            </w:r>
            <w:r>
              <w:rPr>
                <w:rFonts w:hint="eastAsia" w:ascii="Times New Roman" w:hAnsi="Times New Roman" w:eastAsia="宋体" w:cs="Times New Roman"/>
                <w:color w:val="auto"/>
                <w:sz w:val="24"/>
                <w:szCs w:val="24"/>
              </w:rPr>
              <w:t>监测》</w:t>
            </w:r>
            <w:r>
              <w:rPr>
                <w:rFonts w:hint="eastAsia" w:cs="Times New Roman"/>
                <w:color w:val="auto"/>
                <w:sz w:val="24"/>
                <w:szCs w:val="24"/>
                <w:lang w:eastAsia="zh-CN"/>
              </w:rPr>
              <w:t>（</w:t>
            </w:r>
            <w:r>
              <w:rPr>
                <w:rFonts w:hint="eastAsia" w:cs="Times New Roman"/>
                <w:color w:val="auto"/>
                <w:sz w:val="24"/>
                <w:szCs w:val="24"/>
                <w:lang w:val="en-US" w:eastAsia="zh-CN"/>
              </w:rPr>
              <w:t>源泽监字（2021）第237号</w:t>
            </w:r>
            <w:r>
              <w:rPr>
                <w:rFonts w:hint="eastAsia" w:cs="Times New Roman"/>
                <w:color w:val="auto"/>
                <w:sz w:val="24"/>
                <w:szCs w:val="24"/>
                <w:lang w:eastAsia="zh-CN"/>
              </w:rPr>
              <w:t>）</w:t>
            </w:r>
            <w:r>
              <w:rPr>
                <w:rFonts w:hint="eastAsia" w:cs="Times New Roman"/>
                <w:color w:val="auto"/>
                <w:sz w:val="24"/>
                <w:szCs w:val="24"/>
                <w:lang w:val="en-US" w:eastAsia="zh-CN"/>
              </w:rPr>
              <w:t>，已知</w:t>
            </w:r>
            <w:r>
              <w:rPr>
                <w:rFonts w:hint="eastAsia" w:hAnsi="宋体" w:cs="Times New Roman"/>
                <w:color w:val="auto"/>
                <w:sz w:val="24"/>
                <w:lang w:val="en-US" w:eastAsia="zh-CN"/>
              </w:rPr>
              <w:t>监测的废气数据是在工况为65%下进行监测的结果，本次计算将工况统一折算为100%，考虑最不利因素，产生量及排放量以监测报告中各个排气筒最大监测速率乘以工作时间进行核算。</w:t>
            </w:r>
          </w:p>
          <w:p w14:paraId="271E59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lang w:val="en-US" w:eastAsia="zh-CN"/>
              </w:rPr>
            </w:pPr>
            <w:r>
              <w:rPr>
                <w:rFonts w:hint="eastAsia" w:ascii="Times New Roman" w:hAnsi="Times New Roman" w:cs="Times New Roman"/>
                <w:color w:val="auto"/>
                <w:sz w:val="24"/>
                <w:szCs w:val="24"/>
                <w:lang w:val="en-US" w:eastAsia="zh-CN"/>
              </w:rPr>
              <w:t>建设单位已采取下列措施</w:t>
            </w:r>
            <w:r>
              <w:rPr>
                <w:rFonts w:hint="eastAsia" w:cs="Times New Roman"/>
                <w:color w:val="auto"/>
                <w:sz w:val="24"/>
                <w:szCs w:val="24"/>
                <w:lang w:val="en-US" w:eastAsia="zh-CN"/>
              </w:rPr>
              <w:t>控制</w:t>
            </w:r>
            <w:r>
              <w:rPr>
                <w:rFonts w:hint="eastAsia" w:ascii="Times New Roman" w:hAnsi="Times New Roman" w:cs="Times New Roman"/>
                <w:color w:val="auto"/>
                <w:sz w:val="24"/>
                <w:szCs w:val="24"/>
                <w:lang w:val="en-US" w:eastAsia="zh-CN"/>
              </w:rPr>
              <w:t>粉尘的产生：建设全封闭车间，破碎机、振动筛密封设置，且均位于密闭车间内；</w:t>
            </w:r>
            <w:r>
              <w:rPr>
                <w:rFonts w:hint="eastAsia" w:hAnsi="宋体" w:cs="Times New Roman"/>
                <w:color w:val="auto"/>
                <w:sz w:val="24"/>
                <w:lang w:val="en-US" w:eastAsia="zh-CN"/>
              </w:rPr>
              <w:t>现有破碎筛分分选处理线</w:t>
            </w:r>
            <w:r>
              <w:rPr>
                <w:rFonts w:hint="eastAsia" w:ascii="Times New Roman" w:hAnsi="Times New Roman" w:cs="Times New Roman"/>
                <w:color w:val="auto"/>
                <w:sz w:val="24"/>
                <w:szCs w:val="24"/>
                <w:lang w:val="en-US" w:eastAsia="zh-CN"/>
              </w:rPr>
              <w:t>各产尘点上方设置了喷淋装置和集气罩（集气罩</w:t>
            </w:r>
            <w:r>
              <w:rPr>
                <w:rFonts w:hint="eastAsia" w:cs="Times New Roman"/>
                <w:color w:val="auto"/>
                <w:sz w:val="24"/>
                <w:szCs w:val="24"/>
                <w:lang w:val="en-US" w:eastAsia="zh-CN"/>
              </w:rPr>
              <w:t>采用布帘全包围型，可有效减少气流扰动增加对颗粒物的收集效率，</w:t>
            </w:r>
            <w:r>
              <w:rPr>
                <w:rFonts w:hint="eastAsia" w:ascii="Times New Roman" w:hAnsi="Times New Roman" w:cs="Times New Roman"/>
                <w:color w:val="auto"/>
                <w:sz w:val="24"/>
                <w:szCs w:val="24"/>
                <w:lang w:val="en-US" w:eastAsia="zh-CN"/>
              </w:rPr>
              <w:t>收集效率按95%计）</w:t>
            </w:r>
            <w:r>
              <w:rPr>
                <w:rFonts w:hint="eastAsia" w:cs="Times New Roman"/>
                <w:color w:val="auto"/>
                <w:sz w:val="24"/>
                <w:szCs w:val="24"/>
                <w:lang w:val="en-US" w:eastAsia="zh-CN"/>
              </w:rPr>
              <w:t>，处理线</w:t>
            </w:r>
            <w:r>
              <w:rPr>
                <w:rFonts w:hint="eastAsia" w:ascii="Times New Roman" w:hAnsi="Times New Roman" w:cs="Times New Roman"/>
                <w:color w:val="auto"/>
                <w:sz w:val="24"/>
                <w:szCs w:val="24"/>
                <w:lang w:val="en-US" w:eastAsia="zh-CN"/>
              </w:rPr>
              <w:t>产生的粉尘经集气罩</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布袋除尘器</w:t>
            </w:r>
            <w:r>
              <w:rPr>
                <w:rFonts w:hint="eastAsia" w:ascii="Times New Roman" w:hAnsi="Times New Roman" w:cs="Times New Roman"/>
                <w:color w:val="auto"/>
                <w:sz w:val="24"/>
                <w:szCs w:val="24"/>
                <w:lang w:val="en-US" w:eastAsia="zh-CN"/>
              </w:rPr>
              <w:t>处理后经15m排气筒排放</w:t>
            </w:r>
            <w:r>
              <w:rPr>
                <w:rFonts w:hint="eastAsia" w:cs="Times New Roman"/>
                <w:color w:val="auto"/>
                <w:sz w:val="24"/>
                <w:szCs w:val="24"/>
                <w:lang w:val="en-US" w:eastAsia="zh-CN"/>
              </w:rPr>
              <w:t>，鄂破筛分工序和反击破工序除尘器处理效率按验收监测报告中处理效率平均值计，分别为88.15%和99.9%，一级筛分分选工序和二级筛分分选工序验收时未监测进口点位，无处理效率。根据布袋除尘器进口浓度越高除尘效率越高的特点，本次在现有监测数据折算为100%的基础上，将鄂破筛分工序、一级筛分分选工序和二级筛分分选工序布袋除尘器处理效率提高至92%。</w:t>
            </w:r>
          </w:p>
          <w:p w14:paraId="70BD38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olor w:val="auto"/>
                <w:kern w:val="0"/>
                <w:sz w:val="24"/>
                <w:lang w:val="en-US" w:eastAsia="zh-CN"/>
              </w:rPr>
            </w:pPr>
            <w:r>
              <w:rPr>
                <w:rFonts w:hint="eastAsia" w:cs="Times New Roman"/>
                <w:color w:val="auto"/>
                <w:sz w:val="24"/>
                <w:szCs w:val="24"/>
                <w:lang w:val="en-US" w:eastAsia="zh-CN"/>
              </w:rPr>
              <w:t>本项目新增前处理工序，筛分机和风选机等设备均位于密闭车间内，各产尘点使用喷淋装置，新增的前处理工序废气收集系统设置方案为：在筛分机进料口和出料口、滚筛机进料口和出料口、风选机进料口和出料口上方分别设置集气罩，通过一根管道收集后进入1台脉冲布袋除尘器进行处理，收集处理后经1根15m高排气筒（DA005）排放，</w:t>
            </w:r>
            <w:r>
              <w:rPr>
                <w:rFonts w:hint="eastAsia" w:ascii="Times New Roman" w:hAnsi="Times New Roman" w:cs="Times New Roman"/>
                <w:color w:val="auto"/>
                <w:sz w:val="24"/>
                <w:szCs w:val="24"/>
                <w:lang w:val="en-US" w:eastAsia="zh-CN"/>
              </w:rPr>
              <w:t>集气罩</w:t>
            </w:r>
            <w:r>
              <w:rPr>
                <w:rFonts w:hint="eastAsia" w:cs="Times New Roman"/>
                <w:color w:val="auto"/>
                <w:sz w:val="24"/>
                <w:szCs w:val="24"/>
                <w:lang w:val="en-US" w:eastAsia="zh-CN"/>
              </w:rPr>
              <w:t>采用布帘全包围型，</w:t>
            </w:r>
            <w:r>
              <w:rPr>
                <w:rFonts w:hint="eastAsia" w:ascii="Times New Roman" w:hAnsi="Times New Roman" w:cs="Times New Roman"/>
                <w:color w:val="auto"/>
                <w:sz w:val="24"/>
                <w:szCs w:val="24"/>
                <w:lang w:val="en-US" w:eastAsia="zh-CN"/>
              </w:rPr>
              <w:t>集气罩收集效率按95%计</w:t>
            </w:r>
            <w:r>
              <w:rPr>
                <w:rFonts w:hint="eastAsia" w:cs="Times New Roman"/>
                <w:color w:val="auto"/>
                <w:sz w:val="24"/>
                <w:szCs w:val="24"/>
                <w:lang w:val="en-US" w:eastAsia="zh-CN"/>
              </w:rPr>
              <w:t>，处理效率</w:t>
            </w:r>
            <w:r>
              <w:rPr>
                <w:rFonts w:hint="eastAsia" w:hAnsi="宋体" w:cs="Times New Roman"/>
                <w:color w:val="auto"/>
                <w:sz w:val="24"/>
                <w:lang w:val="en-US" w:eastAsia="zh-CN"/>
              </w:rPr>
              <w:t>按92%计</w:t>
            </w:r>
            <w:r>
              <w:rPr>
                <w:rFonts w:hint="eastAsia" w:cs="Times New Roman"/>
                <w:color w:val="auto"/>
                <w:sz w:val="24"/>
                <w:szCs w:val="24"/>
                <w:lang w:val="en-US" w:eastAsia="zh-CN"/>
              </w:rPr>
              <w:t>。</w:t>
            </w:r>
          </w:p>
          <w:p w14:paraId="5D2CFB6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宋体"/>
                <w:b/>
                <w:bCs/>
                <w:color w:val="auto"/>
                <w:szCs w:val="24"/>
                <w:lang w:val="en-US" w:eastAsia="zh-CN"/>
              </w:rPr>
            </w:pPr>
            <w:r>
              <w:rPr>
                <w:rFonts w:hint="eastAsia" w:cs="Times New Roman"/>
                <w:bCs/>
                <w:color w:val="auto"/>
                <w:sz w:val="24"/>
                <w:lang w:val="en-US" w:eastAsia="zh-CN"/>
              </w:rPr>
              <w:t>综上，项目扩建完成后，核算全厂有组织废气产排情况见下表。</w:t>
            </w:r>
          </w:p>
          <w:p w14:paraId="3DEF3D89">
            <w:pPr>
              <w:pStyle w:val="82"/>
              <w:spacing w:line="240" w:lineRule="auto"/>
              <w:rPr>
                <w:rFonts w:hint="eastAsia" w:ascii="Times New Roman" w:hAnsi="Times New Roman" w:eastAsia="宋体" w:cs="宋体"/>
                <w:b/>
                <w:bCs/>
                <w:color w:val="auto"/>
                <w:szCs w:val="24"/>
                <w:lang w:val="en-US" w:eastAsia="zh-CN"/>
              </w:rPr>
            </w:pPr>
            <w:r>
              <w:rPr>
                <w:rFonts w:hint="eastAsia" w:ascii="Times New Roman" w:hAnsi="Times New Roman" w:eastAsia="宋体" w:cs="宋体"/>
                <w:b/>
                <w:bCs/>
                <w:color w:val="auto"/>
                <w:szCs w:val="24"/>
                <w:lang w:val="en-US" w:eastAsia="zh-CN"/>
              </w:rPr>
              <w:t>表4-3    全厂有组织粉尘产排情况一览表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84"/>
              <w:gridCol w:w="963"/>
              <w:gridCol w:w="1149"/>
              <w:gridCol w:w="1167"/>
              <w:gridCol w:w="1312"/>
              <w:gridCol w:w="1338"/>
              <w:gridCol w:w="823"/>
              <w:gridCol w:w="794"/>
            </w:tblGrid>
            <w:tr w14:paraId="17D56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24" w:type="pct"/>
                  <w:vMerge w:val="restart"/>
                  <w:noWrap w:val="0"/>
                  <w:vAlign w:val="center"/>
                </w:tcPr>
                <w:p w14:paraId="27731EC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w:t>
                  </w:r>
                </w:p>
                <w:p w14:paraId="5D3D928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方式</w:t>
                  </w:r>
                </w:p>
              </w:tc>
              <w:tc>
                <w:tcPr>
                  <w:tcW w:w="571" w:type="pct"/>
                  <w:vMerge w:val="restart"/>
                  <w:noWrap w:val="0"/>
                  <w:vAlign w:val="center"/>
                </w:tcPr>
                <w:p w14:paraId="007B9BE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排放源</w:t>
                  </w:r>
                </w:p>
              </w:tc>
              <w:tc>
                <w:tcPr>
                  <w:tcW w:w="681" w:type="pct"/>
                  <w:vMerge w:val="restart"/>
                  <w:noWrap w:val="0"/>
                  <w:vAlign w:val="center"/>
                </w:tcPr>
                <w:p w14:paraId="4B642004">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w:t>
                  </w:r>
                </w:p>
              </w:tc>
              <w:tc>
                <w:tcPr>
                  <w:tcW w:w="1470" w:type="pct"/>
                  <w:gridSpan w:val="2"/>
                  <w:noWrap w:val="0"/>
                  <w:vAlign w:val="center"/>
                </w:tcPr>
                <w:p w14:paraId="4D561017">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产生情况</w:t>
                  </w:r>
                </w:p>
              </w:tc>
              <w:tc>
                <w:tcPr>
                  <w:tcW w:w="793" w:type="pct"/>
                  <w:vMerge w:val="restart"/>
                  <w:noWrap w:val="0"/>
                  <w:vAlign w:val="center"/>
                </w:tcPr>
                <w:p w14:paraId="3D8665E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处理措施</w:t>
                  </w:r>
                </w:p>
              </w:tc>
              <w:tc>
                <w:tcPr>
                  <w:tcW w:w="958" w:type="pct"/>
                  <w:gridSpan w:val="2"/>
                  <w:noWrap w:val="0"/>
                  <w:vAlign w:val="center"/>
                </w:tcPr>
                <w:p w14:paraId="7989006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排放情况</w:t>
                  </w:r>
                </w:p>
              </w:tc>
            </w:tr>
            <w:tr w14:paraId="7D449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4" w:hRule="atLeast"/>
                <w:tblHeader/>
                <w:jc w:val="center"/>
              </w:trPr>
              <w:tc>
                <w:tcPr>
                  <w:tcW w:w="524" w:type="pct"/>
                  <w:vMerge w:val="continue"/>
                  <w:noWrap w:val="0"/>
                  <w:vAlign w:val="center"/>
                </w:tcPr>
                <w:p w14:paraId="10FD5B3D">
                  <w:pPr>
                    <w:widowControl/>
                    <w:jc w:val="center"/>
                    <w:rPr>
                      <w:rFonts w:hint="default" w:ascii="Times New Roman" w:hAnsi="Times New Roman" w:cs="Times New Roman"/>
                      <w:color w:val="auto"/>
                      <w:sz w:val="21"/>
                      <w:szCs w:val="21"/>
                    </w:rPr>
                  </w:pPr>
                </w:p>
              </w:tc>
              <w:tc>
                <w:tcPr>
                  <w:tcW w:w="571" w:type="pct"/>
                  <w:vMerge w:val="continue"/>
                  <w:noWrap w:val="0"/>
                  <w:vAlign w:val="center"/>
                </w:tcPr>
                <w:p w14:paraId="5659C934">
                  <w:pPr>
                    <w:widowControl/>
                    <w:jc w:val="center"/>
                    <w:rPr>
                      <w:rFonts w:hint="default" w:ascii="Times New Roman" w:hAnsi="Times New Roman" w:cs="Times New Roman"/>
                      <w:color w:val="auto"/>
                      <w:sz w:val="21"/>
                      <w:szCs w:val="21"/>
                    </w:rPr>
                  </w:pPr>
                </w:p>
              </w:tc>
              <w:tc>
                <w:tcPr>
                  <w:tcW w:w="681" w:type="pct"/>
                  <w:vMerge w:val="continue"/>
                  <w:noWrap w:val="0"/>
                  <w:vAlign w:val="center"/>
                </w:tcPr>
                <w:p w14:paraId="004D3882">
                  <w:pPr>
                    <w:adjustRightInd w:val="0"/>
                    <w:snapToGrid w:val="0"/>
                    <w:jc w:val="center"/>
                    <w:rPr>
                      <w:rFonts w:hint="default" w:ascii="Times New Roman" w:hAnsi="Times New Roman" w:cs="Times New Roman"/>
                      <w:color w:val="auto"/>
                      <w:sz w:val="21"/>
                      <w:szCs w:val="21"/>
                    </w:rPr>
                  </w:pPr>
                </w:p>
              </w:tc>
              <w:tc>
                <w:tcPr>
                  <w:tcW w:w="692" w:type="pct"/>
                  <w:tcBorders>
                    <w:right w:val="single" w:color="000000" w:sz="8" w:space="0"/>
                  </w:tcBorders>
                  <w:noWrap w:val="0"/>
                  <w:vAlign w:val="center"/>
                </w:tcPr>
                <w:p w14:paraId="667B008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w:t>
                  </w:r>
                  <w:r>
                    <w:rPr>
                      <w:rFonts w:hint="default"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rPr>
                    <w:t>/a</w:t>
                  </w:r>
                </w:p>
              </w:tc>
              <w:tc>
                <w:tcPr>
                  <w:tcW w:w="778" w:type="pct"/>
                  <w:tcBorders>
                    <w:left w:val="single" w:color="000000" w:sz="8" w:space="0"/>
                  </w:tcBorders>
                  <w:noWrap w:val="0"/>
                  <w:vAlign w:val="center"/>
                </w:tcPr>
                <w:p w14:paraId="17564E6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速率kg/h</w:t>
                  </w:r>
                </w:p>
              </w:tc>
              <w:tc>
                <w:tcPr>
                  <w:tcW w:w="793" w:type="pct"/>
                  <w:vMerge w:val="continue"/>
                  <w:noWrap w:val="0"/>
                  <w:vAlign w:val="center"/>
                </w:tcPr>
                <w:p w14:paraId="328589D6">
                  <w:pPr>
                    <w:widowControl/>
                    <w:jc w:val="center"/>
                    <w:rPr>
                      <w:rFonts w:hint="default" w:ascii="Times New Roman" w:hAnsi="Times New Roman" w:cs="Times New Roman"/>
                      <w:color w:val="auto"/>
                      <w:sz w:val="21"/>
                      <w:szCs w:val="21"/>
                    </w:rPr>
                  </w:pPr>
                </w:p>
              </w:tc>
              <w:tc>
                <w:tcPr>
                  <w:tcW w:w="488" w:type="pct"/>
                  <w:tcBorders>
                    <w:right w:val="single" w:color="000000" w:sz="8" w:space="0"/>
                  </w:tcBorders>
                  <w:noWrap w:val="0"/>
                  <w:vAlign w:val="center"/>
                </w:tcPr>
                <w:p w14:paraId="3145432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排放量</w:t>
                  </w:r>
                  <w:r>
                    <w:rPr>
                      <w:rFonts w:hint="default"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rPr>
                    <w:t>/a</w:t>
                  </w:r>
                </w:p>
              </w:tc>
              <w:tc>
                <w:tcPr>
                  <w:tcW w:w="470" w:type="pct"/>
                  <w:tcBorders>
                    <w:left w:val="single" w:color="000000" w:sz="8" w:space="0"/>
                  </w:tcBorders>
                  <w:noWrap w:val="0"/>
                  <w:vAlign w:val="center"/>
                </w:tcPr>
                <w:p w14:paraId="52C0CFB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速率kg/h</w:t>
                  </w:r>
                </w:p>
              </w:tc>
            </w:tr>
            <w:tr w14:paraId="789F5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24" w:type="pct"/>
                  <w:vMerge w:val="restart"/>
                  <w:noWrap w:val="0"/>
                  <w:vAlign w:val="center"/>
                </w:tcPr>
                <w:p w14:paraId="22C50DD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有组织</w:t>
                  </w:r>
                </w:p>
                <w:p w14:paraId="47386DBA">
                  <w:pPr>
                    <w:adjustRightInd w:val="0"/>
                    <w:snapToGrid w:val="0"/>
                    <w:jc w:val="center"/>
                    <w:rPr>
                      <w:rFonts w:hint="default" w:ascii="Times New Roman" w:hAnsi="Times New Roman" w:cs="Times New Roman"/>
                      <w:color w:val="auto"/>
                      <w:sz w:val="21"/>
                      <w:szCs w:val="21"/>
                    </w:rPr>
                  </w:pPr>
                </w:p>
                <w:p w14:paraId="506506ED">
                  <w:pPr>
                    <w:pStyle w:val="4"/>
                    <w:jc w:val="center"/>
                    <w:rPr>
                      <w:rFonts w:hint="default" w:ascii="Times New Roman" w:hAnsi="Times New Roman" w:cs="Times New Roman"/>
                      <w:color w:val="auto"/>
                      <w:sz w:val="21"/>
                      <w:szCs w:val="21"/>
                    </w:rPr>
                  </w:pPr>
                </w:p>
              </w:tc>
              <w:tc>
                <w:tcPr>
                  <w:tcW w:w="571" w:type="pct"/>
                  <w:noWrap w:val="0"/>
                  <w:vAlign w:val="center"/>
                </w:tcPr>
                <w:p w14:paraId="4D61DD15">
                  <w:pPr>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DA001</w:t>
                  </w:r>
                </w:p>
              </w:tc>
              <w:tc>
                <w:tcPr>
                  <w:tcW w:w="681" w:type="pct"/>
                  <w:noWrap w:val="0"/>
                  <w:vAlign w:val="center"/>
                </w:tcPr>
                <w:p w14:paraId="45C3B7FB">
                  <w:pPr>
                    <w:adjustRightInd w:val="0"/>
                    <w:snapToGrid w:val="0"/>
                    <w:jc w:val="center"/>
                    <w:rPr>
                      <w:rFonts w:hint="default" w:ascii="Times New Roman" w:hAnsi="Times New Roman" w:eastAsia="宋体" w:cs="Times New Roman"/>
                      <w:color w:val="auto"/>
                      <w:sz w:val="21"/>
                      <w:szCs w:val="21"/>
                      <w:lang w:val="en-US" w:eastAsia="zh-CN"/>
                    </w:rPr>
                  </w:pPr>
                  <w:r>
                    <w:rPr>
                      <w:rFonts w:hint="eastAsia"/>
                      <w:color w:val="auto"/>
                      <w:sz w:val="21"/>
                      <w:szCs w:val="21"/>
                      <w:lang w:val="en-US" w:eastAsia="zh-CN"/>
                    </w:rPr>
                    <w:t>颗粒物</w:t>
                  </w:r>
                </w:p>
              </w:tc>
              <w:tc>
                <w:tcPr>
                  <w:tcW w:w="1167" w:type="dxa"/>
                  <w:noWrap w:val="0"/>
                  <w:vAlign w:val="center"/>
                </w:tcPr>
                <w:p w14:paraId="2F5A002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67.85</w:t>
                  </w:r>
                </w:p>
              </w:tc>
              <w:tc>
                <w:tcPr>
                  <w:tcW w:w="1312" w:type="dxa"/>
                  <w:noWrap w:val="0"/>
                  <w:vAlign w:val="center"/>
                </w:tcPr>
                <w:p w14:paraId="3909484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22.62</w:t>
                  </w:r>
                </w:p>
              </w:tc>
              <w:tc>
                <w:tcPr>
                  <w:tcW w:w="793" w:type="pct"/>
                  <w:noWrap w:val="0"/>
                  <w:vAlign w:val="center"/>
                </w:tcPr>
                <w:p w14:paraId="1541BE2A">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95%</w:t>
                  </w:r>
                  <w:r>
                    <w:rPr>
                      <w:rFonts w:hint="default" w:ascii="Times New Roman" w:hAnsi="Times New Roman" w:eastAsia="宋体" w:cs="Times New Roman"/>
                      <w:color w:val="auto"/>
                      <w:sz w:val="21"/>
                      <w:szCs w:val="21"/>
                      <w:lang w:val="en-US" w:eastAsia="zh-CN"/>
                    </w:rPr>
                    <w:t>+布袋除尘器</w:t>
                  </w:r>
                  <w:r>
                    <w:rPr>
                      <w:rFonts w:hint="eastAsia" w:cs="Times New Roman"/>
                      <w:color w:val="auto"/>
                      <w:sz w:val="21"/>
                      <w:szCs w:val="21"/>
                      <w:lang w:val="en-US" w:eastAsia="zh-CN"/>
                    </w:rPr>
                    <w:t>92</w:t>
                  </w:r>
                  <w:r>
                    <w:rPr>
                      <w:rFonts w:hint="default" w:ascii="Times New Roman" w:hAnsi="Times New Roman" w:eastAsia="宋体" w:cs="Times New Roman"/>
                      <w:color w:val="auto"/>
                      <w:sz w:val="21"/>
                      <w:szCs w:val="21"/>
                      <w:lang w:val="en-US" w:eastAsia="zh-CN"/>
                    </w:rPr>
                    <w:t>%</w:t>
                  </w:r>
                </w:p>
              </w:tc>
              <w:tc>
                <w:tcPr>
                  <w:tcW w:w="823" w:type="dxa"/>
                  <w:noWrap w:val="0"/>
                  <w:vAlign w:val="center"/>
                </w:tcPr>
                <w:p w14:paraId="1142133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5.1</w:t>
                  </w:r>
                  <w:r>
                    <w:rPr>
                      <w:rFonts w:hint="eastAsia" w:cs="Times New Roman"/>
                      <w:i w:val="0"/>
                      <w:iCs w:val="0"/>
                      <w:color w:val="auto"/>
                      <w:kern w:val="0"/>
                      <w:sz w:val="21"/>
                      <w:szCs w:val="21"/>
                      <w:u w:val="none"/>
                      <w:lang w:val="en-US" w:eastAsia="zh-CN" w:bidi="ar"/>
                    </w:rPr>
                    <w:t>6</w:t>
                  </w:r>
                </w:p>
              </w:tc>
              <w:tc>
                <w:tcPr>
                  <w:tcW w:w="794" w:type="dxa"/>
                  <w:noWrap w:val="0"/>
                  <w:vAlign w:val="center"/>
                </w:tcPr>
                <w:p w14:paraId="2572ED8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1.7</w:t>
                  </w:r>
                  <w:r>
                    <w:rPr>
                      <w:rFonts w:hint="eastAsia" w:cs="Times New Roman"/>
                      <w:i w:val="0"/>
                      <w:iCs w:val="0"/>
                      <w:color w:val="auto"/>
                      <w:kern w:val="0"/>
                      <w:sz w:val="21"/>
                      <w:szCs w:val="21"/>
                      <w:u w:val="none"/>
                      <w:lang w:val="en-US" w:eastAsia="zh-CN" w:bidi="ar"/>
                    </w:rPr>
                    <w:t>2</w:t>
                  </w:r>
                </w:p>
              </w:tc>
            </w:tr>
            <w:tr w14:paraId="5046E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24" w:type="pct"/>
                  <w:vMerge w:val="continue"/>
                  <w:noWrap w:val="0"/>
                  <w:vAlign w:val="center"/>
                </w:tcPr>
                <w:p w14:paraId="3F2E7840">
                  <w:pPr>
                    <w:adjustRightInd w:val="0"/>
                    <w:snapToGrid w:val="0"/>
                    <w:jc w:val="center"/>
                    <w:rPr>
                      <w:rFonts w:hint="default" w:ascii="Times New Roman" w:hAnsi="Times New Roman" w:cs="Times New Roman"/>
                      <w:color w:val="auto"/>
                      <w:sz w:val="21"/>
                      <w:szCs w:val="21"/>
                    </w:rPr>
                  </w:pPr>
                </w:p>
              </w:tc>
              <w:tc>
                <w:tcPr>
                  <w:tcW w:w="571" w:type="pct"/>
                  <w:noWrap w:val="0"/>
                  <w:vAlign w:val="center"/>
                </w:tcPr>
                <w:p w14:paraId="51BED268">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DA002</w:t>
                  </w:r>
                </w:p>
              </w:tc>
              <w:tc>
                <w:tcPr>
                  <w:tcW w:w="681" w:type="pct"/>
                  <w:noWrap w:val="0"/>
                  <w:vAlign w:val="center"/>
                </w:tcPr>
                <w:p w14:paraId="0673946E">
                  <w:pPr>
                    <w:adjustRightInd w:val="0"/>
                    <w:snapToGrid w:val="0"/>
                    <w:jc w:val="center"/>
                    <w:rPr>
                      <w:rFonts w:hint="default" w:ascii="Times New Roman" w:hAnsi="Times New Roman" w:cs="Times New Roman"/>
                      <w:color w:val="auto"/>
                      <w:sz w:val="21"/>
                      <w:szCs w:val="21"/>
                      <w:lang w:val="en-US" w:eastAsia="zh-CN"/>
                    </w:rPr>
                  </w:pPr>
                  <w:r>
                    <w:rPr>
                      <w:rFonts w:hint="eastAsia"/>
                      <w:color w:val="auto"/>
                      <w:sz w:val="21"/>
                      <w:szCs w:val="21"/>
                      <w:lang w:val="en-US" w:eastAsia="zh-CN"/>
                    </w:rPr>
                    <w:t>颗粒物</w:t>
                  </w:r>
                </w:p>
              </w:tc>
              <w:tc>
                <w:tcPr>
                  <w:tcW w:w="1167" w:type="dxa"/>
                  <w:noWrap w:val="0"/>
                  <w:vAlign w:val="center"/>
                </w:tcPr>
                <w:p w14:paraId="76F3E65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1126.15</w:t>
                  </w:r>
                </w:p>
              </w:tc>
              <w:tc>
                <w:tcPr>
                  <w:tcW w:w="1312" w:type="dxa"/>
                  <w:noWrap w:val="0"/>
                  <w:vAlign w:val="center"/>
                </w:tcPr>
                <w:p w14:paraId="1AD3788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375.38</w:t>
                  </w:r>
                </w:p>
              </w:tc>
              <w:tc>
                <w:tcPr>
                  <w:tcW w:w="793" w:type="pct"/>
                  <w:noWrap w:val="0"/>
                  <w:vAlign w:val="center"/>
                </w:tcPr>
                <w:p w14:paraId="45743CC9">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95%</w:t>
                  </w:r>
                  <w:r>
                    <w:rPr>
                      <w:rFonts w:hint="default" w:ascii="Times New Roman" w:hAnsi="Times New Roman" w:eastAsia="宋体" w:cs="Times New Roman"/>
                      <w:color w:val="auto"/>
                      <w:sz w:val="21"/>
                      <w:szCs w:val="21"/>
                      <w:lang w:val="en-US" w:eastAsia="zh-CN"/>
                    </w:rPr>
                    <w:t>+布袋除尘器</w:t>
                  </w:r>
                  <w:r>
                    <w:rPr>
                      <w:rFonts w:hint="eastAsia" w:ascii="Times New Roman" w:hAnsi="Times New Roman" w:eastAsia="宋体" w:cs="Times New Roman"/>
                      <w:color w:val="auto"/>
                      <w:sz w:val="21"/>
                      <w:szCs w:val="21"/>
                      <w:lang w:val="en-US" w:eastAsia="zh-CN"/>
                    </w:rPr>
                    <w:t>99.9</w:t>
                  </w:r>
                  <w:r>
                    <w:rPr>
                      <w:rFonts w:hint="default" w:ascii="Times New Roman" w:hAnsi="Times New Roman" w:eastAsia="宋体" w:cs="Times New Roman"/>
                      <w:color w:val="auto"/>
                      <w:sz w:val="21"/>
                      <w:szCs w:val="21"/>
                      <w:lang w:val="en-US" w:eastAsia="zh-CN"/>
                    </w:rPr>
                    <w:t>%</w:t>
                  </w:r>
                </w:p>
              </w:tc>
              <w:tc>
                <w:tcPr>
                  <w:tcW w:w="823" w:type="dxa"/>
                  <w:noWrap w:val="0"/>
                  <w:vAlign w:val="center"/>
                </w:tcPr>
                <w:p w14:paraId="478F929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w:t>
                  </w:r>
                  <w:r>
                    <w:rPr>
                      <w:rFonts w:hint="eastAsia" w:cs="Times New Roman"/>
                      <w:i w:val="0"/>
                      <w:iCs w:val="0"/>
                      <w:color w:val="auto"/>
                      <w:kern w:val="0"/>
                      <w:sz w:val="21"/>
                      <w:szCs w:val="21"/>
                      <w:u w:val="none"/>
                      <w:lang w:val="en-US" w:eastAsia="zh-CN" w:bidi="ar"/>
                    </w:rPr>
                    <w:t>7</w:t>
                  </w:r>
                </w:p>
              </w:tc>
              <w:tc>
                <w:tcPr>
                  <w:tcW w:w="794" w:type="dxa"/>
                  <w:noWrap w:val="0"/>
                  <w:vAlign w:val="center"/>
                </w:tcPr>
                <w:p w14:paraId="62CE8F3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r>
                    <w:rPr>
                      <w:rFonts w:hint="eastAsia" w:cs="Times New Roman"/>
                      <w:i w:val="0"/>
                      <w:iCs w:val="0"/>
                      <w:color w:val="auto"/>
                      <w:kern w:val="0"/>
                      <w:sz w:val="21"/>
                      <w:szCs w:val="21"/>
                      <w:u w:val="none"/>
                      <w:lang w:val="en-US" w:eastAsia="zh-CN" w:bidi="ar"/>
                    </w:rPr>
                    <w:t>6</w:t>
                  </w:r>
                </w:p>
              </w:tc>
            </w:tr>
            <w:tr w14:paraId="60785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24" w:type="pct"/>
                  <w:vMerge w:val="continue"/>
                  <w:noWrap w:val="0"/>
                  <w:vAlign w:val="center"/>
                </w:tcPr>
                <w:p w14:paraId="5DA356D9">
                  <w:pPr>
                    <w:adjustRightInd w:val="0"/>
                    <w:snapToGrid w:val="0"/>
                    <w:jc w:val="center"/>
                    <w:rPr>
                      <w:rFonts w:hint="default" w:ascii="Times New Roman" w:hAnsi="Times New Roman" w:cs="Times New Roman"/>
                      <w:color w:val="auto"/>
                      <w:sz w:val="21"/>
                      <w:szCs w:val="21"/>
                    </w:rPr>
                  </w:pPr>
                </w:p>
              </w:tc>
              <w:tc>
                <w:tcPr>
                  <w:tcW w:w="571" w:type="pct"/>
                  <w:noWrap w:val="0"/>
                  <w:vAlign w:val="center"/>
                </w:tcPr>
                <w:p w14:paraId="259CB647">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DA003</w:t>
                  </w:r>
                </w:p>
              </w:tc>
              <w:tc>
                <w:tcPr>
                  <w:tcW w:w="681" w:type="pct"/>
                  <w:noWrap w:val="0"/>
                  <w:vAlign w:val="center"/>
                </w:tcPr>
                <w:p w14:paraId="4C219293">
                  <w:pPr>
                    <w:adjustRightInd w:val="0"/>
                    <w:snapToGrid w:val="0"/>
                    <w:jc w:val="center"/>
                    <w:rPr>
                      <w:rFonts w:hint="default" w:ascii="Times New Roman" w:hAnsi="Times New Roman" w:cs="Times New Roman"/>
                      <w:color w:val="auto"/>
                      <w:sz w:val="21"/>
                      <w:szCs w:val="21"/>
                      <w:lang w:val="en-US" w:eastAsia="zh-CN"/>
                    </w:rPr>
                  </w:pPr>
                  <w:r>
                    <w:rPr>
                      <w:rFonts w:hint="eastAsia"/>
                      <w:color w:val="auto"/>
                      <w:sz w:val="21"/>
                      <w:szCs w:val="21"/>
                      <w:lang w:val="en-US" w:eastAsia="zh-CN"/>
                    </w:rPr>
                    <w:t>颗粒物</w:t>
                  </w:r>
                </w:p>
              </w:tc>
              <w:tc>
                <w:tcPr>
                  <w:tcW w:w="1167" w:type="dxa"/>
                  <w:noWrap w:val="0"/>
                  <w:vAlign w:val="center"/>
                </w:tcPr>
                <w:p w14:paraId="3667250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48.40</w:t>
                  </w:r>
                </w:p>
              </w:tc>
              <w:tc>
                <w:tcPr>
                  <w:tcW w:w="1312" w:type="dxa"/>
                  <w:noWrap w:val="0"/>
                  <w:vAlign w:val="center"/>
                </w:tcPr>
                <w:p w14:paraId="63ADF2E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16.13</w:t>
                  </w:r>
                </w:p>
              </w:tc>
              <w:tc>
                <w:tcPr>
                  <w:tcW w:w="793" w:type="pct"/>
                  <w:vMerge w:val="restart"/>
                  <w:noWrap w:val="0"/>
                  <w:vAlign w:val="center"/>
                </w:tcPr>
                <w:p w14:paraId="12A5D1B2">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集气罩</w:t>
                  </w:r>
                  <w:r>
                    <w:rPr>
                      <w:rFonts w:hint="eastAsia" w:ascii="Times New Roman" w:hAnsi="Times New Roman" w:eastAsia="宋体" w:cs="Times New Roman"/>
                      <w:color w:val="auto"/>
                      <w:sz w:val="21"/>
                      <w:szCs w:val="21"/>
                      <w:lang w:val="en-US" w:eastAsia="zh-CN"/>
                    </w:rPr>
                    <w:t>95%</w:t>
                  </w:r>
                  <w:r>
                    <w:rPr>
                      <w:rFonts w:hint="default" w:ascii="Times New Roman" w:hAnsi="Times New Roman" w:eastAsia="宋体" w:cs="Times New Roman"/>
                      <w:color w:val="auto"/>
                      <w:sz w:val="21"/>
                      <w:szCs w:val="21"/>
                      <w:lang w:val="en-US" w:eastAsia="zh-CN"/>
                    </w:rPr>
                    <w:t>+布袋除尘器</w:t>
                  </w:r>
                  <w:r>
                    <w:rPr>
                      <w:rFonts w:hint="eastAsia" w:cs="Times New Roman"/>
                      <w:color w:val="auto"/>
                      <w:sz w:val="21"/>
                      <w:szCs w:val="21"/>
                      <w:lang w:val="en-US" w:eastAsia="zh-CN"/>
                    </w:rPr>
                    <w:t>92</w:t>
                  </w:r>
                  <w:r>
                    <w:rPr>
                      <w:rFonts w:hint="default" w:ascii="Times New Roman" w:hAnsi="Times New Roman" w:eastAsia="宋体" w:cs="Times New Roman"/>
                      <w:color w:val="auto"/>
                      <w:sz w:val="21"/>
                      <w:szCs w:val="21"/>
                      <w:lang w:val="en-US" w:eastAsia="zh-CN"/>
                    </w:rPr>
                    <w:t>%</w:t>
                  </w:r>
                </w:p>
              </w:tc>
              <w:tc>
                <w:tcPr>
                  <w:tcW w:w="823" w:type="dxa"/>
                  <w:noWrap w:val="0"/>
                  <w:vAlign w:val="center"/>
                </w:tcPr>
                <w:p w14:paraId="643ACC0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3.68</w:t>
                  </w:r>
                </w:p>
              </w:tc>
              <w:tc>
                <w:tcPr>
                  <w:tcW w:w="794" w:type="dxa"/>
                  <w:noWrap w:val="0"/>
                  <w:vAlign w:val="center"/>
                </w:tcPr>
                <w:p w14:paraId="1FA3877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w:t>
                  </w:r>
                  <w:r>
                    <w:rPr>
                      <w:rFonts w:hint="eastAsia" w:cs="Times New Roman"/>
                      <w:i w:val="0"/>
                      <w:iCs w:val="0"/>
                      <w:color w:val="auto"/>
                      <w:kern w:val="0"/>
                      <w:sz w:val="21"/>
                      <w:szCs w:val="21"/>
                      <w:u w:val="none"/>
                      <w:lang w:val="en-US" w:eastAsia="zh-CN" w:bidi="ar"/>
                    </w:rPr>
                    <w:t>3</w:t>
                  </w:r>
                </w:p>
              </w:tc>
            </w:tr>
            <w:tr w14:paraId="71B1E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24" w:type="pct"/>
                  <w:vMerge w:val="continue"/>
                  <w:noWrap w:val="0"/>
                  <w:vAlign w:val="center"/>
                </w:tcPr>
                <w:p w14:paraId="2A170BDE">
                  <w:pPr>
                    <w:pStyle w:val="4"/>
                    <w:jc w:val="center"/>
                    <w:rPr>
                      <w:rFonts w:hint="default" w:ascii="Times New Roman" w:hAnsi="Times New Roman" w:cs="Times New Roman"/>
                      <w:color w:val="auto"/>
                      <w:sz w:val="21"/>
                      <w:szCs w:val="21"/>
                    </w:rPr>
                  </w:pPr>
                </w:p>
              </w:tc>
              <w:tc>
                <w:tcPr>
                  <w:tcW w:w="571" w:type="pct"/>
                  <w:noWrap w:val="0"/>
                  <w:vAlign w:val="center"/>
                </w:tcPr>
                <w:p w14:paraId="1A98365A">
                  <w:pPr>
                    <w:adjustRightInd w:val="0"/>
                    <w:snapToGrid w:val="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DA004</w:t>
                  </w:r>
                </w:p>
              </w:tc>
              <w:tc>
                <w:tcPr>
                  <w:tcW w:w="681" w:type="pct"/>
                  <w:noWrap w:val="0"/>
                  <w:vAlign w:val="center"/>
                </w:tcPr>
                <w:p w14:paraId="6A5AF9D9">
                  <w:pPr>
                    <w:adjustRightInd w:val="0"/>
                    <w:snapToGrid w:val="0"/>
                    <w:jc w:val="center"/>
                    <w:rPr>
                      <w:rFonts w:hint="default" w:ascii="Times New Roman" w:hAnsi="Times New Roman" w:cs="Times New Roman"/>
                      <w:color w:val="auto"/>
                      <w:sz w:val="21"/>
                      <w:szCs w:val="21"/>
                      <w:lang w:val="en-US" w:eastAsia="zh-CN"/>
                    </w:rPr>
                  </w:pPr>
                  <w:r>
                    <w:rPr>
                      <w:rFonts w:hint="eastAsia"/>
                      <w:color w:val="auto"/>
                      <w:sz w:val="21"/>
                      <w:szCs w:val="21"/>
                      <w:lang w:val="en-US" w:eastAsia="zh-CN"/>
                    </w:rPr>
                    <w:t>颗粒物</w:t>
                  </w:r>
                </w:p>
              </w:tc>
              <w:tc>
                <w:tcPr>
                  <w:tcW w:w="1167" w:type="dxa"/>
                  <w:noWrap w:val="0"/>
                  <w:vAlign w:val="center"/>
                </w:tcPr>
                <w:p w14:paraId="5B250B8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12.9</w:t>
                  </w:r>
                  <w:r>
                    <w:rPr>
                      <w:rFonts w:hint="eastAsia" w:cs="Times New Roman"/>
                      <w:i w:val="0"/>
                      <w:iCs w:val="0"/>
                      <w:color w:val="auto"/>
                      <w:kern w:val="0"/>
                      <w:sz w:val="21"/>
                      <w:szCs w:val="21"/>
                      <w:u w:val="none"/>
                      <w:lang w:val="en-US" w:eastAsia="zh-CN" w:bidi="ar"/>
                    </w:rPr>
                    <w:t>4</w:t>
                  </w:r>
                </w:p>
              </w:tc>
              <w:tc>
                <w:tcPr>
                  <w:tcW w:w="1312" w:type="dxa"/>
                  <w:noWrap w:val="0"/>
                  <w:vAlign w:val="center"/>
                </w:tcPr>
                <w:p w14:paraId="6E7ED75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4.31</w:t>
                  </w:r>
                </w:p>
              </w:tc>
              <w:tc>
                <w:tcPr>
                  <w:tcW w:w="793" w:type="pct"/>
                  <w:vMerge w:val="continue"/>
                  <w:noWrap w:val="0"/>
                  <w:vAlign w:val="center"/>
                </w:tcPr>
                <w:p w14:paraId="1CCB9D5F">
                  <w:pPr>
                    <w:adjustRightInd w:val="0"/>
                    <w:snapToGrid w:val="0"/>
                    <w:jc w:val="center"/>
                    <w:rPr>
                      <w:rFonts w:hint="default" w:ascii="Times New Roman" w:hAnsi="Times New Roman" w:eastAsia="宋体" w:cs="Times New Roman"/>
                      <w:color w:val="auto"/>
                      <w:sz w:val="21"/>
                      <w:szCs w:val="21"/>
                      <w:lang w:val="en-US" w:eastAsia="zh-CN"/>
                    </w:rPr>
                  </w:pPr>
                </w:p>
              </w:tc>
              <w:tc>
                <w:tcPr>
                  <w:tcW w:w="823" w:type="dxa"/>
                  <w:noWrap w:val="0"/>
                  <w:vAlign w:val="center"/>
                </w:tcPr>
                <w:p w14:paraId="136E052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0.98</w:t>
                  </w:r>
                </w:p>
              </w:tc>
              <w:tc>
                <w:tcPr>
                  <w:tcW w:w="794" w:type="dxa"/>
                  <w:noWrap w:val="0"/>
                  <w:vAlign w:val="center"/>
                </w:tcPr>
                <w:p w14:paraId="6C96F16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r>
                    <w:rPr>
                      <w:rFonts w:hint="eastAsia" w:cs="Times New Roman"/>
                      <w:i w:val="0"/>
                      <w:iCs w:val="0"/>
                      <w:color w:val="auto"/>
                      <w:kern w:val="0"/>
                      <w:sz w:val="21"/>
                      <w:szCs w:val="21"/>
                      <w:u w:val="none"/>
                      <w:lang w:val="en-US" w:eastAsia="zh-CN" w:bidi="ar"/>
                    </w:rPr>
                    <w:t>3</w:t>
                  </w:r>
                </w:p>
              </w:tc>
            </w:tr>
            <w:tr w14:paraId="6584D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524" w:type="pct"/>
                  <w:vMerge w:val="continue"/>
                  <w:noWrap w:val="0"/>
                  <w:vAlign w:val="center"/>
                </w:tcPr>
                <w:p w14:paraId="27D3DEFB">
                  <w:pPr>
                    <w:pStyle w:val="4"/>
                    <w:jc w:val="center"/>
                    <w:rPr>
                      <w:rFonts w:hint="default" w:ascii="Times New Roman" w:hAnsi="Times New Roman" w:cs="Times New Roman"/>
                      <w:color w:val="auto"/>
                      <w:sz w:val="21"/>
                      <w:szCs w:val="21"/>
                    </w:rPr>
                  </w:pPr>
                </w:p>
              </w:tc>
              <w:tc>
                <w:tcPr>
                  <w:tcW w:w="571" w:type="pct"/>
                  <w:noWrap w:val="0"/>
                  <w:vAlign w:val="center"/>
                </w:tcPr>
                <w:p w14:paraId="33354E54">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DA005</w:t>
                  </w:r>
                </w:p>
              </w:tc>
              <w:tc>
                <w:tcPr>
                  <w:tcW w:w="681" w:type="pct"/>
                  <w:noWrap w:val="0"/>
                  <w:vAlign w:val="center"/>
                </w:tcPr>
                <w:p w14:paraId="54E427D2">
                  <w:pPr>
                    <w:adjustRightInd w:val="0"/>
                    <w:snapToGrid w:val="0"/>
                    <w:jc w:val="center"/>
                    <w:rPr>
                      <w:rFonts w:hint="eastAsia"/>
                      <w:color w:val="auto"/>
                      <w:sz w:val="21"/>
                      <w:szCs w:val="21"/>
                      <w:lang w:val="en-US" w:eastAsia="zh-CN"/>
                    </w:rPr>
                  </w:pPr>
                  <w:r>
                    <w:rPr>
                      <w:rFonts w:hint="eastAsia"/>
                      <w:color w:val="auto"/>
                      <w:sz w:val="21"/>
                      <w:szCs w:val="21"/>
                      <w:lang w:val="en-US" w:eastAsia="zh-CN"/>
                    </w:rPr>
                    <w:t>颗粒物</w:t>
                  </w:r>
                </w:p>
              </w:tc>
              <w:tc>
                <w:tcPr>
                  <w:tcW w:w="1167" w:type="dxa"/>
                  <w:noWrap w:val="0"/>
                  <w:vAlign w:val="center"/>
                </w:tcPr>
                <w:p w14:paraId="19F73C64">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6.45</w:t>
                  </w:r>
                </w:p>
              </w:tc>
              <w:tc>
                <w:tcPr>
                  <w:tcW w:w="1312" w:type="dxa"/>
                  <w:noWrap w:val="0"/>
                  <w:vAlign w:val="center"/>
                </w:tcPr>
                <w:p w14:paraId="137AE0F5">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2.15</w:t>
                  </w:r>
                </w:p>
              </w:tc>
              <w:tc>
                <w:tcPr>
                  <w:tcW w:w="793" w:type="pct"/>
                  <w:vMerge w:val="continue"/>
                  <w:noWrap w:val="0"/>
                  <w:vAlign w:val="center"/>
                </w:tcPr>
                <w:p w14:paraId="54C2AB18">
                  <w:pPr>
                    <w:adjustRightInd w:val="0"/>
                    <w:snapToGrid w:val="0"/>
                    <w:jc w:val="center"/>
                    <w:rPr>
                      <w:rFonts w:hint="default" w:ascii="Times New Roman" w:hAnsi="Times New Roman" w:eastAsia="宋体" w:cs="Times New Roman"/>
                      <w:color w:val="auto"/>
                      <w:sz w:val="21"/>
                      <w:szCs w:val="21"/>
                      <w:lang w:val="en-US" w:eastAsia="zh-CN"/>
                    </w:rPr>
                  </w:pPr>
                </w:p>
              </w:tc>
              <w:tc>
                <w:tcPr>
                  <w:tcW w:w="823" w:type="dxa"/>
                  <w:noWrap w:val="0"/>
                  <w:vAlign w:val="center"/>
                </w:tcPr>
                <w:p w14:paraId="28B46CD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794" w:type="dxa"/>
                  <w:noWrap w:val="0"/>
                  <w:vAlign w:val="center"/>
                </w:tcPr>
                <w:p w14:paraId="15F3BBE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0.16</w:t>
                  </w:r>
                </w:p>
              </w:tc>
            </w:tr>
          </w:tbl>
          <w:p w14:paraId="137E2999">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color w:val="auto"/>
                <w:sz w:val="24"/>
                <w:lang w:val="en-US" w:eastAsia="zh-CN"/>
              </w:rPr>
            </w:pPr>
            <w:r>
              <w:rPr>
                <w:rFonts w:hint="eastAsia"/>
                <w:color w:val="auto"/>
                <w:sz w:val="24"/>
              </w:rPr>
              <w:t>项目车间</w:t>
            </w:r>
            <w:r>
              <w:rPr>
                <w:rFonts w:hint="eastAsia"/>
                <w:color w:val="auto"/>
                <w:sz w:val="24"/>
                <w:lang w:val="en-US" w:eastAsia="zh-CN"/>
              </w:rPr>
              <w:t>在各产生点上方</w:t>
            </w:r>
            <w:r>
              <w:rPr>
                <w:color w:val="auto"/>
                <w:sz w:val="24"/>
              </w:rPr>
              <w:t>设置有</w:t>
            </w:r>
            <w:r>
              <w:rPr>
                <w:rFonts w:hint="eastAsia"/>
                <w:color w:val="auto"/>
                <w:sz w:val="24"/>
              </w:rPr>
              <w:t>喷淋</w:t>
            </w:r>
            <w:r>
              <w:rPr>
                <w:color w:val="auto"/>
                <w:sz w:val="24"/>
              </w:rPr>
              <w:t>装置</w:t>
            </w:r>
            <w:r>
              <w:rPr>
                <w:rFonts w:hint="eastAsia" w:ascii="Times New Roman" w:hAnsi="Times New Roman" w:cs="Times New Roman"/>
                <w:color w:val="auto"/>
                <w:sz w:val="24"/>
                <w:szCs w:val="24"/>
                <w:lang w:val="en-US" w:eastAsia="zh-CN"/>
              </w:rPr>
              <w:t>（生产期间全程进行喷淋）</w:t>
            </w:r>
            <w:r>
              <w:rPr>
                <w:color w:val="auto"/>
                <w:sz w:val="24"/>
              </w:rPr>
              <w:t>，再经厂房隔挡</w:t>
            </w:r>
            <w:r>
              <w:rPr>
                <w:rFonts w:hint="eastAsia"/>
                <w:color w:val="auto"/>
                <w:sz w:val="24"/>
                <w:lang w:val="en-US" w:eastAsia="zh-CN"/>
              </w:rPr>
              <w:t>后</w:t>
            </w:r>
            <w:r>
              <w:rPr>
                <w:rFonts w:hint="eastAsia"/>
                <w:color w:val="auto"/>
                <w:sz w:val="24"/>
              </w:rPr>
              <w:t>可有效</w:t>
            </w:r>
            <w:r>
              <w:rPr>
                <w:color w:val="auto"/>
                <w:sz w:val="24"/>
              </w:rPr>
              <w:t>去除</w:t>
            </w:r>
            <w:r>
              <w:rPr>
                <w:rFonts w:hint="eastAsia"/>
                <w:color w:val="auto"/>
                <w:sz w:val="24"/>
                <w:lang w:val="en-US" w:eastAsia="zh-CN"/>
              </w:rPr>
              <w:t>60</w:t>
            </w:r>
            <w:r>
              <w:rPr>
                <w:color w:val="auto"/>
                <w:sz w:val="24"/>
              </w:rPr>
              <w:t>%的无组织粉尘</w:t>
            </w:r>
            <w:r>
              <w:rPr>
                <w:rFonts w:hint="eastAsia"/>
                <w:color w:val="auto"/>
                <w:sz w:val="24"/>
              </w:rPr>
              <w:t>，</w:t>
            </w:r>
            <w:r>
              <w:rPr>
                <w:color w:val="auto"/>
                <w:sz w:val="24"/>
                <w:highlight w:val="none"/>
              </w:rPr>
              <w:t>经过两道工序后，项目产生的无组织粉尘仅有少部分粉尘逸散出厂房，经喷淋</w:t>
            </w:r>
            <w:r>
              <w:rPr>
                <w:rFonts w:hint="eastAsia"/>
                <w:color w:val="auto"/>
                <w:sz w:val="24"/>
                <w:highlight w:val="none"/>
                <w:lang w:val="en-US" w:eastAsia="zh-CN"/>
              </w:rPr>
              <w:t>除尘</w:t>
            </w:r>
            <w:r>
              <w:rPr>
                <w:rFonts w:hint="eastAsia"/>
                <w:color w:val="auto"/>
                <w:sz w:val="24"/>
                <w:highlight w:val="none"/>
              </w:rPr>
              <w:t>、</w:t>
            </w:r>
            <w:r>
              <w:rPr>
                <w:color w:val="auto"/>
                <w:sz w:val="24"/>
                <w:highlight w:val="none"/>
              </w:rPr>
              <w:t>厂房隔挡后，排放量为</w:t>
            </w:r>
            <w:r>
              <w:rPr>
                <w:rFonts w:hint="eastAsia"/>
                <w:color w:val="auto"/>
                <w:sz w:val="24"/>
                <w:highlight w:val="none"/>
                <w:lang w:val="en-US" w:eastAsia="zh-CN"/>
              </w:rPr>
              <w:t>25.24</w:t>
            </w:r>
            <w:r>
              <w:rPr>
                <w:color w:val="auto"/>
                <w:sz w:val="24"/>
                <w:highlight w:val="none"/>
              </w:rPr>
              <w:t>t/a</w:t>
            </w:r>
            <w:r>
              <w:rPr>
                <w:rFonts w:hint="eastAsia"/>
                <w:color w:val="auto"/>
                <w:sz w:val="24"/>
                <w:lang w:eastAsia="zh-CN"/>
              </w:rPr>
              <w:t>。</w:t>
            </w:r>
            <w:r>
              <w:rPr>
                <w:rFonts w:hint="eastAsia"/>
                <w:color w:val="auto"/>
                <w:sz w:val="24"/>
                <w:lang w:val="en-US" w:eastAsia="zh-CN"/>
              </w:rPr>
              <w:t xml:space="preserve">    </w:t>
            </w:r>
          </w:p>
          <w:p w14:paraId="5DC40463">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宋体" w:cs="Times New Roman"/>
                <w:color w:val="auto"/>
                <w:sz w:val="24"/>
                <w:lang w:val="en-US" w:eastAsia="zh-CN"/>
              </w:rPr>
            </w:pPr>
            <w:r>
              <w:rPr>
                <w:rFonts w:hint="eastAsia" w:ascii="宋体" w:hAnsi="宋体" w:eastAsia="宋体" w:cs="宋体"/>
                <w:color w:val="auto"/>
                <w:sz w:val="24"/>
                <w:lang w:val="en-US" w:eastAsia="zh-CN"/>
              </w:rPr>
              <w:t>②</w:t>
            </w:r>
            <w:r>
              <w:rPr>
                <w:rFonts w:hint="eastAsia" w:ascii="Times New Roman" w:hAnsi="宋体" w:cs="Times New Roman"/>
                <w:color w:val="auto"/>
                <w:sz w:val="24"/>
                <w:lang w:val="en-US" w:eastAsia="zh-CN"/>
              </w:rPr>
              <w:t>皮带输送粉尘</w:t>
            </w:r>
          </w:p>
          <w:p w14:paraId="3F5BB394">
            <w:pPr>
              <w:pStyle w:val="4"/>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本项目前处理线物料输送采用皮带输送，皮带输送两边置有喷淋装置，且全部与车间内降尘</w:t>
            </w:r>
            <w:r>
              <w:rPr>
                <w:rFonts w:hint="eastAsia" w:ascii="Times New Roman" w:hAnsi="Times New Roman"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因此，输送过程中产生粉尘量很少，本次评价不对其进行量化分析。</w:t>
            </w:r>
          </w:p>
          <w:p w14:paraId="77C683E3">
            <w:pPr>
              <w:adjustRightInd w:val="0"/>
              <w:snapToGrid w:val="0"/>
              <w:spacing w:line="360" w:lineRule="auto"/>
              <w:ind w:firstLine="480" w:firstLineChars="200"/>
              <w:rPr>
                <w:bCs/>
                <w:color w:val="auto"/>
                <w:sz w:val="24"/>
              </w:rPr>
            </w:pPr>
            <w:r>
              <w:rPr>
                <w:rFonts w:hint="eastAsia"/>
                <w:bCs/>
                <w:color w:val="auto"/>
                <w:sz w:val="24"/>
              </w:rPr>
              <w:t>（3）</w:t>
            </w:r>
            <w:r>
              <w:rPr>
                <w:rFonts w:hint="eastAsia"/>
                <w:bCs/>
                <w:color w:val="auto"/>
                <w:sz w:val="24"/>
                <w:lang w:val="en-US" w:eastAsia="zh-CN"/>
              </w:rPr>
              <w:t>新增</w:t>
            </w:r>
            <w:r>
              <w:rPr>
                <w:bCs/>
                <w:color w:val="auto"/>
                <w:sz w:val="24"/>
              </w:rPr>
              <w:t>排放口基本情况</w:t>
            </w:r>
          </w:p>
          <w:p w14:paraId="301BA809">
            <w:pPr>
              <w:tabs>
                <w:tab w:val="left" w:pos="2539"/>
              </w:tabs>
              <w:adjustRightInd w:val="0"/>
              <w:snapToGrid w:val="0"/>
              <w:spacing w:line="360" w:lineRule="auto"/>
              <w:ind w:firstLine="480" w:firstLineChars="200"/>
              <w:rPr>
                <w:bCs/>
                <w:color w:val="auto"/>
                <w:sz w:val="24"/>
              </w:rPr>
            </w:pPr>
            <w:r>
              <w:rPr>
                <w:rFonts w:hint="eastAsia"/>
                <w:bCs/>
                <w:color w:val="auto"/>
                <w:sz w:val="24"/>
                <w:lang w:val="en-US" w:eastAsia="zh-CN"/>
              </w:rPr>
              <w:t>新增的</w:t>
            </w:r>
            <w:r>
              <w:rPr>
                <w:bCs/>
                <w:color w:val="auto"/>
                <w:sz w:val="24"/>
              </w:rPr>
              <w:t>排放口基本情况见表4</w:t>
            </w:r>
            <w:r>
              <w:rPr>
                <w:rFonts w:hint="eastAsia"/>
                <w:bCs/>
                <w:color w:val="auto"/>
                <w:sz w:val="24"/>
              </w:rPr>
              <w:t>-</w:t>
            </w:r>
            <w:r>
              <w:rPr>
                <w:rFonts w:hint="eastAsia"/>
                <w:bCs/>
                <w:color w:val="auto"/>
                <w:sz w:val="24"/>
                <w:lang w:val="en-US" w:eastAsia="zh-CN"/>
              </w:rPr>
              <w:t>4</w:t>
            </w:r>
            <w:r>
              <w:rPr>
                <w:bCs/>
                <w:color w:val="auto"/>
                <w:sz w:val="24"/>
              </w:rPr>
              <w:t>。</w:t>
            </w:r>
          </w:p>
          <w:p w14:paraId="2CC4972C">
            <w:pPr>
              <w:tabs>
                <w:tab w:val="left" w:pos="2539"/>
              </w:tabs>
              <w:adjustRightInd w:val="0"/>
              <w:snapToGrid w:val="0"/>
              <w:jc w:val="center"/>
              <w:rPr>
                <w:b/>
                <w:color w:val="auto"/>
                <w:sz w:val="24"/>
              </w:rPr>
            </w:pPr>
            <w:r>
              <w:rPr>
                <w:b/>
                <w:color w:val="auto"/>
                <w:sz w:val="24"/>
              </w:rPr>
              <w:t>表4-</w:t>
            </w:r>
            <w:r>
              <w:rPr>
                <w:rFonts w:hint="eastAsia"/>
                <w:b/>
                <w:color w:val="auto"/>
                <w:sz w:val="24"/>
                <w:lang w:val="en-US" w:eastAsia="zh-CN"/>
              </w:rPr>
              <w:t>4</w:t>
            </w:r>
            <w:r>
              <w:rPr>
                <w:b/>
                <w:color w:val="auto"/>
                <w:sz w:val="24"/>
              </w:rPr>
              <w:t xml:space="preserve">  排放口基本情况表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500"/>
              <w:gridCol w:w="2579"/>
              <w:gridCol w:w="450"/>
              <w:gridCol w:w="450"/>
              <w:gridCol w:w="502"/>
              <w:gridCol w:w="590"/>
              <w:gridCol w:w="584"/>
              <w:gridCol w:w="1943"/>
            </w:tblGrid>
            <w:tr w14:paraId="4FEFEE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489" w:type="pct"/>
                  <w:shd w:val="clear" w:color="auto" w:fill="auto"/>
                  <w:vAlign w:val="center"/>
                </w:tcPr>
                <w:p w14:paraId="410C15DB">
                  <w:pPr>
                    <w:pStyle w:val="4"/>
                    <w:ind w:firstLine="0" w:firstLineChars="0"/>
                    <w:jc w:val="center"/>
                    <w:rPr>
                      <w:b/>
                      <w:color w:val="auto"/>
                      <w:szCs w:val="21"/>
                    </w:rPr>
                  </w:pPr>
                  <w:r>
                    <w:rPr>
                      <w:b/>
                      <w:color w:val="auto"/>
                      <w:szCs w:val="21"/>
                    </w:rPr>
                    <w:t>编号</w:t>
                  </w:r>
                </w:p>
              </w:tc>
              <w:tc>
                <w:tcPr>
                  <w:tcW w:w="328" w:type="pct"/>
                  <w:shd w:val="clear" w:color="auto" w:fill="FFFFFF"/>
                  <w:vAlign w:val="center"/>
                </w:tcPr>
                <w:p w14:paraId="58706E4D">
                  <w:pPr>
                    <w:pStyle w:val="4"/>
                    <w:ind w:firstLine="0" w:firstLineChars="0"/>
                    <w:jc w:val="center"/>
                    <w:rPr>
                      <w:b/>
                      <w:color w:val="auto"/>
                      <w:szCs w:val="21"/>
                    </w:rPr>
                  </w:pPr>
                  <w:r>
                    <w:rPr>
                      <w:b/>
                      <w:color w:val="auto"/>
                      <w:szCs w:val="21"/>
                    </w:rPr>
                    <w:t>名称</w:t>
                  </w:r>
                </w:p>
              </w:tc>
              <w:tc>
                <w:tcPr>
                  <w:tcW w:w="1513" w:type="pct"/>
                  <w:shd w:val="clear" w:color="auto" w:fill="FFFFFF"/>
                  <w:vAlign w:val="center"/>
                </w:tcPr>
                <w:p w14:paraId="79163503">
                  <w:pPr>
                    <w:pStyle w:val="4"/>
                    <w:ind w:firstLine="0" w:firstLineChars="0"/>
                    <w:jc w:val="center"/>
                    <w:rPr>
                      <w:b/>
                      <w:color w:val="auto"/>
                      <w:szCs w:val="21"/>
                    </w:rPr>
                  </w:pPr>
                  <w:r>
                    <w:rPr>
                      <w:b/>
                      <w:color w:val="auto"/>
                      <w:szCs w:val="21"/>
                    </w:rPr>
                    <w:t>排气筒底部中心坐标/°</w:t>
                  </w:r>
                </w:p>
              </w:tc>
              <w:tc>
                <w:tcPr>
                  <w:tcW w:w="264" w:type="pct"/>
                  <w:vAlign w:val="center"/>
                </w:tcPr>
                <w:p w14:paraId="0C04E168">
                  <w:pPr>
                    <w:pStyle w:val="4"/>
                    <w:ind w:firstLine="0" w:firstLineChars="0"/>
                    <w:jc w:val="center"/>
                    <w:rPr>
                      <w:b/>
                      <w:color w:val="auto"/>
                      <w:szCs w:val="21"/>
                    </w:rPr>
                  </w:pPr>
                  <w:r>
                    <w:rPr>
                      <w:b/>
                      <w:color w:val="auto"/>
                      <w:szCs w:val="21"/>
                    </w:rPr>
                    <w:t>排气筒高度/m</w:t>
                  </w:r>
                </w:p>
              </w:tc>
              <w:tc>
                <w:tcPr>
                  <w:tcW w:w="281" w:type="pct"/>
                  <w:vAlign w:val="center"/>
                </w:tcPr>
                <w:p w14:paraId="2896E085">
                  <w:pPr>
                    <w:pStyle w:val="4"/>
                    <w:ind w:firstLine="0" w:firstLineChars="0"/>
                    <w:jc w:val="center"/>
                    <w:rPr>
                      <w:b/>
                      <w:color w:val="auto"/>
                      <w:szCs w:val="21"/>
                    </w:rPr>
                  </w:pPr>
                  <w:r>
                    <w:rPr>
                      <w:b/>
                      <w:color w:val="auto"/>
                      <w:szCs w:val="21"/>
                    </w:rPr>
                    <w:t>排气筒出口内径/m</w:t>
                  </w:r>
                </w:p>
              </w:tc>
              <w:tc>
                <w:tcPr>
                  <w:tcW w:w="315" w:type="pct"/>
                  <w:vAlign w:val="center"/>
                </w:tcPr>
                <w:p w14:paraId="6EEEF5F4">
                  <w:pPr>
                    <w:pStyle w:val="4"/>
                    <w:ind w:firstLine="0" w:firstLineChars="0"/>
                    <w:jc w:val="center"/>
                    <w:rPr>
                      <w:b/>
                      <w:color w:val="auto"/>
                      <w:szCs w:val="21"/>
                    </w:rPr>
                  </w:pPr>
                  <w:r>
                    <w:rPr>
                      <w:b/>
                      <w:color w:val="auto"/>
                      <w:szCs w:val="21"/>
                    </w:rPr>
                    <w:t>烟气温度/℃</w:t>
                  </w:r>
                </w:p>
              </w:tc>
              <w:tc>
                <w:tcPr>
                  <w:tcW w:w="396" w:type="pct"/>
                  <w:vAlign w:val="center"/>
                </w:tcPr>
                <w:p w14:paraId="45B8545F">
                  <w:pPr>
                    <w:pStyle w:val="4"/>
                    <w:ind w:firstLine="0" w:firstLineChars="0"/>
                    <w:jc w:val="center"/>
                    <w:rPr>
                      <w:rFonts w:hint="default" w:eastAsia="宋体"/>
                      <w:b/>
                      <w:color w:val="auto"/>
                      <w:szCs w:val="21"/>
                      <w:lang w:val="en-US" w:eastAsia="zh-CN"/>
                    </w:rPr>
                  </w:pPr>
                  <w:r>
                    <w:rPr>
                      <w:rFonts w:hint="eastAsia"/>
                      <w:b/>
                      <w:color w:val="auto"/>
                      <w:szCs w:val="21"/>
                      <w:lang w:val="en-US" w:eastAsia="zh-CN"/>
                    </w:rPr>
                    <w:t>烟气流速/m/s</w:t>
                  </w:r>
                </w:p>
              </w:tc>
              <w:tc>
                <w:tcPr>
                  <w:tcW w:w="396" w:type="pct"/>
                  <w:vAlign w:val="center"/>
                </w:tcPr>
                <w:p w14:paraId="5E05E4E6">
                  <w:pPr>
                    <w:pStyle w:val="4"/>
                    <w:ind w:firstLine="0" w:firstLineChars="0"/>
                    <w:jc w:val="center"/>
                    <w:rPr>
                      <w:b/>
                      <w:color w:val="auto"/>
                      <w:szCs w:val="21"/>
                    </w:rPr>
                  </w:pPr>
                  <w:r>
                    <w:rPr>
                      <w:b/>
                      <w:color w:val="auto"/>
                      <w:szCs w:val="21"/>
                    </w:rPr>
                    <w:t>排放口类型</w:t>
                  </w:r>
                </w:p>
              </w:tc>
              <w:tc>
                <w:tcPr>
                  <w:tcW w:w="1015" w:type="pct"/>
                  <w:vAlign w:val="center"/>
                </w:tcPr>
                <w:p w14:paraId="1DDBA0EF">
                  <w:pPr>
                    <w:pStyle w:val="4"/>
                    <w:ind w:firstLine="0" w:firstLineChars="0"/>
                    <w:jc w:val="center"/>
                    <w:rPr>
                      <w:b/>
                      <w:color w:val="auto"/>
                      <w:szCs w:val="21"/>
                    </w:rPr>
                  </w:pPr>
                  <w:r>
                    <w:rPr>
                      <w:b/>
                      <w:color w:val="auto"/>
                      <w:szCs w:val="21"/>
                    </w:rPr>
                    <w:t>排放标准</w:t>
                  </w:r>
                </w:p>
              </w:tc>
            </w:tr>
            <w:tr w14:paraId="022CE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489" w:type="pct"/>
                  <w:shd w:val="clear" w:color="auto" w:fill="auto"/>
                  <w:vAlign w:val="center"/>
                </w:tcPr>
                <w:p w14:paraId="43A5B388">
                  <w:pPr>
                    <w:pStyle w:val="4"/>
                    <w:ind w:firstLine="0" w:firstLineChars="0"/>
                    <w:jc w:val="center"/>
                    <w:rPr>
                      <w:rFonts w:hint="default" w:eastAsia="宋体"/>
                      <w:color w:val="auto"/>
                      <w:szCs w:val="21"/>
                      <w:lang w:val="en-US" w:eastAsia="zh-CN"/>
                    </w:rPr>
                  </w:pPr>
                  <w:r>
                    <w:rPr>
                      <w:rFonts w:hint="eastAsia"/>
                      <w:color w:val="auto"/>
                      <w:szCs w:val="21"/>
                      <w:lang w:val="en-US" w:eastAsia="zh-CN"/>
                    </w:rPr>
                    <w:t>DA005</w:t>
                  </w:r>
                </w:p>
              </w:tc>
              <w:tc>
                <w:tcPr>
                  <w:tcW w:w="328" w:type="pct"/>
                  <w:shd w:val="clear" w:color="auto" w:fill="FFFFFF"/>
                  <w:vAlign w:val="center"/>
                </w:tcPr>
                <w:p w14:paraId="6EED2DEB">
                  <w:pPr>
                    <w:pStyle w:val="4"/>
                    <w:ind w:firstLine="0" w:firstLineChars="0"/>
                    <w:jc w:val="center"/>
                    <w:rPr>
                      <w:rFonts w:hint="default"/>
                      <w:color w:val="auto"/>
                      <w:szCs w:val="21"/>
                      <w:lang w:val="en-US" w:eastAsia="zh-CN"/>
                    </w:rPr>
                  </w:pPr>
                  <w:r>
                    <w:rPr>
                      <w:rFonts w:hint="eastAsia"/>
                      <w:color w:val="auto"/>
                      <w:szCs w:val="21"/>
                      <w:lang w:val="en-US" w:eastAsia="zh-CN"/>
                    </w:rPr>
                    <w:t>前处理废气排气筒</w:t>
                  </w:r>
                </w:p>
              </w:tc>
              <w:tc>
                <w:tcPr>
                  <w:tcW w:w="1513" w:type="pct"/>
                  <w:shd w:val="clear" w:color="auto" w:fill="FFFFFF"/>
                  <w:vAlign w:val="center"/>
                </w:tcPr>
                <w:p w14:paraId="106D8B53">
                  <w:pPr>
                    <w:pStyle w:val="24"/>
                    <w:spacing w:before="0" w:beforeAutospacing="0" w:after="0" w:afterAutospacing="0"/>
                    <w:jc w:val="center"/>
                    <w:rPr>
                      <w:rFonts w:hint="eastAsia" w:ascii="Times New Roman" w:hAnsi="Times New Roman" w:eastAsia="宋体"/>
                      <w:color w:val="auto"/>
                      <w:sz w:val="21"/>
                      <w:szCs w:val="21"/>
                      <w:lang w:eastAsia="zh-CN"/>
                    </w:rPr>
                  </w:pPr>
                  <w:r>
                    <w:rPr>
                      <w:rFonts w:hint="eastAsia" w:ascii="Times New Roman" w:hAnsi="Times New Roman" w:eastAsia="宋体" w:cs="Times New Roman"/>
                      <w:color w:val="auto"/>
                      <w:sz w:val="21"/>
                      <w:szCs w:val="21"/>
                    </w:rPr>
                    <w:t>108.76179993</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eastAsia="zh-CN"/>
                    </w:rPr>
                    <w:t>34.17978235</w:t>
                  </w:r>
                </w:p>
              </w:tc>
              <w:tc>
                <w:tcPr>
                  <w:tcW w:w="264" w:type="pct"/>
                  <w:vAlign w:val="center"/>
                </w:tcPr>
                <w:p w14:paraId="26760A41">
                  <w:pPr>
                    <w:pStyle w:val="4"/>
                    <w:ind w:firstLine="0" w:firstLineChars="0"/>
                    <w:jc w:val="center"/>
                    <w:rPr>
                      <w:rFonts w:hint="default"/>
                      <w:color w:val="auto"/>
                      <w:szCs w:val="21"/>
                      <w:lang w:val="en-US" w:eastAsia="zh-CN"/>
                    </w:rPr>
                  </w:pPr>
                  <w:r>
                    <w:rPr>
                      <w:rFonts w:hint="eastAsia"/>
                      <w:color w:val="auto"/>
                      <w:szCs w:val="21"/>
                      <w:lang w:val="en-US" w:eastAsia="zh-CN"/>
                    </w:rPr>
                    <w:t>15</w:t>
                  </w:r>
                </w:p>
              </w:tc>
              <w:tc>
                <w:tcPr>
                  <w:tcW w:w="281" w:type="pct"/>
                  <w:vAlign w:val="center"/>
                </w:tcPr>
                <w:p w14:paraId="2C586002">
                  <w:pPr>
                    <w:pStyle w:val="4"/>
                    <w:ind w:firstLine="0" w:firstLineChars="0"/>
                    <w:jc w:val="center"/>
                    <w:rPr>
                      <w:rFonts w:hint="default"/>
                      <w:color w:val="auto"/>
                      <w:szCs w:val="21"/>
                      <w:lang w:val="en-US" w:eastAsia="zh-CN"/>
                    </w:rPr>
                  </w:pPr>
                  <w:r>
                    <w:rPr>
                      <w:rFonts w:hint="eastAsia"/>
                      <w:color w:val="auto"/>
                      <w:szCs w:val="21"/>
                      <w:lang w:val="en-US" w:eastAsia="zh-CN"/>
                    </w:rPr>
                    <w:t>1</w:t>
                  </w:r>
                </w:p>
              </w:tc>
              <w:tc>
                <w:tcPr>
                  <w:tcW w:w="315" w:type="pct"/>
                  <w:vAlign w:val="center"/>
                </w:tcPr>
                <w:p w14:paraId="5B6E2707">
                  <w:pPr>
                    <w:pStyle w:val="4"/>
                    <w:ind w:firstLine="0" w:firstLineChars="0"/>
                    <w:jc w:val="center"/>
                    <w:rPr>
                      <w:rFonts w:hint="default"/>
                      <w:color w:val="auto"/>
                      <w:szCs w:val="21"/>
                      <w:lang w:val="en-US" w:eastAsia="zh-CN"/>
                    </w:rPr>
                  </w:pPr>
                  <w:r>
                    <w:rPr>
                      <w:rFonts w:hint="eastAsia"/>
                      <w:color w:val="auto"/>
                      <w:szCs w:val="21"/>
                      <w:lang w:val="en-US" w:eastAsia="zh-CN"/>
                    </w:rPr>
                    <w:t>25</w:t>
                  </w:r>
                </w:p>
              </w:tc>
              <w:tc>
                <w:tcPr>
                  <w:tcW w:w="396" w:type="pct"/>
                  <w:vAlign w:val="center"/>
                </w:tcPr>
                <w:p w14:paraId="580980E0">
                  <w:pPr>
                    <w:pStyle w:val="4"/>
                    <w:ind w:firstLine="0" w:firstLineChars="0"/>
                    <w:jc w:val="center"/>
                    <w:rPr>
                      <w:rFonts w:hint="default" w:eastAsia="宋体"/>
                      <w:color w:val="auto"/>
                      <w:szCs w:val="21"/>
                      <w:lang w:val="en-US" w:eastAsia="zh-CN"/>
                    </w:rPr>
                  </w:pPr>
                  <w:r>
                    <w:rPr>
                      <w:rFonts w:hint="eastAsia"/>
                      <w:color w:val="auto"/>
                      <w:szCs w:val="21"/>
                      <w:lang w:val="en-US" w:eastAsia="zh-CN"/>
                    </w:rPr>
                    <w:t>15</w:t>
                  </w:r>
                </w:p>
              </w:tc>
              <w:tc>
                <w:tcPr>
                  <w:tcW w:w="396" w:type="pct"/>
                  <w:vAlign w:val="center"/>
                </w:tcPr>
                <w:p w14:paraId="37BBAC55">
                  <w:pPr>
                    <w:pStyle w:val="4"/>
                    <w:ind w:firstLine="0" w:firstLineChars="0"/>
                    <w:jc w:val="center"/>
                    <w:rPr>
                      <w:color w:val="auto"/>
                      <w:szCs w:val="21"/>
                    </w:rPr>
                  </w:pPr>
                  <w:r>
                    <w:rPr>
                      <w:color w:val="auto"/>
                      <w:szCs w:val="21"/>
                    </w:rPr>
                    <w:t>一般排放口</w:t>
                  </w:r>
                </w:p>
              </w:tc>
              <w:tc>
                <w:tcPr>
                  <w:tcW w:w="1015" w:type="pct"/>
                  <w:vAlign w:val="center"/>
                </w:tcPr>
                <w:p w14:paraId="34FCCAA0">
                  <w:pPr>
                    <w:pStyle w:val="4"/>
                    <w:ind w:firstLine="0" w:firstLineChars="0"/>
                    <w:jc w:val="center"/>
                    <w:rPr>
                      <w:color w:val="auto"/>
                      <w:szCs w:val="21"/>
                    </w:rPr>
                  </w:pPr>
                  <w:r>
                    <w:rPr>
                      <w:color w:val="auto"/>
                      <w:szCs w:val="21"/>
                    </w:rPr>
                    <w:t>《大气污染物综合排放标准》</w:t>
                  </w:r>
                  <w:r>
                    <w:rPr>
                      <w:rFonts w:hint="eastAsia"/>
                      <w:color w:val="auto"/>
                      <w:szCs w:val="21"/>
                    </w:rPr>
                    <w:t>（</w:t>
                  </w:r>
                  <w:r>
                    <w:rPr>
                      <w:color w:val="auto"/>
                      <w:szCs w:val="21"/>
                    </w:rPr>
                    <w:t>GB16297-1996</w:t>
                  </w:r>
                  <w:r>
                    <w:rPr>
                      <w:rFonts w:hint="eastAsia"/>
                      <w:color w:val="auto"/>
                      <w:szCs w:val="21"/>
                    </w:rPr>
                    <w:t>）</w:t>
                  </w:r>
                  <w:r>
                    <w:rPr>
                      <w:rFonts w:hint="eastAsia"/>
                      <w:color w:val="auto"/>
                      <w:szCs w:val="21"/>
                      <w:lang w:val="en-US" w:eastAsia="zh-CN"/>
                    </w:rPr>
                    <w:t>表2 二级排放标准</w:t>
                  </w:r>
                </w:p>
              </w:tc>
            </w:tr>
          </w:tbl>
          <w:p w14:paraId="3E502064">
            <w:pPr>
              <w:adjustRightInd w:val="0"/>
              <w:snapToGrid w:val="0"/>
              <w:spacing w:line="360" w:lineRule="auto"/>
              <w:ind w:firstLine="480" w:firstLineChars="200"/>
              <w:rPr>
                <w:color w:val="auto"/>
                <w:sz w:val="24"/>
              </w:rPr>
            </w:pPr>
            <w:r>
              <w:rPr>
                <w:rFonts w:hint="eastAsia"/>
                <w:color w:val="auto"/>
                <w:sz w:val="24"/>
              </w:rPr>
              <w:t>（4）排气筒高度合理性分析</w:t>
            </w:r>
          </w:p>
          <w:p w14:paraId="0EAE58DE">
            <w:pPr>
              <w:spacing w:line="360" w:lineRule="auto"/>
              <w:ind w:firstLine="480" w:firstLineChars="200"/>
              <w:rPr>
                <w:rFonts w:hint="default" w:eastAsia="宋体"/>
                <w:color w:val="auto"/>
                <w:sz w:val="24"/>
                <w:lang w:val="en-US" w:eastAsia="zh-CN"/>
              </w:rPr>
            </w:pPr>
            <w:r>
              <w:rPr>
                <w:color w:val="auto"/>
                <w:sz w:val="24"/>
                <w:szCs w:val="32"/>
              </w:rPr>
              <w:t>根据</w:t>
            </w:r>
            <w:r>
              <w:rPr>
                <w:color w:val="auto"/>
                <w:sz w:val="24"/>
                <w:szCs w:val="24"/>
              </w:rPr>
              <w:t>《大气污染物综合排放标准》</w:t>
            </w:r>
            <w:r>
              <w:rPr>
                <w:rFonts w:hint="eastAsia"/>
                <w:color w:val="auto"/>
                <w:sz w:val="24"/>
                <w:szCs w:val="24"/>
              </w:rPr>
              <w:t>（</w:t>
            </w:r>
            <w:r>
              <w:rPr>
                <w:color w:val="auto"/>
                <w:sz w:val="24"/>
                <w:szCs w:val="24"/>
              </w:rPr>
              <w:t>GB16297-1996</w:t>
            </w:r>
            <w:r>
              <w:rPr>
                <w:rFonts w:hint="eastAsia"/>
                <w:color w:val="auto"/>
                <w:sz w:val="24"/>
                <w:szCs w:val="24"/>
              </w:rPr>
              <w:t>）</w:t>
            </w:r>
            <w:r>
              <w:rPr>
                <w:color w:val="auto"/>
                <w:sz w:val="24"/>
                <w:szCs w:val="32"/>
              </w:rPr>
              <w:t>规定，企业排气筒高度原则不低于15m，具体高度由经批复的环境影响评价文件确定。</w:t>
            </w:r>
            <w:r>
              <w:rPr>
                <w:rFonts w:hint="eastAsia"/>
                <w:color w:val="auto"/>
                <w:sz w:val="24"/>
                <w:szCs w:val="32"/>
              </w:rPr>
              <w:t>本项目</w:t>
            </w:r>
            <w:r>
              <w:rPr>
                <w:rFonts w:hint="eastAsia"/>
                <w:color w:val="auto"/>
                <w:sz w:val="24"/>
                <w:szCs w:val="32"/>
                <w:lang w:val="en-US" w:eastAsia="zh-CN"/>
              </w:rPr>
              <w:t>依托现有排气筒，根据</w:t>
            </w:r>
            <w:r>
              <w:rPr>
                <w:color w:val="auto"/>
                <w:sz w:val="24"/>
                <w:szCs w:val="28"/>
              </w:rPr>
              <w:t>《</w:t>
            </w:r>
            <w:r>
              <w:rPr>
                <w:rFonts w:hint="eastAsia" w:hAnsi="宋体"/>
                <w:color w:val="auto"/>
                <w:sz w:val="24"/>
                <w:lang w:val="en-US" w:eastAsia="zh-CN"/>
              </w:rPr>
              <w:t>陕西弘伟生态环保产业园建筑垃圾资源化利用项目</w:t>
            </w:r>
            <w:r>
              <w:rPr>
                <w:color w:val="auto"/>
                <w:sz w:val="24"/>
                <w:szCs w:val="28"/>
              </w:rPr>
              <w:t>环境影响报告表》的批复文件（</w:t>
            </w:r>
            <w:r>
              <w:rPr>
                <w:rFonts w:hint="eastAsia"/>
                <w:color w:val="auto"/>
                <w:sz w:val="24"/>
                <w:szCs w:val="28"/>
                <w:lang w:val="en-US" w:eastAsia="zh-CN"/>
              </w:rPr>
              <w:t>陕西咸沣东审服准字</w:t>
            </w:r>
            <w:r>
              <w:rPr>
                <w:color w:val="auto"/>
                <w:sz w:val="24"/>
                <w:szCs w:val="28"/>
              </w:rPr>
              <w:t>[20</w:t>
            </w:r>
            <w:r>
              <w:rPr>
                <w:rFonts w:hint="eastAsia"/>
                <w:color w:val="auto"/>
                <w:sz w:val="24"/>
                <w:szCs w:val="28"/>
                <w:lang w:val="en-US" w:eastAsia="zh-CN"/>
              </w:rPr>
              <w:t>21</w:t>
            </w:r>
            <w:r>
              <w:rPr>
                <w:color w:val="auto"/>
                <w:sz w:val="24"/>
                <w:szCs w:val="28"/>
              </w:rPr>
              <w:t>]</w:t>
            </w:r>
            <w:r>
              <w:rPr>
                <w:rFonts w:hint="eastAsia"/>
                <w:color w:val="auto"/>
                <w:sz w:val="24"/>
                <w:szCs w:val="28"/>
                <w:lang w:val="en-US" w:eastAsia="zh-CN"/>
              </w:rPr>
              <w:t>13</w:t>
            </w:r>
            <w:r>
              <w:rPr>
                <w:color w:val="auto"/>
                <w:sz w:val="24"/>
                <w:szCs w:val="28"/>
              </w:rPr>
              <w:t>号）</w:t>
            </w:r>
            <w:r>
              <w:rPr>
                <w:rFonts w:hint="eastAsia"/>
                <w:color w:val="auto"/>
                <w:sz w:val="24"/>
                <w:szCs w:val="28"/>
                <w:lang w:eastAsia="zh-CN"/>
              </w:rPr>
              <w:t>，</w:t>
            </w:r>
            <w:r>
              <w:rPr>
                <w:rFonts w:hint="eastAsia"/>
                <w:color w:val="auto"/>
                <w:sz w:val="24"/>
                <w:szCs w:val="28"/>
                <w:lang w:val="en-US" w:eastAsia="zh-CN"/>
              </w:rPr>
              <w:t>排气筒</w:t>
            </w:r>
            <w:r>
              <w:rPr>
                <w:rFonts w:hint="eastAsia"/>
                <w:color w:val="auto"/>
                <w:sz w:val="24"/>
                <w:szCs w:val="32"/>
              </w:rPr>
              <w:t>高度</w:t>
            </w:r>
            <w:r>
              <w:rPr>
                <w:rFonts w:hint="eastAsia"/>
                <w:color w:val="auto"/>
                <w:sz w:val="24"/>
                <w:szCs w:val="32"/>
                <w:lang w:val="en-US" w:eastAsia="zh-CN"/>
              </w:rPr>
              <w:t>设置为</w:t>
            </w:r>
            <w:r>
              <w:rPr>
                <w:rFonts w:hint="eastAsia"/>
                <w:color w:val="auto"/>
                <w:sz w:val="24"/>
                <w:szCs w:val="32"/>
              </w:rPr>
              <w:t>15m</w:t>
            </w:r>
            <w:r>
              <w:rPr>
                <w:rFonts w:hint="eastAsia"/>
                <w:color w:val="auto"/>
                <w:sz w:val="24"/>
                <w:szCs w:val="32"/>
                <w:lang w:eastAsia="zh-CN"/>
              </w:rPr>
              <w:t>，</w:t>
            </w:r>
            <w:r>
              <w:rPr>
                <w:rFonts w:hint="eastAsia"/>
                <w:color w:val="auto"/>
                <w:sz w:val="24"/>
                <w:szCs w:val="32"/>
              </w:rPr>
              <w:t>符合要求</w:t>
            </w:r>
            <w:r>
              <w:rPr>
                <w:color w:val="auto"/>
                <w:sz w:val="24"/>
                <w:szCs w:val="32"/>
              </w:rPr>
              <w:t>。</w:t>
            </w:r>
            <w:r>
              <w:rPr>
                <w:rFonts w:hint="eastAsia"/>
                <w:color w:val="auto"/>
                <w:sz w:val="24"/>
                <w:szCs w:val="32"/>
                <w:lang w:val="en-US" w:eastAsia="zh-CN"/>
              </w:rPr>
              <w:t>本项目各排气筒高度均为15m，距离最近的两个排气筒为DA001和DA002，距离为34.6m，故不涉及等效排气筒。</w:t>
            </w:r>
          </w:p>
          <w:p w14:paraId="654B92C7">
            <w:pPr>
              <w:adjustRightInd w:val="0"/>
              <w:snapToGrid w:val="0"/>
              <w:spacing w:line="360" w:lineRule="auto"/>
              <w:ind w:firstLine="480" w:firstLineChars="200"/>
              <w:rPr>
                <w:color w:val="auto"/>
                <w:sz w:val="24"/>
              </w:rPr>
            </w:pPr>
            <w:r>
              <w:rPr>
                <w:rFonts w:hint="eastAsia"/>
                <w:color w:val="auto"/>
                <w:sz w:val="24"/>
              </w:rPr>
              <w:t>（5）污染防治措施可行性分析</w:t>
            </w:r>
          </w:p>
          <w:p w14:paraId="6AB3E42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cs="Times New Roman"/>
                <w:color w:val="auto"/>
                <w:kern w:val="0"/>
                <w:sz w:val="24"/>
                <w:szCs w:val="32"/>
              </w:rPr>
            </w:pPr>
            <w:r>
              <w:rPr>
                <w:rFonts w:hint="eastAsia" w:ascii="Times New Roman" w:hAnsi="Times New Roman" w:cs="Times New Roman"/>
                <w:color w:val="auto"/>
                <w:kern w:val="0"/>
                <w:sz w:val="24"/>
                <w:szCs w:val="32"/>
                <w:lang w:val="en-US" w:eastAsia="zh-CN"/>
              </w:rPr>
              <w:t>参</w:t>
            </w:r>
            <w:r>
              <w:rPr>
                <w:rFonts w:hint="default" w:ascii="Times New Roman" w:hAnsi="Times New Roman" w:cs="Times New Roman"/>
                <w:color w:val="auto"/>
                <w:kern w:val="0"/>
                <w:sz w:val="24"/>
                <w:szCs w:val="32"/>
              </w:rPr>
              <w:t>照《</w:t>
            </w:r>
            <w:r>
              <w:rPr>
                <w:rFonts w:hint="default" w:ascii="Times New Roman" w:hAnsi="Times New Roman" w:cs="Times New Roman"/>
                <w:color w:val="auto"/>
                <w:kern w:val="0"/>
                <w:sz w:val="24"/>
                <w:szCs w:val="32"/>
              </w:rPr>
              <w:fldChar w:fldCharType="begin"/>
            </w:r>
            <w:r>
              <w:rPr>
                <w:rFonts w:hint="default" w:ascii="Times New Roman" w:hAnsi="Times New Roman" w:cs="Times New Roman"/>
                <w:color w:val="auto"/>
                <w:kern w:val="0"/>
                <w:sz w:val="24"/>
                <w:szCs w:val="32"/>
              </w:rPr>
              <w:instrText xml:space="preserve"> HYPERLINK "https://sthj.ln.gov.cn/sthj/attachDir/2024/01/2024010610192458587.pdf" </w:instrText>
            </w:r>
            <w:r>
              <w:rPr>
                <w:rFonts w:hint="default" w:ascii="Times New Roman" w:hAnsi="Times New Roman" w:cs="Times New Roman"/>
                <w:color w:val="auto"/>
                <w:kern w:val="0"/>
                <w:sz w:val="24"/>
                <w:szCs w:val="32"/>
              </w:rPr>
              <w:fldChar w:fldCharType="separate"/>
            </w:r>
            <w:r>
              <w:rPr>
                <w:rFonts w:hint="default" w:ascii="Times New Roman" w:hAnsi="Times New Roman" w:cs="Times New Roman"/>
                <w:color w:val="auto"/>
                <w:kern w:val="0"/>
                <w:sz w:val="24"/>
                <w:szCs w:val="32"/>
              </w:rPr>
              <w:t>排污许可证申请与核发技术规范 废弃资源加工工业</w:t>
            </w:r>
            <w:r>
              <w:rPr>
                <w:rFonts w:hint="default" w:ascii="Times New Roman" w:hAnsi="Times New Roman" w:cs="Times New Roman"/>
                <w:color w:val="auto"/>
                <w:kern w:val="0"/>
                <w:sz w:val="24"/>
                <w:szCs w:val="32"/>
              </w:rPr>
              <w:fldChar w:fldCharType="end"/>
            </w:r>
            <w:r>
              <w:rPr>
                <w:rFonts w:hint="default" w:ascii="Times New Roman" w:hAnsi="Times New Roman" w:cs="Times New Roman"/>
                <w:color w:val="auto"/>
                <w:kern w:val="0"/>
                <w:sz w:val="24"/>
                <w:szCs w:val="32"/>
              </w:rPr>
              <w:t>》（HJ 1034—2019）表26 其他废弃资源加工工业排污单位废气产排污环节名称、污染物种类</w:t>
            </w:r>
            <w:r>
              <w:rPr>
                <w:rFonts w:hint="eastAsia" w:ascii="Times New Roman" w:hAnsi="Times New Roman" w:cs="Times New Roman"/>
                <w:color w:val="auto"/>
                <w:kern w:val="0"/>
                <w:sz w:val="24"/>
                <w:szCs w:val="32"/>
                <w:lang w:eastAsia="zh-CN"/>
              </w:rPr>
              <w:t>、</w:t>
            </w:r>
            <w:r>
              <w:rPr>
                <w:rFonts w:hint="default" w:ascii="Times New Roman" w:hAnsi="Times New Roman" w:cs="Times New Roman"/>
                <w:color w:val="auto"/>
                <w:kern w:val="0"/>
                <w:sz w:val="24"/>
                <w:szCs w:val="32"/>
              </w:rPr>
              <w:t>排放形式及污染防治设施一览表，本项目废气处理技术可行</w:t>
            </w:r>
            <w:r>
              <w:rPr>
                <w:rFonts w:hint="eastAsia"/>
                <w:color w:val="auto"/>
                <w:sz w:val="24"/>
                <w:szCs w:val="32"/>
                <w:lang w:eastAsia="zh-CN"/>
              </w:rPr>
              <w:t>，</w:t>
            </w:r>
            <w:r>
              <w:rPr>
                <w:rFonts w:hint="eastAsia"/>
                <w:color w:val="auto"/>
                <w:sz w:val="24"/>
                <w:szCs w:val="32"/>
                <w:lang w:val="en-US" w:eastAsia="zh-CN"/>
              </w:rPr>
              <w:t>具体见下表</w:t>
            </w:r>
            <w:r>
              <w:rPr>
                <w:rFonts w:hint="default" w:ascii="Times New Roman" w:hAnsi="Times New Roman" w:cs="Times New Roman"/>
                <w:color w:val="auto"/>
                <w:kern w:val="0"/>
                <w:sz w:val="24"/>
                <w:szCs w:val="32"/>
              </w:rPr>
              <w:t>。</w:t>
            </w:r>
          </w:p>
          <w:p w14:paraId="12559F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0"/>
                <w:highlight w:val="none"/>
                <w:lang w:val="en-US"/>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4-</w:t>
            </w:r>
            <w:r>
              <w:rPr>
                <w:rFonts w:hint="eastAsia" w:cs="Times New Roman"/>
                <w:b/>
                <w:color w:val="auto"/>
                <w:sz w:val="24"/>
                <w:highlight w:val="none"/>
                <w:lang w:val="en-US" w:eastAsia="zh-CN"/>
              </w:rPr>
              <w:t>5</w:t>
            </w:r>
            <w:r>
              <w:rPr>
                <w:rFonts w:hint="default" w:ascii="Times New Roman" w:hAnsi="Times New Roman" w:eastAsia="宋体" w:cs="Times New Roman"/>
                <w:b/>
                <w:color w:val="auto"/>
                <w:sz w:val="24"/>
                <w:highlight w:val="none"/>
              </w:rPr>
              <w:t xml:space="preserve">   </w:t>
            </w:r>
            <w:r>
              <w:rPr>
                <w:rFonts w:hint="eastAsia" w:ascii="Times New Roman" w:hAnsi="Times New Roman" w:eastAsia="宋体" w:cs="Times New Roman"/>
                <w:b/>
                <w:color w:val="auto"/>
                <w:sz w:val="24"/>
                <w:highlight w:val="none"/>
                <w:lang w:val="en-US" w:eastAsia="zh-CN"/>
              </w:rPr>
              <w:t>本项目废气处理技术可行性分析</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309"/>
              <w:gridCol w:w="853"/>
              <w:gridCol w:w="511"/>
              <w:gridCol w:w="2791"/>
              <w:gridCol w:w="1310"/>
              <w:gridCol w:w="868"/>
            </w:tblGrid>
            <w:tr w14:paraId="4789F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707" w:type="pct"/>
                  <w:gridSpan w:val="5"/>
                  <w:noWrap w:val="0"/>
                  <w:vAlign w:val="center"/>
                </w:tcPr>
                <w:p w14:paraId="1EC9E5B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pacing w:val="0"/>
                      <w:kern w:val="21"/>
                      <w:sz w:val="21"/>
                      <w:szCs w:val="21"/>
                      <w:highlight w:val="none"/>
                      <w:lang w:val="en-US" w:eastAsia="zh-CN"/>
                    </w:rPr>
                  </w:pPr>
                  <w:r>
                    <w:rPr>
                      <w:rFonts w:hint="eastAsia" w:ascii="Times New Roman" w:hAnsi="Times New Roman" w:eastAsia="宋体" w:cs="Times New Roman"/>
                      <w:bCs/>
                      <w:color w:val="auto"/>
                      <w:spacing w:val="0"/>
                      <w:kern w:val="21"/>
                      <w:sz w:val="21"/>
                      <w:szCs w:val="21"/>
                      <w:highlight w:val="none"/>
                      <w:lang w:val="en-US" w:eastAsia="zh-CN"/>
                    </w:rPr>
                    <w:t>《</w:t>
                  </w:r>
                  <w:r>
                    <w:rPr>
                      <w:rFonts w:hint="eastAsia" w:ascii="Times New Roman" w:hAnsi="Times New Roman" w:eastAsia="宋体" w:cs="Times New Roman"/>
                      <w:bCs/>
                      <w:color w:val="auto"/>
                      <w:spacing w:val="0"/>
                      <w:kern w:val="21"/>
                      <w:sz w:val="21"/>
                      <w:szCs w:val="21"/>
                      <w:highlight w:val="none"/>
                      <w:lang w:val="en-US" w:eastAsia="zh-CN"/>
                    </w:rPr>
                    <w:fldChar w:fldCharType="begin"/>
                  </w:r>
                  <w:r>
                    <w:rPr>
                      <w:rFonts w:hint="eastAsia" w:ascii="Times New Roman" w:hAnsi="Times New Roman" w:eastAsia="宋体" w:cs="Times New Roman"/>
                      <w:bCs/>
                      <w:color w:val="auto"/>
                      <w:spacing w:val="0"/>
                      <w:kern w:val="21"/>
                      <w:sz w:val="21"/>
                      <w:szCs w:val="21"/>
                      <w:highlight w:val="none"/>
                      <w:lang w:val="en-US" w:eastAsia="zh-CN"/>
                    </w:rPr>
                    <w:instrText xml:space="preserve"> HYPERLINK "https://sthj.ln.gov.cn/sthj/attachDir/2024/01/2024010610192458587.pdf" </w:instrText>
                  </w:r>
                  <w:r>
                    <w:rPr>
                      <w:rFonts w:hint="eastAsia" w:ascii="Times New Roman" w:hAnsi="Times New Roman" w:eastAsia="宋体" w:cs="Times New Roman"/>
                      <w:bCs/>
                      <w:color w:val="auto"/>
                      <w:spacing w:val="0"/>
                      <w:kern w:val="21"/>
                      <w:sz w:val="21"/>
                      <w:szCs w:val="21"/>
                      <w:highlight w:val="none"/>
                      <w:lang w:val="en-US" w:eastAsia="zh-CN"/>
                    </w:rPr>
                    <w:fldChar w:fldCharType="separate"/>
                  </w:r>
                  <w:r>
                    <w:rPr>
                      <w:rFonts w:hint="eastAsia" w:ascii="Times New Roman" w:hAnsi="Times New Roman" w:eastAsia="宋体" w:cs="Times New Roman"/>
                      <w:bCs/>
                      <w:color w:val="auto"/>
                      <w:spacing w:val="0"/>
                      <w:kern w:val="21"/>
                      <w:sz w:val="21"/>
                      <w:szCs w:val="21"/>
                      <w:highlight w:val="none"/>
                      <w:lang w:val="en-US" w:eastAsia="zh-CN"/>
                    </w:rPr>
                    <w:t>排污许可证申请与核发技术规范 废弃资源加工工业</w:t>
                  </w:r>
                  <w:r>
                    <w:rPr>
                      <w:rFonts w:hint="eastAsia" w:ascii="Times New Roman" w:hAnsi="Times New Roman" w:eastAsia="宋体" w:cs="Times New Roman"/>
                      <w:bCs/>
                      <w:color w:val="auto"/>
                      <w:spacing w:val="0"/>
                      <w:kern w:val="21"/>
                      <w:sz w:val="21"/>
                      <w:szCs w:val="21"/>
                      <w:highlight w:val="none"/>
                      <w:lang w:val="en-US" w:eastAsia="zh-CN"/>
                    </w:rPr>
                    <w:fldChar w:fldCharType="end"/>
                  </w:r>
                  <w:r>
                    <w:rPr>
                      <w:rFonts w:hint="eastAsia" w:ascii="Times New Roman" w:hAnsi="Times New Roman" w:eastAsia="宋体" w:cs="Times New Roman"/>
                      <w:bCs/>
                      <w:color w:val="auto"/>
                      <w:spacing w:val="0"/>
                      <w:kern w:val="21"/>
                      <w:sz w:val="21"/>
                      <w:szCs w:val="21"/>
                      <w:highlight w:val="none"/>
                      <w:lang w:val="en-US" w:eastAsia="zh-CN"/>
                    </w:rPr>
                    <w:t>》（HJ 1034—2019）表26</w:t>
                  </w:r>
                </w:p>
              </w:tc>
              <w:tc>
                <w:tcPr>
                  <w:tcW w:w="777" w:type="pct"/>
                  <w:vMerge w:val="restart"/>
                  <w:noWrap w:val="0"/>
                  <w:vAlign w:val="center"/>
                </w:tcPr>
                <w:p w14:paraId="54F09A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r>
                    <w:rPr>
                      <w:rFonts w:hint="eastAsia" w:ascii="Times New Roman" w:hAnsi="Times New Roman" w:eastAsia="宋体" w:cs="Times New Roman"/>
                      <w:bCs/>
                      <w:color w:val="auto"/>
                      <w:spacing w:val="0"/>
                      <w:kern w:val="21"/>
                      <w:sz w:val="21"/>
                      <w:szCs w:val="21"/>
                      <w:highlight w:val="none"/>
                      <w:lang w:val="en-US" w:eastAsia="zh-CN"/>
                    </w:rPr>
                    <w:t>本项目污染治理设施名称及工艺</w:t>
                  </w:r>
                </w:p>
              </w:tc>
              <w:tc>
                <w:tcPr>
                  <w:tcW w:w="515" w:type="pct"/>
                  <w:vMerge w:val="restart"/>
                  <w:noWrap w:val="0"/>
                  <w:vAlign w:val="center"/>
                </w:tcPr>
                <w:p w14:paraId="32A428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r>
                    <w:rPr>
                      <w:rFonts w:hint="eastAsia" w:ascii="Times New Roman" w:hAnsi="Times New Roman" w:eastAsia="宋体" w:cs="Times New Roman"/>
                      <w:bCs/>
                      <w:color w:val="auto"/>
                      <w:spacing w:val="0"/>
                      <w:kern w:val="21"/>
                      <w:sz w:val="21"/>
                      <w:szCs w:val="21"/>
                      <w:highlight w:val="none"/>
                      <w:lang w:val="en-US" w:eastAsia="zh-CN"/>
                    </w:rPr>
                    <w:t>是否可行</w:t>
                  </w:r>
                </w:p>
              </w:tc>
            </w:tr>
            <w:tr w14:paraId="7F7465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67" w:type="pct"/>
                  <w:noWrap w:val="0"/>
                  <w:vAlign w:val="center"/>
                </w:tcPr>
                <w:p w14:paraId="448F82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产污设施</w:t>
                  </w:r>
                </w:p>
              </w:tc>
              <w:tc>
                <w:tcPr>
                  <w:tcW w:w="776" w:type="pct"/>
                  <w:noWrap w:val="0"/>
                  <w:vAlign w:val="center"/>
                </w:tcPr>
                <w:p w14:paraId="2668F2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产排污环节</w:t>
                  </w:r>
                </w:p>
              </w:tc>
              <w:tc>
                <w:tcPr>
                  <w:tcW w:w="506" w:type="pct"/>
                  <w:noWrap w:val="0"/>
                  <w:vAlign w:val="center"/>
                </w:tcPr>
                <w:p w14:paraId="17765A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0"/>
                      <w:kern w:val="21"/>
                      <w:sz w:val="21"/>
                      <w:szCs w:val="21"/>
                      <w:highlight w:val="none"/>
                      <w:lang w:val="en-US" w:eastAsia="zh-CN"/>
                    </w:rPr>
                    <w:t>污染物种类</w:t>
                  </w:r>
                </w:p>
              </w:tc>
              <w:tc>
                <w:tcPr>
                  <w:tcW w:w="303" w:type="pct"/>
                  <w:noWrap w:val="0"/>
                  <w:vAlign w:val="center"/>
                </w:tcPr>
                <w:p w14:paraId="052AF8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排放形式</w:t>
                  </w:r>
                </w:p>
              </w:tc>
              <w:tc>
                <w:tcPr>
                  <w:tcW w:w="1654" w:type="pct"/>
                  <w:noWrap w:val="0"/>
                  <w:vAlign w:val="center"/>
                </w:tcPr>
                <w:p w14:paraId="2C2DA3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0"/>
                      <w:kern w:val="21"/>
                      <w:sz w:val="21"/>
                      <w:szCs w:val="21"/>
                      <w:highlight w:val="none"/>
                      <w:lang w:val="en-US" w:eastAsia="zh-CN"/>
                    </w:rPr>
                    <w:t>污染治理设施名称及工艺</w:t>
                  </w:r>
                </w:p>
              </w:tc>
              <w:tc>
                <w:tcPr>
                  <w:tcW w:w="777" w:type="pct"/>
                  <w:vMerge w:val="continue"/>
                  <w:noWrap w:val="0"/>
                  <w:vAlign w:val="center"/>
                </w:tcPr>
                <w:p w14:paraId="49655B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p>
              </w:tc>
              <w:tc>
                <w:tcPr>
                  <w:tcW w:w="515" w:type="pct"/>
                  <w:vMerge w:val="continue"/>
                  <w:noWrap w:val="0"/>
                  <w:vAlign w:val="center"/>
                </w:tcPr>
                <w:p w14:paraId="0989EF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p>
              </w:tc>
            </w:tr>
            <w:tr w14:paraId="3D332C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67" w:type="pct"/>
                  <w:noWrap w:val="0"/>
                  <w:vAlign w:val="center"/>
                </w:tcPr>
                <w:p w14:paraId="018C6E7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破碎分选设备</w:t>
                  </w:r>
                </w:p>
              </w:tc>
              <w:tc>
                <w:tcPr>
                  <w:tcW w:w="776" w:type="pct"/>
                  <w:noWrap w:val="0"/>
                  <w:vAlign w:val="center"/>
                </w:tcPr>
                <w:p w14:paraId="6929728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机械破碎</w:t>
                  </w:r>
                </w:p>
              </w:tc>
              <w:tc>
                <w:tcPr>
                  <w:tcW w:w="506" w:type="pct"/>
                  <w:noWrap w:val="0"/>
                  <w:vAlign w:val="center"/>
                </w:tcPr>
                <w:p w14:paraId="5256FF6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颗粒物</w:t>
                  </w:r>
                </w:p>
              </w:tc>
              <w:tc>
                <w:tcPr>
                  <w:tcW w:w="303" w:type="pct"/>
                  <w:noWrap w:val="0"/>
                  <w:vAlign w:val="center"/>
                </w:tcPr>
                <w:p w14:paraId="23E698D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有组织无组织</w:t>
                  </w:r>
                </w:p>
              </w:tc>
              <w:tc>
                <w:tcPr>
                  <w:tcW w:w="1654" w:type="pct"/>
                  <w:noWrap w:val="0"/>
                  <w:vAlign w:val="center"/>
                </w:tcPr>
                <w:p w14:paraId="5F78AC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lang w:val="en-US" w:eastAsia="zh-CN"/>
                    </w:rPr>
                    <w:t>集气收集+布袋除尘，其它</w:t>
                  </w:r>
                </w:p>
              </w:tc>
              <w:tc>
                <w:tcPr>
                  <w:tcW w:w="777" w:type="pct"/>
                  <w:noWrap w:val="0"/>
                  <w:vAlign w:val="center"/>
                </w:tcPr>
                <w:p w14:paraId="208848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lang w:val="en-US" w:eastAsia="zh-CN"/>
                    </w:rPr>
                    <w:t>集气收集+袋式除尘器，喷淋除尘、厂房隔挡</w:t>
                  </w:r>
                </w:p>
              </w:tc>
              <w:tc>
                <w:tcPr>
                  <w:tcW w:w="515" w:type="pct"/>
                  <w:noWrap w:val="0"/>
                  <w:vAlign w:val="center"/>
                </w:tcPr>
                <w:p w14:paraId="5F54C9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可行</w:t>
                  </w:r>
                </w:p>
              </w:tc>
            </w:tr>
          </w:tbl>
          <w:p w14:paraId="7B2063B8">
            <w:pPr>
              <w:adjustRightInd w:val="0"/>
              <w:snapToGrid w:val="0"/>
              <w:spacing w:line="360" w:lineRule="auto"/>
              <w:ind w:firstLine="480" w:firstLineChars="200"/>
              <w:rPr>
                <w:color w:val="auto"/>
                <w:sz w:val="24"/>
              </w:rPr>
            </w:pPr>
            <w:r>
              <w:rPr>
                <w:rFonts w:hint="eastAsia"/>
                <w:color w:val="auto"/>
                <w:sz w:val="24"/>
              </w:rPr>
              <w:t>（6）</w:t>
            </w:r>
            <w:r>
              <w:rPr>
                <w:color w:val="auto"/>
                <w:sz w:val="24"/>
              </w:rPr>
              <w:t>废气达标排放分析</w:t>
            </w:r>
          </w:p>
          <w:p w14:paraId="353B76E7">
            <w:pPr>
              <w:widowControl/>
              <w:spacing w:line="360" w:lineRule="auto"/>
              <w:ind w:firstLine="480" w:firstLineChars="200"/>
              <w:rPr>
                <w:color w:val="auto"/>
                <w:sz w:val="24"/>
              </w:rPr>
            </w:pPr>
            <w:r>
              <w:rPr>
                <w:rFonts w:hint="eastAsia"/>
                <w:color w:val="auto"/>
                <w:sz w:val="24"/>
              </w:rPr>
              <w:t>项目生产过程中产生的</w:t>
            </w:r>
            <w:r>
              <w:rPr>
                <w:rFonts w:hint="eastAsia"/>
                <w:color w:val="auto"/>
                <w:sz w:val="24"/>
                <w:lang w:val="en-US" w:eastAsia="zh-CN"/>
              </w:rPr>
              <w:t>筛分分选粉尘</w:t>
            </w:r>
            <w:r>
              <w:rPr>
                <w:rFonts w:hint="eastAsia"/>
                <w:color w:val="auto"/>
                <w:sz w:val="24"/>
              </w:rPr>
              <w:t>通过集气罩+</w:t>
            </w:r>
            <w:r>
              <w:rPr>
                <w:rFonts w:hint="eastAsia"/>
                <w:color w:val="auto"/>
                <w:sz w:val="24"/>
                <w:lang w:val="en-US" w:eastAsia="zh-CN"/>
              </w:rPr>
              <w:t>布袋除尘器</w:t>
            </w:r>
            <w:r>
              <w:rPr>
                <w:rFonts w:hint="eastAsia"/>
                <w:color w:val="auto"/>
                <w:sz w:val="24"/>
                <w:szCs w:val="32"/>
              </w:rPr>
              <w:t>+15m排气筒处理排放后</w:t>
            </w:r>
            <w:r>
              <w:rPr>
                <w:color w:val="auto"/>
                <w:sz w:val="24"/>
                <w:szCs w:val="32"/>
              </w:rPr>
              <w:t>，</w:t>
            </w:r>
            <w:r>
              <w:rPr>
                <w:rFonts w:hint="eastAsia"/>
                <w:color w:val="auto"/>
                <w:sz w:val="24"/>
                <w:szCs w:val="32"/>
                <w:lang w:val="en-US" w:eastAsia="zh-CN"/>
              </w:rPr>
              <w:t>颗粒物</w:t>
            </w:r>
            <w:r>
              <w:rPr>
                <w:rFonts w:hint="eastAsia"/>
                <w:color w:val="auto"/>
                <w:sz w:val="24"/>
                <w:szCs w:val="32"/>
              </w:rPr>
              <w:t>的排放满足《大气污染物综合排放标准》（GB16297-1996）</w:t>
            </w:r>
            <w:r>
              <w:rPr>
                <w:rFonts w:hint="eastAsia"/>
                <w:color w:val="auto"/>
                <w:sz w:val="24"/>
                <w:szCs w:val="32"/>
                <w:lang w:val="en-US" w:eastAsia="zh-CN"/>
              </w:rPr>
              <w:t>表2 二级排放标准</w:t>
            </w:r>
            <w:r>
              <w:rPr>
                <w:rFonts w:hint="eastAsia"/>
                <w:color w:val="auto"/>
                <w:sz w:val="24"/>
                <w:szCs w:val="32"/>
              </w:rPr>
              <w:t>，</w:t>
            </w:r>
            <w:r>
              <w:rPr>
                <w:rFonts w:hint="eastAsia"/>
                <w:color w:val="auto"/>
                <w:sz w:val="24"/>
                <w:lang w:bidi="ar"/>
              </w:rPr>
              <w:t>因此，项目建成后对周围的环境会产生</w:t>
            </w:r>
            <w:r>
              <w:rPr>
                <w:rFonts w:hint="eastAsia"/>
                <w:color w:val="auto"/>
                <w:sz w:val="24"/>
              </w:rPr>
              <w:t>一定的影响，但是在环境可接受范围内，运营后对周边</w:t>
            </w:r>
            <w:r>
              <w:rPr>
                <w:rFonts w:hint="eastAsia"/>
                <w:color w:val="auto"/>
                <w:sz w:val="24"/>
                <w:lang w:val="en-US" w:eastAsia="zh-CN"/>
              </w:rPr>
              <w:t>环境空气</w:t>
            </w:r>
            <w:r>
              <w:rPr>
                <w:rFonts w:hint="eastAsia"/>
                <w:color w:val="auto"/>
                <w:sz w:val="24"/>
              </w:rPr>
              <w:t>产生影响较小。</w:t>
            </w:r>
          </w:p>
          <w:p w14:paraId="70D9CE53">
            <w:pPr>
              <w:adjustRightInd w:val="0"/>
              <w:snapToGrid w:val="0"/>
              <w:spacing w:line="360" w:lineRule="auto"/>
              <w:ind w:firstLine="480" w:firstLineChars="200"/>
              <w:rPr>
                <w:color w:val="auto"/>
                <w:sz w:val="24"/>
              </w:rPr>
            </w:pPr>
            <w:r>
              <w:rPr>
                <w:rFonts w:hint="eastAsia"/>
                <w:color w:val="auto"/>
                <w:sz w:val="24"/>
              </w:rPr>
              <w:t>（7）</w:t>
            </w:r>
            <w:r>
              <w:rPr>
                <w:color w:val="auto"/>
                <w:sz w:val="24"/>
              </w:rPr>
              <w:t>废气监测要求</w:t>
            </w:r>
          </w:p>
          <w:p w14:paraId="0A94B73A">
            <w:pPr>
              <w:adjustRightInd w:val="0"/>
              <w:snapToGrid w:val="0"/>
              <w:spacing w:line="360" w:lineRule="auto"/>
              <w:ind w:firstLine="480" w:firstLineChars="200"/>
              <w:rPr>
                <w:color w:val="auto"/>
              </w:rPr>
            </w:pPr>
            <w:r>
              <w:rPr>
                <w:rFonts w:hint="eastAsia"/>
                <w:color w:val="auto"/>
                <w:sz w:val="24"/>
              </w:rPr>
              <w:t>根据《排污单位自行监测技术指南 总则》（HJ819-2017）要求，</w:t>
            </w:r>
            <w:r>
              <w:rPr>
                <w:color w:val="auto"/>
                <w:sz w:val="24"/>
              </w:rPr>
              <w:t>本项目废气污染物自行监测要求如下表：</w:t>
            </w:r>
          </w:p>
          <w:p w14:paraId="25DEFC08">
            <w:pPr>
              <w:tabs>
                <w:tab w:val="left" w:pos="1052"/>
              </w:tabs>
              <w:adjustRightInd w:val="0"/>
              <w:snapToGrid w:val="0"/>
              <w:jc w:val="center"/>
              <w:rPr>
                <w:b/>
                <w:bCs/>
                <w:color w:val="auto"/>
                <w:sz w:val="24"/>
              </w:rPr>
            </w:pPr>
            <w:r>
              <w:rPr>
                <w:b/>
                <w:bCs/>
                <w:color w:val="auto"/>
                <w:sz w:val="24"/>
              </w:rPr>
              <w:t>表4-</w:t>
            </w:r>
            <w:r>
              <w:rPr>
                <w:rFonts w:hint="eastAsia"/>
                <w:b/>
                <w:bCs/>
                <w:color w:val="auto"/>
                <w:sz w:val="24"/>
                <w:lang w:val="en-US" w:eastAsia="zh-CN"/>
              </w:rPr>
              <w:t>6</w:t>
            </w:r>
            <w:r>
              <w:rPr>
                <w:b/>
                <w:bCs/>
                <w:color w:val="auto"/>
                <w:sz w:val="24"/>
              </w:rPr>
              <w:t xml:space="preserve">  废气</w:t>
            </w:r>
            <w:r>
              <w:rPr>
                <w:rFonts w:hint="eastAsia"/>
                <w:b/>
                <w:bCs/>
                <w:color w:val="auto"/>
                <w:sz w:val="24"/>
              </w:rPr>
              <w:t>全厂</w:t>
            </w:r>
            <w:r>
              <w:rPr>
                <w:b/>
                <w:bCs/>
                <w:color w:val="auto"/>
                <w:sz w:val="24"/>
              </w:rPr>
              <w:t>环境监测计划</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100"/>
              <w:gridCol w:w="2191"/>
              <w:gridCol w:w="2422"/>
              <w:gridCol w:w="2717"/>
            </w:tblGrid>
            <w:tr w14:paraId="293434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951" w:type="pct"/>
                  <w:gridSpan w:val="2"/>
                  <w:vAlign w:val="center"/>
                </w:tcPr>
                <w:p w14:paraId="284F44F2">
                  <w:pPr>
                    <w:pStyle w:val="8"/>
                    <w:adjustRightInd w:val="0"/>
                    <w:snapToGrid w:val="0"/>
                    <w:spacing w:after="0"/>
                    <w:ind w:left="0" w:leftChars="0"/>
                    <w:jc w:val="center"/>
                    <w:rPr>
                      <w:b/>
                      <w:color w:val="auto"/>
                      <w:sz w:val="21"/>
                      <w:szCs w:val="21"/>
                    </w:rPr>
                  </w:pPr>
                  <w:r>
                    <w:rPr>
                      <w:b/>
                      <w:color w:val="auto"/>
                      <w:sz w:val="21"/>
                      <w:szCs w:val="21"/>
                    </w:rPr>
                    <w:t>监测点位</w:t>
                  </w:r>
                </w:p>
              </w:tc>
              <w:tc>
                <w:tcPr>
                  <w:tcW w:w="1436" w:type="pct"/>
                  <w:vAlign w:val="center"/>
                </w:tcPr>
                <w:p w14:paraId="4044FB3E">
                  <w:pPr>
                    <w:pStyle w:val="8"/>
                    <w:adjustRightInd w:val="0"/>
                    <w:snapToGrid w:val="0"/>
                    <w:spacing w:after="0"/>
                    <w:ind w:left="0" w:leftChars="0"/>
                    <w:jc w:val="center"/>
                    <w:rPr>
                      <w:b/>
                      <w:color w:val="auto"/>
                      <w:sz w:val="21"/>
                      <w:szCs w:val="21"/>
                    </w:rPr>
                  </w:pPr>
                  <w:r>
                    <w:rPr>
                      <w:b/>
                      <w:color w:val="auto"/>
                      <w:sz w:val="21"/>
                      <w:szCs w:val="21"/>
                    </w:rPr>
                    <w:t>监测因子</w:t>
                  </w:r>
                </w:p>
              </w:tc>
              <w:tc>
                <w:tcPr>
                  <w:tcW w:w="1611" w:type="pct"/>
                  <w:vAlign w:val="center"/>
                </w:tcPr>
                <w:p w14:paraId="192E10B3">
                  <w:pPr>
                    <w:pStyle w:val="8"/>
                    <w:adjustRightInd w:val="0"/>
                    <w:snapToGrid w:val="0"/>
                    <w:spacing w:after="0"/>
                    <w:ind w:left="0" w:leftChars="0"/>
                    <w:jc w:val="center"/>
                    <w:rPr>
                      <w:b/>
                      <w:color w:val="auto"/>
                      <w:sz w:val="21"/>
                      <w:szCs w:val="21"/>
                    </w:rPr>
                  </w:pPr>
                  <w:r>
                    <w:rPr>
                      <w:b/>
                      <w:color w:val="auto"/>
                      <w:sz w:val="21"/>
                      <w:szCs w:val="21"/>
                    </w:rPr>
                    <w:t>监测频率</w:t>
                  </w:r>
                </w:p>
              </w:tc>
            </w:tr>
            <w:tr w14:paraId="0DED0F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restart"/>
                  <w:vAlign w:val="center"/>
                </w:tcPr>
                <w:p w14:paraId="4C3B2C3A">
                  <w:pPr>
                    <w:adjustRightInd w:val="0"/>
                    <w:snapToGrid w:val="0"/>
                    <w:jc w:val="center"/>
                    <w:rPr>
                      <w:color w:val="auto"/>
                      <w:szCs w:val="21"/>
                    </w:rPr>
                  </w:pPr>
                  <w:r>
                    <w:rPr>
                      <w:color w:val="auto"/>
                      <w:szCs w:val="21"/>
                    </w:rPr>
                    <w:t>有组织</w:t>
                  </w:r>
                </w:p>
              </w:tc>
              <w:tc>
                <w:tcPr>
                  <w:tcW w:w="1299" w:type="pct"/>
                  <w:vAlign w:val="center"/>
                </w:tcPr>
                <w:p w14:paraId="731E9A8D">
                  <w:pPr>
                    <w:adjustRightInd w:val="0"/>
                    <w:snapToGrid w:val="0"/>
                    <w:jc w:val="center"/>
                    <w:rPr>
                      <w:color w:val="auto"/>
                      <w:szCs w:val="21"/>
                    </w:rPr>
                  </w:pPr>
                  <w:r>
                    <w:rPr>
                      <w:rFonts w:hint="eastAsia"/>
                      <w:color w:val="auto"/>
                      <w:szCs w:val="21"/>
                    </w:rPr>
                    <w:t>DA001</w:t>
                  </w:r>
                </w:p>
              </w:tc>
              <w:tc>
                <w:tcPr>
                  <w:tcW w:w="1436" w:type="pct"/>
                  <w:shd w:val="clear" w:color="auto" w:fill="auto"/>
                  <w:vAlign w:val="center"/>
                </w:tcPr>
                <w:p w14:paraId="539D7F01">
                  <w:pPr>
                    <w:adjustRightInd w:val="0"/>
                    <w:snapToGrid w:val="0"/>
                    <w:jc w:val="center"/>
                    <w:rPr>
                      <w:color w:val="auto"/>
                      <w:szCs w:val="21"/>
                    </w:rPr>
                  </w:pPr>
                  <w:r>
                    <w:rPr>
                      <w:rFonts w:hint="eastAsia"/>
                      <w:color w:val="auto"/>
                      <w:szCs w:val="21"/>
                      <w:lang w:val="en-US" w:eastAsia="zh-CN"/>
                    </w:rPr>
                    <w:t>颗粒物</w:t>
                  </w:r>
                </w:p>
              </w:tc>
              <w:tc>
                <w:tcPr>
                  <w:tcW w:w="1611" w:type="pct"/>
                  <w:shd w:val="clear" w:color="auto" w:fill="auto"/>
                  <w:vAlign w:val="center"/>
                </w:tcPr>
                <w:p w14:paraId="27FFE3C5">
                  <w:pPr>
                    <w:pStyle w:val="8"/>
                    <w:adjustRightInd w:val="0"/>
                    <w:snapToGrid w:val="0"/>
                    <w:spacing w:after="0"/>
                    <w:ind w:left="0" w:leftChars="0"/>
                    <w:jc w:val="center"/>
                    <w:rPr>
                      <w:rFonts w:ascii="Times New Roman" w:hAnsi="Times New Roman" w:cs="Times New Roman"/>
                      <w:color w:val="auto"/>
                      <w:sz w:val="21"/>
                      <w:szCs w:val="21"/>
                    </w:rPr>
                  </w:pPr>
                  <w:r>
                    <w:rPr>
                      <w:rFonts w:ascii="Times New Roman" w:hAnsi="Times New Roman" w:cs="Times New Roman"/>
                      <w:color w:val="auto"/>
                      <w:sz w:val="21"/>
                      <w:szCs w:val="21"/>
                    </w:rPr>
                    <w:t>1次/年</w:t>
                  </w:r>
                </w:p>
              </w:tc>
            </w:tr>
            <w:tr w14:paraId="1E06B6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14448C1D">
                  <w:pPr>
                    <w:adjustRightInd w:val="0"/>
                    <w:snapToGrid w:val="0"/>
                    <w:jc w:val="center"/>
                    <w:rPr>
                      <w:color w:val="auto"/>
                      <w:szCs w:val="21"/>
                    </w:rPr>
                  </w:pPr>
                </w:p>
              </w:tc>
              <w:tc>
                <w:tcPr>
                  <w:tcW w:w="1299" w:type="pct"/>
                  <w:vAlign w:val="center"/>
                </w:tcPr>
                <w:p w14:paraId="04B6FFCB">
                  <w:pPr>
                    <w:adjustRightInd w:val="0"/>
                    <w:snapToGrid w:val="0"/>
                    <w:jc w:val="center"/>
                    <w:rPr>
                      <w:color w:val="auto"/>
                      <w:szCs w:val="21"/>
                    </w:rPr>
                  </w:pPr>
                  <w:r>
                    <w:rPr>
                      <w:rFonts w:hint="eastAsia"/>
                      <w:color w:val="auto"/>
                      <w:szCs w:val="21"/>
                    </w:rPr>
                    <w:t>DA002</w:t>
                  </w:r>
                </w:p>
              </w:tc>
              <w:tc>
                <w:tcPr>
                  <w:tcW w:w="1436" w:type="pct"/>
                  <w:vAlign w:val="center"/>
                </w:tcPr>
                <w:p w14:paraId="17DE4DB1">
                  <w:pPr>
                    <w:adjustRightInd w:val="0"/>
                    <w:snapToGrid w:val="0"/>
                    <w:jc w:val="center"/>
                    <w:rPr>
                      <w:color w:val="auto"/>
                      <w:szCs w:val="21"/>
                    </w:rPr>
                  </w:pPr>
                  <w:r>
                    <w:rPr>
                      <w:rFonts w:hint="eastAsia"/>
                      <w:color w:val="auto"/>
                      <w:szCs w:val="21"/>
                      <w:lang w:val="en-US" w:eastAsia="zh-CN"/>
                    </w:rPr>
                    <w:t>颗粒物</w:t>
                  </w:r>
                </w:p>
              </w:tc>
              <w:tc>
                <w:tcPr>
                  <w:tcW w:w="1611" w:type="pct"/>
                  <w:shd w:val="clear" w:color="auto" w:fill="auto"/>
                  <w:vAlign w:val="center"/>
                </w:tcPr>
                <w:p w14:paraId="7B231CCB">
                  <w:pPr>
                    <w:pStyle w:val="8"/>
                    <w:adjustRightInd w:val="0"/>
                    <w:snapToGrid w:val="0"/>
                    <w:spacing w:after="0"/>
                    <w:ind w:left="0" w:leftChars="0"/>
                    <w:jc w:val="center"/>
                    <w:rPr>
                      <w:rFonts w:ascii="Times New Roman" w:hAnsi="Times New Roman" w:cs="Times New Roman"/>
                      <w:color w:val="auto"/>
                      <w:sz w:val="21"/>
                      <w:szCs w:val="21"/>
                    </w:rPr>
                  </w:pPr>
                  <w:r>
                    <w:rPr>
                      <w:rFonts w:ascii="Times New Roman" w:hAnsi="Times New Roman" w:cs="Times New Roman"/>
                      <w:color w:val="auto"/>
                      <w:sz w:val="21"/>
                      <w:szCs w:val="21"/>
                    </w:rPr>
                    <w:t>1次/年</w:t>
                  </w:r>
                </w:p>
              </w:tc>
            </w:tr>
            <w:tr w14:paraId="36E2C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2E41BDC0">
                  <w:pPr>
                    <w:adjustRightInd w:val="0"/>
                    <w:snapToGrid w:val="0"/>
                    <w:jc w:val="center"/>
                    <w:rPr>
                      <w:color w:val="auto"/>
                      <w:szCs w:val="21"/>
                    </w:rPr>
                  </w:pPr>
                </w:p>
              </w:tc>
              <w:tc>
                <w:tcPr>
                  <w:tcW w:w="1299" w:type="pct"/>
                  <w:vAlign w:val="center"/>
                </w:tcPr>
                <w:p w14:paraId="284C1D1D">
                  <w:pPr>
                    <w:adjustRightInd w:val="0"/>
                    <w:snapToGrid w:val="0"/>
                    <w:jc w:val="center"/>
                    <w:rPr>
                      <w:color w:val="auto"/>
                      <w:szCs w:val="21"/>
                    </w:rPr>
                  </w:pPr>
                  <w:r>
                    <w:rPr>
                      <w:rFonts w:hint="eastAsia"/>
                      <w:color w:val="auto"/>
                      <w:szCs w:val="21"/>
                    </w:rPr>
                    <w:t>DA003</w:t>
                  </w:r>
                </w:p>
              </w:tc>
              <w:tc>
                <w:tcPr>
                  <w:tcW w:w="1436" w:type="pct"/>
                  <w:vAlign w:val="center"/>
                </w:tcPr>
                <w:p w14:paraId="55237CEB">
                  <w:pPr>
                    <w:adjustRightInd w:val="0"/>
                    <w:snapToGrid w:val="0"/>
                    <w:jc w:val="center"/>
                    <w:rPr>
                      <w:color w:val="auto"/>
                      <w:szCs w:val="21"/>
                    </w:rPr>
                  </w:pPr>
                  <w:r>
                    <w:rPr>
                      <w:rFonts w:hint="eastAsia"/>
                      <w:color w:val="auto"/>
                      <w:szCs w:val="21"/>
                      <w:lang w:val="en-US" w:eastAsia="zh-CN"/>
                    </w:rPr>
                    <w:t>颗粒物</w:t>
                  </w:r>
                </w:p>
              </w:tc>
              <w:tc>
                <w:tcPr>
                  <w:tcW w:w="1611" w:type="pct"/>
                  <w:vAlign w:val="center"/>
                </w:tcPr>
                <w:p w14:paraId="142DD5AC">
                  <w:pPr>
                    <w:pStyle w:val="8"/>
                    <w:adjustRightInd w:val="0"/>
                    <w:snapToGrid w:val="0"/>
                    <w:spacing w:after="0"/>
                    <w:ind w:left="0" w:leftChars="0"/>
                    <w:jc w:val="center"/>
                    <w:rPr>
                      <w:color w:val="auto"/>
                      <w:sz w:val="21"/>
                      <w:szCs w:val="21"/>
                    </w:rPr>
                  </w:pPr>
                  <w:r>
                    <w:rPr>
                      <w:color w:val="auto"/>
                      <w:sz w:val="21"/>
                      <w:szCs w:val="21"/>
                    </w:rPr>
                    <w:t>1次/年</w:t>
                  </w:r>
                </w:p>
              </w:tc>
            </w:tr>
            <w:tr w14:paraId="51BBB7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163AB23C">
                  <w:pPr>
                    <w:adjustRightInd w:val="0"/>
                    <w:snapToGrid w:val="0"/>
                    <w:jc w:val="center"/>
                    <w:rPr>
                      <w:color w:val="auto"/>
                      <w:szCs w:val="21"/>
                    </w:rPr>
                  </w:pPr>
                </w:p>
              </w:tc>
              <w:tc>
                <w:tcPr>
                  <w:tcW w:w="1299" w:type="pct"/>
                  <w:vAlign w:val="center"/>
                </w:tcPr>
                <w:p w14:paraId="59865E44">
                  <w:pPr>
                    <w:adjustRightInd w:val="0"/>
                    <w:snapToGrid w:val="0"/>
                    <w:jc w:val="center"/>
                    <w:rPr>
                      <w:color w:val="auto"/>
                      <w:szCs w:val="21"/>
                    </w:rPr>
                  </w:pPr>
                  <w:r>
                    <w:rPr>
                      <w:rFonts w:hint="eastAsia"/>
                      <w:color w:val="auto"/>
                      <w:szCs w:val="21"/>
                    </w:rPr>
                    <w:t>DA004</w:t>
                  </w:r>
                </w:p>
              </w:tc>
              <w:tc>
                <w:tcPr>
                  <w:tcW w:w="1436" w:type="pct"/>
                  <w:vAlign w:val="center"/>
                </w:tcPr>
                <w:p w14:paraId="35515108">
                  <w:pPr>
                    <w:adjustRightInd w:val="0"/>
                    <w:snapToGrid w:val="0"/>
                    <w:jc w:val="center"/>
                    <w:rPr>
                      <w:rFonts w:hint="eastAsia" w:eastAsia="宋体"/>
                      <w:color w:val="auto"/>
                      <w:szCs w:val="21"/>
                      <w:lang w:eastAsia="zh-CN"/>
                    </w:rPr>
                  </w:pPr>
                  <w:r>
                    <w:rPr>
                      <w:rFonts w:hint="eastAsia"/>
                      <w:color w:val="auto"/>
                      <w:szCs w:val="21"/>
                      <w:lang w:val="en-US" w:eastAsia="zh-CN"/>
                    </w:rPr>
                    <w:t>颗粒物</w:t>
                  </w:r>
                </w:p>
              </w:tc>
              <w:tc>
                <w:tcPr>
                  <w:tcW w:w="1611" w:type="pct"/>
                  <w:vAlign w:val="center"/>
                </w:tcPr>
                <w:p w14:paraId="285F84F2">
                  <w:pPr>
                    <w:pStyle w:val="8"/>
                    <w:adjustRightInd w:val="0"/>
                    <w:snapToGrid w:val="0"/>
                    <w:spacing w:after="0"/>
                    <w:ind w:left="0" w:leftChars="0"/>
                    <w:jc w:val="center"/>
                    <w:rPr>
                      <w:color w:val="auto"/>
                      <w:sz w:val="21"/>
                      <w:szCs w:val="21"/>
                    </w:rPr>
                  </w:pPr>
                  <w:r>
                    <w:rPr>
                      <w:color w:val="auto"/>
                      <w:sz w:val="21"/>
                      <w:szCs w:val="21"/>
                    </w:rPr>
                    <w:t>1次/</w:t>
                  </w:r>
                  <w:r>
                    <w:rPr>
                      <w:rFonts w:hint="eastAsia"/>
                      <w:color w:val="auto"/>
                      <w:sz w:val="21"/>
                      <w:szCs w:val="21"/>
                    </w:rPr>
                    <w:t>年</w:t>
                  </w:r>
                </w:p>
              </w:tc>
            </w:tr>
            <w:tr w14:paraId="7CA9A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Merge w:val="continue"/>
                  <w:vAlign w:val="center"/>
                </w:tcPr>
                <w:p w14:paraId="285CE69C">
                  <w:pPr>
                    <w:adjustRightInd w:val="0"/>
                    <w:snapToGrid w:val="0"/>
                    <w:jc w:val="center"/>
                    <w:rPr>
                      <w:color w:val="auto"/>
                      <w:szCs w:val="21"/>
                    </w:rPr>
                  </w:pPr>
                </w:p>
              </w:tc>
              <w:tc>
                <w:tcPr>
                  <w:tcW w:w="1299" w:type="pct"/>
                  <w:vAlign w:val="center"/>
                </w:tcPr>
                <w:p w14:paraId="17B092FE">
                  <w:pPr>
                    <w:adjustRightInd w:val="0"/>
                    <w:snapToGrid w:val="0"/>
                    <w:jc w:val="center"/>
                    <w:rPr>
                      <w:rFonts w:hint="default" w:eastAsia="宋体"/>
                      <w:color w:val="auto"/>
                      <w:szCs w:val="21"/>
                      <w:lang w:val="en-US" w:eastAsia="zh-CN"/>
                    </w:rPr>
                  </w:pPr>
                  <w:r>
                    <w:rPr>
                      <w:rFonts w:hint="eastAsia"/>
                      <w:color w:val="auto"/>
                      <w:szCs w:val="21"/>
                      <w:lang w:val="en-US" w:eastAsia="zh-CN"/>
                    </w:rPr>
                    <w:t>DA005</w:t>
                  </w:r>
                </w:p>
              </w:tc>
              <w:tc>
                <w:tcPr>
                  <w:tcW w:w="1436" w:type="pct"/>
                  <w:shd w:val="clear" w:color="auto" w:fill="auto"/>
                  <w:vAlign w:val="center"/>
                </w:tcPr>
                <w:p w14:paraId="0E7910A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颗粒物</w:t>
                  </w:r>
                </w:p>
              </w:tc>
              <w:tc>
                <w:tcPr>
                  <w:tcW w:w="1611" w:type="pct"/>
                  <w:shd w:val="clear" w:color="auto" w:fill="auto"/>
                  <w:vAlign w:val="center"/>
                </w:tcPr>
                <w:p w14:paraId="43FDA8B0">
                  <w:pPr>
                    <w:pStyle w:val="8"/>
                    <w:adjustRightInd w:val="0"/>
                    <w:snapToGrid w:val="0"/>
                    <w:spacing w:after="0"/>
                    <w:ind w:left="0" w:leftChars="0"/>
                    <w:jc w:val="center"/>
                    <w:rPr>
                      <w:rFonts w:ascii="Times New Roman" w:hAnsi="Times New Roman" w:eastAsia="宋体" w:cs="Times New Roman"/>
                      <w:color w:val="auto"/>
                      <w:kern w:val="0"/>
                      <w:sz w:val="21"/>
                      <w:szCs w:val="21"/>
                      <w:lang w:val="en-US" w:eastAsia="zh-CN" w:bidi="ar-SA"/>
                    </w:rPr>
                  </w:pPr>
                  <w:r>
                    <w:rPr>
                      <w:color w:val="auto"/>
                      <w:sz w:val="21"/>
                      <w:szCs w:val="21"/>
                    </w:rPr>
                    <w:t>1次/</w:t>
                  </w:r>
                  <w:r>
                    <w:rPr>
                      <w:rFonts w:hint="eastAsia"/>
                      <w:color w:val="auto"/>
                      <w:sz w:val="21"/>
                      <w:szCs w:val="21"/>
                    </w:rPr>
                    <w:t>年</w:t>
                  </w:r>
                </w:p>
              </w:tc>
            </w:tr>
            <w:tr w14:paraId="30BDD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52" w:type="pct"/>
                  <w:vAlign w:val="center"/>
                </w:tcPr>
                <w:p w14:paraId="11C63779">
                  <w:pPr>
                    <w:adjustRightInd w:val="0"/>
                    <w:snapToGrid w:val="0"/>
                    <w:jc w:val="center"/>
                    <w:rPr>
                      <w:color w:val="auto"/>
                      <w:szCs w:val="21"/>
                    </w:rPr>
                  </w:pPr>
                  <w:r>
                    <w:rPr>
                      <w:rFonts w:hint="eastAsia"/>
                      <w:color w:val="auto"/>
                      <w:szCs w:val="21"/>
                    </w:rPr>
                    <w:t>无组织</w:t>
                  </w:r>
                </w:p>
              </w:tc>
              <w:tc>
                <w:tcPr>
                  <w:tcW w:w="1299" w:type="pct"/>
                  <w:vAlign w:val="center"/>
                </w:tcPr>
                <w:p w14:paraId="30F4CEF8">
                  <w:pPr>
                    <w:adjustRightInd w:val="0"/>
                    <w:snapToGrid w:val="0"/>
                    <w:jc w:val="center"/>
                    <w:rPr>
                      <w:color w:val="auto"/>
                      <w:szCs w:val="21"/>
                    </w:rPr>
                  </w:pPr>
                  <w:r>
                    <w:rPr>
                      <w:color w:val="auto"/>
                      <w:szCs w:val="21"/>
                    </w:rPr>
                    <w:t>厂界（上风向1个</w:t>
                  </w:r>
                  <w:r>
                    <w:rPr>
                      <w:rFonts w:hint="eastAsia"/>
                      <w:color w:val="auto"/>
                      <w:szCs w:val="21"/>
                    </w:rPr>
                    <w:t>、</w:t>
                  </w:r>
                  <w:r>
                    <w:rPr>
                      <w:color w:val="auto"/>
                      <w:szCs w:val="21"/>
                    </w:rPr>
                    <w:t>下风向3个）</w:t>
                  </w:r>
                </w:p>
              </w:tc>
              <w:tc>
                <w:tcPr>
                  <w:tcW w:w="1436" w:type="pct"/>
                  <w:vAlign w:val="center"/>
                </w:tcPr>
                <w:p w14:paraId="7E127203">
                  <w:pPr>
                    <w:adjustRightInd w:val="0"/>
                    <w:snapToGrid w:val="0"/>
                    <w:jc w:val="center"/>
                    <w:rPr>
                      <w:color w:val="auto"/>
                      <w:szCs w:val="21"/>
                    </w:rPr>
                  </w:pPr>
                  <w:r>
                    <w:rPr>
                      <w:rFonts w:hint="eastAsia"/>
                      <w:color w:val="auto"/>
                      <w:szCs w:val="21"/>
                      <w:lang w:val="en-US" w:eastAsia="zh-CN"/>
                    </w:rPr>
                    <w:t>颗粒物</w:t>
                  </w:r>
                </w:p>
              </w:tc>
              <w:tc>
                <w:tcPr>
                  <w:tcW w:w="1611" w:type="pct"/>
                  <w:vAlign w:val="center"/>
                </w:tcPr>
                <w:p w14:paraId="3CC1719F">
                  <w:pPr>
                    <w:adjustRightInd w:val="0"/>
                    <w:snapToGrid w:val="0"/>
                    <w:jc w:val="center"/>
                    <w:rPr>
                      <w:color w:val="auto"/>
                      <w:szCs w:val="21"/>
                    </w:rPr>
                  </w:pPr>
                  <w:r>
                    <w:rPr>
                      <w:color w:val="auto"/>
                      <w:szCs w:val="21"/>
                    </w:rPr>
                    <w:t>1次/年</w:t>
                  </w:r>
                </w:p>
              </w:tc>
            </w:tr>
          </w:tbl>
          <w:p w14:paraId="38122099">
            <w:pPr>
              <w:adjustRightInd w:val="0"/>
              <w:snapToGrid w:val="0"/>
              <w:spacing w:line="360" w:lineRule="auto"/>
              <w:ind w:firstLine="480" w:firstLineChars="200"/>
              <w:rPr>
                <w:rFonts w:hint="eastAsia"/>
                <w:color w:val="auto"/>
                <w:sz w:val="24"/>
                <w:lang w:val="en-US" w:eastAsia="zh-CN"/>
              </w:rPr>
            </w:pPr>
            <w:r>
              <w:rPr>
                <w:rFonts w:hint="eastAsia"/>
                <w:color w:val="auto"/>
                <w:sz w:val="24"/>
                <w:lang w:val="en-US" w:eastAsia="zh-CN"/>
              </w:rPr>
              <w:t>监测口设置要求：根据《排污单位污染物排放口监测点位设置技术规范》（HJ 1405-2024），在流场均匀稳定的监测断面规范开设监测孔，设置工作平台、梯架及相应安全防护设施等；监测位置应设置在规则的圆形、矩形排气筒/烟道上的竖直段或水平段，并避开拉筋等影响监测的内部结构件；手工监测断面设置位置应满足，其按照气流方向的上游距离弯头、阀门、变径管≥4倍烟道直径，其下游距离上述部件≥2倍烟道直径。排气筒出口处视为变径；在手工监测断面处设置手工监测孔，其内径应满足相关污染物和排气参数的监测需要，一般应≥80 mm。</w:t>
            </w:r>
          </w:p>
          <w:p w14:paraId="7BF79A83">
            <w:pPr>
              <w:adjustRightInd w:val="0"/>
              <w:snapToGrid w:val="0"/>
              <w:spacing w:line="360" w:lineRule="auto"/>
              <w:ind w:firstLine="480" w:firstLineChars="200"/>
              <w:rPr>
                <w:color w:val="auto"/>
                <w:sz w:val="24"/>
              </w:rPr>
            </w:pPr>
            <w:r>
              <w:rPr>
                <w:rFonts w:hint="eastAsia"/>
                <w:color w:val="auto"/>
                <w:sz w:val="24"/>
              </w:rPr>
              <w:t>（8）非正常排放</w:t>
            </w:r>
            <w:r>
              <w:rPr>
                <w:color w:val="auto"/>
                <w:sz w:val="24"/>
              </w:rPr>
              <w:t>情况</w:t>
            </w:r>
          </w:p>
          <w:p w14:paraId="7B500B88">
            <w:pPr>
              <w:adjustRightInd w:val="0"/>
              <w:snapToGrid w:val="0"/>
              <w:spacing w:line="360" w:lineRule="auto"/>
              <w:ind w:firstLine="480" w:firstLineChars="200"/>
              <w:rPr>
                <w:color w:val="auto"/>
                <w:kern w:val="0"/>
                <w:sz w:val="24"/>
                <w:szCs w:val="32"/>
              </w:rPr>
            </w:pPr>
            <w:r>
              <w:rPr>
                <w:rFonts w:hint="eastAsia"/>
                <w:color w:val="auto"/>
                <w:kern w:val="0"/>
                <w:sz w:val="24"/>
                <w:szCs w:val="32"/>
              </w:rPr>
              <w:t>本项目非正常工况主要为项目环保设施失效。当环保设施失效时，污染物未经处理直接排放，对周围环境</w:t>
            </w:r>
            <w:r>
              <w:rPr>
                <w:rFonts w:hint="eastAsia"/>
                <w:color w:val="auto"/>
                <w:kern w:val="0"/>
                <w:sz w:val="24"/>
                <w:szCs w:val="32"/>
                <w:lang w:val="en-US" w:eastAsia="zh-CN"/>
              </w:rPr>
              <w:t>造成影响</w:t>
            </w:r>
            <w:r>
              <w:rPr>
                <w:rFonts w:hint="eastAsia"/>
                <w:color w:val="auto"/>
                <w:kern w:val="0"/>
                <w:sz w:val="24"/>
                <w:szCs w:val="32"/>
              </w:rPr>
              <w:t>。本次评价要求当发生环保设施失效的情况时，应立即停止生产，对环保设施进行检修，待环保设施可正常运行后，再进行生产。本项目污染物非正常排放情况见下表</w:t>
            </w:r>
            <w:r>
              <w:rPr>
                <w:color w:val="auto"/>
                <w:kern w:val="0"/>
                <w:sz w:val="24"/>
                <w:szCs w:val="32"/>
              </w:rPr>
              <w:t>。</w:t>
            </w:r>
          </w:p>
          <w:p w14:paraId="6C46E2DE">
            <w:pPr>
              <w:adjustRightInd w:val="0"/>
              <w:snapToGrid w:val="0"/>
              <w:jc w:val="center"/>
              <w:rPr>
                <w:b/>
                <w:bCs/>
                <w:color w:val="auto"/>
                <w:kern w:val="0"/>
                <w:sz w:val="24"/>
                <w:szCs w:val="32"/>
              </w:rPr>
            </w:pPr>
            <w:r>
              <w:rPr>
                <w:b/>
                <w:bCs/>
                <w:color w:val="auto"/>
                <w:kern w:val="0"/>
                <w:sz w:val="24"/>
                <w:szCs w:val="32"/>
              </w:rPr>
              <w:t>表4-</w:t>
            </w:r>
            <w:r>
              <w:rPr>
                <w:rFonts w:hint="eastAsia"/>
                <w:b/>
                <w:bCs/>
                <w:color w:val="auto"/>
                <w:kern w:val="0"/>
                <w:sz w:val="24"/>
                <w:szCs w:val="32"/>
                <w:lang w:val="en-US" w:eastAsia="zh-CN"/>
              </w:rPr>
              <w:t>7</w:t>
            </w:r>
            <w:r>
              <w:rPr>
                <w:b/>
                <w:bCs/>
                <w:color w:val="auto"/>
                <w:kern w:val="0"/>
                <w:sz w:val="24"/>
                <w:szCs w:val="32"/>
              </w:rPr>
              <w:t xml:space="preserve">  非正常情况排放量核算表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803"/>
              <w:gridCol w:w="994"/>
              <w:gridCol w:w="759"/>
              <w:gridCol w:w="1110"/>
              <w:gridCol w:w="1002"/>
              <w:gridCol w:w="829"/>
              <w:gridCol w:w="591"/>
              <w:gridCol w:w="856"/>
              <w:gridCol w:w="1489"/>
            </w:tblGrid>
            <w:tr w14:paraId="31A7CC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6" w:type="pct"/>
                  <w:vAlign w:val="center"/>
                </w:tcPr>
                <w:p w14:paraId="0038CDE1">
                  <w:pPr>
                    <w:jc w:val="center"/>
                    <w:rPr>
                      <w:b/>
                      <w:bCs/>
                      <w:color w:val="auto"/>
                      <w:szCs w:val="21"/>
                    </w:rPr>
                  </w:pPr>
                  <w:r>
                    <w:rPr>
                      <w:b/>
                      <w:bCs/>
                      <w:color w:val="auto"/>
                      <w:szCs w:val="21"/>
                    </w:rPr>
                    <w:t>污染源</w:t>
                  </w:r>
                </w:p>
              </w:tc>
              <w:tc>
                <w:tcPr>
                  <w:tcW w:w="589" w:type="pct"/>
                  <w:vAlign w:val="center"/>
                </w:tcPr>
                <w:p w14:paraId="4C6C8D35">
                  <w:pPr>
                    <w:jc w:val="center"/>
                    <w:rPr>
                      <w:b/>
                      <w:bCs/>
                      <w:color w:val="auto"/>
                      <w:szCs w:val="21"/>
                    </w:rPr>
                  </w:pPr>
                  <w:r>
                    <w:rPr>
                      <w:b/>
                      <w:bCs/>
                      <w:color w:val="auto"/>
                      <w:szCs w:val="21"/>
                    </w:rPr>
                    <w:t>非正常</w:t>
                  </w:r>
                </w:p>
                <w:p w14:paraId="356288B0">
                  <w:pPr>
                    <w:jc w:val="center"/>
                    <w:rPr>
                      <w:b/>
                      <w:bCs/>
                      <w:color w:val="auto"/>
                      <w:szCs w:val="21"/>
                    </w:rPr>
                  </w:pPr>
                  <w:r>
                    <w:rPr>
                      <w:b/>
                      <w:bCs/>
                      <w:color w:val="auto"/>
                      <w:szCs w:val="21"/>
                    </w:rPr>
                    <w:t>排放原因</w:t>
                  </w:r>
                </w:p>
              </w:tc>
              <w:tc>
                <w:tcPr>
                  <w:tcW w:w="450" w:type="pct"/>
                  <w:vAlign w:val="center"/>
                </w:tcPr>
                <w:p w14:paraId="0875C6E6">
                  <w:pPr>
                    <w:jc w:val="center"/>
                    <w:rPr>
                      <w:b/>
                      <w:bCs/>
                      <w:color w:val="auto"/>
                      <w:szCs w:val="21"/>
                    </w:rPr>
                  </w:pPr>
                  <w:r>
                    <w:rPr>
                      <w:b/>
                      <w:bCs/>
                      <w:color w:val="auto"/>
                      <w:szCs w:val="21"/>
                    </w:rPr>
                    <w:t>污染物</w:t>
                  </w:r>
                </w:p>
              </w:tc>
              <w:tc>
                <w:tcPr>
                  <w:tcW w:w="658" w:type="pct"/>
                  <w:vAlign w:val="center"/>
                </w:tcPr>
                <w:p w14:paraId="057D6ED2">
                  <w:pPr>
                    <w:jc w:val="center"/>
                    <w:rPr>
                      <w:b/>
                      <w:bCs/>
                      <w:color w:val="auto"/>
                      <w:szCs w:val="21"/>
                    </w:rPr>
                  </w:pPr>
                  <w:r>
                    <w:rPr>
                      <w:b/>
                      <w:bCs/>
                      <w:color w:val="auto"/>
                      <w:szCs w:val="21"/>
                    </w:rPr>
                    <w:t>非正常排放浓度/（mg/m</w:t>
                  </w:r>
                  <w:r>
                    <w:rPr>
                      <w:b/>
                      <w:bCs/>
                      <w:color w:val="auto"/>
                      <w:szCs w:val="21"/>
                      <w:vertAlign w:val="superscript"/>
                    </w:rPr>
                    <w:t>3</w:t>
                  </w:r>
                  <w:r>
                    <w:rPr>
                      <w:b/>
                      <w:bCs/>
                      <w:color w:val="auto"/>
                      <w:szCs w:val="21"/>
                    </w:rPr>
                    <w:t>）</w:t>
                  </w:r>
                </w:p>
              </w:tc>
              <w:tc>
                <w:tcPr>
                  <w:tcW w:w="594" w:type="pct"/>
                  <w:vAlign w:val="center"/>
                </w:tcPr>
                <w:p w14:paraId="25B35037">
                  <w:pPr>
                    <w:jc w:val="center"/>
                    <w:rPr>
                      <w:b/>
                      <w:bCs/>
                      <w:color w:val="auto"/>
                      <w:szCs w:val="21"/>
                    </w:rPr>
                  </w:pPr>
                  <w:r>
                    <w:rPr>
                      <w:b/>
                      <w:bCs/>
                      <w:color w:val="auto"/>
                      <w:szCs w:val="21"/>
                    </w:rPr>
                    <w:t>非正常排放速率/（kg/h）</w:t>
                  </w:r>
                </w:p>
              </w:tc>
              <w:tc>
                <w:tcPr>
                  <w:tcW w:w="491" w:type="pct"/>
                  <w:vAlign w:val="center"/>
                </w:tcPr>
                <w:p w14:paraId="4A4EDE0B">
                  <w:pPr>
                    <w:jc w:val="center"/>
                    <w:rPr>
                      <w:b/>
                      <w:bCs/>
                      <w:color w:val="auto"/>
                      <w:szCs w:val="21"/>
                    </w:rPr>
                  </w:pPr>
                  <w:r>
                    <w:rPr>
                      <w:b/>
                      <w:bCs/>
                      <w:color w:val="auto"/>
                      <w:szCs w:val="21"/>
                    </w:rPr>
                    <w:t>单次持续时间/h</w:t>
                  </w:r>
                </w:p>
              </w:tc>
              <w:tc>
                <w:tcPr>
                  <w:tcW w:w="350" w:type="pct"/>
                  <w:vAlign w:val="center"/>
                </w:tcPr>
                <w:p w14:paraId="14BA791A">
                  <w:pPr>
                    <w:jc w:val="center"/>
                    <w:rPr>
                      <w:b/>
                      <w:bCs/>
                      <w:color w:val="auto"/>
                      <w:szCs w:val="21"/>
                    </w:rPr>
                  </w:pPr>
                  <w:r>
                    <w:rPr>
                      <w:b/>
                      <w:bCs/>
                      <w:color w:val="auto"/>
                      <w:szCs w:val="21"/>
                    </w:rPr>
                    <w:t>年发生频次/次</w:t>
                  </w:r>
                </w:p>
              </w:tc>
              <w:tc>
                <w:tcPr>
                  <w:tcW w:w="507" w:type="pct"/>
                  <w:vAlign w:val="center"/>
                </w:tcPr>
                <w:p w14:paraId="64167F5C">
                  <w:pPr>
                    <w:jc w:val="center"/>
                    <w:rPr>
                      <w:b/>
                      <w:bCs/>
                      <w:color w:val="auto"/>
                      <w:szCs w:val="21"/>
                    </w:rPr>
                  </w:pPr>
                  <w:r>
                    <w:rPr>
                      <w:b/>
                      <w:bCs/>
                      <w:color w:val="auto"/>
                      <w:szCs w:val="21"/>
                    </w:rPr>
                    <w:t>排放量/（kg/a）</w:t>
                  </w:r>
                </w:p>
              </w:tc>
              <w:tc>
                <w:tcPr>
                  <w:tcW w:w="882" w:type="pct"/>
                  <w:vAlign w:val="center"/>
                </w:tcPr>
                <w:p w14:paraId="5C54BE71">
                  <w:pPr>
                    <w:jc w:val="center"/>
                    <w:rPr>
                      <w:b/>
                      <w:bCs/>
                      <w:color w:val="auto"/>
                      <w:szCs w:val="21"/>
                    </w:rPr>
                  </w:pPr>
                  <w:r>
                    <w:rPr>
                      <w:b/>
                      <w:bCs/>
                      <w:color w:val="auto"/>
                      <w:szCs w:val="21"/>
                    </w:rPr>
                    <w:t>应对措施</w:t>
                  </w:r>
                </w:p>
              </w:tc>
            </w:tr>
            <w:tr w14:paraId="539DAD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6" w:type="pct"/>
                  <w:vAlign w:val="center"/>
                </w:tcPr>
                <w:p w14:paraId="757878C7">
                  <w:pPr>
                    <w:pStyle w:val="4"/>
                    <w:ind w:firstLine="0" w:firstLineChars="0"/>
                    <w:jc w:val="center"/>
                    <w:rPr>
                      <w:rFonts w:hint="eastAsia" w:eastAsia="宋体"/>
                      <w:color w:val="auto"/>
                      <w:szCs w:val="21"/>
                      <w:lang w:eastAsia="zh-CN"/>
                    </w:rPr>
                  </w:pPr>
                  <w:r>
                    <w:rPr>
                      <w:color w:val="auto"/>
                      <w:szCs w:val="21"/>
                    </w:rPr>
                    <w:t>DA00</w:t>
                  </w:r>
                  <w:r>
                    <w:rPr>
                      <w:rFonts w:hint="eastAsia"/>
                      <w:color w:val="auto"/>
                      <w:szCs w:val="21"/>
                      <w:lang w:val="en-US" w:eastAsia="zh-CN"/>
                    </w:rPr>
                    <w:t>5</w:t>
                  </w:r>
                </w:p>
              </w:tc>
              <w:tc>
                <w:tcPr>
                  <w:tcW w:w="589" w:type="pct"/>
                  <w:vAlign w:val="center"/>
                </w:tcPr>
                <w:p w14:paraId="3B945939">
                  <w:pPr>
                    <w:jc w:val="center"/>
                    <w:rPr>
                      <w:color w:val="auto"/>
                      <w:szCs w:val="21"/>
                    </w:rPr>
                  </w:pPr>
                  <w:r>
                    <w:rPr>
                      <w:color w:val="auto"/>
                      <w:szCs w:val="21"/>
                    </w:rPr>
                    <w:t>废气处理设施发生故障，处理效率为0</w:t>
                  </w:r>
                </w:p>
              </w:tc>
              <w:tc>
                <w:tcPr>
                  <w:tcW w:w="450" w:type="pct"/>
                  <w:vAlign w:val="center"/>
                </w:tcPr>
                <w:p w14:paraId="46A181F3">
                  <w:pPr>
                    <w:pStyle w:val="8"/>
                    <w:spacing w:after="0"/>
                    <w:ind w:left="0" w:leftChars="0"/>
                    <w:jc w:val="center"/>
                    <w:rPr>
                      <w:color w:val="auto"/>
                      <w:sz w:val="21"/>
                      <w:szCs w:val="21"/>
                    </w:rPr>
                  </w:pPr>
                  <w:r>
                    <w:rPr>
                      <w:rFonts w:hint="eastAsia"/>
                      <w:color w:val="auto"/>
                      <w:sz w:val="21"/>
                      <w:szCs w:val="21"/>
                      <w:lang w:val="en-US" w:eastAsia="zh-CN"/>
                    </w:rPr>
                    <w:t>颗粒物</w:t>
                  </w:r>
                </w:p>
              </w:tc>
              <w:tc>
                <w:tcPr>
                  <w:tcW w:w="658" w:type="pct"/>
                  <w:shd w:val="clear" w:color="auto" w:fill="auto"/>
                  <w:vAlign w:val="center"/>
                </w:tcPr>
                <w:p w14:paraId="2FAD33C5">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107.5</w:t>
                  </w:r>
                </w:p>
              </w:tc>
              <w:tc>
                <w:tcPr>
                  <w:tcW w:w="594" w:type="pct"/>
                  <w:shd w:val="clear" w:color="auto" w:fill="auto"/>
                  <w:vAlign w:val="center"/>
                </w:tcPr>
                <w:p w14:paraId="628CA3FC">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2.15</w:t>
                  </w:r>
                </w:p>
              </w:tc>
              <w:tc>
                <w:tcPr>
                  <w:tcW w:w="491" w:type="pct"/>
                  <w:vAlign w:val="center"/>
                </w:tcPr>
                <w:p w14:paraId="29846137">
                  <w:pPr>
                    <w:jc w:val="center"/>
                    <w:rPr>
                      <w:color w:val="auto"/>
                      <w:szCs w:val="21"/>
                    </w:rPr>
                  </w:pPr>
                  <w:r>
                    <w:rPr>
                      <w:color w:val="auto"/>
                      <w:szCs w:val="21"/>
                    </w:rPr>
                    <w:t>0.5</w:t>
                  </w:r>
                </w:p>
              </w:tc>
              <w:tc>
                <w:tcPr>
                  <w:tcW w:w="350" w:type="pct"/>
                  <w:vAlign w:val="center"/>
                </w:tcPr>
                <w:p w14:paraId="2E6894EE">
                  <w:pPr>
                    <w:jc w:val="center"/>
                    <w:rPr>
                      <w:color w:val="auto"/>
                      <w:szCs w:val="21"/>
                    </w:rPr>
                  </w:pPr>
                  <w:r>
                    <w:rPr>
                      <w:color w:val="auto"/>
                      <w:szCs w:val="21"/>
                    </w:rPr>
                    <w:t>2</w:t>
                  </w:r>
                </w:p>
              </w:tc>
              <w:tc>
                <w:tcPr>
                  <w:tcW w:w="507" w:type="pct"/>
                  <w:shd w:val="clear" w:color="auto" w:fill="auto"/>
                  <w:vAlign w:val="center"/>
                </w:tcPr>
                <w:p w14:paraId="25EBB537">
                  <w:pPr>
                    <w:jc w:val="center"/>
                    <w:rPr>
                      <w:rFonts w:hint="default" w:ascii="Times New Roman" w:hAnsi="Times New Roman" w:eastAsia="宋体" w:cs="Times New Roman"/>
                      <w:i w:val="0"/>
                      <w:color w:val="auto"/>
                      <w:kern w:val="0"/>
                      <w:sz w:val="21"/>
                      <w:szCs w:val="21"/>
                      <w:u w:val="none"/>
                      <w:lang w:val="en-US" w:eastAsia="zh-CN" w:bidi="ar"/>
                    </w:rPr>
                  </w:pPr>
                  <w:r>
                    <w:rPr>
                      <w:rFonts w:hint="eastAsia" w:cs="Times New Roman"/>
                      <w:color w:val="auto"/>
                      <w:szCs w:val="21"/>
                      <w:lang w:val="en-US" w:eastAsia="zh-CN"/>
                    </w:rPr>
                    <w:t>2.15</w:t>
                  </w:r>
                </w:p>
              </w:tc>
              <w:tc>
                <w:tcPr>
                  <w:tcW w:w="882" w:type="pct"/>
                  <w:vAlign w:val="center"/>
                </w:tcPr>
                <w:p w14:paraId="6E20CE35">
                  <w:pPr>
                    <w:jc w:val="center"/>
                    <w:rPr>
                      <w:color w:val="auto"/>
                      <w:szCs w:val="21"/>
                    </w:rPr>
                  </w:pPr>
                  <w:r>
                    <w:rPr>
                      <w:rFonts w:hint="eastAsia"/>
                      <w:color w:val="auto"/>
                      <w:szCs w:val="20"/>
                      <w:highlight w:val="none"/>
                    </w:rPr>
                    <w:t>停机、关闭排口，喷雾洒水降尘</w:t>
                  </w:r>
                </w:p>
              </w:tc>
            </w:tr>
          </w:tbl>
          <w:p w14:paraId="4F290DDB">
            <w:pPr>
              <w:tabs>
                <w:tab w:val="left" w:pos="2851"/>
              </w:tabs>
              <w:adjustRightInd w:val="0"/>
              <w:snapToGrid w:val="0"/>
              <w:spacing w:line="360" w:lineRule="auto"/>
              <w:ind w:firstLine="442" w:firstLineChars="200"/>
              <w:rPr>
                <w:b/>
                <w:color w:val="auto"/>
                <w:spacing w:val="-10"/>
                <w:sz w:val="24"/>
              </w:rPr>
            </w:pPr>
            <w:r>
              <w:rPr>
                <w:b/>
                <w:color w:val="auto"/>
                <w:spacing w:val="-10"/>
                <w:sz w:val="24"/>
              </w:rPr>
              <w:t>2、废水</w:t>
            </w:r>
          </w:p>
          <w:p w14:paraId="54E8FE8F">
            <w:pPr>
              <w:snapToGrid w:val="0"/>
              <w:spacing w:line="360" w:lineRule="auto"/>
              <w:ind w:firstLine="480" w:firstLineChars="200"/>
              <w:rPr>
                <w:rFonts w:hint="default" w:ascii="Times New Roman" w:hAnsi="Times New Roman" w:eastAsia="宋体" w:cs="Times New Roman"/>
                <w:bCs/>
                <w:color w:val="auto"/>
                <w:kern w:val="0"/>
                <w:sz w:val="24"/>
                <w:lang w:val="en-US" w:eastAsia="zh-CN"/>
              </w:rPr>
            </w:pPr>
            <w:r>
              <w:rPr>
                <w:rFonts w:hint="eastAsia" w:ascii="Times New Roman" w:hAnsi="Times New Roman" w:eastAsia="宋体" w:cs="Times New Roman"/>
                <w:color w:val="auto"/>
                <w:kern w:val="2"/>
                <w:sz w:val="24"/>
                <w:szCs w:val="24"/>
                <w:lang w:val="en-US" w:eastAsia="zh-CN" w:bidi="ar-SA"/>
              </w:rPr>
              <w:t>本项目无新增人员，故无生活污水增加。全厂运输车辆、原料及产品数量不变，故无车辆冲洗用水增加。</w:t>
            </w:r>
          </w:p>
          <w:p w14:paraId="6DEF8BBB">
            <w:pPr>
              <w:tabs>
                <w:tab w:val="left" w:pos="2851"/>
              </w:tabs>
              <w:adjustRightInd w:val="0"/>
              <w:snapToGrid w:val="0"/>
              <w:spacing w:line="360" w:lineRule="auto"/>
              <w:ind w:firstLine="442" w:firstLineChars="200"/>
              <w:rPr>
                <w:b/>
                <w:color w:val="auto"/>
                <w:spacing w:val="-10"/>
                <w:sz w:val="24"/>
              </w:rPr>
            </w:pPr>
            <w:r>
              <w:rPr>
                <w:b/>
                <w:color w:val="auto"/>
                <w:spacing w:val="-10"/>
                <w:sz w:val="24"/>
              </w:rPr>
              <w:t>3、噪声</w:t>
            </w:r>
          </w:p>
          <w:p w14:paraId="5F8256E4">
            <w:pPr>
              <w:adjustRightInd w:val="0"/>
              <w:snapToGrid w:val="0"/>
              <w:spacing w:line="360" w:lineRule="auto"/>
              <w:ind w:firstLine="480" w:firstLineChars="200"/>
              <w:rPr>
                <w:bCs/>
                <w:color w:val="auto"/>
                <w:sz w:val="24"/>
              </w:rPr>
            </w:pPr>
            <w:r>
              <w:rPr>
                <w:bCs/>
                <w:color w:val="auto"/>
                <w:sz w:val="24"/>
              </w:rPr>
              <w:t>（1）噪声源强</w:t>
            </w:r>
          </w:p>
          <w:p w14:paraId="1B75F917">
            <w:pPr>
              <w:adjustRightInd w:val="0"/>
              <w:snapToGrid w:val="0"/>
              <w:spacing w:line="360" w:lineRule="auto"/>
              <w:ind w:firstLine="480" w:firstLineChars="200"/>
              <w:jc w:val="left"/>
              <w:rPr>
                <w:color w:val="auto"/>
              </w:rPr>
            </w:pPr>
            <w:r>
              <w:rPr>
                <w:color w:val="auto"/>
                <w:sz w:val="24"/>
              </w:rPr>
              <w:t>项目噪声主要是设备运转时产生的设备噪声，主要设备为</w:t>
            </w:r>
            <w:r>
              <w:rPr>
                <w:rFonts w:hint="eastAsia"/>
                <w:color w:val="auto"/>
                <w:sz w:val="24"/>
                <w:lang w:val="en-US" w:eastAsia="zh-CN"/>
              </w:rPr>
              <w:t>粗选筛分机</w:t>
            </w:r>
            <w:r>
              <w:rPr>
                <w:color w:val="auto"/>
                <w:sz w:val="24"/>
              </w:rPr>
              <w:t>、</w:t>
            </w:r>
            <w:r>
              <w:rPr>
                <w:rFonts w:hint="eastAsia"/>
                <w:color w:val="auto"/>
                <w:sz w:val="24"/>
                <w:lang w:val="en-US" w:eastAsia="zh-CN"/>
              </w:rPr>
              <w:t>无轴滚筛机</w:t>
            </w:r>
            <w:r>
              <w:rPr>
                <w:color w:val="auto"/>
                <w:sz w:val="24"/>
              </w:rPr>
              <w:t>、</w:t>
            </w:r>
            <w:r>
              <w:rPr>
                <w:rFonts w:hint="eastAsia"/>
                <w:color w:val="auto"/>
                <w:sz w:val="24"/>
                <w:lang w:val="en-US" w:eastAsia="zh-CN"/>
              </w:rPr>
              <w:t>高压风选机</w:t>
            </w:r>
            <w:r>
              <w:rPr>
                <w:color w:val="auto"/>
                <w:sz w:val="24"/>
              </w:rPr>
              <w:t>等，坐标原点</w:t>
            </w:r>
            <w:r>
              <w:rPr>
                <w:rFonts w:hint="eastAsia"/>
                <w:color w:val="auto"/>
                <w:sz w:val="24"/>
              </w:rPr>
              <w:t>为厂区西南角（东经108.76108646°，北纬34.17846207°）</w:t>
            </w:r>
            <w:r>
              <w:rPr>
                <w:color w:val="auto"/>
                <w:sz w:val="24"/>
              </w:rPr>
              <w:t>，</w:t>
            </w:r>
            <w:r>
              <w:rPr>
                <w:rFonts w:hint="eastAsia"/>
                <w:color w:val="auto"/>
                <w:sz w:val="24"/>
              </w:rPr>
              <w:t>主要</w:t>
            </w:r>
            <w:r>
              <w:rPr>
                <w:color w:val="auto"/>
                <w:sz w:val="24"/>
              </w:rPr>
              <w:t>生产设备噪声源强见下表。</w:t>
            </w:r>
          </w:p>
        </w:tc>
      </w:tr>
    </w:tbl>
    <w:p w14:paraId="5B7DBC63">
      <w:pPr>
        <w:adjustRightInd w:val="0"/>
        <w:snapToGrid w:val="0"/>
        <w:spacing w:line="360" w:lineRule="auto"/>
        <w:rPr>
          <w:rFonts w:ascii="宋体" w:cs="宋体"/>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2606"/>
      </w:tblGrid>
      <w:tr w14:paraId="73436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dxa"/>
          </w:tcPr>
          <w:p w14:paraId="2F1A1C52">
            <w:pPr>
              <w:adjustRightInd w:val="0"/>
              <w:snapToGrid w:val="0"/>
              <w:spacing w:line="360" w:lineRule="auto"/>
              <w:rPr>
                <w:rFonts w:hint="eastAsia"/>
                <w:bCs/>
                <w:color w:val="auto"/>
                <w:sz w:val="24"/>
                <w:vertAlign w:val="baseline"/>
              </w:rPr>
            </w:pPr>
          </w:p>
        </w:tc>
        <w:tc>
          <w:tcPr>
            <w:tcW w:w="12606" w:type="dxa"/>
          </w:tcPr>
          <w:p w14:paraId="51DEC885">
            <w:pPr>
              <w:adjustRightInd w:val="0"/>
              <w:snapToGrid w:val="0"/>
              <w:jc w:val="center"/>
              <w:rPr>
                <w:b/>
                <w:bCs/>
                <w:color w:val="auto"/>
                <w:sz w:val="24"/>
              </w:rPr>
            </w:pPr>
            <w:r>
              <w:rPr>
                <w:b/>
                <w:bCs/>
                <w:color w:val="auto"/>
                <w:sz w:val="24"/>
              </w:rPr>
              <w:t>表4-</w:t>
            </w:r>
            <w:r>
              <w:rPr>
                <w:rFonts w:hint="eastAsia"/>
                <w:b/>
                <w:bCs/>
                <w:color w:val="auto"/>
                <w:sz w:val="24"/>
                <w:lang w:val="en-US" w:eastAsia="zh-CN"/>
              </w:rPr>
              <w:t>8</w:t>
            </w:r>
            <w:r>
              <w:rPr>
                <w:b/>
                <w:bCs/>
                <w:color w:val="auto"/>
                <w:sz w:val="24"/>
              </w:rPr>
              <w:t xml:space="preserve">  </w:t>
            </w:r>
            <w:r>
              <w:rPr>
                <w:rFonts w:hint="eastAsia"/>
                <w:b/>
                <w:bCs/>
                <w:color w:val="auto"/>
                <w:sz w:val="24"/>
              </w:rPr>
              <w:t>本项目</w:t>
            </w:r>
            <w:r>
              <w:rPr>
                <w:b/>
                <w:bCs/>
                <w:color w:val="auto"/>
                <w:sz w:val="24"/>
              </w:rPr>
              <w:t>噪声源强调查清单</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15"/>
              <w:gridCol w:w="950"/>
              <w:gridCol w:w="650"/>
              <w:gridCol w:w="662"/>
              <w:gridCol w:w="663"/>
              <w:gridCol w:w="325"/>
              <w:gridCol w:w="487"/>
              <w:gridCol w:w="550"/>
              <w:gridCol w:w="488"/>
              <w:gridCol w:w="525"/>
              <w:gridCol w:w="525"/>
              <w:gridCol w:w="533"/>
              <w:gridCol w:w="570"/>
              <w:gridCol w:w="585"/>
              <w:gridCol w:w="612"/>
              <w:gridCol w:w="644"/>
              <w:gridCol w:w="545"/>
              <w:gridCol w:w="503"/>
              <w:gridCol w:w="484"/>
              <w:gridCol w:w="487"/>
              <w:gridCol w:w="380"/>
            </w:tblGrid>
            <w:tr w14:paraId="7D8D25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490" w:type="pct"/>
                  <w:vMerge w:val="restart"/>
                  <w:vAlign w:val="center"/>
                </w:tcPr>
                <w:p w14:paraId="5FA89A1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声源名称</w:t>
                  </w:r>
                </w:p>
              </w:tc>
              <w:tc>
                <w:tcPr>
                  <w:tcW w:w="383" w:type="pct"/>
                  <w:vMerge w:val="restart"/>
                  <w:shd w:val="clear" w:color="auto" w:fill="auto"/>
                  <w:vAlign w:val="center"/>
                </w:tcPr>
                <w:p w14:paraId="0E36C76D">
                  <w:pPr>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cs="Times New Roman"/>
                      <w:color w:val="auto"/>
                      <w:sz w:val="21"/>
                      <w:szCs w:val="21"/>
                    </w:rPr>
                    <w:t>声源源强dB（A）</w:t>
                  </w:r>
                </w:p>
              </w:tc>
              <w:tc>
                <w:tcPr>
                  <w:tcW w:w="262" w:type="pct"/>
                  <w:vMerge w:val="restart"/>
                  <w:shd w:val="clear" w:color="auto" w:fill="auto"/>
                  <w:vAlign w:val="center"/>
                </w:tcPr>
                <w:p w14:paraId="2E83D9DA">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cs="Times New Roman"/>
                      <w:color w:val="auto"/>
                      <w:sz w:val="21"/>
                      <w:szCs w:val="21"/>
                    </w:rPr>
                    <w:t>声源控制措施措施</w:t>
                  </w:r>
                </w:p>
              </w:tc>
              <w:tc>
                <w:tcPr>
                  <w:tcW w:w="666" w:type="pct"/>
                  <w:gridSpan w:val="3"/>
                  <w:vAlign w:val="center"/>
                </w:tcPr>
                <w:p w14:paraId="73CC3E09">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空间相对位置/m</w:t>
                  </w:r>
                </w:p>
              </w:tc>
              <w:tc>
                <w:tcPr>
                  <w:tcW w:w="827" w:type="pct"/>
                  <w:gridSpan w:val="4"/>
                  <w:vAlign w:val="center"/>
                </w:tcPr>
                <w:p w14:paraId="3940B12D">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距室内边界距离</w:t>
                  </w:r>
                  <w:r>
                    <w:rPr>
                      <w:rFonts w:hint="default" w:ascii="Times New Roman" w:hAnsi="Times New Roman" w:cs="Times New Roman"/>
                      <w:color w:val="auto"/>
                      <w:sz w:val="21"/>
                      <w:szCs w:val="21"/>
                    </w:rPr>
                    <w:t>/m</w:t>
                  </w:r>
                </w:p>
              </w:tc>
              <w:tc>
                <w:tcPr>
                  <w:tcW w:w="893" w:type="pct"/>
                  <w:gridSpan w:val="4"/>
                  <w:vAlign w:val="center"/>
                </w:tcPr>
                <w:p w14:paraId="78AAEC83">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cs="Times New Roman"/>
                      <w:b w:val="0"/>
                      <w:bCs w:val="0"/>
                      <w:color w:val="auto"/>
                      <w:sz w:val="21"/>
                      <w:szCs w:val="21"/>
                      <w:lang w:val="en-US" w:eastAsia="zh-CN"/>
                    </w:rPr>
                    <w:t>室内边界声级/dB（A）</w:t>
                  </w:r>
                </w:p>
              </w:tc>
              <w:tc>
                <w:tcPr>
                  <w:tcW w:w="247" w:type="pct"/>
                  <w:vMerge w:val="restart"/>
                  <w:vAlign w:val="center"/>
                </w:tcPr>
                <w:p w14:paraId="5215F9CF">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运行</w:t>
                  </w:r>
                </w:p>
                <w:p w14:paraId="3F7537B5">
                  <w:pPr>
                    <w:adjustRightInd w:val="0"/>
                    <w:snapToGrid w:val="0"/>
                    <w:jc w:val="center"/>
                    <w:rPr>
                      <w:rFonts w:hint="default" w:ascii="Times New Roman" w:hAnsi="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时段</w:t>
                  </w:r>
                </w:p>
              </w:tc>
              <w:tc>
                <w:tcPr>
                  <w:tcW w:w="260" w:type="pct"/>
                  <w:vMerge w:val="restart"/>
                  <w:vAlign w:val="center"/>
                </w:tcPr>
                <w:p w14:paraId="29A0D616">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建筑物插入损失/dB（A）</w:t>
                  </w:r>
                </w:p>
              </w:tc>
              <w:tc>
                <w:tcPr>
                  <w:tcW w:w="968" w:type="pct"/>
                  <w:gridSpan w:val="5"/>
                  <w:vAlign w:val="center"/>
                </w:tcPr>
                <w:p w14:paraId="0152374B">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建筑物外噪声</w:t>
                  </w:r>
                </w:p>
              </w:tc>
            </w:tr>
            <w:tr w14:paraId="46FBF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490" w:type="pct"/>
                  <w:vMerge w:val="continue"/>
                  <w:vAlign w:val="center"/>
                </w:tcPr>
                <w:p w14:paraId="6DFA5B81">
                  <w:pPr>
                    <w:adjustRightInd w:val="0"/>
                    <w:snapToGrid w:val="0"/>
                    <w:jc w:val="center"/>
                    <w:rPr>
                      <w:rFonts w:hint="default" w:ascii="Times New Roman" w:hAnsi="Times New Roman" w:eastAsia="Times New Roman" w:cs="Times New Roman"/>
                      <w:color w:val="auto"/>
                      <w:sz w:val="21"/>
                      <w:szCs w:val="21"/>
                      <w:lang w:val="zh-CN" w:bidi="zh-CN"/>
                    </w:rPr>
                  </w:pPr>
                </w:p>
              </w:tc>
              <w:tc>
                <w:tcPr>
                  <w:tcW w:w="383" w:type="pct"/>
                  <w:vMerge w:val="continue"/>
                  <w:shd w:val="clear" w:color="auto" w:fill="auto"/>
                  <w:vAlign w:val="center"/>
                </w:tcPr>
                <w:p w14:paraId="49B67B0B">
                  <w:pPr>
                    <w:jc w:val="center"/>
                    <w:rPr>
                      <w:rFonts w:hint="default" w:ascii="Times New Roman" w:hAnsi="Times New Roman" w:eastAsia="Times New Roman" w:cs="Times New Roman"/>
                      <w:b/>
                      <w:bCs/>
                      <w:color w:val="auto"/>
                      <w:kern w:val="2"/>
                      <w:sz w:val="21"/>
                      <w:szCs w:val="21"/>
                      <w:lang w:val="en-US" w:eastAsia="zh-CN" w:bidi="zh-CN"/>
                    </w:rPr>
                  </w:pPr>
                </w:p>
              </w:tc>
              <w:tc>
                <w:tcPr>
                  <w:tcW w:w="262" w:type="pct"/>
                  <w:vMerge w:val="continue"/>
                  <w:shd w:val="clear" w:color="auto" w:fill="auto"/>
                  <w:vAlign w:val="center"/>
                </w:tcPr>
                <w:p w14:paraId="0B4CE39D">
                  <w:pPr>
                    <w:adjustRightInd w:val="0"/>
                    <w:snapToGrid w:val="0"/>
                    <w:jc w:val="center"/>
                    <w:rPr>
                      <w:rFonts w:hint="default" w:ascii="Times New Roman" w:hAnsi="Times New Roman" w:eastAsia="Times New Roman" w:cs="Times New Roman"/>
                      <w:color w:val="auto"/>
                      <w:kern w:val="2"/>
                      <w:sz w:val="21"/>
                      <w:szCs w:val="21"/>
                      <w:lang w:val="en-US" w:eastAsia="zh-CN" w:bidi="zh-CN"/>
                    </w:rPr>
                  </w:pPr>
                </w:p>
              </w:tc>
              <w:tc>
                <w:tcPr>
                  <w:tcW w:w="267" w:type="pct"/>
                  <w:vMerge w:val="restart"/>
                  <w:vAlign w:val="center"/>
                </w:tcPr>
                <w:p w14:paraId="1F1D20F4">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X</w:t>
                  </w:r>
                </w:p>
              </w:tc>
              <w:tc>
                <w:tcPr>
                  <w:tcW w:w="267" w:type="pct"/>
                  <w:vMerge w:val="restart"/>
                  <w:vAlign w:val="center"/>
                </w:tcPr>
                <w:p w14:paraId="332627CB">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Y</w:t>
                  </w:r>
                </w:p>
              </w:tc>
              <w:tc>
                <w:tcPr>
                  <w:tcW w:w="131" w:type="pct"/>
                  <w:vMerge w:val="restart"/>
                  <w:vAlign w:val="center"/>
                </w:tcPr>
                <w:p w14:paraId="19338EAB">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Z</w:t>
                  </w:r>
                </w:p>
              </w:tc>
              <w:tc>
                <w:tcPr>
                  <w:tcW w:w="196" w:type="pct"/>
                  <w:vMerge w:val="restart"/>
                  <w:vAlign w:val="center"/>
                </w:tcPr>
                <w:p w14:paraId="64BDBF3A">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东</w:t>
                  </w:r>
                </w:p>
              </w:tc>
              <w:tc>
                <w:tcPr>
                  <w:tcW w:w="222" w:type="pct"/>
                  <w:vMerge w:val="restart"/>
                  <w:vAlign w:val="center"/>
                </w:tcPr>
                <w:p w14:paraId="53DC8F7F">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南</w:t>
                  </w:r>
                </w:p>
              </w:tc>
              <w:tc>
                <w:tcPr>
                  <w:tcW w:w="197" w:type="pct"/>
                  <w:vMerge w:val="restart"/>
                  <w:vAlign w:val="center"/>
                </w:tcPr>
                <w:p w14:paraId="3753DA94">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西</w:t>
                  </w:r>
                </w:p>
              </w:tc>
              <w:tc>
                <w:tcPr>
                  <w:tcW w:w="211" w:type="pct"/>
                  <w:vMerge w:val="restart"/>
                  <w:vAlign w:val="center"/>
                </w:tcPr>
                <w:p w14:paraId="01796273">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北</w:t>
                  </w:r>
                </w:p>
              </w:tc>
              <w:tc>
                <w:tcPr>
                  <w:tcW w:w="211" w:type="pct"/>
                  <w:vMerge w:val="restart"/>
                  <w:shd w:val="clear" w:color="auto" w:fill="auto"/>
                  <w:vAlign w:val="center"/>
                </w:tcPr>
                <w:p w14:paraId="17E5521D">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东</w:t>
                  </w:r>
                </w:p>
              </w:tc>
              <w:tc>
                <w:tcPr>
                  <w:tcW w:w="215" w:type="pct"/>
                  <w:vMerge w:val="restart"/>
                  <w:shd w:val="clear" w:color="auto" w:fill="auto"/>
                  <w:vAlign w:val="center"/>
                </w:tcPr>
                <w:p w14:paraId="650852E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南</w:t>
                  </w:r>
                </w:p>
              </w:tc>
              <w:tc>
                <w:tcPr>
                  <w:tcW w:w="230" w:type="pct"/>
                  <w:vMerge w:val="restart"/>
                  <w:shd w:val="clear" w:color="auto" w:fill="auto"/>
                  <w:vAlign w:val="center"/>
                </w:tcPr>
                <w:p w14:paraId="36F16F3E">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西</w:t>
                  </w:r>
                </w:p>
              </w:tc>
              <w:tc>
                <w:tcPr>
                  <w:tcW w:w="236" w:type="pct"/>
                  <w:vMerge w:val="restart"/>
                  <w:shd w:val="clear" w:color="auto" w:fill="auto"/>
                  <w:vAlign w:val="center"/>
                </w:tcPr>
                <w:p w14:paraId="64364405">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北</w:t>
                  </w:r>
                </w:p>
              </w:tc>
              <w:tc>
                <w:tcPr>
                  <w:tcW w:w="247" w:type="pct"/>
                  <w:vMerge w:val="continue"/>
                  <w:vAlign w:val="center"/>
                </w:tcPr>
                <w:p w14:paraId="74EE44A4">
                  <w:pPr>
                    <w:adjustRightInd w:val="0"/>
                    <w:snapToGrid w:val="0"/>
                    <w:jc w:val="center"/>
                    <w:rPr>
                      <w:rFonts w:hint="default" w:ascii="Times New Roman" w:hAnsi="Times New Roman" w:eastAsia="Times New Roman" w:cs="Times New Roman"/>
                      <w:color w:val="auto"/>
                      <w:sz w:val="21"/>
                      <w:szCs w:val="21"/>
                      <w:lang w:bidi="zh-CN"/>
                    </w:rPr>
                  </w:pPr>
                </w:p>
              </w:tc>
              <w:tc>
                <w:tcPr>
                  <w:tcW w:w="260" w:type="pct"/>
                  <w:vMerge w:val="continue"/>
                  <w:shd w:val="clear" w:color="auto" w:fill="auto"/>
                  <w:vAlign w:val="center"/>
                </w:tcPr>
                <w:p w14:paraId="7FE23A32">
                  <w:pPr>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815" w:type="pct"/>
                  <w:gridSpan w:val="4"/>
                  <w:shd w:val="clear" w:color="auto" w:fill="auto"/>
                  <w:vAlign w:val="center"/>
                </w:tcPr>
                <w:p w14:paraId="4CBD8D92">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声压级/dB（A）</w:t>
                  </w:r>
                </w:p>
              </w:tc>
              <w:tc>
                <w:tcPr>
                  <w:tcW w:w="153" w:type="pct"/>
                  <w:vMerge w:val="restart"/>
                  <w:shd w:val="clear" w:color="auto" w:fill="auto"/>
                  <w:vAlign w:val="center"/>
                </w:tcPr>
                <w:p w14:paraId="4F84061F">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建筑物外距离</w:t>
                  </w:r>
                </w:p>
              </w:tc>
            </w:tr>
            <w:tr w14:paraId="7C57A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490" w:type="pct"/>
                  <w:vMerge w:val="continue"/>
                  <w:vAlign w:val="center"/>
                </w:tcPr>
                <w:p w14:paraId="1F47D342">
                  <w:pPr>
                    <w:adjustRightInd w:val="0"/>
                    <w:snapToGrid w:val="0"/>
                    <w:jc w:val="center"/>
                    <w:rPr>
                      <w:rFonts w:hint="default" w:ascii="Times New Roman" w:hAnsi="Times New Roman" w:eastAsia="Times New Roman" w:cs="Times New Roman"/>
                      <w:color w:val="auto"/>
                      <w:sz w:val="21"/>
                      <w:szCs w:val="21"/>
                      <w:lang w:val="zh-CN" w:bidi="zh-CN"/>
                    </w:rPr>
                  </w:pPr>
                </w:p>
              </w:tc>
              <w:tc>
                <w:tcPr>
                  <w:tcW w:w="383" w:type="pct"/>
                  <w:vMerge w:val="continue"/>
                  <w:shd w:val="clear" w:color="auto" w:fill="auto"/>
                  <w:vAlign w:val="center"/>
                </w:tcPr>
                <w:p w14:paraId="620BE389">
                  <w:pPr>
                    <w:jc w:val="center"/>
                    <w:rPr>
                      <w:rFonts w:hint="default" w:ascii="Times New Roman" w:hAnsi="Times New Roman" w:eastAsia="Times New Roman" w:cs="Times New Roman"/>
                      <w:b/>
                      <w:bCs/>
                      <w:color w:val="auto"/>
                      <w:kern w:val="2"/>
                      <w:sz w:val="21"/>
                      <w:szCs w:val="21"/>
                      <w:lang w:val="en-US" w:eastAsia="zh-CN" w:bidi="zh-CN"/>
                    </w:rPr>
                  </w:pPr>
                </w:p>
              </w:tc>
              <w:tc>
                <w:tcPr>
                  <w:tcW w:w="262" w:type="pct"/>
                  <w:vMerge w:val="continue"/>
                  <w:shd w:val="clear" w:color="auto" w:fill="auto"/>
                  <w:vAlign w:val="center"/>
                </w:tcPr>
                <w:p w14:paraId="7ED70130">
                  <w:pPr>
                    <w:adjustRightInd w:val="0"/>
                    <w:snapToGrid w:val="0"/>
                    <w:jc w:val="center"/>
                    <w:rPr>
                      <w:rFonts w:hint="default" w:ascii="Times New Roman" w:hAnsi="Times New Roman" w:eastAsia="Times New Roman" w:cs="Times New Roman"/>
                      <w:color w:val="auto"/>
                      <w:kern w:val="2"/>
                      <w:sz w:val="21"/>
                      <w:szCs w:val="21"/>
                      <w:lang w:val="en-US" w:eastAsia="zh-CN" w:bidi="zh-CN"/>
                    </w:rPr>
                  </w:pPr>
                </w:p>
              </w:tc>
              <w:tc>
                <w:tcPr>
                  <w:tcW w:w="267" w:type="pct"/>
                  <w:vMerge w:val="continue"/>
                  <w:vAlign w:val="center"/>
                </w:tcPr>
                <w:p w14:paraId="45C4EFB5">
                  <w:pPr>
                    <w:adjustRightInd w:val="0"/>
                    <w:snapToGrid w:val="0"/>
                    <w:jc w:val="center"/>
                    <w:rPr>
                      <w:rFonts w:hint="default" w:ascii="Times New Roman" w:hAnsi="Times New Roman" w:eastAsia="Times New Roman" w:cs="Times New Roman"/>
                      <w:color w:val="auto"/>
                      <w:sz w:val="21"/>
                      <w:szCs w:val="21"/>
                      <w:lang w:bidi="zh-CN"/>
                    </w:rPr>
                  </w:pPr>
                </w:p>
              </w:tc>
              <w:tc>
                <w:tcPr>
                  <w:tcW w:w="267" w:type="pct"/>
                  <w:vMerge w:val="continue"/>
                  <w:vAlign w:val="center"/>
                </w:tcPr>
                <w:p w14:paraId="76EF63A2">
                  <w:pPr>
                    <w:adjustRightInd w:val="0"/>
                    <w:snapToGrid w:val="0"/>
                    <w:jc w:val="center"/>
                    <w:rPr>
                      <w:rFonts w:hint="default" w:ascii="Times New Roman" w:hAnsi="Times New Roman" w:eastAsia="Times New Roman" w:cs="Times New Roman"/>
                      <w:color w:val="auto"/>
                      <w:sz w:val="21"/>
                      <w:szCs w:val="21"/>
                      <w:lang w:bidi="zh-CN"/>
                    </w:rPr>
                  </w:pPr>
                </w:p>
              </w:tc>
              <w:tc>
                <w:tcPr>
                  <w:tcW w:w="131" w:type="pct"/>
                  <w:vMerge w:val="continue"/>
                  <w:vAlign w:val="center"/>
                </w:tcPr>
                <w:p w14:paraId="0C00DC1F">
                  <w:pPr>
                    <w:adjustRightInd w:val="0"/>
                    <w:snapToGrid w:val="0"/>
                    <w:jc w:val="center"/>
                    <w:rPr>
                      <w:rFonts w:hint="default" w:ascii="Times New Roman" w:hAnsi="Times New Roman" w:eastAsia="Times New Roman" w:cs="Times New Roman"/>
                      <w:color w:val="auto"/>
                      <w:sz w:val="21"/>
                      <w:szCs w:val="21"/>
                      <w:lang w:bidi="zh-CN"/>
                    </w:rPr>
                  </w:pPr>
                </w:p>
              </w:tc>
              <w:tc>
                <w:tcPr>
                  <w:tcW w:w="196" w:type="pct"/>
                  <w:vMerge w:val="continue"/>
                  <w:vAlign w:val="center"/>
                </w:tcPr>
                <w:p w14:paraId="48BEBA8B">
                  <w:pPr>
                    <w:adjustRightInd w:val="0"/>
                    <w:snapToGrid w:val="0"/>
                    <w:jc w:val="center"/>
                    <w:rPr>
                      <w:rFonts w:hint="default" w:ascii="Times New Roman" w:hAnsi="Times New Roman" w:eastAsia="Times New Roman" w:cs="Times New Roman"/>
                      <w:color w:val="auto"/>
                      <w:sz w:val="21"/>
                      <w:szCs w:val="21"/>
                      <w:lang w:bidi="zh-CN"/>
                    </w:rPr>
                  </w:pPr>
                </w:p>
              </w:tc>
              <w:tc>
                <w:tcPr>
                  <w:tcW w:w="222" w:type="pct"/>
                  <w:vMerge w:val="continue"/>
                  <w:vAlign w:val="center"/>
                </w:tcPr>
                <w:p w14:paraId="6A70E81E">
                  <w:pPr>
                    <w:adjustRightInd w:val="0"/>
                    <w:snapToGrid w:val="0"/>
                    <w:jc w:val="center"/>
                    <w:rPr>
                      <w:rFonts w:hint="default" w:ascii="Times New Roman" w:hAnsi="Times New Roman" w:eastAsia="Times New Roman" w:cs="Times New Roman"/>
                      <w:color w:val="auto"/>
                      <w:sz w:val="21"/>
                      <w:szCs w:val="21"/>
                      <w:lang w:bidi="zh-CN"/>
                    </w:rPr>
                  </w:pPr>
                </w:p>
              </w:tc>
              <w:tc>
                <w:tcPr>
                  <w:tcW w:w="197" w:type="pct"/>
                  <w:vMerge w:val="continue"/>
                  <w:vAlign w:val="center"/>
                </w:tcPr>
                <w:p w14:paraId="0C858F28">
                  <w:pPr>
                    <w:adjustRightInd w:val="0"/>
                    <w:snapToGrid w:val="0"/>
                    <w:jc w:val="center"/>
                    <w:rPr>
                      <w:rFonts w:hint="default" w:ascii="Times New Roman" w:hAnsi="Times New Roman" w:eastAsia="Times New Roman" w:cs="Times New Roman"/>
                      <w:color w:val="auto"/>
                      <w:sz w:val="21"/>
                      <w:szCs w:val="21"/>
                      <w:lang w:bidi="zh-CN"/>
                    </w:rPr>
                  </w:pPr>
                </w:p>
              </w:tc>
              <w:tc>
                <w:tcPr>
                  <w:tcW w:w="211" w:type="pct"/>
                  <w:vMerge w:val="continue"/>
                  <w:vAlign w:val="center"/>
                </w:tcPr>
                <w:p w14:paraId="116489E2">
                  <w:pPr>
                    <w:adjustRightInd w:val="0"/>
                    <w:snapToGrid w:val="0"/>
                    <w:jc w:val="center"/>
                    <w:rPr>
                      <w:rFonts w:hint="default" w:ascii="Times New Roman" w:hAnsi="Times New Roman" w:eastAsia="Times New Roman" w:cs="Times New Roman"/>
                      <w:color w:val="auto"/>
                      <w:sz w:val="21"/>
                      <w:szCs w:val="21"/>
                      <w:lang w:bidi="zh-CN"/>
                    </w:rPr>
                  </w:pPr>
                </w:p>
              </w:tc>
              <w:tc>
                <w:tcPr>
                  <w:tcW w:w="211" w:type="pct"/>
                  <w:vMerge w:val="continue"/>
                  <w:vAlign w:val="center"/>
                </w:tcPr>
                <w:p w14:paraId="7E9C0D53">
                  <w:pPr>
                    <w:adjustRightInd w:val="0"/>
                    <w:snapToGrid w:val="0"/>
                    <w:jc w:val="center"/>
                    <w:rPr>
                      <w:rFonts w:hint="default" w:ascii="Times New Roman" w:hAnsi="Times New Roman" w:eastAsia="Times New Roman" w:cs="Times New Roman"/>
                      <w:color w:val="auto"/>
                      <w:sz w:val="21"/>
                      <w:szCs w:val="21"/>
                      <w:lang w:bidi="zh-CN"/>
                    </w:rPr>
                  </w:pPr>
                </w:p>
              </w:tc>
              <w:tc>
                <w:tcPr>
                  <w:tcW w:w="215" w:type="pct"/>
                  <w:vMerge w:val="continue"/>
                  <w:vAlign w:val="center"/>
                </w:tcPr>
                <w:p w14:paraId="37DACE17">
                  <w:pPr>
                    <w:adjustRightInd w:val="0"/>
                    <w:snapToGrid w:val="0"/>
                    <w:jc w:val="center"/>
                    <w:rPr>
                      <w:rFonts w:hint="default" w:ascii="Times New Roman" w:hAnsi="Times New Roman" w:eastAsia="Times New Roman" w:cs="Times New Roman"/>
                      <w:color w:val="auto"/>
                      <w:sz w:val="21"/>
                      <w:szCs w:val="21"/>
                      <w:lang w:bidi="zh-CN"/>
                    </w:rPr>
                  </w:pPr>
                </w:p>
              </w:tc>
              <w:tc>
                <w:tcPr>
                  <w:tcW w:w="230" w:type="pct"/>
                  <w:vMerge w:val="continue"/>
                  <w:vAlign w:val="center"/>
                </w:tcPr>
                <w:p w14:paraId="6A45E7C7">
                  <w:pPr>
                    <w:adjustRightInd w:val="0"/>
                    <w:snapToGrid w:val="0"/>
                    <w:jc w:val="center"/>
                    <w:rPr>
                      <w:rFonts w:hint="default" w:ascii="Times New Roman" w:hAnsi="Times New Roman" w:eastAsia="Times New Roman" w:cs="Times New Roman"/>
                      <w:color w:val="auto"/>
                      <w:sz w:val="21"/>
                      <w:szCs w:val="21"/>
                      <w:lang w:bidi="zh-CN"/>
                    </w:rPr>
                  </w:pPr>
                </w:p>
              </w:tc>
              <w:tc>
                <w:tcPr>
                  <w:tcW w:w="236" w:type="pct"/>
                  <w:vMerge w:val="continue"/>
                  <w:vAlign w:val="center"/>
                </w:tcPr>
                <w:p w14:paraId="4A7309DE">
                  <w:pPr>
                    <w:adjustRightInd w:val="0"/>
                    <w:snapToGrid w:val="0"/>
                    <w:jc w:val="center"/>
                    <w:rPr>
                      <w:rFonts w:hint="default" w:ascii="Times New Roman" w:hAnsi="Times New Roman" w:eastAsia="Times New Roman" w:cs="Times New Roman"/>
                      <w:color w:val="auto"/>
                      <w:sz w:val="21"/>
                      <w:szCs w:val="21"/>
                      <w:lang w:bidi="zh-CN"/>
                    </w:rPr>
                  </w:pPr>
                </w:p>
              </w:tc>
              <w:tc>
                <w:tcPr>
                  <w:tcW w:w="247" w:type="pct"/>
                  <w:vMerge w:val="continue"/>
                  <w:vAlign w:val="center"/>
                </w:tcPr>
                <w:p w14:paraId="25653E41">
                  <w:pPr>
                    <w:adjustRightInd w:val="0"/>
                    <w:snapToGrid w:val="0"/>
                    <w:jc w:val="center"/>
                    <w:rPr>
                      <w:rFonts w:hint="default" w:ascii="Times New Roman" w:hAnsi="Times New Roman" w:eastAsia="Times New Roman" w:cs="Times New Roman"/>
                      <w:color w:val="auto"/>
                      <w:sz w:val="21"/>
                      <w:szCs w:val="21"/>
                      <w:lang w:bidi="zh-CN"/>
                    </w:rPr>
                  </w:pPr>
                </w:p>
              </w:tc>
              <w:tc>
                <w:tcPr>
                  <w:tcW w:w="260" w:type="pct"/>
                  <w:vMerge w:val="continue"/>
                  <w:shd w:val="clear" w:color="auto" w:fill="auto"/>
                  <w:vAlign w:val="center"/>
                </w:tcPr>
                <w:p w14:paraId="0915D97A">
                  <w:pPr>
                    <w:adjustRightInd w:val="0"/>
                    <w:snapToGrid w:val="0"/>
                    <w:jc w:val="center"/>
                    <w:rPr>
                      <w:rFonts w:hint="default" w:ascii="Times New Roman" w:hAnsi="Times New Roman" w:eastAsia="Times New Roman" w:cs="Times New Roman"/>
                      <w:color w:val="auto"/>
                      <w:sz w:val="21"/>
                      <w:szCs w:val="21"/>
                      <w:lang w:val="en-US" w:bidi="zh-CN"/>
                    </w:rPr>
                  </w:pPr>
                </w:p>
              </w:tc>
              <w:tc>
                <w:tcPr>
                  <w:tcW w:w="220" w:type="pct"/>
                  <w:shd w:val="clear" w:color="auto" w:fill="auto"/>
                  <w:vAlign w:val="center"/>
                </w:tcPr>
                <w:p w14:paraId="3B9DB50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东</w:t>
                  </w:r>
                </w:p>
              </w:tc>
              <w:tc>
                <w:tcPr>
                  <w:tcW w:w="203" w:type="pct"/>
                  <w:shd w:val="clear" w:color="auto" w:fill="auto"/>
                  <w:vAlign w:val="center"/>
                </w:tcPr>
                <w:p w14:paraId="54CDB30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南</w:t>
                  </w:r>
                </w:p>
              </w:tc>
              <w:tc>
                <w:tcPr>
                  <w:tcW w:w="195" w:type="pct"/>
                  <w:shd w:val="clear" w:color="auto" w:fill="auto"/>
                  <w:vAlign w:val="center"/>
                </w:tcPr>
                <w:p w14:paraId="0A16866C">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西</w:t>
                  </w:r>
                </w:p>
              </w:tc>
              <w:tc>
                <w:tcPr>
                  <w:tcW w:w="196" w:type="pct"/>
                  <w:shd w:val="clear" w:color="auto" w:fill="auto"/>
                  <w:vAlign w:val="center"/>
                </w:tcPr>
                <w:p w14:paraId="5AA96993">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北</w:t>
                  </w:r>
                </w:p>
              </w:tc>
              <w:tc>
                <w:tcPr>
                  <w:tcW w:w="153" w:type="pct"/>
                  <w:vMerge w:val="continue"/>
                  <w:vAlign w:val="center"/>
                </w:tcPr>
                <w:p w14:paraId="3C460560">
                  <w:pPr>
                    <w:adjustRightInd w:val="0"/>
                    <w:snapToGrid w:val="0"/>
                    <w:jc w:val="center"/>
                    <w:rPr>
                      <w:rFonts w:hint="default" w:ascii="Times New Roman" w:hAnsi="Times New Roman" w:eastAsia="Times New Roman" w:cs="Times New Roman"/>
                      <w:color w:val="auto"/>
                      <w:sz w:val="21"/>
                      <w:szCs w:val="21"/>
                      <w:lang w:bidi="zh-CN"/>
                    </w:rPr>
                  </w:pPr>
                </w:p>
              </w:tc>
            </w:tr>
            <w:tr w14:paraId="6B5F4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490" w:type="pct"/>
                  <w:shd w:val="clear" w:color="auto" w:fill="auto"/>
                  <w:vAlign w:val="center"/>
                </w:tcPr>
                <w:p w14:paraId="327C48A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粗选筛分机</w:t>
                  </w:r>
                </w:p>
              </w:tc>
              <w:tc>
                <w:tcPr>
                  <w:tcW w:w="383" w:type="pct"/>
                  <w:shd w:val="clear" w:color="auto" w:fill="auto"/>
                  <w:vAlign w:val="center"/>
                </w:tcPr>
                <w:p w14:paraId="33E679A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75</w:t>
                  </w:r>
                </w:p>
              </w:tc>
              <w:tc>
                <w:tcPr>
                  <w:tcW w:w="262" w:type="pct"/>
                  <w:vMerge w:val="restart"/>
                  <w:shd w:val="clear" w:color="auto" w:fill="auto"/>
                  <w:vAlign w:val="center"/>
                </w:tcPr>
                <w:p w14:paraId="41EC7D0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基础减振、厂房隔声</w:t>
                  </w:r>
                </w:p>
              </w:tc>
              <w:tc>
                <w:tcPr>
                  <w:tcW w:w="267" w:type="pct"/>
                  <w:vAlign w:val="bottom"/>
                </w:tcPr>
                <w:p w14:paraId="357B2CF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64.2</w:t>
                  </w:r>
                </w:p>
              </w:tc>
              <w:tc>
                <w:tcPr>
                  <w:tcW w:w="267" w:type="pct"/>
                  <w:vAlign w:val="bottom"/>
                </w:tcPr>
                <w:p w14:paraId="71B9ECD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139.84</w:t>
                  </w:r>
                </w:p>
              </w:tc>
              <w:tc>
                <w:tcPr>
                  <w:tcW w:w="131" w:type="pct"/>
                  <w:vAlign w:val="center"/>
                </w:tcPr>
                <w:p w14:paraId="7C8ECAC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087FCE0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6.94</w:t>
                  </w:r>
                </w:p>
              </w:tc>
              <w:tc>
                <w:tcPr>
                  <w:tcW w:w="222" w:type="pct"/>
                  <w:vAlign w:val="center"/>
                </w:tcPr>
                <w:p w14:paraId="6DBD377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12.46</w:t>
                  </w:r>
                </w:p>
              </w:tc>
              <w:tc>
                <w:tcPr>
                  <w:tcW w:w="197" w:type="pct"/>
                  <w:vAlign w:val="center"/>
                </w:tcPr>
                <w:p w14:paraId="3AF9557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33.78</w:t>
                  </w:r>
                </w:p>
              </w:tc>
              <w:tc>
                <w:tcPr>
                  <w:tcW w:w="211" w:type="pct"/>
                  <w:vAlign w:val="center"/>
                </w:tcPr>
                <w:p w14:paraId="2CDA034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2.99</w:t>
                  </w:r>
                </w:p>
              </w:tc>
              <w:tc>
                <w:tcPr>
                  <w:tcW w:w="211" w:type="pct"/>
                  <w:shd w:val="clear" w:color="auto" w:fill="auto"/>
                  <w:vAlign w:val="center"/>
                </w:tcPr>
                <w:p w14:paraId="6FC1C01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70.69</w:t>
                  </w:r>
                </w:p>
              </w:tc>
              <w:tc>
                <w:tcPr>
                  <w:tcW w:w="215" w:type="pct"/>
                  <w:shd w:val="clear" w:color="auto" w:fill="auto"/>
                  <w:vAlign w:val="center"/>
                </w:tcPr>
                <w:p w14:paraId="1D9205D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70.67</w:t>
                  </w:r>
                </w:p>
              </w:tc>
              <w:tc>
                <w:tcPr>
                  <w:tcW w:w="230" w:type="pct"/>
                  <w:shd w:val="clear" w:color="auto" w:fill="auto"/>
                  <w:vAlign w:val="center"/>
                </w:tcPr>
                <w:p w14:paraId="47AE641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70.67</w:t>
                  </w:r>
                </w:p>
              </w:tc>
              <w:tc>
                <w:tcPr>
                  <w:tcW w:w="236" w:type="pct"/>
                  <w:shd w:val="clear" w:color="auto" w:fill="auto"/>
                  <w:vAlign w:val="center"/>
                </w:tcPr>
                <w:p w14:paraId="47C7E0F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70.77</w:t>
                  </w:r>
                </w:p>
              </w:tc>
              <w:tc>
                <w:tcPr>
                  <w:tcW w:w="247" w:type="pct"/>
                  <w:vMerge w:val="restart"/>
                  <w:vAlign w:val="center"/>
                </w:tcPr>
                <w:p w14:paraId="3007D41C">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昼间、夜间</w:t>
                  </w:r>
                </w:p>
              </w:tc>
              <w:tc>
                <w:tcPr>
                  <w:tcW w:w="260" w:type="pct"/>
                  <w:vAlign w:val="center"/>
                </w:tcPr>
                <w:p w14:paraId="29C9E1A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7A1FEBE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44.69</w:t>
                  </w:r>
                </w:p>
              </w:tc>
              <w:tc>
                <w:tcPr>
                  <w:tcW w:w="203" w:type="pct"/>
                  <w:vAlign w:val="center"/>
                </w:tcPr>
                <w:p w14:paraId="7D7F012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44.67</w:t>
                  </w:r>
                </w:p>
              </w:tc>
              <w:tc>
                <w:tcPr>
                  <w:tcW w:w="195" w:type="pct"/>
                  <w:vAlign w:val="center"/>
                </w:tcPr>
                <w:p w14:paraId="2C32E1D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44.67</w:t>
                  </w:r>
                </w:p>
              </w:tc>
              <w:tc>
                <w:tcPr>
                  <w:tcW w:w="196" w:type="pct"/>
                  <w:vAlign w:val="center"/>
                </w:tcPr>
                <w:p w14:paraId="3A3891A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44.77</w:t>
                  </w:r>
                </w:p>
              </w:tc>
              <w:tc>
                <w:tcPr>
                  <w:tcW w:w="153" w:type="pct"/>
                  <w:vAlign w:val="center"/>
                </w:tcPr>
                <w:p w14:paraId="363D677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3E05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490" w:type="pct"/>
                  <w:shd w:val="clear" w:color="auto" w:fill="auto"/>
                  <w:vAlign w:val="center"/>
                </w:tcPr>
                <w:p w14:paraId="05F9269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粗选筛出料皮带</w:t>
                  </w:r>
                </w:p>
              </w:tc>
              <w:tc>
                <w:tcPr>
                  <w:tcW w:w="383" w:type="pct"/>
                  <w:shd w:val="clear" w:color="auto" w:fill="auto"/>
                  <w:vAlign w:val="center"/>
                </w:tcPr>
                <w:p w14:paraId="22BDF03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65</w:t>
                  </w:r>
                </w:p>
              </w:tc>
              <w:tc>
                <w:tcPr>
                  <w:tcW w:w="262" w:type="pct"/>
                  <w:vMerge w:val="continue"/>
                  <w:shd w:val="clear" w:color="auto" w:fill="auto"/>
                  <w:vAlign w:val="center"/>
                </w:tcPr>
                <w:p w14:paraId="5978C4B6">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65EE64F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59.39</w:t>
                  </w:r>
                </w:p>
              </w:tc>
              <w:tc>
                <w:tcPr>
                  <w:tcW w:w="267" w:type="pct"/>
                  <w:vAlign w:val="bottom"/>
                </w:tcPr>
                <w:p w14:paraId="60FE4C7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139.57</w:t>
                  </w:r>
                </w:p>
              </w:tc>
              <w:tc>
                <w:tcPr>
                  <w:tcW w:w="131" w:type="pct"/>
                  <w:vAlign w:val="center"/>
                </w:tcPr>
                <w:p w14:paraId="7DAC2111">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2A5163D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11.75</w:t>
                  </w:r>
                </w:p>
              </w:tc>
              <w:tc>
                <w:tcPr>
                  <w:tcW w:w="222" w:type="pct"/>
                  <w:vAlign w:val="center"/>
                </w:tcPr>
                <w:p w14:paraId="68F9DE7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12.14</w:t>
                  </w:r>
                </w:p>
              </w:tc>
              <w:tc>
                <w:tcPr>
                  <w:tcW w:w="197" w:type="pct"/>
                  <w:vAlign w:val="center"/>
                </w:tcPr>
                <w:p w14:paraId="76E7B39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28.97</w:t>
                  </w:r>
                </w:p>
              </w:tc>
              <w:tc>
                <w:tcPr>
                  <w:tcW w:w="211" w:type="pct"/>
                  <w:vAlign w:val="center"/>
                </w:tcPr>
                <w:p w14:paraId="2A0FD55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3.30</w:t>
                  </w:r>
                </w:p>
              </w:tc>
              <w:tc>
                <w:tcPr>
                  <w:tcW w:w="211" w:type="pct"/>
                  <w:vAlign w:val="center"/>
                </w:tcPr>
                <w:p w14:paraId="504EE9F4">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15" w:type="pct"/>
                  <w:vAlign w:val="center"/>
                </w:tcPr>
                <w:p w14:paraId="1CA2F12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0" w:type="pct"/>
                  <w:vAlign w:val="center"/>
                </w:tcPr>
                <w:p w14:paraId="1860826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6" w:type="pct"/>
                  <w:vAlign w:val="center"/>
                </w:tcPr>
                <w:p w14:paraId="7350E574">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60.75</w:t>
                  </w:r>
                </w:p>
              </w:tc>
              <w:tc>
                <w:tcPr>
                  <w:tcW w:w="247" w:type="pct"/>
                  <w:vMerge w:val="continue"/>
                  <w:vAlign w:val="center"/>
                </w:tcPr>
                <w:p w14:paraId="39EB2D47">
                  <w:pPr>
                    <w:jc w:val="center"/>
                    <w:rPr>
                      <w:rFonts w:hint="default" w:ascii="Times New Roman" w:hAnsi="Times New Roman" w:eastAsia="宋体" w:cs="Times New Roman"/>
                      <w:color w:val="auto"/>
                      <w:sz w:val="21"/>
                      <w:szCs w:val="21"/>
                      <w:lang w:val="en-US" w:eastAsia="zh-CN"/>
                    </w:rPr>
                  </w:pPr>
                </w:p>
              </w:tc>
              <w:tc>
                <w:tcPr>
                  <w:tcW w:w="260" w:type="pct"/>
                  <w:vAlign w:val="center"/>
                </w:tcPr>
                <w:p w14:paraId="2FD574B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0500C03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203" w:type="pct"/>
                  <w:vAlign w:val="center"/>
                </w:tcPr>
                <w:p w14:paraId="18AF494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5" w:type="pct"/>
                  <w:vAlign w:val="center"/>
                </w:tcPr>
                <w:p w14:paraId="6F8B87E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6" w:type="pct"/>
                  <w:vAlign w:val="center"/>
                </w:tcPr>
                <w:p w14:paraId="7F2D5C6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34.75</w:t>
                  </w:r>
                </w:p>
              </w:tc>
              <w:tc>
                <w:tcPr>
                  <w:tcW w:w="153" w:type="pct"/>
                  <w:vAlign w:val="center"/>
                </w:tcPr>
                <w:p w14:paraId="561F6462">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10E8D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490" w:type="pct"/>
                  <w:shd w:val="clear" w:color="auto" w:fill="auto"/>
                  <w:vAlign w:val="center"/>
                </w:tcPr>
                <w:p w14:paraId="1772383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滚筛机</w:t>
                  </w:r>
                </w:p>
              </w:tc>
              <w:tc>
                <w:tcPr>
                  <w:tcW w:w="383" w:type="pct"/>
                  <w:shd w:val="clear" w:color="auto" w:fill="auto"/>
                  <w:vAlign w:val="center"/>
                </w:tcPr>
                <w:p w14:paraId="629747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80</w:t>
                  </w:r>
                </w:p>
              </w:tc>
              <w:tc>
                <w:tcPr>
                  <w:tcW w:w="262" w:type="pct"/>
                  <w:vMerge w:val="continue"/>
                  <w:shd w:val="clear" w:color="auto" w:fill="auto"/>
                  <w:vAlign w:val="center"/>
                </w:tcPr>
                <w:p w14:paraId="47BD9AD2">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38978B4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54.72</w:t>
                  </w:r>
                </w:p>
              </w:tc>
              <w:tc>
                <w:tcPr>
                  <w:tcW w:w="267" w:type="pct"/>
                  <w:vAlign w:val="bottom"/>
                </w:tcPr>
                <w:p w14:paraId="05D7644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139.67</w:t>
                  </w:r>
                </w:p>
              </w:tc>
              <w:tc>
                <w:tcPr>
                  <w:tcW w:w="131" w:type="pct"/>
                  <w:vAlign w:val="center"/>
                </w:tcPr>
                <w:p w14:paraId="62F27B1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3DFEF17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16.42</w:t>
                  </w:r>
                </w:p>
              </w:tc>
              <w:tc>
                <w:tcPr>
                  <w:tcW w:w="222" w:type="pct"/>
                  <w:vAlign w:val="center"/>
                </w:tcPr>
                <w:p w14:paraId="34391BD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12.20</w:t>
                  </w:r>
                </w:p>
              </w:tc>
              <w:tc>
                <w:tcPr>
                  <w:tcW w:w="197" w:type="pct"/>
                  <w:vAlign w:val="center"/>
                </w:tcPr>
                <w:p w14:paraId="1960F70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24.30</w:t>
                  </w:r>
                </w:p>
              </w:tc>
              <w:tc>
                <w:tcPr>
                  <w:tcW w:w="211" w:type="pct"/>
                  <w:vAlign w:val="center"/>
                </w:tcPr>
                <w:p w14:paraId="1F767B8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3.24</w:t>
                  </w:r>
                </w:p>
              </w:tc>
              <w:tc>
                <w:tcPr>
                  <w:tcW w:w="211" w:type="pct"/>
                  <w:vAlign w:val="center"/>
                </w:tcPr>
                <w:p w14:paraId="40CEE02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15" w:type="pct"/>
                  <w:vAlign w:val="center"/>
                </w:tcPr>
                <w:p w14:paraId="5215EA6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0" w:type="pct"/>
                  <w:vAlign w:val="center"/>
                </w:tcPr>
                <w:p w14:paraId="12DC23D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6" w:type="pct"/>
                  <w:vAlign w:val="center"/>
                </w:tcPr>
                <w:p w14:paraId="57A83C1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75.75</w:t>
                  </w:r>
                </w:p>
              </w:tc>
              <w:tc>
                <w:tcPr>
                  <w:tcW w:w="247" w:type="pct"/>
                  <w:vMerge w:val="continue"/>
                  <w:vAlign w:val="center"/>
                </w:tcPr>
                <w:p w14:paraId="393A5596">
                  <w:pPr>
                    <w:jc w:val="center"/>
                    <w:rPr>
                      <w:rFonts w:hint="default" w:ascii="Times New Roman" w:hAnsi="Times New Roman" w:eastAsia="宋体" w:cs="Times New Roman"/>
                      <w:color w:val="auto"/>
                      <w:sz w:val="21"/>
                      <w:szCs w:val="21"/>
                      <w:lang w:val="en-US" w:eastAsia="zh-CN"/>
                    </w:rPr>
                  </w:pPr>
                </w:p>
              </w:tc>
              <w:tc>
                <w:tcPr>
                  <w:tcW w:w="260" w:type="pct"/>
                  <w:vAlign w:val="center"/>
                </w:tcPr>
                <w:p w14:paraId="64F4CE43">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3785306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203" w:type="pct"/>
                  <w:vAlign w:val="center"/>
                </w:tcPr>
                <w:p w14:paraId="2C43002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5" w:type="pct"/>
                  <w:vAlign w:val="center"/>
                </w:tcPr>
                <w:p w14:paraId="06A9D07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6" w:type="pct"/>
                  <w:vAlign w:val="center"/>
                </w:tcPr>
                <w:p w14:paraId="24291C6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49.75</w:t>
                  </w:r>
                </w:p>
              </w:tc>
              <w:tc>
                <w:tcPr>
                  <w:tcW w:w="153" w:type="pct"/>
                  <w:vAlign w:val="center"/>
                </w:tcPr>
                <w:p w14:paraId="1F1CA941">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2ED7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490" w:type="pct"/>
                  <w:shd w:val="clear" w:color="auto" w:fill="auto"/>
                  <w:vAlign w:val="center"/>
                </w:tcPr>
                <w:p w14:paraId="3CC6FF9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进风选机皮带机</w:t>
                  </w:r>
                </w:p>
              </w:tc>
              <w:tc>
                <w:tcPr>
                  <w:tcW w:w="383" w:type="pct"/>
                  <w:shd w:val="clear" w:color="auto" w:fill="auto"/>
                  <w:vAlign w:val="center"/>
                </w:tcPr>
                <w:p w14:paraId="3DD78AB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65</w:t>
                  </w:r>
                </w:p>
              </w:tc>
              <w:tc>
                <w:tcPr>
                  <w:tcW w:w="262" w:type="pct"/>
                  <w:vMerge w:val="continue"/>
                  <w:shd w:val="clear" w:color="auto" w:fill="auto"/>
                  <w:vAlign w:val="center"/>
                </w:tcPr>
                <w:p w14:paraId="5F18282D">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3DB2E99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49.78</w:t>
                  </w:r>
                </w:p>
              </w:tc>
              <w:tc>
                <w:tcPr>
                  <w:tcW w:w="267" w:type="pct"/>
                  <w:vAlign w:val="bottom"/>
                </w:tcPr>
                <w:p w14:paraId="1835E08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139.43</w:t>
                  </w:r>
                </w:p>
              </w:tc>
              <w:tc>
                <w:tcPr>
                  <w:tcW w:w="131" w:type="pct"/>
                  <w:vAlign w:val="center"/>
                </w:tcPr>
                <w:p w14:paraId="19D74E3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0EE9635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21.36</w:t>
                  </w:r>
                </w:p>
              </w:tc>
              <w:tc>
                <w:tcPr>
                  <w:tcW w:w="222" w:type="pct"/>
                  <w:vAlign w:val="center"/>
                </w:tcPr>
                <w:p w14:paraId="2CF09D4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11.91</w:t>
                  </w:r>
                </w:p>
              </w:tc>
              <w:tc>
                <w:tcPr>
                  <w:tcW w:w="197" w:type="pct"/>
                  <w:vAlign w:val="center"/>
                </w:tcPr>
                <w:p w14:paraId="137D6A2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19.36</w:t>
                  </w:r>
                </w:p>
              </w:tc>
              <w:tc>
                <w:tcPr>
                  <w:tcW w:w="211" w:type="pct"/>
                  <w:vAlign w:val="center"/>
                </w:tcPr>
                <w:p w14:paraId="6042EDD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3.53</w:t>
                  </w:r>
                </w:p>
              </w:tc>
              <w:tc>
                <w:tcPr>
                  <w:tcW w:w="211" w:type="pct"/>
                  <w:vAlign w:val="center"/>
                </w:tcPr>
                <w:p w14:paraId="029A5B4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15" w:type="pct"/>
                  <w:vAlign w:val="center"/>
                </w:tcPr>
                <w:p w14:paraId="62FA879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0" w:type="pct"/>
                  <w:vAlign w:val="center"/>
                </w:tcPr>
                <w:p w14:paraId="6FBEECB7">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60.67</w:t>
                  </w:r>
                </w:p>
              </w:tc>
              <w:tc>
                <w:tcPr>
                  <w:tcW w:w="236" w:type="pct"/>
                  <w:vAlign w:val="center"/>
                </w:tcPr>
                <w:p w14:paraId="3718233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60.74</w:t>
                  </w:r>
                </w:p>
              </w:tc>
              <w:tc>
                <w:tcPr>
                  <w:tcW w:w="247" w:type="pct"/>
                  <w:vMerge w:val="continue"/>
                  <w:vAlign w:val="center"/>
                </w:tcPr>
                <w:p w14:paraId="5945EF81">
                  <w:pPr>
                    <w:jc w:val="center"/>
                    <w:rPr>
                      <w:rFonts w:hint="default" w:ascii="Times New Roman" w:hAnsi="Times New Roman" w:eastAsia="宋体" w:cs="Times New Roman"/>
                      <w:color w:val="auto"/>
                      <w:sz w:val="21"/>
                      <w:szCs w:val="21"/>
                      <w:lang w:val="en-US" w:eastAsia="zh-CN"/>
                    </w:rPr>
                  </w:pPr>
                </w:p>
              </w:tc>
              <w:tc>
                <w:tcPr>
                  <w:tcW w:w="260" w:type="pct"/>
                  <w:vAlign w:val="center"/>
                </w:tcPr>
                <w:p w14:paraId="49125E15">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653B230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203" w:type="pct"/>
                  <w:vAlign w:val="center"/>
                </w:tcPr>
                <w:p w14:paraId="6219E3BC">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5" w:type="pct"/>
                  <w:vAlign w:val="center"/>
                </w:tcPr>
                <w:p w14:paraId="02BF6CB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34.67</w:t>
                  </w:r>
                </w:p>
              </w:tc>
              <w:tc>
                <w:tcPr>
                  <w:tcW w:w="196" w:type="pct"/>
                  <w:vAlign w:val="center"/>
                </w:tcPr>
                <w:p w14:paraId="12BE371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34.74</w:t>
                  </w:r>
                </w:p>
              </w:tc>
              <w:tc>
                <w:tcPr>
                  <w:tcW w:w="153" w:type="pct"/>
                  <w:vAlign w:val="center"/>
                </w:tcPr>
                <w:p w14:paraId="544D77A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0729B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490" w:type="pct"/>
                  <w:shd w:val="clear" w:color="auto" w:fill="auto"/>
                  <w:vAlign w:val="center"/>
                </w:tcPr>
                <w:p w14:paraId="0FFCAB0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除铁器</w:t>
                  </w:r>
                </w:p>
              </w:tc>
              <w:tc>
                <w:tcPr>
                  <w:tcW w:w="383" w:type="pct"/>
                  <w:shd w:val="clear" w:color="auto" w:fill="auto"/>
                  <w:vAlign w:val="center"/>
                </w:tcPr>
                <w:p w14:paraId="3B05D0A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85</w:t>
                  </w:r>
                </w:p>
              </w:tc>
              <w:tc>
                <w:tcPr>
                  <w:tcW w:w="262" w:type="pct"/>
                  <w:vMerge w:val="continue"/>
                  <w:shd w:val="clear" w:color="auto" w:fill="auto"/>
                  <w:vAlign w:val="center"/>
                </w:tcPr>
                <w:p w14:paraId="33D15DE3">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52A2FAA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45.34</w:t>
                  </w:r>
                </w:p>
              </w:tc>
              <w:tc>
                <w:tcPr>
                  <w:tcW w:w="267" w:type="pct"/>
                  <w:vAlign w:val="bottom"/>
                </w:tcPr>
                <w:p w14:paraId="2CC8B42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139.18</w:t>
                  </w:r>
                </w:p>
              </w:tc>
              <w:tc>
                <w:tcPr>
                  <w:tcW w:w="131" w:type="pct"/>
                  <w:vAlign w:val="center"/>
                </w:tcPr>
                <w:p w14:paraId="68404BD7">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59F352E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25.80</w:t>
                  </w:r>
                </w:p>
              </w:tc>
              <w:tc>
                <w:tcPr>
                  <w:tcW w:w="222" w:type="pct"/>
                  <w:vAlign w:val="center"/>
                </w:tcPr>
                <w:p w14:paraId="01D8764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11.62</w:t>
                  </w:r>
                </w:p>
              </w:tc>
              <w:tc>
                <w:tcPr>
                  <w:tcW w:w="197" w:type="pct"/>
                  <w:vAlign w:val="center"/>
                </w:tcPr>
                <w:p w14:paraId="2F544C5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14.91</w:t>
                  </w:r>
                </w:p>
              </w:tc>
              <w:tc>
                <w:tcPr>
                  <w:tcW w:w="211" w:type="pct"/>
                  <w:vAlign w:val="center"/>
                </w:tcPr>
                <w:p w14:paraId="03734EB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3.82</w:t>
                  </w:r>
                </w:p>
              </w:tc>
              <w:tc>
                <w:tcPr>
                  <w:tcW w:w="211" w:type="pct"/>
                  <w:vAlign w:val="center"/>
                </w:tcPr>
                <w:p w14:paraId="5BAD0488">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80.67</w:t>
                  </w:r>
                </w:p>
              </w:tc>
              <w:tc>
                <w:tcPr>
                  <w:tcW w:w="215" w:type="pct"/>
                  <w:vAlign w:val="center"/>
                </w:tcPr>
                <w:p w14:paraId="7199DBE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80.67</w:t>
                  </w:r>
                </w:p>
              </w:tc>
              <w:tc>
                <w:tcPr>
                  <w:tcW w:w="230" w:type="pct"/>
                  <w:vAlign w:val="center"/>
                </w:tcPr>
                <w:p w14:paraId="7E23226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80.67</w:t>
                  </w:r>
                </w:p>
              </w:tc>
              <w:tc>
                <w:tcPr>
                  <w:tcW w:w="236" w:type="pct"/>
                  <w:vAlign w:val="center"/>
                </w:tcPr>
                <w:p w14:paraId="4A0D92C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80.73</w:t>
                  </w:r>
                </w:p>
              </w:tc>
              <w:tc>
                <w:tcPr>
                  <w:tcW w:w="247" w:type="pct"/>
                  <w:vMerge w:val="continue"/>
                  <w:vAlign w:val="center"/>
                </w:tcPr>
                <w:p w14:paraId="6A62D88B">
                  <w:pPr>
                    <w:jc w:val="center"/>
                    <w:rPr>
                      <w:rFonts w:hint="default" w:ascii="Times New Roman" w:hAnsi="Times New Roman" w:eastAsia="宋体" w:cs="Times New Roman"/>
                      <w:color w:val="auto"/>
                      <w:sz w:val="21"/>
                      <w:szCs w:val="21"/>
                      <w:lang w:val="en-US" w:eastAsia="zh-CN"/>
                    </w:rPr>
                  </w:pPr>
                </w:p>
              </w:tc>
              <w:tc>
                <w:tcPr>
                  <w:tcW w:w="260" w:type="pct"/>
                  <w:vAlign w:val="center"/>
                </w:tcPr>
                <w:p w14:paraId="0A7D6E5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00EB625C">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54.67</w:t>
                  </w:r>
                </w:p>
              </w:tc>
              <w:tc>
                <w:tcPr>
                  <w:tcW w:w="203" w:type="pct"/>
                  <w:vAlign w:val="center"/>
                </w:tcPr>
                <w:p w14:paraId="115CD13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54.67</w:t>
                  </w:r>
                </w:p>
              </w:tc>
              <w:tc>
                <w:tcPr>
                  <w:tcW w:w="195" w:type="pct"/>
                  <w:vAlign w:val="center"/>
                </w:tcPr>
                <w:p w14:paraId="2F72C5C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54.67</w:t>
                  </w:r>
                </w:p>
              </w:tc>
              <w:tc>
                <w:tcPr>
                  <w:tcW w:w="196" w:type="pct"/>
                  <w:vAlign w:val="center"/>
                </w:tcPr>
                <w:p w14:paraId="60ABB65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54.73</w:t>
                  </w:r>
                </w:p>
              </w:tc>
              <w:tc>
                <w:tcPr>
                  <w:tcW w:w="153" w:type="pct"/>
                  <w:vAlign w:val="center"/>
                </w:tcPr>
                <w:p w14:paraId="2CA1EB7F">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6AD6A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490" w:type="pct"/>
                  <w:shd w:val="clear" w:color="auto" w:fill="auto"/>
                  <w:vAlign w:val="center"/>
                </w:tcPr>
                <w:p w14:paraId="4FD7CFB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风选机</w:t>
                  </w:r>
                </w:p>
              </w:tc>
              <w:tc>
                <w:tcPr>
                  <w:tcW w:w="383" w:type="pct"/>
                  <w:shd w:val="clear" w:color="auto" w:fill="auto"/>
                  <w:vAlign w:val="center"/>
                </w:tcPr>
                <w:p w14:paraId="573B09A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80</w:t>
                  </w:r>
                </w:p>
              </w:tc>
              <w:tc>
                <w:tcPr>
                  <w:tcW w:w="262" w:type="pct"/>
                  <w:vMerge w:val="continue"/>
                  <w:shd w:val="clear" w:color="auto" w:fill="auto"/>
                  <w:vAlign w:val="center"/>
                </w:tcPr>
                <w:p w14:paraId="0445AF02">
                  <w:pPr>
                    <w:jc w:val="center"/>
                    <w:rPr>
                      <w:rFonts w:hint="default" w:ascii="Times New Roman" w:hAnsi="Times New Roman" w:eastAsia="宋体" w:cs="Times New Roman"/>
                      <w:color w:val="auto"/>
                      <w:kern w:val="2"/>
                      <w:sz w:val="21"/>
                      <w:szCs w:val="21"/>
                      <w:lang w:val="en-US" w:eastAsia="zh-CN" w:bidi="ar-SA"/>
                    </w:rPr>
                  </w:pPr>
                </w:p>
              </w:tc>
              <w:tc>
                <w:tcPr>
                  <w:tcW w:w="267" w:type="pct"/>
                  <w:vAlign w:val="bottom"/>
                </w:tcPr>
                <w:p w14:paraId="6619A7C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41.15</w:t>
                  </w:r>
                </w:p>
              </w:tc>
              <w:tc>
                <w:tcPr>
                  <w:tcW w:w="267" w:type="pct"/>
                  <w:vAlign w:val="bottom"/>
                </w:tcPr>
                <w:p w14:paraId="491F031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139.18</w:t>
                  </w:r>
                </w:p>
              </w:tc>
              <w:tc>
                <w:tcPr>
                  <w:tcW w:w="131" w:type="pct"/>
                  <w:vAlign w:val="center"/>
                </w:tcPr>
                <w:p w14:paraId="2ACD885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96" w:type="pct"/>
                  <w:vAlign w:val="center"/>
                </w:tcPr>
                <w:p w14:paraId="25BCF05F">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29.99</w:t>
                  </w:r>
                </w:p>
              </w:tc>
              <w:tc>
                <w:tcPr>
                  <w:tcW w:w="222" w:type="pct"/>
                  <w:vAlign w:val="center"/>
                </w:tcPr>
                <w:p w14:paraId="267CC38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11.59</w:t>
                  </w:r>
                </w:p>
              </w:tc>
              <w:tc>
                <w:tcPr>
                  <w:tcW w:w="197" w:type="pct"/>
                  <w:vAlign w:val="center"/>
                </w:tcPr>
                <w:p w14:paraId="0B16F227">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10.72</w:t>
                  </w:r>
                </w:p>
              </w:tc>
              <w:tc>
                <w:tcPr>
                  <w:tcW w:w="211" w:type="pct"/>
                  <w:vAlign w:val="center"/>
                </w:tcPr>
                <w:p w14:paraId="6E721201">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3.85</w:t>
                  </w:r>
                </w:p>
              </w:tc>
              <w:tc>
                <w:tcPr>
                  <w:tcW w:w="211" w:type="pct"/>
                  <w:vAlign w:val="center"/>
                </w:tcPr>
                <w:p w14:paraId="5B1097C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15" w:type="pct"/>
                  <w:vAlign w:val="center"/>
                </w:tcPr>
                <w:p w14:paraId="537944F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0" w:type="pct"/>
                  <w:vAlign w:val="center"/>
                </w:tcPr>
                <w:p w14:paraId="4CDA371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75.67</w:t>
                  </w:r>
                </w:p>
              </w:tc>
              <w:tc>
                <w:tcPr>
                  <w:tcW w:w="236" w:type="pct"/>
                  <w:vAlign w:val="center"/>
                </w:tcPr>
                <w:p w14:paraId="303B7A8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75.73</w:t>
                  </w:r>
                </w:p>
              </w:tc>
              <w:tc>
                <w:tcPr>
                  <w:tcW w:w="247" w:type="pct"/>
                  <w:vMerge w:val="continue"/>
                  <w:vAlign w:val="center"/>
                </w:tcPr>
                <w:p w14:paraId="39720636">
                  <w:pPr>
                    <w:jc w:val="center"/>
                    <w:rPr>
                      <w:rFonts w:hint="default" w:ascii="Times New Roman" w:hAnsi="Times New Roman" w:eastAsia="宋体" w:cs="Times New Roman"/>
                      <w:color w:val="auto"/>
                      <w:sz w:val="21"/>
                      <w:szCs w:val="21"/>
                      <w:lang w:val="en-US" w:eastAsia="zh-CN"/>
                    </w:rPr>
                  </w:pPr>
                </w:p>
              </w:tc>
              <w:tc>
                <w:tcPr>
                  <w:tcW w:w="260" w:type="pct"/>
                  <w:vAlign w:val="center"/>
                </w:tcPr>
                <w:p w14:paraId="65252479">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20" w:type="pct"/>
                  <w:vAlign w:val="center"/>
                </w:tcPr>
                <w:p w14:paraId="7D4F95A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203" w:type="pct"/>
                  <w:vAlign w:val="center"/>
                </w:tcPr>
                <w:p w14:paraId="7D92734A">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5" w:type="pct"/>
                  <w:vAlign w:val="center"/>
                </w:tcPr>
                <w:p w14:paraId="56391AC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49.67</w:t>
                  </w:r>
                </w:p>
              </w:tc>
              <w:tc>
                <w:tcPr>
                  <w:tcW w:w="196" w:type="pct"/>
                  <w:vAlign w:val="center"/>
                </w:tcPr>
                <w:p w14:paraId="75A2347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49.73</w:t>
                  </w:r>
                </w:p>
              </w:tc>
              <w:tc>
                <w:tcPr>
                  <w:tcW w:w="153" w:type="pct"/>
                  <w:vAlign w:val="center"/>
                </w:tcPr>
                <w:p w14:paraId="4880114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07C1F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490" w:type="pct"/>
                  <w:shd w:val="clear" w:color="auto" w:fill="auto"/>
                  <w:vAlign w:val="center"/>
                </w:tcPr>
                <w:p w14:paraId="11857CFF">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风机</w:t>
                  </w:r>
                </w:p>
              </w:tc>
              <w:tc>
                <w:tcPr>
                  <w:tcW w:w="383" w:type="pct"/>
                  <w:shd w:val="clear" w:color="auto" w:fill="auto"/>
                  <w:vAlign w:val="center"/>
                </w:tcPr>
                <w:p w14:paraId="1E882FC8">
                  <w:pPr>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85</w:t>
                  </w:r>
                </w:p>
              </w:tc>
              <w:tc>
                <w:tcPr>
                  <w:tcW w:w="262" w:type="pct"/>
                  <w:vMerge w:val="continue"/>
                  <w:shd w:val="clear" w:color="auto" w:fill="auto"/>
                  <w:vAlign w:val="center"/>
                </w:tcPr>
                <w:p w14:paraId="5FF47439">
                  <w:pPr>
                    <w:jc w:val="center"/>
                    <w:rPr>
                      <w:rFonts w:hint="default" w:ascii="Times New Roman" w:hAnsi="Times New Roman" w:eastAsia="宋体" w:cs="Times New Roman"/>
                      <w:color w:val="auto"/>
                      <w:kern w:val="2"/>
                      <w:sz w:val="21"/>
                      <w:szCs w:val="21"/>
                      <w:lang w:val="en-US" w:eastAsia="zh-CN" w:bidi="ar-SA"/>
                    </w:rPr>
                  </w:pPr>
                </w:p>
              </w:tc>
              <w:tc>
                <w:tcPr>
                  <w:tcW w:w="267" w:type="pct"/>
                  <w:vAlign w:val="center"/>
                </w:tcPr>
                <w:p w14:paraId="409D9A89">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33.9</w:t>
                  </w:r>
                </w:p>
              </w:tc>
              <w:tc>
                <w:tcPr>
                  <w:tcW w:w="267" w:type="pct"/>
                  <w:vAlign w:val="center"/>
                </w:tcPr>
                <w:p w14:paraId="7EB098D6">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135.56</w:t>
                  </w:r>
                </w:p>
              </w:tc>
              <w:tc>
                <w:tcPr>
                  <w:tcW w:w="131" w:type="pct"/>
                  <w:vAlign w:val="center"/>
                </w:tcPr>
                <w:p w14:paraId="749C7C77">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196" w:type="pct"/>
                  <w:vAlign w:val="center"/>
                </w:tcPr>
                <w:p w14:paraId="7E1A9741">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37.24</w:t>
                  </w:r>
                </w:p>
              </w:tc>
              <w:tc>
                <w:tcPr>
                  <w:tcW w:w="222" w:type="pct"/>
                  <w:vAlign w:val="center"/>
                </w:tcPr>
                <w:p w14:paraId="46E9C01D">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7.90</w:t>
                  </w:r>
                </w:p>
              </w:tc>
              <w:tc>
                <w:tcPr>
                  <w:tcW w:w="197" w:type="pct"/>
                  <w:vAlign w:val="center"/>
                </w:tcPr>
                <w:p w14:paraId="7EB181CE">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3.39</w:t>
                  </w:r>
                </w:p>
              </w:tc>
              <w:tc>
                <w:tcPr>
                  <w:tcW w:w="211" w:type="pct"/>
                  <w:vAlign w:val="center"/>
                </w:tcPr>
                <w:p w14:paraId="4A5726E8">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7.54</w:t>
                  </w:r>
                </w:p>
              </w:tc>
              <w:tc>
                <w:tcPr>
                  <w:tcW w:w="211" w:type="pct"/>
                  <w:vAlign w:val="center"/>
                </w:tcPr>
                <w:p w14:paraId="153B178A">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80.67</w:t>
                  </w:r>
                </w:p>
              </w:tc>
              <w:tc>
                <w:tcPr>
                  <w:tcW w:w="215" w:type="pct"/>
                  <w:vAlign w:val="center"/>
                </w:tcPr>
                <w:p w14:paraId="3FDFA78D">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80.68</w:t>
                  </w:r>
                </w:p>
              </w:tc>
              <w:tc>
                <w:tcPr>
                  <w:tcW w:w="230" w:type="pct"/>
                  <w:vAlign w:val="center"/>
                </w:tcPr>
                <w:p w14:paraId="0E0C9828">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80.75</w:t>
                  </w:r>
                </w:p>
              </w:tc>
              <w:tc>
                <w:tcPr>
                  <w:tcW w:w="236" w:type="pct"/>
                  <w:vAlign w:val="center"/>
                </w:tcPr>
                <w:p w14:paraId="206A28B2">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80.68</w:t>
                  </w:r>
                </w:p>
              </w:tc>
              <w:tc>
                <w:tcPr>
                  <w:tcW w:w="247" w:type="pct"/>
                  <w:vMerge w:val="continue"/>
                  <w:vAlign w:val="center"/>
                </w:tcPr>
                <w:p w14:paraId="7895D22D">
                  <w:pPr>
                    <w:jc w:val="center"/>
                    <w:rPr>
                      <w:rFonts w:hint="default" w:ascii="Times New Roman" w:hAnsi="Times New Roman" w:eastAsia="宋体" w:cs="Times New Roman"/>
                      <w:color w:val="auto"/>
                      <w:sz w:val="21"/>
                      <w:szCs w:val="21"/>
                      <w:lang w:val="en-US" w:eastAsia="zh-CN"/>
                    </w:rPr>
                  </w:pPr>
                </w:p>
              </w:tc>
              <w:tc>
                <w:tcPr>
                  <w:tcW w:w="260" w:type="pct"/>
                  <w:vAlign w:val="center"/>
                </w:tcPr>
                <w:p w14:paraId="589B4427">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w:t>
                  </w:r>
                </w:p>
              </w:tc>
              <w:tc>
                <w:tcPr>
                  <w:tcW w:w="220" w:type="pct"/>
                  <w:vAlign w:val="center"/>
                </w:tcPr>
                <w:p w14:paraId="160C244C">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54.67</w:t>
                  </w:r>
                </w:p>
              </w:tc>
              <w:tc>
                <w:tcPr>
                  <w:tcW w:w="203" w:type="pct"/>
                  <w:vAlign w:val="center"/>
                </w:tcPr>
                <w:p w14:paraId="5E71D505">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54.68</w:t>
                  </w:r>
                </w:p>
              </w:tc>
              <w:tc>
                <w:tcPr>
                  <w:tcW w:w="195" w:type="pct"/>
                  <w:vAlign w:val="center"/>
                </w:tcPr>
                <w:p w14:paraId="201EF0DB">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54.75</w:t>
                  </w:r>
                </w:p>
              </w:tc>
              <w:tc>
                <w:tcPr>
                  <w:tcW w:w="196" w:type="pct"/>
                  <w:vAlign w:val="center"/>
                </w:tcPr>
                <w:p w14:paraId="068D5E80">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54.68</w:t>
                  </w:r>
                </w:p>
              </w:tc>
              <w:tc>
                <w:tcPr>
                  <w:tcW w:w="153" w:type="pct"/>
                  <w:vAlign w:val="center"/>
                </w:tcPr>
                <w:p w14:paraId="5808D862">
                  <w:pPr>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w:t>
                  </w:r>
                </w:p>
              </w:tc>
            </w:tr>
          </w:tbl>
          <w:p w14:paraId="6C149924">
            <w:pPr>
              <w:adjustRightInd w:val="0"/>
              <w:snapToGrid w:val="0"/>
              <w:spacing w:line="360" w:lineRule="auto"/>
              <w:rPr>
                <w:rFonts w:hint="eastAsia"/>
                <w:bCs/>
                <w:color w:val="auto"/>
                <w:sz w:val="24"/>
                <w:vertAlign w:val="baseline"/>
              </w:rPr>
            </w:pPr>
          </w:p>
        </w:tc>
      </w:tr>
    </w:tbl>
    <w:p w14:paraId="1481BF68">
      <w:pPr>
        <w:adjustRightInd w:val="0"/>
        <w:snapToGrid w:val="0"/>
        <w:spacing w:line="360" w:lineRule="auto"/>
        <w:ind w:firstLine="480" w:firstLineChars="200"/>
        <w:rPr>
          <w:rFonts w:hint="eastAsia"/>
          <w:bCs/>
          <w:color w:val="auto"/>
          <w:sz w:val="24"/>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8300"/>
      </w:tblGrid>
      <w:tr w14:paraId="26DDB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tcPr>
          <w:p w14:paraId="1A3D5F18">
            <w:pPr>
              <w:adjustRightInd w:val="0"/>
              <w:snapToGrid w:val="0"/>
              <w:spacing w:line="360" w:lineRule="auto"/>
              <w:rPr>
                <w:color w:val="auto"/>
                <w:vertAlign w:val="baseline"/>
              </w:rPr>
            </w:pPr>
          </w:p>
        </w:tc>
        <w:tc>
          <w:tcPr>
            <w:tcW w:w="8300" w:type="dxa"/>
          </w:tcPr>
          <w:p w14:paraId="0A109836">
            <w:pPr>
              <w:adjustRightInd w:val="0"/>
              <w:snapToGrid w:val="0"/>
              <w:spacing w:line="360" w:lineRule="auto"/>
              <w:ind w:firstLine="480" w:firstLineChars="200"/>
              <w:rPr>
                <w:bCs/>
                <w:color w:val="auto"/>
                <w:sz w:val="24"/>
              </w:rPr>
            </w:pPr>
            <w:r>
              <w:rPr>
                <w:rFonts w:hint="eastAsia"/>
                <w:bCs/>
                <w:color w:val="auto"/>
                <w:sz w:val="24"/>
              </w:rPr>
              <w:t>（2）</w:t>
            </w:r>
            <w:r>
              <w:rPr>
                <w:bCs/>
                <w:color w:val="auto"/>
                <w:sz w:val="24"/>
              </w:rPr>
              <w:t>预测结果及达标分析</w:t>
            </w:r>
          </w:p>
          <w:p w14:paraId="5A62475F">
            <w:pPr>
              <w:adjustRightInd w:val="0"/>
              <w:snapToGrid w:val="0"/>
              <w:spacing w:line="360" w:lineRule="auto"/>
              <w:ind w:firstLine="480" w:firstLineChars="200"/>
              <w:rPr>
                <w:color w:val="auto"/>
                <w:kern w:val="0"/>
                <w:sz w:val="24"/>
                <w:szCs w:val="20"/>
                <w:lang w:val="zh-CN"/>
              </w:rPr>
            </w:pPr>
            <w:r>
              <w:rPr>
                <w:color w:val="auto"/>
                <w:sz w:val="24"/>
              </w:rPr>
              <w:t>预测模式根据《环境影响评价技术导则 声环境》（HJ2.4-20</w:t>
            </w:r>
            <w:r>
              <w:rPr>
                <w:rFonts w:hint="eastAsia"/>
                <w:color w:val="auto"/>
                <w:sz w:val="24"/>
              </w:rPr>
              <w:t>21</w:t>
            </w:r>
            <w:r>
              <w:rPr>
                <w:color w:val="auto"/>
                <w:sz w:val="24"/>
              </w:rPr>
              <w:t>）选取，</w:t>
            </w:r>
            <w:r>
              <w:rPr>
                <w:color w:val="auto"/>
                <w:kern w:val="0"/>
                <w:sz w:val="24"/>
                <w:szCs w:val="20"/>
                <w:lang w:val="zh-CN"/>
              </w:rPr>
              <w:t>根据项目噪声源源强、所在位置，利用噪声预测模式和方法，对厂界四周</w:t>
            </w:r>
            <w:r>
              <w:rPr>
                <w:rFonts w:hint="eastAsia"/>
                <w:color w:val="auto"/>
                <w:kern w:val="0"/>
                <w:sz w:val="24"/>
                <w:szCs w:val="20"/>
              </w:rPr>
              <w:t>及敏感点</w:t>
            </w:r>
            <w:r>
              <w:rPr>
                <w:color w:val="auto"/>
                <w:kern w:val="0"/>
                <w:sz w:val="24"/>
                <w:szCs w:val="20"/>
                <w:lang w:val="zh-CN"/>
              </w:rPr>
              <w:t>的噪声值进行预测，噪声影响预测结果见</w:t>
            </w:r>
            <w:r>
              <w:rPr>
                <w:color w:val="auto"/>
                <w:kern w:val="0"/>
                <w:sz w:val="24"/>
                <w:szCs w:val="20"/>
              </w:rPr>
              <w:t>下</w:t>
            </w:r>
            <w:r>
              <w:rPr>
                <w:color w:val="auto"/>
                <w:kern w:val="0"/>
                <w:sz w:val="24"/>
                <w:szCs w:val="20"/>
                <w:lang w:val="zh-CN"/>
              </w:rPr>
              <w:t>表。</w:t>
            </w:r>
          </w:p>
          <w:p w14:paraId="1C97DC7C">
            <w:pPr>
              <w:pStyle w:val="61"/>
              <w:adjustRightInd/>
              <w:spacing w:line="240" w:lineRule="auto"/>
              <w:ind w:left="0" w:right="0" w:firstLine="0"/>
              <w:jc w:val="center"/>
              <w:rPr>
                <w:b/>
                <w:color w:val="auto"/>
                <w:szCs w:val="24"/>
              </w:rPr>
            </w:pPr>
            <w:r>
              <w:rPr>
                <w:b/>
                <w:color w:val="auto"/>
                <w:szCs w:val="24"/>
              </w:rPr>
              <w:t>表4-</w:t>
            </w:r>
            <w:r>
              <w:rPr>
                <w:rFonts w:hint="eastAsia"/>
                <w:b/>
                <w:color w:val="auto"/>
                <w:szCs w:val="24"/>
                <w:lang w:val="en-US" w:eastAsia="zh-CN"/>
              </w:rPr>
              <w:t>9</w:t>
            </w:r>
            <w:r>
              <w:rPr>
                <w:rFonts w:hint="eastAsia"/>
                <w:b/>
                <w:color w:val="auto"/>
                <w:szCs w:val="24"/>
              </w:rPr>
              <w:t xml:space="preserve">  </w:t>
            </w:r>
            <w:r>
              <w:rPr>
                <w:b/>
                <w:color w:val="auto"/>
                <w:szCs w:val="24"/>
              </w:rPr>
              <w:t xml:space="preserve"> </w:t>
            </w:r>
            <w:r>
              <w:rPr>
                <w:rFonts w:hint="eastAsia"/>
                <w:b/>
                <w:color w:val="auto"/>
                <w:szCs w:val="24"/>
              </w:rPr>
              <w:t>厂界</w:t>
            </w:r>
            <w:r>
              <w:rPr>
                <w:b/>
                <w:color w:val="auto"/>
                <w:szCs w:val="24"/>
              </w:rPr>
              <w:t>噪声预测结果一览表     单位：dB(A)</w:t>
            </w:r>
          </w:p>
          <w:tbl>
            <w:tblPr>
              <w:tblStyle w:val="2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860"/>
              <w:gridCol w:w="763"/>
              <w:gridCol w:w="859"/>
              <w:gridCol w:w="846"/>
              <w:gridCol w:w="846"/>
              <w:gridCol w:w="915"/>
              <w:gridCol w:w="716"/>
              <w:gridCol w:w="690"/>
              <w:gridCol w:w="505"/>
            </w:tblGrid>
            <w:tr w14:paraId="12D2CA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667" w:type="pct"/>
                  <w:vAlign w:val="center"/>
                </w:tcPr>
                <w:p w14:paraId="15C36F30">
                  <w:pPr>
                    <w:jc w:val="center"/>
                    <w:rPr>
                      <w:color w:val="auto"/>
                      <w:szCs w:val="21"/>
                    </w:rPr>
                  </w:pPr>
                  <w:r>
                    <w:rPr>
                      <w:color w:val="auto"/>
                      <w:szCs w:val="21"/>
                    </w:rPr>
                    <w:t>预测点位置</w:t>
                  </w:r>
                </w:p>
              </w:tc>
              <w:tc>
                <w:tcPr>
                  <w:tcW w:w="532" w:type="pct"/>
                  <w:vAlign w:val="center"/>
                </w:tcPr>
                <w:p w14:paraId="4FFF736E">
                  <w:pPr>
                    <w:jc w:val="center"/>
                    <w:rPr>
                      <w:rFonts w:hint="default" w:eastAsia="宋体"/>
                      <w:color w:val="auto"/>
                      <w:szCs w:val="21"/>
                      <w:lang w:val="en-US" w:eastAsia="zh-CN"/>
                    </w:rPr>
                  </w:pPr>
                  <w:r>
                    <w:rPr>
                      <w:rFonts w:hint="eastAsia"/>
                      <w:color w:val="auto"/>
                      <w:szCs w:val="21"/>
                      <w:lang w:val="en-US" w:eastAsia="zh-CN"/>
                    </w:rPr>
                    <w:t>现有项目昼间贡献值</w:t>
                  </w:r>
                </w:p>
              </w:tc>
              <w:tc>
                <w:tcPr>
                  <w:tcW w:w="472" w:type="pct"/>
                  <w:vAlign w:val="center"/>
                </w:tcPr>
                <w:p w14:paraId="060C5905">
                  <w:pPr>
                    <w:jc w:val="center"/>
                    <w:rPr>
                      <w:color w:val="auto"/>
                      <w:szCs w:val="21"/>
                    </w:rPr>
                  </w:pPr>
                  <w:r>
                    <w:rPr>
                      <w:color w:val="auto"/>
                      <w:szCs w:val="21"/>
                    </w:rPr>
                    <w:t>昼间贡献值</w:t>
                  </w:r>
                </w:p>
              </w:tc>
              <w:tc>
                <w:tcPr>
                  <w:tcW w:w="531" w:type="pct"/>
                  <w:vAlign w:val="center"/>
                </w:tcPr>
                <w:p w14:paraId="346C843F">
                  <w:pPr>
                    <w:jc w:val="center"/>
                    <w:rPr>
                      <w:rFonts w:hint="default" w:eastAsia="宋体"/>
                      <w:color w:val="auto"/>
                      <w:szCs w:val="21"/>
                      <w:lang w:val="en-US" w:eastAsia="zh-CN"/>
                    </w:rPr>
                  </w:pPr>
                  <w:r>
                    <w:rPr>
                      <w:rFonts w:hint="eastAsia"/>
                      <w:color w:val="auto"/>
                      <w:szCs w:val="21"/>
                      <w:lang w:val="en-US" w:eastAsia="zh-CN"/>
                    </w:rPr>
                    <w:t>叠加后昼间贡献值</w:t>
                  </w:r>
                </w:p>
              </w:tc>
              <w:tc>
                <w:tcPr>
                  <w:tcW w:w="523" w:type="pct"/>
                  <w:vAlign w:val="center"/>
                </w:tcPr>
                <w:p w14:paraId="0E9E44A1">
                  <w:pPr>
                    <w:jc w:val="center"/>
                    <w:rPr>
                      <w:rFonts w:hint="eastAsia"/>
                      <w:color w:val="auto"/>
                      <w:szCs w:val="21"/>
                    </w:rPr>
                  </w:pPr>
                  <w:r>
                    <w:rPr>
                      <w:rFonts w:hint="eastAsia"/>
                      <w:color w:val="auto"/>
                      <w:szCs w:val="21"/>
                      <w:lang w:val="en-US" w:eastAsia="zh-CN"/>
                    </w:rPr>
                    <w:t>现有项目夜间贡献值</w:t>
                  </w:r>
                </w:p>
              </w:tc>
              <w:tc>
                <w:tcPr>
                  <w:tcW w:w="523" w:type="pct"/>
                  <w:vAlign w:val="center"/>
                </w:tcPr>
                <w:p w14:paraId="4945292A">
                  <w:pPr>
                    <w:jc w:val="center"/>
                    <w:rPr>
                      <w:color w:val="auto"/>
                      <w:szCs w:val="21"/>
                    </w:rPr>
                  </w:pPr>
                  <w:r>
                    <w:rPr>
                      <w:rFonts w:hint="eastAsia"/>
                      <w:color w:val="auto"/>
                      <w:szCs w:val="21"/>
                    </w:rPr>
                    <w:t>夜</w:t>
                  </w:r>
                  <w:r>
                    <w:rPr>
                      <w:color w:val="auto"/>
                      <w:szCs w:val="21"/>
                    </w:rPr>
                    <w:t>间贡献值</w:t>
                  </w:r>
                </w:p>
              </w:tc>
              <w:tc>
                <w:tcPr>
                  <w:tcW w:w="566" w:type="pct"/>
                  <w:vAlign w:val="center"/>
                </w:tcPr>
                <w:p w14:paraId="7B0F24C2">
                  <w:pPr>
                    <w:jc w:val="center"/>
                    <w:rPr>
                      <w:rFonts w:hint="eastAsia"/>
                      <w:color w:val="auto"/>
                      <w:szCs w:val="21"/>
                    </w:rPr>
                  </w:pPr>
                  <w:r>
                    <w:rPr>
                      <w:rFonts w:hint="eastAsia"/>
                      <w:color w:val="auto"/>
                      <w:szCs w:val="21"/>
                      <w:lang w:val="en-US" w:eastAsia="zh-CN"/>
                    </w:rPr>
                    <w:t>叠加后夜间贡献值</w:t>
                  </w:r>
                </w:p>
              </w:tc>
              <w:tc>
                <w:tcPr>
                  <w:tcW w:w="443" w:type="pct"/>
                  <w:vAlign w:val="center"/>
                </w:tcPr>
                <w:p w14:paraId="7216A064">
                  <w:pPr>
                    <w:jc w:val="center"/>
                    <w:rPr>
                      <w:color w:val="auto"/>
                      <w:szCs w:val="21"/>
                    </w:rPr>
                  </w:pPr>
                  <w:r>
                    <w:rPr>
                      <w:rFonts w:hint="eastAsia"/>
                      <w:color w:val="auto"/>
                      <w:szCs w:val="21"/>
                    </w:rPr>
                    <w:t>昼间</w:t>
                  </w:r>
                  <w:r>
                    <w:rPr>
                      <w:color w:val="auto"/>
                      <w:szCs w:val="21"/>
                    </w:rPr>
                    <w:t>标准限值</w:t>
                  </w:r>
                </w:p>
              </w:tc>
              <w:tc>
                <w:tcPr>
                  <w:tcW w:w="427" w:type="pct"/>
                  <w:vAlign w:val="center"/>
                </w:tcPr>
                <w:p w14:paraId="075D15BA">
                  <w:pPr>
                    <w:jc w:val="center"/>
                    <w:rPr>
                      <w:color w:val="auto"/>
                      <w:szCs w:val="21"/>
                    </w:rPr>
                  </w:pPr>
                  <w:r>
                    <w:rPr>
                      <w:rFonts w:hint="eastAsia"/>
                      <w:color w:val="auto"/>
                      <w:szCs w:val="21"/>
                    </w:rPr>
                    <w:t>夜间</w:t>
                  </w:r>
                  <w:r>
                    <w:rPr>
                      <w:color w:val="auto"/>
                      <w:szCs w:val="21"/>
                    </w:rPr>
                    <w:t>标准限值</w:t>
                  </w:r>
                </w:p>
              </w:tc>
              <w:tc>
                <w:tcPr>
                  <w:tcW w:w="312" w:type="pct"/>
                  <w:vAlign w:val="center"/>
                </w:tcPr>
                <w:p w14:paraId="44B8F64D">
                  <w:pPr>
                    <w:jc w:val="center"/>
                    <w:rPr>
                      <w:color w:val="auto"/>
                      <w:szCs w:val="21"/>
                    </w:rPr>
                  </w:pPr>
                  <w:r>
                    <w:rPr>
                      <w:color w:val="auto"/>
                      <w:szCs w:val="21"/>
                    </w:rPr>
                    <w:t>达标情况</w:t>
                  </w:r>
                </w:p>
              </w:tc>
            </w:tr>
            <w:tr w14:paraId="7CB1B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4" w:hRule="atLeast"/>
                <w:jc w:val="center"/>
              </w:trPr>
              <w:tc>
                <w:tcPr>
                  <w:tcW w:w="667" w:type="pct"/>
                  <w:vAlign w:val="center"/>
                </w:tcPr>
                <w:p w14:paraId="1165A319">
                  <w:pPr>
                    <w:pStyle w:val="6"/>
                    <w:jc w:val="center"/>
                    <w:rPr>
                      <w:bCs/>
                      <w:color w:val="auto"/>
                      <w:sz w:val="21"/>
                      <w:szCs w:val="21"/>
                    </w:rPr>
                  </w:pPr>
                  <w:r>
                    <w:rPr>
                      <w:rFonts w:hint="eastAsia"/>
                      <w:color w:val="auto"/>
                      <w:sz w:val="21"/>
                      <w:szCs w:val="21"/>
                    </w:rPr>
                    <w:t>厂界东侧</w:t>
                  </w:r>
                </w:p>
              </w:tc>
              <w:tc>
                <w:tcPr>
                  <w:tcW w:w="532" w:type="pct"/>
                  <w:vAlign w:val="center"/>
                </w:tcPr>
                <w:p w14:paraId="24368825">
                  <w:pPr>
                    <w:spacing w:line="300" w:lineRule="exact"/>
                    <w:jc w:val="center"/>
                    <w:rPr>
                      <w:rFonts w:hint="default"/>
                      <w:color w:val="auto"/>
                      <w:lang w:val="en-US" w:eastAsia="zh-CN"/>
                    </w:rPr>
                  </w:pPr>
                  <w:r>
                    <w:rPr>
                      <w:rFonts w:hint="eastAsia"/>
                      <w:color w:val="auto"/>
                      <w:lang w:val="en-US" w:eastAsia="zh-CN"/>
                    </w:rPr>
                    <w:t>50</w:t>
                  </w:r>
                </w:p>
              </w:tc>
              <w:tc>
                <w:tcPr>
                  <w:tcW w:w="472" w:type="pct"/>
                  <w:vAlign w:val="center"/>
                </w:tcPr>
                <w:p w14:paraId="7508A19E">
                  <w:pPr>
                    <w:spacing w:line="300" w:lineRule="exact"/>
                    <w:jc w:val="center"/>
                    <w:rPr>
                      <w:rFonts w:hint="default" w:eastAsia="宋体"/>
                      <w:bCs/>
                      <w:color w:val="auto"/>
                      <w:szCs w:val="21"/>
                      <w:lang w:val="en-US" w:eastAsia="zh-CN"/>
                    </w:rPr>
                  </w:pPr>
                  <w:r>
                    <w:rPr>
                      <w:rFonts w:hint="eastAsia"/>
                      <w:color w:val="auto"/>
                      <w:lang w:val="en-US" w:eastAsia="zh-CN"/>
                    </w:rPr>
                    <w:t>18.52</w:t>
                  </w:r>
                </w:p>
              </w:tc>
              <w:tc>
                <w:tcPr>
                  <w:tcW w:w="531" w:type="pct"/>
                  <w:shd w:val="clear" w:color="auto" w:fill="auto"/>
                  <w:vAlign w:val="center"/>
                </w:tcPr>
                <w:p w14:paraId="01AC8E91">
                  <w:pPr>
                    <w:spacing w:line="300" w:lineRule="exact"/>
                    <w:jc w:val="center"/>
                    <w:rPr>
                      <w:rFonts w:hint="default"/>
                      <w:color w:val="auto"/>
                      <w:lang w:val="en-US" w:eastAsia="zh-CN"/>
                    </w:rPr>
                  </w:pPr>
                  <w:r>
                    <w:rPr>
                      <w:rFonts w:hint="eastAsia"/>
                      <w:color w:val="auto"/>
                      <w:lang w:val="en-US" w:eastAsia="zh-CN"/>
                    </w:rPr>
                    <w:t>50.00</w:t>
                  </w:r>
                </w:p>
              </w:tc>
              <w:tc>
                <w:tcPr>
                  <w:tcW w:w="523" w:type="pct"/>
                  <w:shd w:val="clear" w:color="auto" w:fill="auto"/>
                  <w:vAlign w:val="center"/>
                </w:tcPr>
                <w:p w14:paraId="3EF9AF39">
                  <w:pPr>
                    <w:spacing w:line="300" w:lineRule="exact"/>
                    <w:jc w:val="center"/>
                    <w:rPr>
                      <w:rFonts w:hint="default"/>
                      <w:color w:val="auto"/>
                      <w:lang w:val="en-US" w:eastAsia="zh-CN"/>
                    </w:rPr>
                  </w:pPr>
                  <w:r>
                    <w:rPr>
                      <w:rFonts w:hint="eastAsia"/>
                      <w:color w:val="auto"/>
                      <w:lang w:val="en-US" w:eastAsia="zh-CN"/>
                    </w:rPr>
                    <w:t>46</w:t>
                  </w:r>
                </w:p>
              </w:tc>
              <w:tc>
                <w:tcPr>
                  <w:tcW w:w="523" w:type="pct"/>
                  <w:shd w:val="clear" w:color="auto" w:fill="auto"/>
                  <w:vAlign w:val="center"/>
                </w:tcPr>
                <w:p w14:paraId="24E95600">
                  <w:pPr>
                    <w:spacing w:line="300" w:lineRule="exact"/>
                    <w:jc w:val="center"/>
                    <w:rPr>
                      <w:rFonts w:hint="default" w:ascii="Times New Roman" w:hAnsi="Times New Roman" w:eastAsia="宋体" w:cs="Times New Roman"/>
                      <w:bCs/>
                      <w:color w:val="auto"/>
                      <w:kern w:val="2"/>
                      <w:sz w:val="21"/>
                      <w:szCs w:val="21"/>
                      <w:lang w:val="en-US" w:eastAsia="zh-CN" w:bidi="ar-SA"/>
                    </w:rPr>
                  </w:pPr>
                  <w:r>
                    <w:rPr>
                      <w:rFonts w:hint="eastAsia"/>
                      <w:color w:val="auto"/>
                      <w:lang w:val="en-US" w:eastAsia="zh-CN"/>
                    </w:rPr>
                    <w:t>18.52</w:t>
                  </w:r>
                </w:p>
              </w:tc>
              <w:tc>
                <w:tcPr>
                  <w:tcW w:w="566" w:type="pct"/>
                  <w:vAlign w:val="center"/>
                </w:tcPr>
                <w:p w14:paraId="2AD45B7D">
                  <w:pPr>
                    <w:jc w:val="center"/>
                    <w:rPr>
                      <w:rFonts w:hint="default" w:eastAsia="宋体"/>
                      <w:bCs/>
                      <w:color w:val="auto"/>
                      <w:szCs w:val="21"/>
                      <w:lang w:val="en-US" w:eastAsia="zh-CN"/>
                    </w:rPr>
                  </w:pPr>
                  <w:r>
                    <w:rPr>
                      <w:rFonts w:hint="eastAsia"/>
                      <w:bCs/>
                      <w:color w:val="auto"/>
                      <w:szCs w:val="21"/>
                      <w:lang w:val="en-US" w:eastAsia="zh-CN"/>
                    </w:rPr>
                    <w:t>46.01</w:t>
                  </w:r>
                </w:p>
              </w:tc>
              <w:tc>
                <w:tcPr>
                  <w:tcW w:w="443" w:type="pct"/>
                  <w:vAlign w:val="center"/>
                </w:tcPr>
                <w:p w14:paraId="2E6D9A0D">
                  <w:pPr>
                    <w:jc w:val="center"/>
                    <w:rPr>
                      <w:bCs/>
                      <w:color w:val="auto"/>
                      <w:szCs w:val="21"/>
                    </w:rPr>
                  </w:pPr>
                  <w:r>
                    <w:rPr>
                      <w:rFonts w:hint="eastAsia"/>
                      <w:bCs/>
                      <w:color w:val="auto"/>
                      <w:szCs w:val="21"/>
                    </w:rPr>
                    <w:t>60</w:t>
                  </w:r>
                </w:p>
              </w:tc>
              <w:tc>
                <w:tcPr>
                  <w:tcW w:w="427" w:type="pct"/>
                  <w:vAlign w:val="center"/>
                </w:tcPr>
                <w:p w14:paraId="2D14036C">
                  <w:pPr>
                    <w:jc w:val="center"/>
                    <w:rPr>
                      <w:bCs/>
                      <w:color w:val="auto"/>
                      <w:szCs w:val="21"/>
                    </w:rPr>
                  </w:pPr>
                  <w:r>
                    <w:rPr>
                      <w:rFonts w:hint="eastAsia"/>
                      <w:bCs/>
                      <w:color w:val="auto"/>
                      <w:szCs w:val="21"/>
                    </w:rPr>
                    <w:t>50</w:t>
                  </w:r>
                </w:p>
              </w:tc>
              <w:tc>
                <w:tcPr>
                  <w:tcW w:w="312" w:type="pct"/>
                  <w:vMerge w:val="restart"/>
                  <w:vAlign w:val="center"/>
                </w:tcPr>
                <w:p w14:paraId="3455C817">
                  <w:pPr>
                    <w:jc w:val="center"/>
                    <w:rPr>
                      <w:bCs/>
                      <w:color w:val="auto"/>
                      <w:szCs w:val="21"/>
                    </w:rPr>
                  </w:pPr>
                  <w:r>
                    <w:rPr>
                      <w:bCs/>
                      <w:color w:val="auto"/>
                      <w:szCs w:val="21"/>
                    </w:rPr>
                    <w:t>达标</w:t>
                  </w:r>
                </w:p>
              </w:tc>
            </w:tr>
            <w:tr w14:paraId="2AAC5C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center"/>
              </w:trPr>
              <w:tc>
                <w:tcPr>
                  <w:tcW w:w="667" w:type="pct"/>
                  <w:vAlign w:val="center"/>
                </w:tcPr>
                <w:p w14:paraId="39F74122">
                  <w:pPr>
                    <w:jc w:val="center"/>
                    <w:rPr>
                      <w:bCs/>
                      <w:color w:val="auto"/>
                      <w:szCs w:val="21"/>
                    </w:rPr>
                  </w:pPr>
                  <w:r>
                    <w:rPr>
                      <w:color w:val="auto"/>
                      <w:szCs w:val="21"/>
                    </w:rPr>
                    <w:t>厂界</w:t>
                  </w:r>
                  <w:r>
                    <w:rPr>
                      <w:rFonts w:hint="eastAsia"/>
                      <w:color w:val="auto"/>
                      <w:szCs w:val="21"/>
                    </w:rPr>
                    <w:t>南</w:t>
                  </w:r>
                  <w:r>
                    <w:rPr>
                      <w:color w:val="auto"/>
                      <w:szCs w:val="21"/>
                    </w:rPr>
                    <w:t>侧</w:t>
                  </w:r>
                </w:p>
              </w:tc>
              <w:tc>
                <w:tcPr>
                  <w:tcW w:w="532" w:type="pct"/>
                  <w:vAlign w:val="center"/>
                </w:tcPr>
                <w:p w14:paraId="7230719C">
                  <w:pPr>
                    <w:spacing w:line="300" w:lineRule="exact"/>
                    <w:jc w:val="center"/>
                    <w:rPr>
                      <w:rFonts w:hint="default"/>
                      <w:color w:val="auto"/>
                      <w:lang w:val="en-US" w:eastAsia="zh-CN"/>
                    </w:rPr>
                  </w:pPr>
                  <w:r>
                    <w:rPr>
                      <w:rFonts w:hint="eastAsia"/>
                      <w:color w:val="auto"/>
                      <w:lang w:val="en-US" w:eastAsia="zh-CN"/>
                    </w:rPr>
                    <w:t>53</w:t>
                  </w:r>
                </w:p>
              </w:tc>
              <w:tc>
                <w:tcPr>
                  <w:tcW w:w="472" w:type="pct"/>
                  <w:vAlign w:val="center"/>
                </w:tcPr>
                <w:p w14:paraId="0019AAA4">
                  <w:pPr>
                    <w:spacing w:line="300" w:lineRule="exact"/>
                    <w:jc w:val="center"/>
                    <w:rPr>
                      <w:rFonts w:hint="default" w:eastAsia="宋体"/>
                      <w:bCs/>
                      <w:color w:val="auto"/>
                      <w:szCs w:val="21"/>
                      <w:lang w:val="en-US" w:eastAsia="zh-CN"/>
                    </w:rPr>
                  </w:pPr>
                  <w:r>
                    <w:rPr>
                      <w:rFonts w:hint="eastAsia"/>
                      <w:color w:val="auto"/>
                      <w:lang w:val="en-US" w:eastAsia="zh-CN"/>
                    </w:rPr>
                    <w:t>31.48</w:t>
                  </w:r>
                </w:p>
              </w:tc>
              <w:tc>
                <w:tcPr>
                  <w:tcW w:w="531" w:type="pct"/>
                  <w:shd w:val="clear" w:color="auto" w:fill="auto"/>
                  <w:vAlign w:val="center"/>
                </w:tcPr>
                <w:p w14:paraId="64EF93F7">
                  <w:pPr>
                    <w:spacing w:line="300" w:lineRule="exact"/>
                    <w:jc w:val="center"/>
                    <w:rPr>
                      <w:rFonts w:hint="default"/>
                      <w:color w:val="auto"/>
                      <w:lang w:val="en-US" w:eastAsia="zh-CN"/>
                    </w:rPr>
                  </w:pPr>
                  <w:r>
                    <w:rPr>
                      <w:rFonts w:hint="eastAsia"/>
                      <w:color w:val="auto"/>
                      <w:lang w:val="en-US" w:eastAsia="zh-CN"/>
                    </w:rPr>
                    <w:t>53.03</w:t>
                  </w:r>
                </w:p>
              </w:tc>
              <w:tc>
                <w:tcPr>
                  <w:tcW w:w="523" w:type="pct"/>
                  <w:shd w:val="clear" w:color="auto" w:fill="auto"/>
                  <w:vAlign w:val="center"/>
                </w:tcPr>
                <w:p w14:paraId="48BF4039">
                  <w:pPr>
                    <w:spacing w:line="300" w:lineRule="exact"/>
                    <w:jc w:val="center"/>
                    <w:rPr>
                      <w:rFonts w:hint="default"/>
                      <w:color w:val="auto"/>
                      <w:lang w:val="en-US" w:eastAsia="zh-CN"/>
                    </w:rPr>
                  </w:pPr>
                  <w:r>
                    <w:rPr>
                      <w:rFonts w:hint="eastAsia"/>
                      <w:color w:val="auto"/>
                      <w:lang w:val="en-US" w:eastAsia="zh-CN"/>
                    </w:rPr>
                    <w:t>48</w:t>
                  </w:r>
                </w:p>
              </w:tc>
              <w:tc>
                <w:tcPr>
                  <w:tcW w:w="523" w:type="pct"/>
                  <w:shd w:val="clear" w:color="auto" w:fill="auto"/>
                  <w:vAlign w:val="center"/>
                </w:tcPr>
                <w:p w14:paraId="7302A4B6">
                  <w:pPr>
                    <w:spacing w:line="300" w:lineRule="exact"/>
                    <w:jc w:val="center"/>
                    <w:rPr>
                      <w:rFonts w:hint="default" w:ascii="Times New Roman" w:hAnsi="Times New Roman" w:eastAsia="宋体" w:cs="Times New Roman"/>
                      <w:bCs/>
                      <w:color w:val="auto"/>
                      <w:kern w:val="2"/>
                      <w:sz w:val="21"/>
                      <w:szCs w:val="21"/>
                      <w:lang w:val="en-US" w:eastAsia="zh-CN" w:bidi="ar-SA"/>
                    </w:rPr>
                  </w:pPr>
                  <w:r>
                    <w:rPr>
                      <w:rFonts w:hint="eastAsia"/>
                      <w:color w:val="auto"/>
                      <w:lang w:val="en-US" w:eastAsia="zh-CN"/>
                    </w:rPr>
                    <w:t>31.48</w:t>
                  </w:r>
                </w:p>
              </w:tc>
              <w:tc>
                <w:tcPr>
                  <w:tcW w:w="566" w:type="pct"/>
                  <w:vAlign w:val="center"/>
                </w:tcPr>
                <w:p w14:paraId="1DEB42DE">
                  <w:pPr>
                    <w:jc w:val="center"/>
                    <w:rPr>
                      <w:rFonts w:hint="default" w:eastAsia="宋体"/>
                      <w:bCs/>
                      <w:color w:val="auto"/>
                      <w:szCs w:val="21"/>
                      <w:lang w:val="en-US" w:eastAsia="zh-CN"/>
                    </w:rPr>
                  </w:pPr>
                  <w:r>
                    <w:rPr>
                      <w:rFonts w:hint="eastAsia"/>
                      <w:bCs/>
                      <w:color w:val="auto"/>
                      <w:szCs w:val="21"/>
                      <w:lang w:val="en-US" w:eastAsia="zh-CN"/>
                    </w:rPr>
                    <w:t>48.10</w:t>
                  </w:r>
                </w:p>
              </w:tc>
              <w:tc>
                <w:tcPr>
                  <w:tcW w:w="443" w:type="pct"/>
                  <w:vAlign w:val="center"/>
                </w:tcPr>
                <w:p w14:paraId="3FB0D233">
                  <w:pPr>
                    <w:jc w:val="center"/>
                    <w:rPr>
                      <w:bCs/>
                      <w:color w:val="auto"/>
                      <w:szCs w:val="21"/>
                    </w:rPr>
                  </w:pPr>
                  <w:r>
                    <w:rPr>
                      <w:rFonts w:hint="eastAsia"/>
                      <w:bCs/>
                      <w:color w:val="auto"/>
                      <w:szCs w:val="21"/>
                    </w:rPr>
                    <w:t>60</w:t>
                  </w:r>
                </w:p>
              </w:tc>
              <w:tc>
                <w:tcPr>
                  <w:tcW w:w="427" w:type="pct"/>
                  <w:vAlign w:val="center"/>
                </w:tcPr>
                <w:p w14:paraId="32FEF82C">
                  <w:pPr>
                    <w:jc w:val="center"/>
                    <w:rPr>
                      <w:color w:val="auto"/>
                      <w:szCs w:val="21"/>
                    </w:rPr>
                  </w:pPr>
                  <w:r>
                    <w:rPr>
                      <w:rFonts w:hint="eastAsia"/>
                      <w:bCs/>
                      <w:color w:val="auto"/>
                      <w:szCs w:val="21"/>
                    </w:rPr>
                    <w:t>50</w:t>
                  </w:r>
                </w:p>
              </w:tc>
              <w:tc>
                <w:tcPr>
                  <w:tcW w:w="312" w:type="pct"/>
                  <w:vMerge w:val="continue"/>
                  <w:vAlign w:val="center"/>
                </w:tcPr>
                <w:p w14:paraId="1105840F">
                  <w:pPr>
                    <w:jc w:val="center"/>
                    <w:rPr>
                      <w:bCs/>
                      <w:color w:val="auto"/>
                      <w:szCs w:val="21"/>
                    </w:rPr>
                  </w:pPr>
                </w:p>
              </w:tc>
            </w:tr>
            <w:tr w14:paraId="5F33C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667" w:type="pct"/>
                  <w:vAlign w:val="center"/>
                </w:tcPr>
                <w:p w14:paraId="7C820088">
                  <w:pPr>
                    <w:jc w:val="center"/>
                    <w:rPr>
                      <w:bCs/>
                      <w:color w:val="auto"/>
                      <w:szCs w:val="21"/>
                    </w:rPr>
                  </w:pPr>
                  <w:r>
                    <w:rPr>
                      <w:rFonts w:hint="eastAsia"/>
                      <w:color w:val="auto"/>
                      <w:szCs w:val="21"/>
                    </w:rPr>
                    <w:t>厂界西侧</w:t>
                  </w:r>
                </w:p>
              </w:tc>
              <w:tc>
                <w:tcPr>
                  <w:tcW w:w="532" w:type="pct"/>
                  <w:vAlign w:val="center"/>
                </w:tcPr>
                <w:p w14:paraId="627A80B5">
                  <w:pPr>
                    <w:spacing w:line="300" w:lineRule="exact"/>
                    <w:jc w:val="center"/>
                    <w:rPr>
                      <w:rFonts w:hint="default"/>
                      <w:color w:val="auto"/>
                      <w:lang w:val="en-US" w:eastAsia="zh-CN"/>
                    </w:rPr>
                  </w:pPr>
                  <w:r>
                    <w:rPr>
                      <w:rFonts w:hint="eastAsia"/>
                      <w:color w:val="auto"/>
                      <w:lang w:val="en-US" w:eastAsia="zh-CN"/>
                    </w:rPr>
                    <w:t>52</w:t>
                  </w:r>
                </w:p>
              </w:tc>
              <w:tc>
                <w:tcPr>
                  <w:tcW w:w="472" w:type="pct"/>
                  <w:vAlign w:val="center"/>
                </w:tcPr>
                <w:p w14:paraId="35F32999">
                  <w:pPr>
                    <w:spacing w:line="300" w:lineRule="exact"/>
                    <w:jc w:val="center"/>
                    <w:rPr>
                      <w:rFonts w:hint="default" w:eastAsia="宋体"/>
                      <w:bCs/>
                      <w:color w:val="auto"/>
                      <w:szCs w:val="21"/>
                      <w:lang w:val="en-US" w:eastAsia="zh-CN"/>
                    </w:rPr>
                  </w:pPr>
                  <w:r>
                    <w:rPr>
                      <w:rFonts w:hint="eastAsia"/>
                      <w:color w:val="auto"/>
                      <w:lang w:val="en-US" w:eastAsia="zh-CN"/>
                    </w:rPr>
                    <w:t>23.18</w:t>
                  </w:r>
                </w:p>
              </w:tc>
              <w:tc>
                <w:tcPr>
                  <w:tcW w:w="531" w:type="pct"/>
                  <w:shd w:val="clear" w:color="auto" w:fill="auto"/>
                  <w:vAlign w:val="center"/>
                </w:tcPr>
                <w:p w14:paraId="4995282B">
                  <w:pPr>
                    <w:spacing w:line="300" w:lineRule="exact"/>
                    <w:jc w:val="center"/>
                    <w:rPr>
                      <w:rFonts w:hint="default"/>
                      <w:color w:val="auto"/>
                      <w:lang w:val="en-US" w:eastAsia="zh-CN"/>
                    </w:rPr>
                  </w:pPr>
                  <w:r>
                    <w:rPr>
                      <w:rFonts w:hint="eastAsia"/>
                      <w:color w:val="auto"/>
                      <w:lang w:val="en-US" w:eastAsia="zh-CN"/>
                    </w:rPr>
                    <w:t>52.01</w:t>
                  </w:r>
                </w:p>
              </w:tc>
              <w:tc>
                <w:tcPr>
                  <w:tcW w:w="523" w:type="pct"/>
                  <w:shd w:val="clear" w:color="auto" w:fill="auto"/>
                  <w:vAlign w:val="center"/>
                </w:tcPr>
                <w:p w14:paraId="28CCEBA0">
                  <w:pPr>
                    <w:spacing w:line="300" w:lineRule="exact"/>
                    <w:jc w:val="center"/>
                    <w:rPr>
                      <w:rFonts w:hint="default"/>
                      <w:color w:val="auto"/>
                      <w:lang w:val="en-US" w:eastAsia="zh-CN"/>
                    </w:rPr>
                  </w:pPr>
                  <w:r>
                    <w:rPr>
                      <w:rFonts w:hint="eastAsia"/>
                      <w:color w:val="auto"/>
                      <w:lang w:val="en-US" w:eastAsia="zh-CN"/>
                    </w:rPr>
                    <w:t>47</w:t>
                  </w:r>
                </w:p>
              </w:tc>
              <w:tc>
                <w:tcPr>
                  <w:tcW w:w="523" w:type="pct"/>
                  <w:shd w:val="clear" w:color="auto" w:fill="auto"/>
                  <w:vAlign w:val="center"/>
                </w:tcPr>
                <w:p w14:paraId="14A978F6">
                  <w:pPr>
                    <w:spacing w:line="300" w:lineRule="exact"/>
                    <w:jc w:val="center"/>
                    <w:rPr>
                      <w:rFonts w:hint="default" w:ascii="Times New Roman" w:hAnsi="Times New Roman" w:eastAsia="宋体" w:cs="Times New Roman"/>
                      <w:bCs/>
                      <w:color w:val="auto"/>
                      <w:kern w:val="2"/>
                      <w:sz w:val="21"/>
                      <w:szCs w:val="21"/>
                      <w:lang w:val="en-US" w:eastAsia="zh-CN" w:bidi="ar-SA"/>
                    </w:rPr>
                  </w:pPr>
                  <w:r>
                    <w:rPr>
                      <w:rFonts w:hint="eastAsia"/>
                      <w:color w:val="auto"/>
                      <w:lang w:val="en-US" w:eastAsia="zh-CN"/>
                    </w:rPr>
                    <w:t>23.18</w:t>
                  </w:r>
                </w:p>
              </w:tc>
              <w:tc>
                <w:tcPr>
                  <w:tcW w:w="566" w:type="pct"/>
                  <w:vAlign w:val="center"/>
                </w:tcPr>
                <w:p w14:paraId="6EE6DD64">
                  <w:pPr>
                    <w:jc w:val="center"/>
                    <w:rPr>
                      <w:rFonts w:hint="default" w:eastAsia="宋体"/>
                      <w:bCs/>
                      <w:color w:val="auto"/>
                      <w:szCs w:val="21"/>
                      <w:lang w:val="en-US" w:eastAsia="zh-CN"/>
                    </w:rPr>
                  </w:pPr>
                  <w:r>
                    <w:rPr>
                      <w:rFonts w:hint="eastAsia"/>
                      <w:bCs/>
                      <w:color w:val="auto"/>
                      <w:szCs w:val="21"/>
                      <w:lang w:val="en-US" w:eastAsia="zh-CN"/>
                    </w:rPr>
                    <w:t>47.02</w:t>
                  </w:r>
                </w:p>
              </w:tc>
              <w:tc>
                <w:tcPr>
                  <w:tcW w:w="443" w:type="pct"/>
                  <w:vAlign w:val="center"/>
                </w:tcPr>
                <w:p w14:paraId="7D01F527">
                  <w:pPr>
                    <w:jc w:val="center"/>
                    <w:rPr>
                      <w:bCs/>
                      <w:color w:val="auto"/>
                      <w:szCs w:val="21"/>
                    </w:rPr>
                  </w:pPr>
                  <w:r>
                    <w:rPr>
                      <w:rFonts w:hint="eastAsia"/>
                      <w:bCs/>
                      <w:color w:val="auto"/>
                      <w:szCs w:val="21"/>
                    </w:rPr>
                    <w:t>60</w:t>
                  </w:r>
                </w:p>
              </w:tc>
              <w:tc>
                <w:tcPr>
                  <w:tcW w:w="427" w:type="pct"/>
                  <w:vAlign w:val="center"/>
                </w:tcPr>
                <w:p w14:paraId="58460F72">
                  <w:pPr>
                    <w:jc w:val="center"/>
                    <w:rPr>
                      <w:color w:val="auto"/>
                      <w:szCs w:val="21"/>
                    </w:rPr>
                  </w:pPr>
                  <w:r>
                    <w:rPr>
                      <w:rFonts w:hint="eastAsia"/>
                      <w:bCs/>
                      <w:color w:val="auto"/>
                      <w:szCs w:val="21"/>
                    </w:rPr>
                    <w:t>50</w:t>
                  </w:r>
                </w:p>
              </w:tc>
              <w:tc>
                <w:tcPr>
                  <w:tcW w:w="312" w:type="pct"/>
                  <w:vMerge w:val="continue"/>
                  <w:vAlign w:val="center"/>
                </w:tcPr>
                <w:p w14:paraId="7217CE54">
                  <w:pPr>
                    <w:jc w:val="center"/>
                    <w:rPr>
                      <w:bCs/>
                      <w:color w:val="auto"/>
                      <w:szCs w:val="21"/>
                    </w:rPr>
                  </w:pPr>
                </w:p>
              </w:tc>
            </w:tr>
            <w:tr w14:paraId="226F59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667" w:type="pct"/>
                  <w:vAlign w:val="center"/>
                </w:tcPr>
                <w:p w14:paraId="5F364E06">
                  <w:pPr>
                    <w:jc w:val="center"/>
                    <w:rPr>
                      <w:bCs/>
                      <w:color w:val="auto"/>
                      <w:szCs w:val="21"/>
                    </w:rPr>
                  </w:pPr>
                  <w:r>
                    <w:rPr>
                      <w:rFonts w:hint="eastAsia"/>
                      <w:color w:val="auto"/>
                      <w:szCs w:val="21"/>
                    </w:rPr>
                    <w:t>厂界北侧</w:t>
                  </w:r>
                </w:p>
              </w:tc>
              <w:tc>
                <w:tcPr>
                  <w:tcW w:w="532" w:type="pct"/>
                  <w:vAlign w:val="center"/>
                </w:tcPr>
                <w:p w14:paraId="7BB954ED">
                  <w:pPr>
                    <w:spacing w:line="300" w:lineRule="exact"/>
                    <w:jc w:val="center"/>
                    <w:rPr>
                      <w:rFonts w:hint="eastAsia"/>
                      <w:color w:val="auto"/>
                      <w:lang w:val="en-US" w:eastAsia="zh-CN"/>
                    </w:rPr>
                  </w:pPr>
                  <w:r>
                    <w:rPr>
                      <w:rFonts w:hint="eastAsia"/>
                      <w:color w:val="auto"/>
                      <w:lang w:val="en-US" w:eastAsia="zh-CN"/>
                    </w:rPr>
                    <w:t>56</w:t>
                  </w:r>
                </w:p>
              </w:tc>
              <w:tc>
                <w:tcPr>
                  <w:tcW w:w="472" w:type="pct"/>
                  <w:vAlign w:val="center"/>
                </w:tcPr>
                <w:p w14:paraId="7C270512">
                  <w:pPr>
                    <w:spacing w:line="300" w:lineRule="exact"/>
                    <w:jc w:val="center"/>
                    <w:rPr>
                      <w:rFonts w:hint="default" w:eastAsia="宋体"/>
                      <w:bCs/>
                      <w:color w:val="auto"/>
                      <w:szCs w:val="21"/>
                      <w:lang w:val="en-US" w:eastAsia="zh-CN"/>
                    </w:rPr>
                  </w:pPr>
                  <w:r>
                    <w:rPr>
                      <w:rFonts w:hint="eastAsia"/>
                      <w:color w:val="auto"/>
                      <w:lang w:val="en-US" w:eastAsia="zh-CN"/>
                    </w:rPr>
                    <w:t>20.00</w:t>
                  </w:r>
                </w:p>
              </w:tc>
              <w:tc>
                <w:tcPr>
                  <w:tcW w:w="531" w:type="pct"/>
                  <w:shd w:val="clear" w:color="auto" w:fill="auto"/>
                  <w:vAlign w:val="center"/>
                </w:tcPr>
                <w:p w14:paraId="13757B2A">
                  <w:pPr>
                    <w:spacing w:line="300" w:lineRule="exact"/>
                    <w:jc w:val="center"/>
                    <w:rPr>
                      <w:rFonts w:hint="default"/>
                      <w:color w:val="auto"/>
                      <w:lang w:val="en-US" w:eastAsia="zh-CN"/>
                    </w:rPr>
                  </w:pPr>
                  <w:r>
                    <w:rPr>
                      <w:rFonts w:hint="eastAsia"/>
                      <w:color w:val="auto"/>
                      <w:lang w:val="en-US" w:eastAsia="zh-CN"/>
                    </w:rPr>
                    <w:t>56.00</w:t>
                  </w:r>
                </w:p>
              </w:tc>
              <w:tc>
                <w:tcPr>
                  <w:tcW w:w="523" w:type="pct"/>
                  <w:shd w:val="clear" w:color="auto" w:fill="auto"/>
                  <w:vAlign w:val="center"/>
                </w:tcPr>
                <w:p w14:paraId="3EE51111">
                  <w:pPr>
                    <w:spacing w:line="300" w:lineRule="exact"/>
                    <w:jc w:val="center"/>
                    <w:rPr>
                      <w:rFonts w:hint="eastAsia"/>
                      <w:color w:val="auto"/>
                      <w:lang w:val="en-US" w:eastAsia="zh-CN"/>
                    </w:rPr>
                  </w:pPr>
                  <w:r>
                    <w:rPr>
                      <w:rFonts w:hint="eastAsia"/>
                      <w:color w:val="auto"/>
                      <w:lang w:val="en-US" w:eastAsia="zh-CN"/>
                    </w:rPr>
                    <w:t>49</w:t>
                  </w:r>
                </w:p>
              </w:tc>
              <w:tc>
                <w:tcPr>
                  <w:tcW w:w="523" w:type="pct"/>
                  <w:shd w:val="clear" w:color="auto" w:fill="auto"/>
                  <w:vAlign w:val="center"/>
                </w:tcPr>
                <w:p w14:paraId="6D42A34E">
                  <w:pPr>
                    <w:spacing w:line="300" w:lineRule="exact"/>
                    <w:jc w:val="center"/>
                    <w:rPr>
                      <w:rFonts w:hint="default" w:ascii="Times New Roman" w:hAnsi="Times New Roman" w:eastAsia="宋体" w:cs="Times New Roman"/>
                      <w:bCs/>
                      <w:color w:val="auto"/>
                      <w:kern w:val="2"/>
                      <w:sz w:val="21"/>
                      <w:szCs w:val="21"/>
                      <w:lang w:val="en-US" w:eastAsia="zh-CN" w:bidi="ar-SA"/>
                    </w:rPr>
                  </w:pPr>
                  <w:r>
                    <w:rPr>
                      <w:rFonts w:hint="eastAsia"/>
                      <w:color w:val="auto"/>
                      <w:lang w:val="en-US" w:eastAsia="zh-CN"/>
                    </w:rPr>
                    <w:t>20.00</w:t>
                  </w:r>
                </w:p>
              </w:tc>
              <w:tc>
                <w:tcPr>
                  <w:tcW w:w="566" w:type="pct"/>
                  <w:vAlign w:val="center"/>
                </w:tcPr>
                <w:p w14:paraId="706F0F85">
                  <w:pPr>
                    <w:jc w:val="center"/>
                    <w:rPr>
                      <w:rFonts w:hint="default" w:eastAsia="宋体"/>
                      <w:bCs/>
                      <w:color w:val="auto"/>
                      <w:szCs w:val="21"/>
                      <w:lang w:val="en-US" w:eastAsia="zh-CN"/>
                    </w:rPr>
                  </w:pPr>
                  <w:r>
                    <w:rPr>
                      <w:rFonts w:hint="eastAsia"/>
                      <w:bCs/>
                      <w:color w:val="auto"/>
                      <w:szCs w:val="21"/>
                      <w:lang w:val="en-US" w:eastAsia="zh-CN"/>
                    </w:rPr>
                    <w:t>49.01</w:t>
                  </w:r>
                </w:p>
              </w:tc>
              <w:tc>
                <w:tcPr>
                  <w:tcW w:w="443" w:type="pct"/>
                  <w:vAlign w:val="center"/>
                </w:tcPr>
                <w:p w14:paraId="7FB57A5C">
                  <w:pPr>
                    <w:jc w:val="center"/>
                    <w:rPr>
                      <w:bCs/>
                      <w:color w:val="auto"/>
                      <w:szCs w:val="21"/>
                    </w:rPr>
                  </w:pPr>
                  <w:r>
                    <w:rPr>
                      <w:rFonts w:hint="eastAsia"/>
                      <w:bCs/>
                      <w:color w:val="auto"/>
                      <w:szCs w:val="21"/>
                    </w:rPr>
                    <w:t>60</w:t>
                  </w:r>
                </w:p>
              </w:tc>
              <w:tc>
                <w:tcPr>
                  <w:tcW w:w="427" w:type="pct"/>
                  <w:vAlign w:val="center"/>
                </w:tcPr>
                <w:p w14:paraId="22A8D450">
                  <w:pPr>
                    <w:jc w:val="center"/>
                    <w:rPr>
                      <w:color w:val="auto"/>
                      <w:szCs w:val="21"/>
                    </w:rPr>
                  </w:pPr>
                  <w:r>
                    <w:rPr>
                      <w:rFonts w:hint="eastAsia"/>
                      <w:bCs/>
                      <w:color w:val="auto"/>
                      <w:szCs w:val="21"/>
                    </w:rPr>
                    <w:t>50</w:t>
                  </w:r>
                </w:p>
              </w:tc>
              <w:tc>
                <w:tcPr>
                  <w:tcW w:w="312" w:type="pct"/>
                  <w:vMerge w:val="continue"/>
                  <w:vAlign w:val="center"/>
                </w:tcPr>
                <w:p w14:paraId="14A69838">
                  <w:pPr>
                    <w:jc w:val="center"/>
                    <w:rPr>
                      <w:bCs/>
                      <w:color w:val="auto"/>
                      <w:szCs w:val="21"/>
                    </w:rPr>
                  </w:pPr>
                </w:p>
              </w:tc>
            </w:tr>
          </w:tbl>
          <w:p w14:paraId="726EF96E">
            <w:pPr>
              <w:autoSpaceDE w:val="0"/>
              <w:autoSpaceDN w:val="0"/>
              <w:adjustRightInd w:val="0"/>
              <w:spacing w:line="360" w:lineRule="auto"/>
              <w:ind w:firstLine="480" w:firstLineChars="200"/>
              <w:rPr>
                <w:color w:val="auto"/>
                <w:sz w:val="24"/>
              </w:rPr>
            </w:pPr>
            <w:r>
              <w:rPr>
                <w:rFonts w:hint="eastAsia"/>
                <w:color w:val="auto"/>
                <w:sz w:val="24"/>
              </w:rPr>
              <w:t>根据预测结果可知，项目运营期间，项目厂界</w:t>
            </w:r>
            <w:r>
              <w:rPr>
                <w:rFonts w:hint="eastAsia"/>
                <w:color w:val="auto"/>
                <w:sz w:val="24"/>
                <w:lang w:val="en-US" w:eastAsia="zh-CN"/>
              </w:rPr>
              <w:t>四周</w:t>
            </w:r>
            <w:r>
              <w:rPr>
                <w:rFonts w:hint="eastAsia"/>
                <w:color w:val="auto"/>
                <w:sz w:val="24"/>
              </w:rPr>
              <w:t>噪声昼夜间预测值达到《工业企业厂界环境噪声排放标准》（GB12348-2008）2类标准要求。为了进一步降低噪声污染，建设单位拟采取以下防治措施：</w:t>
            </w:r>
          </w:p>
          <w:p w14:paraId="6652A0DE">
            <w:pPr>
              <w:autoSpaceDE w:val="0"/>
              <w:autoSpaceDN w:val="0"/>
              <w:adjustRightInd w:val="0"/>
              <w:spacing w:line="360" w:lineRule="auto"/>
              <w:ind w:firstLine="480" w:firstLineChars="200"/>
              <w:rPr>
                <w:color w:val="auto"/>
                <w:sz w:val="24"/>
              </w:rPr>
            </w:pPr>
            <w:r>
              <w:rPr>
                <w:rFonts w:hint="eastAsia"/>
                <w:color w:val="auto"/>
                <w:sz w:val="24"/>
              </w:rPr>
              <w:t>①在满足生产需要的前提下，选用低噪声的设备和机械。</w:t>
            </w:r>
          </w:p>
          <w:p w14:paraId="25C8C38D">
            <w:pPr>
              <w:autoSpaceDE w:val="0"/>
              <w:autoSpaceDN w:val="0"/>
              <w:adjustRightInd w:val="0"/>
              <w:spacing w:line="360" w:lineRule="auto"/>
              <w:ind w:firstLine="480" w:firstLineChars="200"/>
              <w:rPr>
                <w:color w:val="auto"/>
                <w:sz w:val="24"/>
              </w:rPr>
            </w:pPr>
            <w:r>
              <w:rPr>
                <w:rFonts w:hint="eastAsia"/>
                <w:color w:val="auto"/>
                <w:sz w:val="24"/>
              </w:rPr>
              <w:t>②生产设备安装减振垫，按时检查、维修，防止生产设备带病运行造成机械噪声值增加。</w:t>
            </w:r>
          </w:p>
          <w:p w14:paraId="0AE7035B">
            <w:pPr>
              <w:widowControl/>
              <w:autoSpaceDE w:val="0"/>
              <w:autoSpaceDN w:val="0"/>
              <w:adjustRightInd w:val="0"/>
              <w:spacing w:line="360" w:lineRule="auto"/>
              <w:ind w:left="479" w:leftChars="228"/>
              <w:rPr>
                <w:rFonts w:hint="eastAsia"/>
                <w:color w:val="auto"/>
                <w:sz w:val="24"/>
              </w:rPr>
            </w:pPr>
            <w:r>
              <w:rPr>
                <w:rFonts w:hint="eastAsia"/>
                <w:color w:val="auto"/>
                <w:sz w:val="24"/>
              </w:rPr>
              <w:t>③所有生产设备合理布置，设备均置于生产车间内，采取隔声、减振措施。</w:t>
            </w:r>
          </w:p>
          <w:p w14:paraId="13E1CC9A">
            <w:pPr>
              <w:widowControl/>
              <w:autoSpaceDE w:val="0"/>
              <w:autoSpaceDN w:val="0"/>
              <w:adjustRightInd w:val="0"/>
              <w:spacing w:line="360" w:lineRule="auto"/>
              <w:ind w:left="479" w:leftChars="228"/>
              <w:rPr>
                <w:color w:val="auto"/>
                <w:sz w:val="24"/>
              </w:rPr>
            </w:pPr>
            <w:r>
              <w:rPr>
                <w:rFonts w:hint="eastAsia"/>
                <w:color w:val="auto"/>
                <w:sz w:val="24"/>
              </w:rPr>
              <w:t>在采取上述降噪措施后，项目噪声对周围敏感点环境产生的影响较小。</w:t>
            </w:r>
          </w:p>
          <w:p w14:paraId="421AC05B">
            <w:pPr>
              <w:adjustRightInd w:val="0"/>
              <w:snapToGrid w:val="0"/>
              <w:spacing w:line="360" w:lineRule="auto"/>
              <w:ind w:firstLine="480" w:firstLineChars="200"/>
              <w:rPr>
                <w:bCs/>
                <w:color w:val="auto"/>
                <w:sz w:val="24"/>
              </w:rPr>
            </w:pPr>
            <w:r>
              <w:rPr>
                <w:rFonts w:hint="eastAsia"/>
                <w:bCs/>
                <w:color w:val="auto"/>
                <w:sz w:val="24"/>
              </w:rPr>
              <w:t>（3）</w:t>
            </w:r>
            <w:r>
              <w:rPr>
                <w:bCs/>
                <w:color w:val="auto"/>
                <w:sz w:val="24"/>
              </w:rPr>
              <w:t>噪声监测要求</w:t>
            </w:r>
          </w:p>
          <w:p w14:paraId="2C239D18">
            <w:pPr>
              <w:spacing w:line="360" w:lineRule="auto"/>
              <w:ind w:firstLine="495"/>
              <w:rPr>
                <w:color w:val="auto"/>
                <w:sz w:val="24"/>
              </w:rPr>
            </w:pPr>
            <w:r>
              <w:rPr>
                <w:rFonts w:hint="eastAsia"/>
                <w:color w:val="auto"/>
                <w:sz w:val="24"/>
              </w:rPr>
              <w:t>根据《排污单位自行监测技术指南总则》（HJ819-2017）</w:t>
            </w:r>
            <w:r>
              <w:rPr>
                <w:color w:val="auto"/>
                <w:sz w:val="24"/>
              </w:rPr>
              <w:t>本项目运营期噪声监测计划见下表。</w:t>
            </w:r>
          </w:p>
          <w:p w14:paraId="10904630">
            <w:pPr>
              <w:ind w:firstLine="482" w:firstLineChars="200"/>
              <w:jc w:val="center"/>
              <w:rPr>
                <w:b/>
                <w:color w:val="auto"/>
                <w:sz w:val="24"/>
              </w:rPr>
            </w:pPr>
            <w:r>
              <w:rPr>
                <w:b/>
                <w:color w:val="auto"/>
                <w:sz w:val="24"/>
              </w:rPr>
              <w:t>表4</w:t>
            </w:r>
            <w:r>
              <w:rPr>
                <w:rFonts w:hint="eastAsia"/>
                <w:b/>
                <w:color w:val="auto"/>
                <w:sz w:val="24"/>
              </w:rPr>
              <w:t>-</w:t>
            </w:r>
            <w:r>
              <w:rPr>
                <w:rFonts w:hint="eastAsia"/>
                <w:b/>
                <w:color w:val="auto"/>
                <w:sz w:val="24"/>
                <w:lang w:val="en-US" w:eastAsia="zh-CN"/>
              </w:rPr>
              <w:t xml:space="preserve">10 </w:t>
            </w:r>
            <w:r>
              <w:rPr>
                <w:b/>
                <w:color w:val="auto"/>
                <w:sz w:val="24"/>
              </w:rPr>
              <w:t xml:space="preserve"> 项目环境监测计划</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680"/>
              <w:gridCol w:w="2825"/>
              <w:gridCol w:w="2170"/>
              <w:gridCol w:w="1406"/>
            </w:tblGrid>
            <w:tr w14:paraId="20B62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1039" w:type="pct"/>
                  <w:vAlign w:val="center"/>
                </w:tcPr>
                <w:p w14:paraId="54FBC1E2">
                  <w:pPr>
                    <w:pStyle w:val="8"/>
                    <w:tabs>
                      <w:tab w:val="left" w:pos="451"/>
                      <w:tab w:val="center" w:pos="1013"/>
                    </w:tabs>
                    <w:adjustRightInd w:val="0"/>
                    <w:snapToGrid w:val="0"/>
                    <w:spacing w:after="0"/>
                    <w:ind w:left="0" w:leftChars="0"/>
                    <w:jc w:val="center"/>
                    <w:rPr>
                      <w:bCs/>
                      <w:color w:val="auto"/>
                      <w:sz w:val="21"/>
                      <w:szCs w:val="21"/>
                    </w:rPr>
                  </w:pPr>
                  <w:r>
                    <w:rPr>
                      <w:bCs/>
                      <w:color w:val="auto"/>
                      <w:sz w:val="21"/>
                      <w:szCs w:val="21"/>
                    </w:rPr>
                    <w:t>监测项目</w:t>
                  </w:r>
                </w:p>
              </w:tc>
              <w:tc>
                <w:tcPr>
                  <w:tcW w:w="1747" w:type="pct"/>
                  <w:vAlign w:val="center"/>
                </w:tcPr>
                <w:p w14:paraId="253FDB8F">
                  <w:pPr>
                    <w:pStyle w:val="8"/>
                    <w:adjustRightInd w:val="0"/>
                    <w:snapToGrid w:val="0"/>
                    <w:spacing w:after="0"/>
                    <w:ind w:left="0" w:leftChars="0"/>
                    <w:jc w:val="center"/>
                    <w:rPr>
                      <w:bCs/>
                      <w:color w:val="auto"/>
                      <w:sz w:val="21"/>
                      <w:szCs w:val="21"/>
                    </w:rPr>
                  </w:pPr>
                  <w:r>
                    <w:rPr>
                      <w:bCs/>
                      <w:color w:val="auto"/>
                      <w:sz w:val="21"/>
                      <w:szCs w:val="21"/>
                    </w:rPr>
                    <w:t>监测点位</w:t>
                  </w:r>
                </w:p>
              </w:tc>
              <w:tc>
                <w:tcPr>
                  <w:tcW w:w="1342" w:type="pct"/>
                  <w:vAlign w:val="center"/>
                </w:tcPr>
                <w:p w14:paraId="65BCBB0C">
                  <w:pPr>
                    <w:pStyle w:val="8"/>
                    <w:adjustRightInd w:val="0"/>
                    <w:snapToGrid w:val="0"/>
                    <w:spacing w:after="0"/>
                    <w:ind w:left="0" w:leftChars="0"/>
                    <w:jc w:val="center"/>
                    <w:rPr>
                      <w:bCs/>
                      <w:color w:val="auto"/>
                      <w:sz w:val="21"/>
                      <w:szCs w:val="21"/>
                    </w:rPr>
                  </w:pPr>
                  <w:r>
                    <w:rPr>
                      <w:bCs/>
                      <w:color w:val="auto"/>
                      <w:sz w:val="21"/>
                      <w:szCs w:val="21"/>
                    </w:rPr>
                    <w:t>监测因子</w:t>
                  </w:r>
                </w:p>
              </w:tc>
              <w:tc>
                <w:tcPr>
                  <w:tcW w:w="869" w:type="pct"/>
                  <w:vAlign w:val="center"/>
                </w:tcPr>
                <w:p w14:paraId="2904F1BC">
                  <w:pPr>
                    <w:pStyle w:val="8"/>
                    <w:adjustRightInd w:val="0"/>
                    <w:snapToGrid w:val="0"/>
                    <w:spacing w:after="0"/>
                    <w:ind w:left="0" w:leftChars="0"/>
                    <w:jc w:val="center"/>
                    <w:rPr>
                      <w:bCs/>
                      <w:color w:val="auto"/>
                      <w:sz w:val="21"/>
                      <w:szCs w:val="21"/>
                    </w:rPr>
                  </w:pPr>
                  <w:r>
                    <w:rPr>
                      <w:bCs/>
                      <w:color w:val="auto"/>
                      <w:sz w:val="21"/>
                      <w:szCs w:val="21"/>
                    </w:rPr>
                    <w:t>监测频率</w:t>
                  </w:r>
                </w:p>
              </w:tc>
            </w:tr>
            <w:tr w14:paraId="69AFB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17EC2869">
                  <w:pPr>
                    <w:pStyle w:val="8"/>
                    <w:adjustRightInd w:val="0"/>
                    <w:snapToGrid w:val="0"/>
                    <w:spacing w:after="0"/>
                    <w:ind w:left="0" w:leftChars="0"/>
                    <w:jc w:val="center"/>
                    <w:rPr>
                      <w:color w:val="auto"/>
                      <w:sz w:val="21"/>
                      <w:szCs w:val="21"/>
                    </w:rPr>
                  </w:pPr>
                  <w:r>
                    <w:rPr>
                      <w:color w:val="auto"/>
                      <w:sz w:val="21"/>
                      <w:szCs w:val="21"/>
                    </w:rPr>
                    <w:t>噪声</w:t>
                  </w:r>
                </w:p>
              </w:tc>
              <w:tc>
                <w:tcPr>
                  <w:tcW w:w="1747" w:type="pct"/>
                  <w:vAlign w:val="center"/>
                </w:tcPr>
                <w:p w14:paraId="1DD728C7">
                  <w:pPr>
                    <w:pStyle w:val="8"/>
                    <w:adjustRightInd w:val="0"/>
                    <w:snapToGrid w:val="0"/>
                    <w:spacing w:after="0"/>
                    <w:ind w:left="0" w:leftChars="0"/>
                    <w:jc w:val="center"/>
                    <w:rPr>
                      <w:color w:val="auto"/>
                      <w:sz w:val="21"/>
                      <w:szCs w:val="21"/>
                    </w:rPr>
                  </w:pPr>
                  <w:r>
                    <w:rPr>
                      <w:color w:val="auto"/>
                      <w:sz w:val="21"/>
                      <w:szCs w:val="21"/>
                    </w:rPr>
                    <w:t>厂界四周</w:t>
                  </w:r>
                </w:p>
              </w:tc>
              <w:tc>
                <w:tcPr>
                  <w:tcW w:w="1342" w:type="pct"/>
                  <w:vAlign w:val="center"/>
                </w:tcPr>
                <w:p w14:paraId="0550B7C8">
                  <w:pPr>
                    <w:pStyle w:val="8"/>
                    <w:adjustRightInd w:val="0"/>
                    <w:snapToGrid w:val="0"/>
                    <w:spacing w:after="0"/>
                    <w:ind w:left="0" w:leftChars="0"/>
                    <w:jc w:val="center"/>
                    <w:rPr>
                      <w:color w:val="auto"/>
                      <w:sz w:val="21"/>
                      <w:szCs w:val="21"/>
                    </w:rPr>
                  </w:pPr>
                  <w:r>
                    <w:rPr>
                      <w:color w:val="auto"/>
                      <w:sz w:val="21"/>
                      <w:szCs w:val="21"/>
                    </w:rPr>
                    <w:t>等效A声级dB（A）</w:t>
                  </w:r>
                </w:p>
              </w:tc>
              <w:tc>
                <w:tcPr>
                  <w:tcW w:w="869" w:type="pct"/>
                  <w:vAlign w:val="center"/>
                </w:tcPr>
                <w:p w14:paraId="7613E0A1">
                  <w:pPr>
                    <w:pStyle w:val="8"/>
                    <w:adjustRightInd w:val="0"/>
                    <w:snapToGrid w:val="0"/>
                    <w:spacing w:after="0"/>
                    <w:ind w:left="0" w:leftChars="0"/>
                    <w:jc w:val="center"/>
                    <w:rPr>
                      <w:color w:val="auto"/>
                      <w:sz w:val="21"/>
                      <w:szCs w:val="21"/>
                    </w:rPr>
                  </w:pPr>
                  <w:r>
                    <w:rPr>
                      <w:color w:val="auto"/>
                      <w:sz w:val="21"/>
                      <w:szCs w:val="21"/>
                    </w:rPr>
                    <w:t>1次/</w:t>
                  </w:r>
                  <w:r>
                    <w:rPr>
                      <w:rFonts w:hint="eastAsia"/>
                      <w:color w:val="auto"/>
                      <w:sz w:val="21"/>
                      <w:szCs w:val="21"/>
                    </w:rPr>
                    <w:t>季度</w:t>
                  </w:r>
                </w:p>
              </w:tc>
            </w:tr>
          </w:tbl>
          <w:p w14:paraId="77842F63">
            <w:pPr>
              <w:pStyle w:val="8"/>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22" w:firstLineChars="200"/>
              <w:jc w:val="left"/>
              <w:textAlignment w:val="auto"/>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备注：纳入全厂噪声监测计划。</w:t>
            </w:r>
          </w:p>
          <w:p w14:paraId="0102C6F1">
            <w:pPr>
              <w:tabs>
                <w:tab w:val="left" w:pos="2851"/>
              </w:tabs>
              <w:adjustRightInd w:val="0"/>
              <w:snapToGrid w:val="0"/>
              <w:spacing w:line="360" w:lineRule="auto"/>
              <w:ind w:firstLine="442" w:firstLineChars="200"/>
              <w:rPr>
                <w:b/>
                <w:color w:val="auto"/>
                <w:spacing w:val="-10"/>
                <w:sz w:val="24"/>
              </w:rPr>
            </w:pPr>
            <w:r>
              <w:rPr>
                <w:b/>
                <w:color w:val="auto"/>
                <w:spacing w:val="-10"/>
                <w:sz w:val="24"/>
              </w:rPr>
              <w:t>4、固体废物</w:t>
            </w:r>
          </w:p>
          <w:p w14:paraId="5CCF2846">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Times New Roman" w:eastAsia="宋体" w:cs="Times New Roman"/>
                <w:color w:val="auto"/>
                <w:sz w:val="24"/>
                <w:lang w:val="en-US"/>
              </w:rPr>
            </w:pPr>
            <w:r>
              <w:rPr>
                <w:color w:val="auto"/>
                <w:sz w:val="24"/>
              </w:rPr>
              <w:t>项目运营期产生的固体废物主要为</w:t>
            </w:r>
            <w:r>
              <w:rPr>
                <w:rStyle w:val="87"/>
                <w:rFonts w:hint="eastAsia" w:ascii="Times New Roman" w:hAnsi="Times New Roman" w:eastAsia="宋体" w:cs="Times New Roman"/>
                <w:color w:val="auto"/>
                <w:sz w:val="24"/>
                <w:szCs w:val="22"/>
                <w:lang w:val="en-US"/>
              </w:rPr>
              <w:t>除尘器收集的粉</w:t>
            </w:r>
            <w:r>
              <w:rPr>
                <w:rFonts w:hint="eastAsia" w:ascii="Times New Roman" w:hAnsi="Times New Roman" w:eastAsia="宋体" w:cs="Times New Roman"/>
                <w:color w:val="auto"/>
                <w:sz w:val="24"/>
                <w:lang w:val="en-US"/>
              </w:rPr>
              <w:t>尘</w:t>
            </w:r>
            <w:r>
              <w:rPr>
                <w:rFonts w:hint="eastAsia" w:cs="Times New Roman"/>
                <w:color w:val="auto"/>
                <w:sz w:val="24"/>
                <w:lang w:val="en-US" w:eastAsia="zh-CN"/>
              </w:rPr>
              <w:t>和</w:t>
            </w:r>
            <w:r>
              <w:rPr>
                <w:rFonts w:hint="eastAsia" w:ascii="Times New Roman" w:hAnsi="Times New Roman" w:eastAsia="宋体" w:cs="Times New Roman"/>
                <w:color w:val="auto"/>
                <w:sz w:val="24"/>
                <w:lang w:val="en-US"/>
              </w:rPr>
              <w:t>废机油。</w:t>
            </w:r>
          </w:p>
          <w:p w14:paraId="7065D91E">
            <w:pPr>
              <w:adjustRightInd w:val="0"/>
              <w:snapToGrid w:val="0"/>
              <w:spacing w:line="360" w:lineRule="auto"/>
              <w:ind w:firstLine="480" w:firstLineChars="200"/>
              <w:outlineLvl w:val="0"/>
              <w:rPr>
                <w:rFonts w:hint="eastAsia" w:ascii="Times New Roman" w:hAnsi="Times New Roman"/>
                <w:color w:val="auto"/>
                <w:sz w:val="24"/>
              </w:rPr>
            </w:pPr>
            <w:r>
              <w:rPr>
                <w:rFonts w:hint="eastAsia" w:ascii="Times New Roman" w:hAnsi="Times New Roman"/>
                <w:color w:val="auto"/>
                <w:sz w:val="24"/>
              </w:rPr>
              <w:t>（</w:t>
            </w:r>
            <w:r>
              <w:rPr>
                <w:rFonts w:hint="eastAsia" w:ascii="Times New Roman" w:hAnsi="Times New Roman"/>
                <w:color w:val="auto"/>
                <w:sz w:val="24"/>
                <w:lang w:val="en-US" w:eastAsia="zh-CN"/>
              </w:rPr>
              <w:t>1</w:t>
            </w:r>
            <w:r>
              <w:rPr>
                <w:rFonts w:hint="eastAsia" w:ascii="Times New Roman" w:hAnsi="Times New Roman"/>
                <w:color w:val="auto"/>
                <w:sz w:val="24"/>
              </w:rPr>
              <w:t>）除尘器收集的粉尘</w:t>
            </w:r>
          </w:p>
          <w:p w14:paraId="7A673D11">
            <w:pPr>
              <w:adjustRightInd w:val="0"/>
              <w:snapToGrid w:val="0"/>
              <w:spacing w:line="360" w:lineRule="auto"/>
              <w:ind w:firstLine="480" w:firstLineChars="200"/>
              <w:outlineLvl w:val="0"/>
              <w:rPr>
                <w:rFonts w:hint="eastAsia" w:ascii="Times New Roman" w:hAnsi="Times New Roman"/>
                <w:color w:val="auto"/>
                <w:sz w:val="24"/>
              </w:rPr>
            </w:pPr>
            <w:r>
              <w:rPr>
                <w:rFonts w:hint="eastAsia" w:ascii="Times New Roman" w:hAnsi="Times New Roman"/>
                <w:color w:val="auto"/>
                <w:sz w:val="24"/>
              </w:rPr>
              <w:t>除尘器收集的粉尘</w:t>
            </w:r>
            <w:r>
              <w:rPr>
                <w:rFonts w:hint="eastAsia"/>
                <w:color w:val="auto"/>
                <w:sz w:val="24"/>
                <w:lang w:val="en-US" w:eastAsia="zh-CN"/>
              </w:rPr>
              <w:t>作为原料</w:t>
            </w:r>
            <w:r>
              <w:rPr>
                <w:rFonts w:hint="eastAsia" w:ascii="Times New Roman" w:hAnsi="Times New Roman"/>
                <w:color w:val="auto"/>
                <w:sz w:val="24"/>
              </w:rPr>
              <w:t>全部回用于生产</w:t>
            </w:r>
            <w:r>
              <w:rPr>
                <w:rFonts w:hint="eastAsia"/>
                <w:color w:val="auto"/>
                <w:sz w:val="24"/>
                <w:lang w:val="en-US" w:eastAsia="zh-CN"/>
              </w:rPr>
              <w:t>二级筛分工序</w:t>
            </w:r>
            <w:r>
              <w:rPr>
                <w:rFonts w:hint="eastAsia" w:ascii="Times New Roman" w:hAnsi="Times New Roman"/>
                <w:color w:val="auto"/>
                <w:sz w:val="24"/>
              </w:rPr>
              <w:t>。</w:t>
            </w:r>
          </w:p>
          <w:p w14:paraId="66D74541">
            <w:pPr>
              <w:adjustRightInd w:val="0"/>
              <w:snapToGrid w:val="0"/>
              <w:spacing w:line="360" w:lineRule="auto"/>
              <w:ind w:firstLine="480" w:firstLineChars="200"/>
              <w:outlineLvl w:val="0"/>
              <w:rPr>
                <w:rFonts w:hint="eastAsia" w:ascii="Times New Roman" w:hAnsi="Times New Roman"/>
                <w:color w:val="auto"/>
                <w:sz w:val="24"/>
              </w:rPr>
            </w:pPr>
            <w:r>
              <w:rPr>
                <w:rFonts w:hint="eastAsia" w:ascii="Times New Roman" w:hAnsi="Times New Roman"/>
                <w:color w:val="auto"/>
                <w:sz w:val="24"/>
              </w:rPr>
              <w:t>（</w:t>
            </w:r>
            <w:r>
              <w:rPr>
                <w:rFonts w:hint="eastAsia"/>
                <w:color w:val="auto"/>
                <w:sz w:val="24"/>
                <w:lang w:val="en-US" w:eastAsia="zh-CN"/>
              </w:rPr>
              <w:t>2</w:t>
            </w:r>
            <w:r>
              <w:rPr>
                <w:rFonts w:hint="eastAsia" w:ascii="Times New Roman" w:hAnsi="Times New Roman"/>
                <w:color w:val="auto"/>
                <w:sz w:val="24"/>
              </w:rPr>
              <w:t>）废机油</w:t>
            </w:r>
          </w:p>
          <w:p w14:paraId="350F06DC">
            <w:pPr>
              <w:spacing w:line="360" w:lineRule="auto"/>
              <w:ind w:firstLine="480" w:firstLineChars="200"/>
              <w:rPr>
                <w:rFonts w:hint="eastAsia" w:ascii="Times New Roman" w:hAnsi="Times New Roman"/>
                <w:color w:val="auto"/>
                <w:sz w:val="24"/>
                <w:szCs w:val="24"/>
              </w:rPr>
            </w:pPr>
            <w:r>
              <w:rPr>
                <w:rFonts w:hint="eastAsia" w:ascii="Times New Roman" w:hAnsi="Times New Roman"/>
                <w:color w:val="auto"/>
                <w:sz w:val="24"/>
              </w:rPr>
              <w:t>厂区内机修间不具备大修能力，生产设备仅进行机油更换，车辆修理等均在汽车修理厂进行。废机油在厂区内</w:t>
            </w:r>
            <w:r>
              <w:rPr>
                <w:rFonts w:hint="eastAsia" w:ascii="Times New Roman" w:hAnsi="Times New Roman"/>
                <w:color w:val="auto"/>
                <w:sz w:val="24"/>
                <w:lang w:val="en-US" w:eastAsia="zh-CN"/>
              </w:rPr>
              <w:t>危废贮存</w:t>
            </w:r>
            <w:r>
              <w:rPr>
                <w:rFonts w:hint="eastAsia"/>
                <w:color w:val="auto"/>
                <w:sz w:val="24"/>
                <w:lang w:val="en-US" w:eastAsia="zh-CN"/>
              </w:rPr>
              <w:t>点</w:t>
            </w:r>
            <w:r>
              <w:rPr>
                <w:rFonts w:hint="eastAsia" w:ascii="Times New Roman" w:hAnsi="Times New Roman"/>
                <w:color w:val="auto"/>
                <w:sz w:val="24"/>
                <w:szCs w:val="24"/>
              </w:rPr>
              <w:t>（位于办公楼内，防风防雨，占地约3</w:t>
            </w:r>
            <w:r>
              <w:rPr>
                <w:rFonts w:ascii="Times New Roman" w:hAnsi="Times New Roman"/>
                <w:color w:val="auto"/>
                <w:sz w:val="24"/>
                <w:szCs w:val="24"/>
              </w:rPr>
              <w:t xml:space="preserve"> </w:t>
            </w:r>
            <w:r>
              <w:rPr>
                <w:rFonts w:hint="eastAsia" w:ascii="Times New Roman" w:hAnsi="Times New Roman"/>
                <w:color w:val="auto"/>
                <w:sz w:val="24"/>
                <w:szCs w:val="24"/>
              </w:rPr>
              <w:t>m</w:t>
            </w:r>
            <w:r>
              <w:rPr>
                <w:rFonts w:ascii="Times New Roman" w:hAnsi="Times New Roman"/>
                <w:color w:val="auto"/>
                <w:sz w:val="24"/>
                <w:szCs w:val="24"/>
              </w:rPr>
              <w:t>²</w:t>
            </w:r>
            <w:r>
              <w:rPr>
                <w:rFonts w:hint="eastAsia" w:ascii="Times New Roman" w:hAnsi="Times New Roman"/>
                <w:color w:val="auto"/>
                <w:sz w:val="24"/>
                <w:szCs w:val="24"/>
              </w:rPr>
              <w:t>，标识齐全，制度上墙，地面防渗，设置防渗托盘）暂存，定期交陕西环能科技有限公司处置。</w:t>
            </w:r>
          </w:p>
          <w:p w14:paraId="0BF259C7">
            <w:pPr>
              <w:spacing w:line="360" w:lineRule="auto"/>
              <w:ind w:firstLine="480" w:firstLineChars="200"/>
              <w:rPr>
                <w:color w:val="auto"/>
                <w:sz w:val="24"/>
              </w:rPr>
            </w:pPr>
            <w:r>
              <w:rPr>
                <w:color w:val="auto"/>
                <w:sz w:val="24"/>
              </w:rPr>
              <w:t>本项目产生固废汇总情况见下表。</w:t>
            </w:r>
          </w:p>
          <w:p w14:paraId="7CB5DBB6">
            <w:pPr>
              <w:jc w:val="center"/>
              <w:rPr>
                <w:b/>
                <w:color w:val="auto"/>
                <w:sz w:val="24"/>
              </w:rPr>
            </w:pPr>
            <w:r>
              <w:rPr>
                <w:b/>
                <w:color w:val="auto"/>
                <w:sz w:val="24"/>
              </w:rPr>
              <w:t>表4-</w:t>
            </w:r>
            <w:r>
              <w:rPr>
                <w:rFonts w:hint="eastAsia"/>
                <w:b/>
                <w:color w:val="auto"/>
                <w:sz w:val="24"/>
              </w:rPr>
              <w:t>1</w:t>
            </w:r>
            <w:r>
              <w:rPr>
                <w:rFonts w:hint="eastAsia"/>
                <w:b/>
                <w:color w:val="auto"/>
                <w:sz w:val="24"/>
                <w:lang w:val="en-US" w:eastAsia="zh-CN"/>
              </w:rPr>
              <w:t>1</w:t>
            </w:r>
            <w:r>
              <w:rPr>
                <w:b/>
                <w:color w:val="auto"/>
                <w:sz w:val="24"/>
              </w:rPr>
              <w:t xml:space="preserve">  本项目固废汇总表</w:t>
            </w:r>
          </w:p>
          <w:tbl>
            <w:tblPr>
              <w:tblStyle w:val="2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627"/>
              <w:gridCol w:w="426"/>
              <w:gridCol w:w="1313"/>
              <w:gridCol w:w="595"/>
              <w:gridCol w:w="739"/>
              <w:gridCol w:w="2105"/>
              <w:gridCol w:w="847"/>
            </w:tblGrid>
            <w:tr w14:paraId="51A1B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vAlign w:val="center"/>
                </w:tcPr>
                <w:p w14:paraId="2ABB8177">
                  <w:pPr>
                    <w:jc w:val="center"/>
                    <w:rPr>
                      <w:bCs/>
                      <w:color w:val="auto"/>
                      <w:szCs w:val="21"/>
                    </w:rPr>
                  </w:pPr>
                  <w:r>
                    <w:rPr>
                      <w:bCs/>
                      <w:color w:val="auto"/>
                      <w:szCs w:val="21"/>
                    </w:rPr>
                    <w:t>序号</w:t>
                  </w:r>
                </w:p>
              </w:tc>
              <w:tc>
                <w:tcPr>
                  <w:tcW w:w="1007" w:type="pct"/>
                  <w:vAlign w:val="center"/>
                </w:tcPr>
                <w:p w14:paraId="3411C5E5">
                  <w:pPr>
                    <w:jc w:val="center"/>
                    <w:rPr>
                      <w:bCs/>
                      <w:color w:val="auto"/>
                      <w:szCs w:val="21"/>
                    </w:rPr>
                  </w:pPr>
                  <w:r>
                    <w:rPr>
                      <w:bCs/>
                      <w:color w:val="auto"/>
                      <w:szCs w:val="21"/>
                    </w:rPr>
                    <w:t>固废名称</w:t>
                  </w:r>
                </w:p>
              </w:tc>
              <w:tc>
                <w:tcPr>
                  <w:tcW w:w="263" w:type="pct"/>
                  <w:vAlign w:val="center"/>
                </w:tcPr>
                <w:p w14:paraId="2C10E8CE">
                  <w:pPr>
                    <w:jc w:val="center"/>
                    <w:rPr>
                      <w:bCs/>
                      <w:color w:val="auto"/>
                      <w:szCs w:val="21"/>
                    </w:rPr>
                  </w:pPr>
                  <w:r>
                    <w:rPr>
                      <w:bCs/>
                      <w:color w:val="auto"/>
                      <w:szCs w:val="21"/>
                    </w:rPr>
                    <w:t>属性</w:t>
                  </w:r>
                </w:p>
              </w:tc>
              <w:tc>
                <w:tcPr>
                  <w:tcW w:w="812" w:type="pct"/>
                  <w:vAlign w:val="center"/>
                </w:tcPr>
                <w:p w14:paraId="69920024">
                  <w:pPr>
                    <w:jc w:val="center"/>
                    <w:rPr>
                      <w:bCs/>
                      <w:color w:val="auto"/>
                      <w:szCs w:val="21"/>
                    </w:rPr>
                  </w:pPr>
                  <w:r>
                    <w:rPr>
                      <w:bCs/>
                      <w:color w:val="auto"/>
                      <w:szCs w:val="21"/>
                    </w:rPr>
                    <w:t>代码</w:t>
                  </w:r>
                </w:p>
              </w:tc>
              <w:tc>
                <w:tcPr>
                  <w:tcW w:w="368" w:type="pct"/>
                  <w:vAlign w:val="center"/>
                </w:tcPr>
                <w:p w14:paraId="5AA81585">
                  <w:pPr>
                    <w:jc w:val="center"/>
                    <w:rPr>
                      <w:bCs/>
                      <w:color w:val="auto"/>
                      <w:szCs w:val="21"/>
                    </w:rPr>
                  </w:pPr>
                  <w:r>
                    <w:rPr>
                      <w:bCs/>
                      <w:color w:val="auto"/>
                      <w:szCs w:val="21"/>
                    </w:rPr>
                    <w:t>物理性状</w:t>
                  </w:r>
                </w:p>
              </w:tc>
              <w:tc>
                <w:tcPr>
                  <w:tcW w:w="457" w:type="pct"/>
                  <w:vAlign w:val="center"/>
                </w:tcPr>
                <w:p w14:paraId="0D1DAE17">
                  <w:pPr>
                    <w:jc w:val="center"/>
                    <w:rPr>
                      <w:bCs/>
                      <w:color w:val="auto"/>
                      <w:szCs w:val="21"/>
                    </w:rPr>
                  </w:pPr>
                  <w:r>
                    <w:rPr>
                      <w:bCs/>
                      <w:color w:val="auto"/>
                      <w:szCs w:val="21"/>
                    </w:rPr>
                    <w:t>环境危险特性</w:t>
                  </w:r>
                </w:p>
              </w:tc>
              <w:tc>
                <w:tcPr>
                  <w:tcW w:w="1302" w:type="pct"/>
                  <w:vAlign w:val="center"/>
                </w:tcPr>
                <w:p w14:paraId="5C6C5D81">
                  <w:pPr>
                    <w:jc w:val="center"/>
                    <w:rPr>
                      <w:bCs/>
                      <w:color w:val="auto"/>
                      <w:szCs w:val="21"/>
                    </w:rPr>
                  </w:pPr>
                  <w:r>
                    <w:rPr>
                      <w:bCs/>
                      <w:color w:val="auto"/>
                      <w:szCs w:val="21"/>
                    </w:rPr>
                    <w:t>处置方式和去向</w:t>
                  </w:r>
                </w:p>
              </w:tc>
              <w:tc>
                <w:tcPr>
                  <w:tcW w:w="524" w:type="pct"/>
                  <w:vAlign w:val="center"/>
                </w:tcPr>
                <w:p w14:paraId="03C038D4">
                  <w:pPr>
                    <w:jc w:val="center"/>
                    <w:rPr>
                      <w:bCs/>
                      <w:color w:val="auto"/>
                      <w:szCs w:val="21"/>
                    </w:rPr>
                  </w:pPr>
                  <w:r>
                    <w:rPr>
                      <w:bCs/>
                      <w:color w:val="auto"/>
                      <w:szCs w:val="21"/>
                    </w:rPr>
                    <w:t>处置量（t/a）</w:t>
                  </w:r>
                </w:p>
              </w:tc>
            </w:tr>
            <w:tr w14:paraId="6FF32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vAlign w:val="center"/>
                </w:tcPr>
                <w:p w14:paraId="1B945812">
                  <w:pPr>
                    <w:jc w:val="center"/>
                    <w:rPr>
                      <w:rFonts w:hint="eastAsia" w:eastAsia="宋体"/>
                      <w:color w:val="auto"/>
                      <w:szCs w:val="21"/>
                      <w:lang w:val="en-US" w:eastAsia="zh-CN"/>
                    </w:rPr>
                  </w:pPr>
                  <w:r>
                    <w:rPr>
                      <w:rFonts w:hint="eastAsia"/>
                      <w:color w:val="auto"/>
                      <w:szCs w:val="21"/>
                      <w:lang w:val="en-US" w:eastAsia="zh-CN"/>
                    </w:rPr>
                    <w:t>1</w:t>
                  </w:r>
                </w:p>
              </w:tc>
              <w:tc>
                <w:tcPr>
                  <w:tcW w:w="1007" w:type="pct"/>
                  <w:shd w:val="clear" w:color="auto" w:fill="auto"/>
                  <w:vAlign w:val="center"/>
                </w:tcPr>
                <w:p w14:paraId="34C4729D">
                  <w:pPr>
                    <w:pStyle w:val="24"/>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除尘器收集粉尘</w:t>
                  </w:r>
                </w:p>
              </w:tc>
              <w:tc>
                <w:tcPr>
                  <w:tcW w:w="263" w:type="pct"/>
                  <w:vAlign w:val="center"/>
                </w:tcPr>
                <w:p w14:paraId="68969914">
                  <w:pPr>
                    <w:jc w:val="center"/>
                    <w:rPr>
                      <w:rFonts w:hint="eastAsia" w:eastAsia="宋体"/>
                      <w:color w:val="auto"/>
                      <w:szCs w:val="21"/>
                      <w:lang w:val="en-US" w:eastAsia="zh-CN"/>
                    </w:rPr>
                  </w:pPr>
                  <w:r>
                    <w:rPr>
                      <w:rFonts w:hint="eastAsia"/>
                      <w:color w:val="auto"/>
                      <w:szCs w:val="21"/>
                      <w:lang w:val="en-US" w:eastAsia="zh-CN"/>
                    </w:rPr>
                    <w:t>固体废物</w:t>
                  </w:r>
                </w:p>
              </w:tc>
              <w:tc>
                <w:tcPr>
                  <w:tcW w:w="812" w:type="pct"/>
                  <w:vAlign w:val="center"/>
                </w:tcPr>
                <w:p w14:paraId="256D920D">
                  <w:pPr>
                    <w:jc w:val="center"/>
                    <w:rPr>
                      <w:rFonts w:hint="default" w:eastAsia="宋体"/>
                      <w:color w:val="auto"/>
                      <w:szCs w:val="21"/>
                      <w:lang w:val="en-US" w:eastAsia="zh-CN"/>
                    </w:rPr>
                  </w:pPr>
                  <w:r>
                    <w:rPr>
                      <w:rFonts w:hint="eastAsia"/>
                      <w:color w:val="auto"/>
                      <w:szCs w:val="21"/>
                      <w:lang w:val="en-US" w:eastAsia="zh-CN"/>
                    </w:rPr>
                    <w:t>900-099-S17</w:t>
                  </w:r>
                </w:p>
              </w:tc>
              <w:tc>
                <w:tcPr>
                  <w:tcW w:w="368" w:type="pct"/>
                  <w:vAlign w:val="center"/>
                </w:tcPr>
                <w:p w14:paraId="3A1715B7">
                  <w:pPr>
                    <w:jc w:val="center"/>
                    <w:rPr>
                      <w:color w:val="auto"/>
                      <w:szCs w:val="21"/>
                    </w:rPr>
                  </w:pPr>
                  <w:r>
                    <w:rPr>
                      <w:color w:val="auto"/>
                      <w:szCs w:val="21"/>
                    </w:rPr>
                    <w:t>固</w:t>
                  </w:r>
                  <w:r>
                    <w:rPr>
                      <w:bCs/>
                      <w:color w:val="auto"/>
                      <w:szCs w:val="21"/>
                    </w:rPr>
                    <w:t>态</w:t>
                  </w:r>
                </w:p>
              </w:tc>
              <w:tc>
                <w:tcPr>
                  <w:tcW w:w="457" w:type="pct"/>
                  <w:shd w:val="clear" w:color="auto" w:fill="auto"/>
                  <w:vAlign w:val="center"/>
                </w:tcPr>
                <w:p w14:paraId="554514B1">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c>
                <w:tcPr>
                  <w:tcW w:w="1302" w:type="pct"/>
                  <w:shd w:val="clear" w:color="auto" w:fill="auto"/>
                  <w:vAlign w:val="center"/>
                </w:tcPr>
                <w:p w14:paraId="7DE3645A">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全部回用于生产</w:t>
                  </w:r>
                </w:p>
              </w:tc>
              <w:tc>
                <w:tcPr>
                  <w:tcW w:w="524" w:type="pct"/>
                  <w:shd w:val="clear" w:color="auto" w:fill="auto"/>
                  <w:vAlign w:val="center"/>
                </w:tcPr>
                <w:p w14:paraId="7571E6A2">
                  <w:pPr>
                    <w:jc w:val="center"/>
                    <w:rPr>
                      <w:rFonts w:hint="default"/>
                      <w:color w:val="auto"/>
                      <w:szCs w:val="21"/>
                      <w:lang w:val="en-US" w:eastAsia="zh-CN"/>
                    </w:rPr>
                  </w:pPr>
                  <w:r>
                    <w:rPr>
                      <w:rFonts w:hint="eastAsia"/>
                      <w:color w:val="auto"/>
                      <w:szCs w:val="21"/>
                      <w:lang w:val="en-US" w:eastAsia="zh-CN"/>
                    </w:rPr>
                    <w:t>5.64</w:t>
                  </w:r>
                </w:p>
              </w:tc>
            </w:tr>
            <w:tr w14:paraId="0D4B9D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 w:type="pct"/>
                  <w:vAlign w:val="center"/>
                </w:tcPr>
                <w:p w14:paraId="4DC0FA86">
                  <w:pPr>
                    <w:jc w:val="center"/>
                    <w:rPr>
                      <w:rFonts w:hint="eastAsia" w:eastAsia="宋体"/>
                      <w:color w:val="auto"/>
                      <w:szCs w:val="21"/>
                      <w:lang w:eastAsia="zh-CN"/>
                    </w:rPr>
                  </w:pPr>
                  <w:r>
                    <w:rPr>
                      <w:rFonts w:hint="eastAsia"/>
                      <w:color w:val="auto"/>
                      <w:szCs w:val="21"/>
                      <w:lang w:val="en-US" w:eastAsia="zh-CN"/>
                    </w:rPr>
                    <w:t>2</w:t>
                  </w:r>
                </w:p>
              </w:tc>
              <w:tc>
                <w:tcPr>
                  <w:tcW w:w="1007" w:type="pct"/>
                  <w:shd w:val="clear" w:color="auto" w:fill="auto"/>
                  <w:vAlign w:val="center"/>
                </w:tcPr>
                <w:p w14:paraId="1E458CE8">
                  <w:pPr>
                    <w:pStyle w:val="24"/>
                    <w:widowControl/>
                    <w:spacing w:before="0" w:beforeAutospacing="0" w:after="0" w:afterAutospacing="0"/>
                    <w:contextualSpacing/>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废机油</w:t>
                  </w:r>
                </w:p>
              </w:tc>
              <w:tc>
                <w:tcPr>
                  <w:tcW w:w="263" w:type="pct"/>
                  <w:vAlign w:val="center"/>
                </w:tcPr>
                <w:p w14:paraId="617E7A48">
                  <w:pPr>
                    <w:jc w:val="center"/>
                    <w:rPr>
                      <w:color w:val="auto"/>
                      <w:szCs w:val="21"/>
                    </w:rPr>
                  </w:pPr>
                  <w:r>
                    <w:rPr>
                      <w:color w:val="auto"/>
                      <w:szCs w:val="21"/>
                    </w:rPr>
                    <w:t>危险废物</w:t>
                  </w:r>
                </w:p>
              </w:tc>
              <w:tc>
                <w:tcPr>
                  <w:tcW w:w="812" w:type="pct"/>
                  <w:vAlign w:val="center"/>
                </w:tcPr>
                <w:p w14:paraId="4685BC54">
                  <w:pPr>
                    <w:widowControl/>
                    <w:jc w:val="center"/>
                    <w:rPr>
                      <w:color w:val="auto"/>
                      <w:szCs w:val="21"/>
                    </w:rPr>
                  </w:pPr>
                  <w:r>
                    <w:rPr>
                      <w:color w:val="auto"/>
                      <w:kern w:val="0"/>
                      <w:sz w:val="20"/>
                      <w:szCs w:val="20"/>
                      <w:lang w:bidi="ar"/>
                    </w:rPr>
                    <w:t>HW08 900-217-08</w:t>
                  </w:r>
                </w:p>
              </w:tc>
              <w:tc>
                <w:tcPr>
                  <w:tcW w:w="368" w:type="pct"/>
                  <w:vAlign w:val="center"/>
                </w:tcPr>
                <w:p w14:paraId="37497E32">
                  <w:pPr>
                    <w:jc w:val="center"/>
                    <w:rPr>
                      <w:color w:val="auto"/>
                      <w:szCs w:val="21"/>
                    </w:rPr>
                  </w:pPr>
                  <w:r>
                    <w:rPr>
                      <w:color w:val="auto"/>
                      <w:szCs w:val="21"/>
                    </w:rPr>
                    <w:t>固</w:t>
                  </w:r>
                  <w:r>
                    <w:rPr>
                      <w:bCs/>
                      <w:color w:val="auto"/>
                      <w:szCs w:val="21"/>
                    </w:rPr>
                    <w:t>态</w:t>
                  </w:r>
                </w:p>
              </w:tc>
              <w:tc>
                <w:tcPr>
                  <w:tcW w:w="457" w:type="pct"/>
                  <w:vAlign w:val="center"/>
                </w:tcPr>
                <w:p w14:paraId="52FD0485">
                  <w:pPr>
                    <w:jc w:val="center"/>
                    <w:rPr>
                      <w:color w:val="auto"/>
                      <w:szCs w:val="21"/>
                    </w:rPr>
                  </w:pPr>
                  <w:r>
                    <w:rPr>
                      <w:color w:val="auto"/>
                      <w:szCs w:val="21"/>
                    </w:rPr>
                    <w:t>T/In</w:t>
                  </w:r>
                </w:p>
              </w:tc>
              <w:tc>
                <w:tcPr>
                  <w:tcW w:w="1302" w:type="pct"/>
                  <w:shd w:val="clear" w:color="auto" w:fill="auto"/>
                  <w:vAlign w:val="center"/>
                </w:tcPr>
                <w:p w14:paraId="39680E60">
                  <w:pPr>
                    <w:jc w:val="center"/>
                    <w:textAlignment w:val="baseline"/>
                    <w:rPr>
                      <w:rFonts w:ascii="Times New Roman" w:hAnsi="Times New Roman" w:eastAsia="宋体" w:cs="Times New Roman"/>
                      <w:color w:val="auto"/>
                      <w:kern w:val="2"/>
                      <w:sz w:val="21"/>
                      <w:szCs w:val="21"/>
                      <w:lang w:val="en-US" w:eastAsia="zh-CN" w:bidi="ar-SA"/>
                    </w:rPr>
                  </w:pPr>
                  <w:r>
                    <w:rPr>
                      <w:rFonts w:hint="eastAsia"/>
                      <w:color w:val="auto"/>
                    </w:rPr>
                    <w:t>集中收集在厂内危废</w:t>
                  </w:r>
                  <w:r>
                    <w:rPr>
                      <w:rFonts w:hint="eastAsia"/>
                      <w:color w:val="auto"/>
                      <w:lang w:eastAsia="zh-CN"/>
                    </w:rPr>
                    <w:t>贮存点</w:t>
                  </w:r>
                  <w:r>
                    <w:rPr>
                      <w:rFonts w:hint="eastAsia"/>
                      <w:color w:val="auto"/>
                    </w:rPr>
                    <w:t>暂存，定期交陕西环能科技有限公司处置</w:t>
                  </w:r>
                </w:p>
              </w:tc>
              <w:tc>
                <w:tcPr>
                  <w:tcW w:w="524" w:type="pct"/>
                  <w:vAlign w:val="center"/>
                </w:tcPr>
                <w:p w14:paraId="23C3AF25">
                  <w:pPr>
                    <w:jc w:val="center"/>
                    <w:rPr>
                      <w:rFonts w:hint="default" w:eastAsia="宋体"/>
                      <w:color w:val="auto"/>
                      <w:szCs w:val="21"/>
                      <w:lang w:val="en-US" w:eastAsia="zh-CN"/>
                    </w:rPr>
                  </w:pPr>
                  <w:r>
                    <w:rPr>
                      <w:rFonts w:hint="eastAsia"/>
                      <w:color w:val="auto"/>
                      <w:szCs w:val="21"/>
                      <w:lang w:val="en-US" w:eastAsia="zh-CN"/>
                    </w:rPr>
                    <w:t>0.1</w:t>
                  </w:r>
                </w:p>
              </w:tc>
            </w:tr>
          </w:tbl>
          <w:p w14:paraId="6F7933C8">
            <w:pPr>
              <w:widowControl/>
              <w:adjustRightInd w:val="0"/>
              <w:snapToGrid w:val="0"/>
              <w:spacing w:line="360" w:lineRule="auto"/>
              <w:ind w:firstLine="480" w:firstLineChars="200"/>
              <w:rPr>
                <w:rFonts w:cs="宋体"/>
                <w:color w:val="auto"/>
                <w:kern w:val="0"/>
                <w:sz w:val="24"/>
              </w:rPr>
            </w:pPr>
            <w:r>
              <w:rPr>
                <w:rFonts w:hint="eastAsia" w:cs="宋体"/>
                <w:color w:val="auto"/>
                <w:kern w:val="0"/>
                <w:sz w:val="24"/>
              </w:rPr>
              <w:t>（4）现有危废贮存</w:t>
            </w:r>
            <w:r>
              <w:rPr>
                <w:rFonts w:hint="eastAsia" w:cs="宋体"/>
                <w:color w:val="auto"/>
                <w:kern w:val="0"/>
                <w:sz w:val="24"/>
                <w:lang w:val="en-US" w:eastAsia="zh-CN"/>
              </w:rPr>
              <w:t>点</w:t>
            </w:r>
            <w:r>
              <w:rPr>
                <w:rFonts w:hint="eastAsia" w:cs="宋体"/>
                <w:color w:val="auto"/>
                <w:kern w:val="0"/>
                <w:sz w:val="24"/>
              </w:rPr>
              <w:t>现状</w:t>
            </w:r>
          </w:p>
          <w:p w14:paraId="77394944">
            <w:pPr>
              <w:widowControl/>
              <w:spacing w:line="360" w:lineRule="auto"/>
              <w:ind w:firstLine="480" w:firstLineChars="200"/>
              <w:rPr>
                <w:rFonts w:cs="宋体"/>
                <w:color w:val="auto"/>
                <w:kern w:val="0"/>
                <w:sz w:val="24"/>
              </w:rPr>
            </w:pPr>
            <w:r>
              <w:rPr>
                <w:rFonts w:hint="eastAsia" w:cs="宋体"/>
                <w:color w:val="auto"/>
                <w:kern w:val="0"/>
                <w:sz w:val="24"/>
              </w:rPr>
              <w:t>现有危废贮存</w:t>
            </w:r>
            <w:r>
              <w:rPr>
                <w:rFonts w:hint="eastAsia" w:cs="宋体"/>
                <w:color w:val="auto"/>
                <w:kern w:val="0"/>
                <w:sz w:val="24"/>
                <w:lang w:val="en-US" w:eastAsia="zh-CN"/>
              </w:rPr>
              <w:t>点</w:t>
            </w:r>
            <w:r>
              <w:rPr>
                <w:rFonts w:hint="eastAsia" w:cs="宋体"/>
                <w:color w:val="auto"/>
                <w:kern w:val="0"/>
                <w:sz w:val="24"/>
              </w:rPr>
              <w:t>已建成，</w:t>
            </w:r>
            <w:r>
              <w:rPr>
                <w:rFonts w:hint="eastAsia"/>
                <w:color w:val="auto"/>
                <w:sz w:val="24"/>
              </w:rPr>
              <w:t>位于办公楼内，占地约3m</w:t>
            </w:r>
            <w:r>
              <w:rPr>
                <w:color w:val="auto"/>
                <w:sz w:val="24"/>
              </w:rPr>
              <w:t>²</w:t>
            </w:r>
            <w:r>
              <w:rPr>
                <w:rFonts w:hint="eastAsia" w:cs="宋体"/>
                <w:color w:val="auto"/>
                <w:kern w:val="0"/>
                <w:sz w:val="24"/>
              </w:rPr>
              <w:t>，已经投入使用并通过环境保护验收。</w:t>
            </w:r>
          </w:p>
          <w:p w14:paraId="2DFE4DA4">
            <w:pPr>
              <w:widowControl/>
              <w:adjustRightInd w:val="0"/>
              <w:snapToGrid w:val="0"/>
              <w:spacing w:line="360" w:lineRule="auto"/>
              <w:ind w:firstLine="480" w:firstLineChars="200"/>
              <w:rPr>
                <w:rFonts w:cs="宋体"/>
                <w:color w:val="auto"/>
                <w:kern w:val="0"/>
                <w:sz w:val="24"/>
              </w:rPr>
            </w:pPr>
            <w:r>
              <w:rPr>
                <w:rFonts w:hint="eastAsia" w:cs="宋体"/>
                <w:color w:val="auto"/>
                <w:kern w:val="0"/>
                <w:sz w:val="24"/>
              </w:rPr>
              <w:t>危废贮存</w:t>
            </w:r>
            <w:r>
              <w:rPr>
                <w:rFonts w:hint="eastAsia" w:cs="宋体"/>
                <w:color w:val="auto"/>
                <w:kern w:val="0"/>
                <w:sz w:val="24"/>
                <w:lang w:val="en-US" w:eastAsia="zh-CN"/>
              </w:rPr>
              <w:t>点</w:t>
            </w:r>
            <w:r>
              <w:rPr>
                <w:rFonts w:hint="eastAsia" w:cs="宋体"/>
                <w:color w:val="auto"/>
                <w:kern w:val="0"/>
                <w:sz w:val="24"/>
              </w:rPr>
              <w:t>建设时是按照《危险废物贮存污染控制标准》（GB18597-2001）要求建设的，</w:t>
            </w:r>
            <w:r>
              <w:rPr>
                <w:rFonts w:hint="eastAsia" w:ascii="Times New Roman" w:hAnsi="Times New Roman" w:cs="Times New Roman"/>
                <w:color w:val="auto"/>
                <w:sz w:val="24"/>
                <w:lang w:val="en-US" w:eastAsia="zh-CN"/>
              </w:rPr>
              <w:t>设置一个防腐防漏防渗的容器盛放废机油，容器外贴标签，容器下方</w:t>
            </w:r>
            <w:r>
              <w:rPr>
                <w:rStyle w:val="87"/>
                <w:rFonts w:hint="eastAsia" w:ascii="Times New Roman"/>
                <w:color w:val="auto"/>
                <w:sz w:val="24"/>
                <w:lang w:val="en-US" w:eastAsia="zh-CN"/>
              </w:rPr>
              <w:t>设施防渗防漏托盘，</w:t>
            </w:r>
            <w:r>
              <w:rPr>
                <w:rStyle w:val="87"/>
                <w:rFonts w:hint="eastAsia" w:ascii="Times New Roman"/>
                <w:color w:val="auto"/>
                <w:sz w:val="24"/>
              </w:rPr>
              <w:t>建立危废管理制度及危废管理台账，委托有资质单位对</w:t>
            </w:r>
            <w:r>
              <w:rPr>
                <w:rStyle w:val="87"/>
                <w:rFonts w:hint="eastAsia" w:ascii="Times New Roman"/>
                <w:color w:val="auto"/>
                <w:sz w:val="24"/>
                <w:lang w:val="en-US"/>
              </w:rPr>
              <w:t>废机油</w:t>
            </w:r>
            <w:r>
              <w:rPr>
                <w:rStyle w:val="87"/>
                <w:rFonts w:hint="eastAsia" w:ascii="Times New Roman"/>
                <w:color w:val="auto"/>
                <w:sz w:val="24"/>
              </w:rPr>
              <w:t>进行处置</w:t>
            </w:r>
            <w:r>
              <w:rPr>
                <w:rStyle w:val="87"/>
                <w:rFonts w:hint="eastAsia"/>
                <w:color w:val="auto"/>
                <w:sz w:val="24"/>
              </w:rPr>
              <w:t>，</w:t>
            </w:r>
            <w:r>
              <w:rPr>
                <w:rStyle w:val="87"/>
                <w:rFonts w:hint="eastAsia" w:ascii="Times New Roman"/>
                <w:color w:val="auto"/>
                <w:sz w:val="24"/>
              </w:rPr>
              <w:t>危废储存转运过程中严格执行危废转移联单制度。危废暂存要求设危险废物管理档案，详细记录危险废物入库和出库情况；设置专人负责危险废物的收集、厂内运输、入库和出库，及时清运</w:t>
            </w:r>
            <w:r>
              <w:rPr>
                <w:rFonts w:hint="eastAsia" w:cs="宋体"/>
                <w:color w:val="auto"/>
                <w:kern w:val="0"/>
                <w:sz w:val="24"/>
              </w:rPr>
              <w:t>，同时也满足《危险废物贮存污染控制标准》（GB 18597-2023）要求</w:t>
            </w:r>
            <w:r>
              <w:rPr>
                <w:rFonts w:hint="eastAsia" w:cs="宋体"/>
                <w:color w:val="auto"/>
                <w:kern w:val="0"/>
                <w:sz w:val="24"/>
                <w:lang w:eastAsia="zh-CN"/>
              </w:rPr>
              <w:t>，</w:t>
            </w:r>
            <w:r>
              <w:rPr>
                <w:rFonts w:hint="eastAsia" w:cs="宋体"/>
                <w:color w:val="auto"/>
                <w:kern w:val="0"/>
                <w:sz w:val="24"/>
                <w:lang w:val="en-US" w:eastAsia="zh-CN"/>
              </w:rPr>
              <w:t>危废处置协议见附件13</w:t>
            </w:r>
            <w:r>
              <w:rPr>
                <w:rFonts w:hint="eastAsia" w:cs="宋体"/>
                <w:color w:val="auto"/>
                <w:kern w:val="0"/>
                <w:sz w:val="24"/>
              </w:rPr>
              <w:t>。</w:t>
            </w:r>
          </w:p>
          <w:p w14:paraId="3BC8B539">
            <w:pPr>
              <w:adjustRightInd w:val="0"/>
              <w:snapToGrid w:val="0"/>
              <w:spacing w:line="360" w:lineRule="auto"/>
              <w:ind w:firstLine="480" w:firstLineChars="200"/>
              <w:rPr>
                <w:color w:val="auto"/>
                <w:kern w:val="0"/>
                <w:sz w:val="24"/>
              </w:rPr>
            </w:pPr>
            <w:r>
              <w:rPr>
                <w:rFonts w:hint="eastAsia" w:cs="宋体"/>
                <w:color w:val="auto"/>
                <w:kern w:val="0"/>
                <w:sz w:val="24"/>
              </w:rPr>
              <w:t>（5）</w:t>
            </w:r>
            <w:r>
              <w:rPr>
                <w:rFonts w:hint="eastAsia"/>
                <w:color w:val="auto"/>
                <w:kern w:val="0"/>
                <w:sz w:val="24"/>
              </w:rPr>
              <w:t>危废贮存</w:t>
            </w:r>
            <w:r>
              <w:rPr>
                <w:rFonts w:hint="eastAsia"/>
                <w:color w:val="auto"/>
                <w:kern w:val="0"/>
                <w:sz w:val="24"/>
                <w:lang w:val="en-US" w:eastAsia="zh-CN"/>
              </w:rPr>
              <w:t>点</w:t>
            </w:r>
            <w:r>
              <w:rPr>
                <w:rFonts w:hint="eastAsia"/>
                <w:color w:val="auto"/>
                <w:kern w:val="0"/>
                <w:sz w:val="24"/>
              </w:rPr>
              <w:t>依托可行性分析</w:t>
            </w:r>
          </w:p>
          <w:p w14:paraId="7A2594B0">
            <w:pPr>
              <w:adjustRightInd w:val="0"/>
              <w:snapToGrid w:val="0"/>
              <w:spacing w:line="360" w:lineRule="auto"/>
              <w:ind w:firstLine="480" w:firstLineChars="200"/>
              <w:rPr>
                <w:color w:val="auto"/>
                <w:kern w:val="0"/>
                <w:sz w:val="24"/>
              </w:rPr>
            </w:pPr>
            <w:r>
              <w:rPr>
                <w:rFonts w:hint="eastAsia"/>
                <w:color w:val="auto"/>
                <w:kern w:val="0"/>
                <w:sz w:val="24"/>
              </w:rPr>
              <w:t>本项目产生的危险废物暂存于现有工程危废贮存</w:t>
            </w:r>
            <w:r>
              <w:rPr>
                <w:rFonts w:hint="eastAsia"/>
                <w:color w:val="auto"/>
                <w:kern w:val="0"/>
                <w:sz w:val="24"/>
                <w:lang w:val="en-US" w:eastAsia="zh-CN"/>
              </w:rPr>
              <w:t>点</w:t>
            </w:r>
            <w:r>
              <w:rPr>
                <w:rFonts w:hint="eastAsia"/>
                <w:color w:val="auto"/>
                <w:kern w:val="0"/>
                <w:sz w:val="24"/>
              </w:rPr>
              <w:t>，该</w:t>
            </w:r>
            <w:r>
              <w:rPr>
                <w:rFonts w:hint="eastAsia"/>
                <w:color w:val="auto"/>
                <w:kern w:val="0"/>
                <w:sz w:val="24"/>
                <w:lang w:eastAsia="zh-CN"/>
              </w:rPr>
              <w:t>危废贮存点</w:t>
            </w:r>
            <w:r>
              <w:rPr>
                <w:rFonts w:hint="eastAsia"/>
                <w:color w:val="auto"/>
                <w:kern w:val="0"/>
                <w:sz w:val="24"/>
              </w:rPr>
              <w:t>占地面积约</w:t>
            </w:r>
            <w:r>
              <w:rPr>
                <w:rFonts w:hint="eastAsia"/>
                <w:color w:val="auto"/>
                <w:sz w:val="24"/>
              </w:rPr>
              <w:t>3m</w:t>
            </w:r>
            <w:r>
              <w:rPr>
                <w:color w:val="auto"/>
                <w:sz w:val="24"/>
              </w:rPr>
              <w:t>²</w:t>
            </w:r>
            <w:r>
              <w:rPr>
                <w:rFonts w:hint="eastAsia"/>
                <w:color w:val="auto"/>
                <w:kern w:val="0"/>
                <w:sz w:val="24"/>
              </w:rPr>
              <w:t>，本项目产生的危废主要为</w:t>
            </w:r>
            <w:r>
              <w:rPr>
                <w:rFonts w:hint="eastAsia"/>
                <w:color w:val="auto"/>
                <w:sz w:val="24"/>
              </w:rPr>
              <w:t>废机油</w:t>
            </w:r>
            <w:r>
              <w:rPr>
                <w:rFonts w:hint="eastAsia"/>
                <w:color w:val="auto"/>
                <w:kern w:val="0"/>
                <w:sz w:val="24"/>
              </w:rPr>
              <w:t>，本项目产生的危废量大约为</w:t>
            </w:r>
            <w:r>
              <w:rPr>
                <w:rFonts w:hint="eastAsia"/>
                <w:color w:val="auto"/>
                <w:kern w:val="0"/>
                <w:sz w:val="24"/>
                <w:lang w:val="en-US" w:eastAsia="zh-CN"/>
              </w:rPr>
              <w:t>0.1</w:t>
            </w:r>
            <w:r>
              <w:rPr>
                <w:rFonts w:hint="eastAsia"/>
                <w:color w:val="auto"/>
                <w:kern w:val="0"/>
                <w:sz w:val="24"/>
              </w:rPr>
              <w:t>t/a。根据建设单位提供的资料现有工程危废产生量大约</w:t>
            </w:r>
            <w:r>
              <w:rPr>
                <w:rFonts w:hint="eastAsia"/>
                <w:color w:val="auto"/>
                <w:kern w:val="0"/>
                <w:sz w:val="24"/>
                <w:lang w:val="en-US" w:eastAsia="zh-CN"/>
              </w:rPr>
              <w:t>0.2</w:t>
            </w:r>
            <w:r>
              <w:rPr>
                <w:rFonts w:hint="eastAsia"/>
                <w:color w:val="auto"/>
                <w:kern w:val="0"/>
                <w:sz w:val="24"/>
              </w:rPr>
              <w:t>t/a，</w:t>
            </w:r>
            <w:r>
              <w:rPr>
                <w:rFonts w:hint="eastAsia"/>
                <w:color w:val="auto"/>
                <w:kern w:val="0"/>
                <w:sz w:val="24"/>
                <w:lang w:eastAsia="zh-CN"/>
              </w:rPr>
              <w:t>危废贮存点</w:t>
            </w:r>
            <w:r>
              <w:rPr>
                <w:rFonts w:hint="eastAsia"/>
                <w:color w:val="auto"/>
                <w:kern w:val="0"/>
                <w:sz w:val="24"/>
              </w:rPr>
              <w:t>最多可容纳</w:t>
            </w:r>
            <w:r>
              <w:rPr>
                <w:rFonts w:hint="eastAsia"/>
                <w:color w:val="auto"/>
                <w:kern w:val="0"/>
                <w:sz w:val="24"/>
                <w:lang w:val="en-US" w:eastAsia="zh-CN"/>
              </w:rPr>
              <w:t>3</w:t>
            </w:r>
            <w:r>
              <w:rPr>
                <w:rFonts w:hint="eastAsia"/>
                <w:color w:val="auto"/>
                <w:kern w:val="0"/>
                <w:sz w:val="24"/>
              </w:rPr>
              <w:t>t危废量，因此现有危废贮存</w:t>
            </w:r>
            <w:r>
              <w:rPr>
                <w:rFonts w:hint="eastAsia"/>
                <w:color w:val="auto"/>
                <w:kern w:val="0"/>
                <w:sz w:val="24"/>
                <w:lang w:val="en-US" w:eastAsia="zh-CN"/>
              </w:rPr>
              <w:t>点</w:t>
            </w:r>
            <w:r>
              <w:rPr>
                <w:rFonts w:hint="eastAsia"/>
                <w:color w:val="auto"/>
                <w:kern w:val="0"/>
                <w:sz w:val="24"/>
              </w:rPr>
              <w:t>剩余库存足够接收本项目产生的危险废物。</w:t>
            </w:r>
          </w:p>
          <w:p w14:paraId="401D1F49">
            <w:pPr>
              <w:adjustRightInd w:val="0"/>
              <w:snapToGrid w:val="0"/>
              <w:spacing w:line="360" w:lineRule="auto"/>
              <w:ind w:firstLine="480" w:firstLineChars="200"/>
              <w:rPr>
                <w:color w:val="auto"/>
                <w:kern w:val="0"/>
                <w:sz w:val="24"/>
              </w:rPr>
            </w:pPr>
            <w:r>
              <w:rPr>
                <w:rFonts w:hint="eastAsia"/>
                <w:color w:val="auto"/>
                <w:kern w:val="0"/>
                <w:sz w:val="24"/>
                <w:lang w:eastAsia="zh-CN"/>
              </w:rPr>
              <w:t>危废贮存点</w:t>
            </w:r>
            <w:r>
              <w:rPr>
                <w:rFonts w:hint="eastAsia"/>
                <w:color w:val="auto"/>
                <w:kern w:val="0"/>
                <w:sz w:val="24"/>
              </w:rPr>
              <w:t>严格按照上述管理要求落实后</w:t>
            </w:r>
            <w:r>
              <w:rPr>
                <w:rFonts w:hint="eastAsia" w:cs="宋体"/>
                <w:color w:val="auto"/>
                <w:kern w:val="0"/>
                <w:sz w:val="24"/>
              </w:rPr>
              <w:t>满足《危险废物贮存污染控制标准》（GB 18597-2023）要求</w:t>
            </w:r>
            <w:r>
              <w:rPr>
                <w:rFonts w:hint="eastAsia"/>
                <w:color w:val="auto"/>
                <w:kern w:val="0"/>
                <w:sz w:val="24"/>
              </w:rPr>
              <w:t>，危险废物及时且定期交由</w:t>
            </w:r>
            <w:r>
              <w:rPr>
                <w:rFonts w:hint="eastAsia"/>
                <w:color w:val="auto"/>
                <w:kern w:val="0"/>
                <w:sz w:val="24"/>
                <w:lang w:eastAsia="zh-CN"/>
              </w:rPr>
              <w:t>陕西环能科技有限公司处置</w:t>
            </w:r>
            <w:r>
              <w:rPr>
                <w:rFonts w:hint="eastAsia"/>
                <w:color w:val="auto"/>
                <w:kern w:val="0"/>
                <w:sz w:val="24"/>
              </w:rPr>
              <w:t>处理，可满贮存要求。因此，本项目危废贮存</w:t>
            </w:r>
            <w:r>
              <w:rPr>
                <w:rFonts w:hint="eastAsia"/>
                <w:color w:val="auto"/>
                <w:kern w:val="0"/>
                <w:sz w:val="24"/>
                <w:lang w:val="en-US" w:eastAsia="zh-CN"/>
              </w:rPr>
              <w:t>点</w:t>
            </w:r>
            <w:r>
              <w:rPr>
                <w:rFonts w:hint="eastAsia"/>
                <w:color w:val="auto"/>
                <w:kern w:val="0"/>
                <w:sz w:val="24"/>
              </w:rPr>
              <w:t>依托可行。</w:t>
            </w:r>
          </w:p>
          <w:p w14:paraId="2CE6A4A5">
            <w:pPr>
              <w:widowControl/>
              <w:adjustRightInd w:val="0"/>
              <w:snapToGrid w:val="0"/>
              <w:spacing w:line="360" w:lineRule="auto"/>
              <w:ind w:firstLine="480" w:firstLineChars="200"/>
              <w:rPr>
                <w:rFonts w:cs="宋体"/>
                <w:color w:val="auto"/>
                <w:kern w:val="0"/>
                <w:sz w:val="24"/>
              </w:rPr>
            </w:pPr>
            <w:r>
              <w:rPr>
                <w:rFonts w:hint="eastAsia" w:cs="宋体"/>
                <w:color w:val="auto"/>
                <w:kern w:val="0"/>
                <w:sz w:val="24"/>
              </w:rPr>
              <w:t>（6）小结</w:t>
            </w:r>
          </w:p>
          <w:p w14:paraId="02217565">
            <w:pPr>
              <w:tabs>
                <w:tab w:val="left" w:pos="2851"/>
              </w:tabs>
              <w:adjustRightInd w:val="0"/>
              <w:snapToGrid w:val="0"/>
              <w:spacing w:line="360" w:lineRule="auto"/>
              <w:ind w:firstLine="480" w:firstLineChars="200"/>
              <w:rPr>
                <w:b/>
                <w:color w:val="auto"/>
                <w:sz w:val="24"/>
              </w:rPr>
            </w:pPr>
            <w:r>
              <w:rPr>
                <w:rFonts w:hint="eastAsia" w:cs="宋体"/>
                <w:color w:val="auto"/>
                <w:kern w:val="0"/>
                <w:sz w:val="24"/>
              </w:rPr>
              <w:t>综上所述，本项目固体废物综合处置率达1</w:t>
            </w:r>
            <w:r>
              <w:rPr>
                <w:rFonts w:cs="宋体"/>
                <w:color w:val="auto"/>
                <w:kern w:val="0"/>
                <w:sz w:val="24"/>
              </w:rPr>
              <w:t>00%</w:t>
            </w:r>
            <w:r>
              <w:rPr>
                <w:rFonts w:hint="eastAsia" w:cs="宋体"/>
                <w:color w:val="auto"/>
                <w:kern w:val="0"/>
                <w:sz w:val="24"/>
              </w:rPr>
              <w:t>，在落实好危险固废安全贮存的情况下，不会造成二次污染，不会对周围环境造成影响，固废防治措施可行。</w:t>
            </w:r>
          </w:p>
          <w:p w14:paraId="7E9632BF">
            <w:pPr>
              <w:tabs>
                <w:tab w:val="left" w:pos="2851"/>
              </w:tabs>
              <w:adjustRightInd w:val="0"/>
              <w:snapToGrid w:val="0"/>
              <w:spacing w:line="360" w:lineRule="auto"/>
              <w:ind w:firstLine="442" w:firstLineChars="200"/>
              <w:rPr>
                <w:rFonts w:hint="default" w:eastAsia="宋体"/>
                <w:b/>
                <w:color w:val="auto"/>
                <w:spacing w:val="-10"/>
                <w:sz w:val="24"/>
                <w:lang w:val="en-US" w:eastAsia="zh-CN"/>
              </w:rPr>
            </w:pPr>
            <w:r>
              <w:rPr>
                <w:b/>
                <w:color w:val="auto"/>
                <w:spacing w:val="-10"/>
                <w:sz w:val="24"/>
              </w:rPr>
              <w:t>5、地下水</w:t>
            </w:r>
            <w:r>
              <w:rPr>
                <w:rFonts w:hint="eastAsia"/>
                <w:b/>
                <w:color w:val="auto"/>
                <w:spacing w:val="-10"/>
                <w:sz w:val="24"/>
                <w:lang w:eastAsia="zh-CN"/>
              </w:rPr>
              <w:t>、</w:t>
            </w:r>
            <w:r>
              <w:rPr>
                <w:rFonts w:hint="eastAsia"/>
                <w:b/>
                <w:color w:val="auto"/>
                <w:spacing w:val="-10"/>
                <w:sz w:val="24"/>
                <w:lang w:val="en-US" w:eastAsia="zh-CN"/>
              </w:rPr>
              <w:t>土壤</w:t>
            </w:r>
          </w:p>
          <w:p w14:paraId="7E82AC8A">
            <w:pPr>
              <w:spacing w:line="360" w:lineRule="auto"/>
              <w:ind w:firstLine="480" w:firstLineChars="200"/>
              <w:rPr>
                <w:bCs/>
                <w:color w:val="auto"/>
                <w:sz w:val="24"/>
                <w:szCs w:val="32"/>
              </w:rPr>
            </w:pPr>
            <w:r>
              <w:rPr>
                <w:bCs/>
                <w:color w:val="auto"/>
                <w:sz w:val="24"/>
                <w:szCs w:val="32"/>
              </w:rPr>
              <w:t>本项目正常情况下没有可能造成地下水</w:t>
            </w:r>
            <w:r>
              <w:rPr>
                <w:rFonts w:hint="eastAsia"/>
                <w:bCs/>
                <w:color w:val="auto"/>
                <w:sz w:val="24"/>
                <w:szCs w:val="32"/>
                <w:lang w:val="en-US" w:eastAsia="zh-CN"/>
              </w:rPr>
              <w:t>和土壤</w:t>
            </w:r>
            <w:r>
              <w:rPr>
                <w:bCs/>
                <w:color w:val="auto"/>
                <w:sz w:val="24"/>
                <w:szCs w:val="32"/>
              </w:rPr>
              <w:t>污染的新建装置和设施，本项目依托工程—</w:t>
            </w:r>
            <w:r>
              <w:rPr>
                <w:rFonts w:hint="eastAsia"/>
                <w:bCs/>
                <w:color w:val="auto"/>
                <w:sz w:val="24"/>
                <w:szCs w:val="32"/>
                <w:lang w:val="en-US" w:eastAsia="zh-CN"/>
              </w:rPr>
              <w:t>危废贮存点</w:t>
            </w:r>
            <w:r>
              <w:rPr>
                <w:rFonts w:hint="eastAsia" w:ascii="Times New Roman" w:hAnsi="Times New Roman"/>
                <w:color w:val="auto"/>
                <w:sz w:val="24"/>
                <w:szCs w:val="24"/>
              </w:rPr>
              <w:t>地面防渗，设置防渗托盘</w:t>
            </w:r>
            <w:r>
              <w:rPr>
                <w:rFonts w:hint="eastAsia"/>
                <w:color w:val="auto"/>
                <w:sz w:val="24"/>
                <w:szCs w:val="24"/>
                <w:lang w:eastAsia="zh-CN"/>
              </w:rPr>
              <w:t>，</w:t>
            </w:r>
            <w:r>
              <w:rPr>
                <w:bCs/>
                <w:color w:val="auto"/>
                <w:sz w:val="24"/>
                <w:szCs w:val="32"/>
              </w:rPr>
              <w:t>基本不会对地下水</w:t>
            </w:r>
            <w:r>
              <w:rPr>
                <w:rFonts w:hint="eastAsia"/>
                <w:bCs/>
                <w:color w:val="auto"/>
                <w:sz w:val="24"/>
                <w:szCs w:val="32"/>
                <w:lang w:val="en-US" w:eastAsia="zh-CN"/>
              </w:rPr>
              <w:t>及土壤</w:t>
            </w:r>
            <w:r>
              <w:rPr>
                <w:bCs/>
                <w:color w:val="auto"/>
                <w:sz w:val="24"/>
                <w:szCs w:val="32"/>
              </w:rPr>
              <w:t>环境产生影响。</w:t>
            </w:r>
            <w:r>
              <w:rPr>
                <w:rFonts w:hint="eastAsia"/>
                <w:bCs/>
                <w:color w:val="auto"/>
                <w:sz w:val="24"/>
                <w:szCs w:val="32"/>
                <w:lang w:val="en-US" w:eastAsia="zh-CN"/>
              </w:rPr>
              <w:t>因此，</w:t>
            </w:r>
            <w:r>
              <w:rPr>
                <w:rFonts w:hint="eastAsia"/>
                <w:color w:val="auto"/>
                <w:kern w:val="0"/>
                <w:sz w:val="24"/>
              </w:rPr>
              <w:t>正常情况下污染物</w:t>
            </w:r>
            <w:r>
              <w:rPr>
                <w:rFonts w:hint="eastAsia"/>
                <w:color w:val="auto"/>
                <w:kern w:val="0"/>
                <w:sz w:val="24"/>
                <w:lang w:val="en-US" w:eastAsia="zh-CN"/>
              </w:rPr>
              <w:t>对</w:t>
            </w:r>
            <w:r>
              <w:rPr>
                <w:rFonts w:hint="eastAsia"/>
                <w:color w:val="auto"/>
                <w:kern w:val="0"/>
                <w:sz w:val="24"/>
              </w:rPr>
              <w:t>地下水</w:t>
            </w:r>
            <w:r>
              <w:rPr>
                <w:rFonts w:hint="eastAsia"/>
                <w:color w:val="auto"/>
                <w:kern w:val="0"/>
                <w:sz w:val="24"/>
                <w:lang w:val="en-US" w:eastAsia="zh-CN"/>
              </w:rPr>
              <w:t>及土壤</w:t>
            </w:r>
            <w:r>
              <w:rPr>
                <w:rFonts w:hint="eastAsia"/>
                <w:color w:val="auto"/>
                <w:kern w:val="0"/>
                <w:sz w:val="24"/>
              </w:rPr>
              <w:t>造成影响</w:t>
            </w:r>
            <w:r>
              <w:rPr>
                <w:rFonts w:hint="eastAsia"/>
                <w:color w:val="auto"/>
                <w:kern w:val="0"/>
                <w:sz w:val="24"/>
                <w:lang w:val="en-US" w:eastAsia="zh-CN"/>
              </w:rPr>
              <w:t>较小</w:t>
            </w:r>
            <w:r>
              <w:rPr>
                <w:rFonts w:hint="eastAsia"/>
                <w:color w:val="auto"/>
                <w:kern w:val="0"/>
                <w:sz w:val="24"/>
                <w:lang w:val="de-DE"/>
              </w:rPr>
              <w:t>。</w:t>
            </w:r>
          </w:p>
          <w:p w14:paraId="298E9A97">
            <w:pPr>
              <w:tabs>
                <w:tab w:val="left" w:pos="2582"/>
              </w:tabs>
              <w:spacing w:line="360" w:lineRule="auto"/>
              <w:ind w:firstLine="442" w:firstLineChars="200"/>
              <w:jc w:val="left"/>
              <w:rPr>
                <w:b/>
                <w:color w:val="auto"/>
                <w:spacing w:val="-10"/>
                <w:sz w:val="24"/>
              </w:rPr>
            </w:pPr>
            <w:r>
              <w:rPr>
                <w:b/>
                <w:color w:val="auto"/>
                <w:spacing w:val="-10"/>
                <w:sz w:val="24"/>
              </w:rPr>
              <w:t>6、</w:t>
            </w:r>
            <w:r>
              <w:rPr>
                <w:rFonts w:hint="eastAsia"/>
                <w:b/>
                <w:color w:val="auto"/>
                <w:spacing w:val="-10"/>
                <w:sz w:val="24"/>
              </w:rPr>
              <w:t>环境风险</w:t>
            </w:r>
          </w:p>
          <w:p w14:paraId="238F8D62">
            <w:pPr>
              <w:adjustRightInd w:val="0"/>
              <w:snapToGrid w:val="0"/>
              <w:spacing w:line="360" w:lineRule="auto"/>
              <w:ind w:firstLine="480" w:firstLineChars="200"/>
              <w:rPr>
                <w:bCs/>
                <w:color w:val="auto"/>
                <w:sz w:val="24"/>
              </w:rPr>
            </w:pPr>
            <w:r>
              <w:rPr>
                <w:bCs/>
                <w:color w:val="auto"/>
                <w:sz w:val="24"/>
              </w:rPr>
              <w:t>（1）风险物质识别</w:t>
            </w:r>
          </w:p>
          <w:p w14:paraId="3D090BFF">
            <w:pPr>
              <w:adjustRightInd w:val="0"/>
              <w:snapToGrid w:val="0"/>
              <w:spacing w:line="360" w:lineRule="auto"/>
              <w:ind w:firstLine="480" w:firstLineChars="200"/>
              <w:rPr>
                <w:color w:val="auto"/>
                <w:sz w:val="24"/>
              </w:rPr>
            </w:pPr>
            <w:r>
              <w:rPr>
                <w:bCs/>
                <w:color w:val="auto"/>
                <w:sz w:val="24"/>
              </w:rPr>
              <w:t>根据《建设项目环境风险评价技术导则》（HJ169-2018）附录B，对本项目使用的原辅料进行识别，属于风险物质的为</w:t>
            </w:r>
            <w:r>
              <w:rPr>
                <w:rFonts w:hint="eastAsia"/>
                <w:bCs/>
                <w:color w:val="auto"/>
                <w:sz w:val="24"/>
              </w:rPr>
              <w:t>机油和废机油</w:t>
            </w:r>
            <w:r>
              <w:rPr>
                <w:bCs/>
                <w:color w:val="auto"/>
                <w:sz w:val="24"/>
              </w:rPr>
              <w:t>。存储位置为</w:t>
            </w:r>
            <w:r>
              <w:rPr>
                <w:rFonts w:hint="eastAsia"/>
                <w:bCs/>
                <w:color w:val="auto"/>
                <w:sz w:val="24"/>
              </w:rPr>
              <w:t>库房和</w:t>
            </w:r>
            <w:r>
              <w:rPr>
                <w:bCs/>
                <w:color w:val="auto"/>
                <w:sz w:val="24"/>
              </w:rPr>
              <w:t>危废</w:t>
            </w:r>
            <w:r>
              <w:rPr>
                <w:rFonts w:hint="eastAsia"/>
                <w:bCs/>
                <w:color w:val="auto"/>
                <w:sz w:val="24"/>
              </w:rPr>
              <w:t>贮存</w:t>
            </w:r>
            <w:r>
              <w:rPr>
                <w:rFonts w:hint="eastAsia"/>
                <w:bCs/>
                <w:color w:val="auto"/>
                <w:sz w:val="24"/>
                <w:lang w:val="en-US" w:eastAsia="zh-CN"/>
              </w:rPr>
              <w:t>点</w:t>
            </w:r>
            <w:r>
              <w:rPr>
                <w:bCs/>
                <w:color w:val="auto"/>
                <w:sz w:val="24"/>
              </w:rPr>
              <w:t>。</w:t>
            </w:r>
            <w:r>
              <w:rPr>
                <w:rFonts w:hint="eastAsia"/>
                <w:bCs/>
                <w:color w:val="auto"/>
                <w:sz w:val="24"/>
              </w:rPr>
              <w:t>风险物质存在量及临界量见下表：</w:t>
            </w:r>
          </w:p>
          <w:p w14:paraId="78189728">
            <w:pPr>
              <w:adjustRightInd w:val="0"/>
              <w:snapToGrid w:val="0"/>
              <w:jc w:val="center"/>
              <w:rPr>
                <w:rFonts w:eastAsia="黑体"/>
                <w:color w:val="auto"/>
                <w:sz w:val="24"/>
                <w:szCs w:val="20"/>
              </w:rPr>
            </w:pPr>
            <w:r>
              <w:rPr>
                <w:b/>
                <w:color w:val="auto"/>
                <w:sz w:val="24"/>
              </w:rPr>
              <w:t>表4-</w:t>
            </w:r>
            <w:r>
              <w:rPr>
                <w:rFonts w:hint="eastAsia"/>
                <w:b/>
                <w:color w:val="auto"/>
                <w:sz w:val="24"/>
              </w:rPr>
              <w:t>1</w:t>
            </w:r>
            <w:r>
              <w:rPr>
                <w:rFonts w:hint="eastAsia"/>
                <w:b/>
                <w:color w:val="auto"/>
                <w:sz w:val="24"/>
                <w:lang w:val="en-US" w:eastAsia="zh-CN"/>
              </w:rPr>
              <w:t>2</w:t>
            </w:r>
            <w:r>
              <w:rPr>
                <w:rFonts w:hint="eastAsia"/>
                <w:b/>
                <w:color w:val="auto"/>
                <w:sz w:val="24"/>
              </w:rPr>
              <w:t xml:space="preserve"> </w:t>
            </w:r>
            <w:r>
              <w:rPr>
                <w:b/>
                <w:color w:val="auto"/>
                <w:sz w:val="24"/>
              </w:rPr>
              <w:t xml:space="preserve"> </w:t>
            </w:r>
            <w:r>
              <w:rPr>
                <w:rFonts w:hint="eastAsia"/>
                <w:b/>
                <w:color w:val="auto"/>
                <w:sz w:val="24"/>
              </w:rPr>
              <w:t>全厂</w:t>
            </w:r>
            <w:r>
              <w:rPr>
                <w:b/>
                <w:color w:val="auto"/>
                <w:sz w:val="24"/>
              </w:rPr>
              <w:t>风险物质存在量一览表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1972"/>
              <w:gridCol w:w="1972"/>
              <w:gridCol w:w="1975"/>
            </w:tblGrid>
            <w:tr w14:paraId="48F1F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539A213D">
                  <w:pPr>
                    <w:adjustRightInd w:val="0"/>
                    <w:snapToGrid w:val="0"/>
                    <w:jc w:val="center"/>
                    <w:rPr>
                      <w:bCs/>
                      <w:color w:val="auto"/>
                      <w:kern w:val="21"/>
                      <w:szCs w:val="21"/>
                    </w:rPr>
                  </w:pPr>
                  <w:r>
                    <w:rPr>
                      <w:bCs/>
                      <w:color w:val="auto"/>
                      <w:kern w:val="21"/>
                      <w:szCs w:val="21"/>
                    </w:rPr>
                    <w:t>类别</w:t>
                  </w:r>
                </w:p>
              </w:tc>
              <w:tc>
                <w:tcPr>
                  <w:tcW w:w="1220" w:type="pct"/>
                  <w:vAlign w:val="center"/>
                </w:tcPr>
                <w:p w14:paraId="58C50D7B">
                  <w:pPr>
                    <w:adjustRightInd w:val="0"/>
                    <w:snapToGrid w:val="0"/>
                    <w:jc w:val="center"/>
                    <w:rPr>
                      <w:bCs/>
                      <w:color w:val="auto"/>
                      <w:szCs w:val="21"/>
                    </w:rPr>
                  </w:pPr>
                  <w:r>
                    <w:rPr>
                      <w:bCs/>
                      <w:color w:val="auto"/>
                      <w:kern w:val="21"/>
                      <w:szCs w:val="21"/>
                    </w:rPr>
                    <w:t>最大贮存量</w:t>
                  </w:r>
                </w:p>
              </w:tc>
              <w:tc>
                <w:tcPr>
                  <w:tcW w:w="1220" w:type="pct"/>
                  <w:vAlign w:val="center"/>
                </w:tcPr>
                <w:p w14:paraId="1C541F0E">
                  <w:pPr>
                    <w:adjustRightInd w:val="0"/>
                    <w:snapToGrid w:val="0"/>
                    <w:jc w:val="center"/>
                    <w:rPr>
                      <w:bCs/>
                      <w:color w:val="auto"/>
                      <w:kern w:val="21"/>
                      <w:szCs w:val="21"/>
                    </w:rPr>
                  </w:pPr>
                  <w:r>
                    <w:rPr>
                      <w:bCs/>
                      <w:color w:val="auto"/>
                      <w:kern w:val="21"/>
                      <w:szCs w:val="21"/>
                    </w:rPr>
                    <w:t>临界量</w:t>
                  </w:r>
                </w:p>
              </w:tc>
              <w:tc>
                <w:tcPr>
                  <w:tcW w:w="1221" w:type="pct"/>
                  <w:vAlign w:val="center"/>
                </w:tcPr>
                <w:p w14:paraId="3D2B7425">
                  <w:pPr>
                    <w:adjustRightInd w:val="0"/>
                    <w:snapToGrid w:val="0"/>
                    <w:jc w:val="center"/>
                    <w:rPr>
                      <w:bCs/>
                      <w:color w:val="auto"/>
                      <w:kern w:val="21"/>
                      <w:szCs w:val="21"/>
                    </w:rPr>
                  </w:pPr>
                  <w:r>
                    <w:rPr>
                      <w:rFonts w:hint="eastAsia"/>
                      <w:bCs/>
                      <w:color w:val="auto"/>
                      <w:kern w:val="21"/>
                      <w:szCs w:val="21"/>
                    </w:rPr>
                    <w:t>Q值</w:t>
                  </w:r>
                </w:p>
              </w:tc>
            </w:tr>
            <w:tr w14:paraId="75108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79A49D68">
                  <w:pPr>
                    <w:adjustRightInd w:val="0"/>
                    <w:snapToGrid w:val="0"/>
                    <w:jc w:val="center"/>
                    <w:rPr>
                      <w:color w:val="auto"/>
                      <w:szCs w:val="21"/>
                    </w:rPr>
                  </w:pPr>
                  <w:r>
                    <w:rPr>
                      <w:rFonts w:hint="eastAsia"/>
                      <w:color w:val="auto"/>
                      <w:szCs w:val="21"/>
                    </w:rPr>
                    <w:t>机油</w:t>
                  </w:r>
                </w:p>
              </w:tc>
              <w:tc>
                <w:tcPr>
                  <w:tcW w:w="1220" w:type="pct"/>
                  <w:vAlign w:val="center"/>
                </w:tcPr>
                <w:p w14:paraId="5FA1C11B">
                  <w:pPr>
                    <w:adjustRightInd w:val="0"/>
                    <w:snapToGrid w:val="0"/>
                    <w:jc w:val="center"/>
                    <w:rPr>
                      <w:color w:val="auto"/>
                      <w:szCs w:val="21"/>
                    </w:rPr>
                  </w:pPr>
                  <w:r>
                    <w:rPr>
                      <w:rFonts w:hint="eastAsia"/>
                      <w:color w:val="auto"/>
                      <w:szCs w:val="21"/>
                    </w:rPr>
                    <w:t>0.</w:t>
                  </w:r>
                  <w:r>
                    <w:rPr>
                      <w:rFonts w:hint="eastAsia"/>
                      <w:color w:val="auto"/>
                      <w:szCs w:val="21"/>
                      <w:lang w:val="en-US" w:eastAsia="zh-CN"/>
                    </w:rPr>
                    <w:t>2</w:t>
                  </w:r>
                  <w:r>
                    <w:rPr>
                      <w:rFonts w:hint="eastAsia"/>
                      <w:color w:val="auto"/>
                      <w:szCs w:val="21"/>
                    </w:rPr>
                    <w:t>t</w:t>
                  </w:r>
                </w:p>
              </w:tc>
              <w:tc>
                <w:tcPr>
                  <w:tcW w:w="1220" w:type="pct"/>
                  <w:vAlign w:val="center"/>
                </w:tcPr>
                <w:p w14:paraId="14C07C1F">
                  <w:pPr>
                    <w:adjustRightInd w:val="0"/>
                    <w:snapToGrid w:val="0"/>
                    <w:jc w:val="center"/>
                    <w:rPr>
                      <w:color w:val="auto"/>
                      <w:szCs w:val="21"/>
                    </w:rPr>
                  </w:pPr>
                  <w:r>
                    <w:rPr>
                      <w:rFonts w:hint="eastAsia"/>
                      <w:color w:val="auto"/>
                      <w:szCs w:val="21"/>
                    </w:rPr>
                    <w:t>2500t</w:t>
                  </w:r>
                </w:p>
              </w:tc>
              <w:tc>
                <w:tcPr>
                  <w:tcW w:w="1221" w:type="pct"/>
                  <w:vAlign w:val="center"/>
                </w:tcPr>
                <w:p w14:paraId="4730DE9E">
                  <w:pPr>
                    <w:adjustRightInd w:val="0"/>
                    <w:snapToGrid w:val="0"/>
                    <w:jc w:val="center"/>
                    <w:rPr>
                      <w:rFonts w:hint="default" w:eastAsia="宋体"/>
                      <w:color w:val="auto"/>
                      <w:szCs w:val="21"/>
                      <w:lang w:val="en-US" w:eastAsia="zh-CN"/>
                    </w:rPr>
                  </w:pPr>
                  <w:r>
                    <w:rPr>
                      <w:rFonts w:hint="eastAsia"/>
                      <w:color w:val="auto"/>
                      <w:szCs w:val="21"/>
                    </w:rPr>
                    <w:t>0.000</w:t>
                  </w:r>
                  <w:r>
                    <w:rPr>
                      <w:rFonts w:hint="eastAsia"/>
                      <w:color w:val="auto"/>
                      <w:szCs w:val="21"/>
                      <w:lang w:val="en-US" w:eastAsia="zh-CN"/>
                    </w:rPr>
                    <w:t>08</w:t>
                  </w:r>
                </w:p>
              </w:tc>
            </w:tr>
            <w:tr w14:paraId="79319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39BA6FE6">
                  <w:pPr>
                    <w:adjustRightInd w:val="0"/>
                    <w:snapToGrid w:val="0"/>
                    <w:jc w:val="center"/>
                    <w:rPr>
                      <w:color w:val="auto"/>
                      <w:szCs w:val="21"/>
                    </w:rPr>
                  </w:pPr>
                  <w:r>
                    <w:rPr>
                      <w:rFonts w:hint="eastAsia"/>
                      <w:color w:val="auto"/>
                      <w:szCs w:val="21"/>
                    </w:rPr>
                    <w:t>废机油</w:t>
                  </w:r>
                </w:p>
              </w:tc>
              <w:tc>
                <w:tcPr>
                  <w:tcW w:w="1220" w:type="pct"/>
                  <w:vAlign w:val="center"/>
                </w:tcPr>
                <w:p w14:paraId="11161B0C">
                  <w:pPr>
                    <w:adjustRightInd w:val="0"/>
                    <w:snapToGrid w:val="0"/>
                    <w:jc w:val="center"/>
                    <w:rPr>
                      <w:color w:val="auto"/>
                      <w:szCs w:val="21"/>
                    </w:rPr>
                  </w:pPr>
                  <w:r>
                    <w:rPr>
                      <w:rFonts w:hint="eastAsia"/>
                      <w:color w:val="auto"/>
                      <w:szCs w:val="21"/>
                    </w:rPr>
                    <w:t>0.</w:t>
                  </w:r>
                  <w:r>
                    <w:rPr>
                      <w:rFonts w:hint="eastAsia"/>
                      <w:color w:val="auto"/>
                      <w:szCs w:val="21"/>
                      <w:lang w:val="en-US" w:eastAsia="zh-CN"/>
                    </w:rPr>
                    <w:t>1</w:t>
                  </w:r>
                  <w:r>
                    <w:rPr>
                      <w:color w:val="auto"/>
                      <w:szCs w:val="21"/>
                    </w:rPr>
                    <w:t>t</w:t>
                  </w:r>
                </w:p>
              </w:tc>
              <w:tc>
                <w:tcPr>
                  <w:tcW w:w="1220" w:type="pct"/>
                  <w:vAlign w:val="center"/>
                </w:tcPr>
                <w:p w14:paraId="437F1B7F">
                  <w:pPr>
                    <w:adjustRightInd w:val="0"/>
                    <w:snapToGrid w:val="0"/>
                    <w:jc w:val="center"/>
                    <w:rPr>
                      <w:color w:val="auto"/>
                      <w:szCs w:val="21"/>
                    </w:rPr>
                  </w:pPr>
                  <w:r>
                    <w:rPr>
                      <w:rFonts w:hint="eastAsia"/>
                      <w:color w:val="auto"/>
                      <w:szCs w:val="21"/>
                    </w:rPr>
                    <w:t>50</w:t>
                  </w:r>
                  <w:r>
                    <w:rPr>
                      <w:color w:val="auto"/>
                      <w:szCs w:val="21"/>
                    </w:rPr>
                    <w:t>t</w:t>
                  </w:r>
                </w:p>
              </w:tc>
              <w:tc>
                <w:tcPr>
                  <w:tcW w:w="1221" w:type="pct"/>
                  <w:vAlign w:val="center"/>
                </w:tcPr>
                <w:p w14:paraId="0F025E08">
                  <w:pPr>
                    <w:adjustRightInd w:val="0"/>
                    <w:snapToGrid w:val="0"/>
                    <w:jc w:val="center"/>
                    <w:rPr>
                      <w:rFonts w:hint="eastAsia" w:eastAsia="宋体"/>
                      <w:color w:val="auto"/>
                      <w:szCs w:val="21"/>
                      <w:lang w:eastAsia="zh-CN"/>
                    </w:rPr>
                  </w:pPr>
                  <w:r>
                    <w:rPr>
                      <w:rFonts w:hint="eastAsia"/>
                      <w:color w:val="auto"/>
                      <w:szCs w:val="21"/>
                    </w:rPr>
                    <w:t>0.00</w:t>
                  </w:r>
                  <w:r>
                    <w:rPr>
                      <w:rFonts w:hint="eastAsia"/>
                      <w:color w:val="auto"/>
                      <w:szCs w:val="21"/>
                      <w:lang w:val="en-US" w:eastAsia="zh-CN"/>
                    </w:rPr>
                    <w:t>3</w:t>
                  </w:r>
                </w:p>
              </w:tc>
            </w:tr>
          </w:tbl>
          <w:p w14:paraId="4CA16FC0">
            <w:pPr>
              <w:spacing w:line="360" w:lineRule="auto"/>
              <w:ind w:firstLine="480" w:firstLineChars="200"/>
              <w:rPr>
                <w:color w:val="auto"/>
                <w:sz w:val="24"/>
              </w:rPr>
            </w:pPr>
            <w:r>
              <w:rPr>
                <w:rFonts w:hint="eastAsia"/>
                <w:bCs/>
                <w:color w:val="auto"/>
                <w:sz w:val="24"/>
              </w:rPr>
              <w:t>由上表可知，</w:t>
            </w:r>
            <w:r>
              <w:rPr>
                <w:bCs/>
                <w:color w:val="auto"/>
                <w:sz w:val="24"/>
              </w:rPr>
              <w:t>本项目有毒有害和易燃易爆危险物质存储量</w:t>
            </w:r>
            <w:r>
              <w:rPr>
                <w:rFonts w:hint="eastAsia"/>
                <w:bCs/>
                <w:color w:val="auto"/>
                <w:sz w:val="24"/>
              </w:rPr>
              <w:t>小</w:t>
            </w:r>
            <w:r>
              <w:rPr>
                <w:bCs/>
                <w:color w:val="auto"/>
                <w:sz w:val="24"/>
              </w:rPr>
              <w:t>于临界量</w:t>
            </w:r>
            <w:r>
              <w:rPr>
                <w:color w:val="auto"/>
                <w:sz w:val="24"/>
              </w:rPr>
              <w:t>，不构成重大危险源，因此项目环境风险评价工作为简单分析即可。项目运营期风险可能影响途径是</w:t>
            </w:r>
            <w:r>
              <w:rPr>
                <w:rFonts w:hint="eastAsia"/>
                <w:color w:val="auto"/>
                <w:sz w:val="24"/>
                <w:lang w:val="en-US" w:eastAsia="zh-CN"/>
              </w:rPr>
              <w:t>机油和</w:t>
            </w:r>
            <w:r>
              <w:rPr>
                <w:color w:val="auto"/>
                <w:sz w:val="24"/>
              </w:rPr>
              <w:t>废机油</w:t>
            </w:r>
            <w:r>
              <w:rPr>
                <w:rFonts w:hint="eastAsia"/>
                <w:color w:val="auto"/>
                <w:sz w:val="24"/>
              </w:rPr>
              <w:t>泄漏或</w:t>
            </w:r>
            <w:r>
              <w:rPr>
                <w:color w:val="auto"/>
                <w:sz w:val="24"/>
              </w:rPr>
              <w:t>遇明火</w:t>
            </w:r>
            <w:r>
              <w:rPr>
                <w:rFonts w:hint="eastAsia"/>
                <w:color w:val="auto"/>
                <w:sz w:val="24"/>
              </w:rPr>
              <w:t>、</w:t>
            </w:r>
            <w:r>
              <w:rPr>
                <w:color w:val="auto"/>
                <w:sz w:val="24"/>
              </w:rPr>
              <w:t>高温时易发生火灾事故，火灾会带来生产设施的重大破坏和人员伤亡。同时在火灾过程中，燃烧后产生有毒有害气体造成污染。</w:t>
            </w:r>
          </w:p>
          <w:p w14:paraId="0B360686">
            <w:pPr>
              <w:numPr>
                <w:ilvl w:val="0"/>
                <w:numId w:val="9"/>
              </w:numPr>
              <w:spacing w:line="360" w:lineRule="auto"/>
              <w:ind w:firstLine="480" w:firstLineChars="200"/>
              <w:rPr>
                <w:color w:val="auto"/>
              </w:rPr>
            </w:pPr>
            <w:r>
              <w:rPr>
                <w:rFonts w:hint="eastAsia"/>
                <w:bCs/>
                <w:color w:val="auto"/>
                <w:sz w:val="24"/>
              </w:rPr>
              <w:t>现有</w:t>
            </w:r>
            <w:r>
              <w:rPr>
                <w:bCs/>
                <w:color w:val="auto"/>
                <w:sz w:val="24"/>
              </w:rPr>
              <w:t>环境风险防范措施</w:t>
            </w:r>
          </w:p>
          <w:p w14:paraId="4C50934A">
            <w:pPr>
              <w:spacing w:line="360" w:lineRule="auto"/>
              <w:ind w:firstLine="480" w:firstLineChars="200"/>
              <w:rPr>
                <w:color w:val="auto"/>
                <w:sz w:val="24"/>
              </w:rPr>
            </w:pPr>
            <w:r>
              <w:rPr>
                <w:rFonts w:hint="eastAsia"/>
                <w:color w:val="auto"/>
                <w:sz w:val="24"/>
              </w:rPr>
              <w:t>①建设单位定期进行设备管理维护，严防火灾发生，定期对线路进行检查，及时处理破损线路；</w:t>
            </w:r>
          </w:p>
          <w:p w14:paraId="79EAF002">
            <w:pPr>
              <w:spacing w:line="360" w:lineRule="auto"/>
              <w:ind w:firstLine="480" w:firstLineChars="200"/>
              <w:rPr>
                <w:color w:val="auto"/>
                <w:sz w:val="24"/>
              </w:rPr>
            </w:pPr>
            <w:r>
              <w:rPr>
                <w:rFonts w:hint="eastAsia"/>
                <w:color w:val="auto"/>
                <w:sz w:val="24"/>
              </w:rPr>
              <w:t>②库房地面已做防渗处理，并设专人管理，定期进行巡查，检查包装容器完整性；</w:t>
            </w:r>
          </w:p>
          <w:p w14:paraId="6818A4AF">
            <w:pPr>
              <w:widowControl/>
              <w:spacing w:line="360" w:lineRule="auto"/>
              <w:ind w:firstLine="480" w:firstLineChars="200"/>
              <w:rPr>
                <w:color w:val="auto"/>
                <w:sz w:val="24"/>
              </w:rPr>
            </w:pPr>
            <w:r>
              <w:rPr>
                <w:rFonts w:hint="eastAsia"/>
                <w:color w:val="auto"/>
                <w:sz w:val="24"/>
              </w:rPr>
              <w:t>③厂区内设置了明显标识牌，禁止烟火</w:t>
            </w:r>
            <w:r>
              <w:rPr>
                <w:color w:val="auto"/>
                <w:sz w:val="24"/>
              </w:rPr>
              <w:t>；</w:t>
            </w:r>
          </w:p>
          <w:p w14:paraId="5EB7CA82">
            <w:pPr>
              <w:spacing w:line="360" w:lineRule="auto"/>
              <w:ind w:firstLine="480" w:firstLineChars="200"/>
              <w:rPr>
                <w:color w:val="auto"/>
              </w:rPr>
            </w:pPr>
            <w:r>
              <w:rPr>
                <w:rFonts w:hint="eastAsia"/>
                <w:color w:val="auto"/>
                <w:sz w:val="24"/>
              </w:rPr>
              <w:t>④危废贮存</w:t>
            </w:r>
            <w:r>
              <w:rPr>
                <w:rFonts w:hint="eastAsia"/>
                <w:color w:val="auto"/>
                <w:sz w:val="24"/>
                <w:lang w:val="en-US" w:eastAsia="zh-CN"/>
              </w:rPr>
              <w:t>点</w:t>
            </w:r>
            <w:r>
              <w:rPr>
                <w:rFonts w:hint="eastAsia"/>
                <w:color w:val="auto"/>
                <w:sz w:val="24"/>
              </w:rPr>
              <w:t>地面进行了防腐、防渗处理，做好了危废储存管理，并设专人管理，定期检查危废包装桶、地面完好情况，液体危废的盛装桶放置在托盘内，防止危废泄漏</w:t>
            </w:r>
            <w:r>
              <w:rPr>
                <w:rFonts w:hint="eastAsia"/>
                <w:bCs/>
                <w:color w:val="auto"/>
                <w:sz w:val="24"/>
              </w:rPr>
              <w:t>；</w:t>
            </w:r>
          </w:p>
          <w:p w14:paraId="505B2206">
            <w:pPr>
              <w:spacing w:line="360" w:lineRule="auto"/>
              <w:ind w:firstLine="480" w:firstLineChars="200"/>
              <w:rPr>
                <w:bCs/>
                <w:color w:val="auto"/>
                <w:sz w:val="24"/>
              </w:rPr>
            </w:pPr>
            <w:r>
              <w:rPr>
                <w:bCs/>
                <w:color w:val="auto"/>
                <w:sz w:val="24"/>
              </w:rPr>
              <w:t>（</w:t>
            </w:r>
            <w:r>
              <w:rPr>
                <w:rFonts w:hint="eastAsia"/>
                <w:bCs/>
                <w:color w:val="auto"/>
                <w:sz w:val="24"/>
              </w:rPr>
              <w:t>3</w:t>
            </w:r>
            <w:r>
              <w:rPr>
                <w:bCs/>
                <w:color w:val="auto"/>
                <w:sz w:val="24"/>
              </w:rPr>
              <w:t>）环境风险防范</w:t>
            </w:r>
            <w:r>
              <w:rPr>
                <w:rFonts w:hint="eastAsia"/>
                <w:bCs/>
                <w:color w:val="auto"/>
                <w:sz w:val="24"/>
              </w:rPr>
              <w:t>及应急</w:t>
            </w:r>
            <w:r>
              <w:rPr>
                <w:bCs/>
                <w:color w:val="auto"/>
                <w:sz w:val="24"/>
              </w:rPr>
              <w:t>要求</w:t>
            </w:r>
          </w:p>
          <w:p w14:paraId="4B766596">
            <w:pPr>
              <w:spacing w:line="360" w:lineRule="auto"/>
              <w:ind w:firstLine="480" w:firstLineChars="200"/>
              <w:rPr>
                <w:color w:val="auto"/>
                <w:sz w:val="24"/>
              </w:rPr>
            </w:pPr>
            <w:r>
              <w:rPr>
                <w:rFonts w:hint="eastAsia"/>
                <w:color w:val="auto"/>
                <w:sz w:val="24"/>
              </w:rPr>
              <w:t xml:space="preserve">为使环境风险减小到最低限度，必须加强安全管理，制定完备、有效的防范措施，尽可能降低项目环境风险事故发生的概率。 </w:t>
            </w:r>
          </w:p>
          <w:p w14:paraId="3F86C9D6">
            <w:pPr>
              <w:spacing w:line="360" w:lineRule="auto"/>
              <w:ind w:firstLine="480" w:firstLineChars="200"/>
              <w:rPr>
                <w:color w:val="auto"/>
                <w:sz w:val="24"/>
              </w:rPr>
            </w:pPr>
            <w:r>
              <w:rPr>
                <w:rFonts w:hint="eastAsia"/>
                <w:color w:val="auto"/>
                <w:sz w:val="24"/>
              </w:rPr>
              <w:t>①健全、完善消防设施，定期检查消防设施，并及时更换过期消防设施，培训员工熟练使用消防设施；</w:t>
            </w:r>
          </w:p>
          <w:p w14:paraId="7F16C4FE">
            <w:pPr>
              <w:spacing w:line="360" w:lineRule="auto"/>
              <w:ind w:firstLine="480" w:firstLineChars="200"/>
              <w:rPr>
                <w:color w:val="auto"/>
                <w:sz w:val="24"/>
              </w:rPr>
            </w:pPr>
            <w:r>
              <w:rPr>
                <w:rFonts w:hint="eastAsia"/>
                <w:color w:val="auto"/>
                <w:sz w:val="24"/>
              </w:rPr>
              <w:t>②制定严格的防火、防爆制度，定期对生产人员进行消防等安全教育，同时建立安全监督机制进行安全考核等。设计紧急事件处理预案，明确消防责任人。</w:t>
            </w:r>
          </w:p>
          <w:p w14:paraId="3CE0D03D">
            <w:pPr>
              <w:widowControl/>
              <w:spacing w:line="360" w:lineRule="auto"/>
              <w:ind w:firstLine="480" w:firstLineChars="200"/>
              <w:rPr>
                <w:color w:val="auto"/>
                <w:sz w:val="24"/>
              </w:rPr>
            </w:pPr>
            <w:r>
              <w:rPr>
                <w:rFonts w:hint="eastAsia"/>
                <w:color w:val="auto"/>
                <w:sz w:val="24"/>
              </w:rPr>
              <w:t>③消防设施和用电设施等必须符合国家规定的安全要求。</w:t>
            </w:r>
          </w:p>
          <w:p w14:paraId="50853E69">
            <w:pPr>
              <w:spacing w:line="360" w:lineRule="auto"/>
              <w:ind w:firstLine="480" w:firstLineChars="200"/>
              <w:rPr>
                <w:color w:val="auto"/>
                <w:sz w:val="24"/>
              </w:rPr>
            </w:pPr>
            <w:r>
              <w:rPr>
                <w:rFonts w:hint="eastAsia"/>
                <w:color w:val="auto"/>
                <w:sz w:val="24"/>
              </w:rPr>
              <w:t>④编制突发环境事件应急预案，并按要求定期进行演练。</w:t>
            </w:r>
          </w:p>
          <w:p w14:paraId="1EDDD582">
            <w:pPr>
              <w:adjustRightInd w:val="0"/>
              <w:snapToGrid w:val="0"/>
              <w:spacing w:line="360" w:lineRule="auto"/>
              <w:ind w:firstLine="480" w:firstLineChars="200"/>
              <w:rPr>
                <w:bCs/>
                <w:color w:val="auto"/>
                <w:sz w:val="24"/>
              </w:rPr>
            </w:pPr>
            <w:r>
              <w:rPr>
                <w:bCs/>
                <w:color w:val="auto"/>
                <w:sz w:val="24"/>
              </w:rPr>
              <w:t>（</w:t>
            </w:r>
            <w:r>
              <w:rPr>
                <w:rFonts w:hint="eastAsia"/>
                <w:bCs/>
                <w:color w:val="auto"/>
                <w:sz w:val="24"/>
              </w:rPr>
              <w:t>4</w:t>
            </w:r>
            <w:r>
              <w:rPr>
                <w:bCs/>
                <w:color w:val="auto"/>
                <w:sz w:val="24"/>
              </w:rPr>
              <w:t>）分析结论</w:t>
            </w:r>
          </w:p>
          <w:p w14:paraId="11F0672C">
            <w:pPr>
              <w:adjustRightInd w:val="0"/>
              <w:snapToGrid w:val="0"/>
              <w:spacing w:line="360" w:lineRule="auto"/>
              <w:ind w:firstLine="480" w:firstLineChars="200"/>
              <w:rPr>
                <w:color w:val="auto"/>
                <w:vertAlign w:val="baseline"/>
              </w:rPr>
            </w:pPr>
            <w:r>
              <w:rPr>
                <w:bCs/>
                <w:color w:val="auto"/>
                <w:sz w:val="24"/>
              </w:rPr>
              <w:t>通过采取以上环境风险防范措施，本项目环境风险能够控制在可接受范围之内。</w:t>
            </w:r>
          </w:p>
        </w:tc>
      </w:tr>
    </w:tbl>
    <w:p w14:paraId="10F08EC5">
      <w:pPr>
        <w:adjustRightInd w:val="0"/>
        <w:snapToGrid w:val="0"/>
        <w:spacing w:line="360" w:lineRule="auto"/>
        <w:ind w:firstLine="420" w:firstLineChars="200"/>
        <w:rPr>
          <w:color w:val="auto"/>
        </w:rPr>
      </w:pPr>
    </w:p>
    <w:p w14:paraId="55F86C91">
      <w:pPr>
        <w:pStyle w:val="35"/>
        <w:rPr>
          <w:color w:val="auto"/>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7FC7B588">
      <w:pPr>
        <w:pStyle w:val="24"/>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w:t>
      </w:r>
      <w:bookmarkStart w:id="4" w:name="_Hlk54167917"/>
      <w:r>
        <w:rPr>
          <w:rFonts w:hint="eastAsia" w:ascii="黑体" w:hAnsi="黑体" w:eastAsia="黑体"/>
          <w:snapToGrid w:val="0"/>
          <w:color w:val="auto"/>
          <w:sz w:val="30"/>
          <w:szCs w:val="30"/>
        </w:rPr>
        <w:t>环境保护措施监督检查清单</w:t>
      </w:r>
      <w:bookmarkEnd w:id="4"/>
    </w:p>
    <w:tbl>
      <w:tblPr>
        <w:tblStyle w:val="27"/>
        <w:tblW w:w="5002"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971"/>
        <w:gridCol w:w="916"/>
        <w:gridCol w:w="2529"/>
        <w:gridCol w:w="2281"/>
      </w:tblGrid>
      <w:tr w14:paraId="7302DF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41" w:hRule="atLeast"/>
        </w:trPr>
        <w:tc>
          <w:tcPr>
            <w:tcW w:w="754" w:type="pct"/>
            <w:tcBorders>
              <w:tl2br w:val="single" w:color="auto" w:sz="4" w:space="0"/>
            </w:tcBorders>
            <w:vAlign w:val="center"/>
          </w:tcPr>
          <w:p w14:paraId="2BE8CF28">
            <w:pPr>
              <w:widowControl/>
              <w:jc w:val="center"/>
              <w:rPr>
                <w:b/>
                <w:bCs/>
                <w:color w:val="auto"/>
                <w:szCs w:val="21"/>
              </w:rPr>
            </w:pPr>
            <w:r>
              <w:rPr>
                <w:rFonts w:hint="eastAsia"/>
                <w:b/>
                <w:bCs/>
                <w:color w:val="auto"/>
                <w:szCs w:val="21"/>
              </w:rPr>
              <w:t xml:space="preserve">      </w:t>
            </w:r>
            <w:r>
              <w:rPr>
                <w:b/>
                <w:bCs/>
                <w:color w:val="auto"/>
                <w:szCs w:val="21"/>
              </w:rPr>
              <w:t>内容</w:t>
            </w:r>
          </w:p>
          <w:p w14:paraId="3F81F15B">
            <w:pPr>
              <w:widowControl/>
              <w:rPr>
                <w:b/>
                <w:bCs/>
                <w:color w:val="auto"/>
                <w:szCs w:val="21"/>
              </w:rPr>
            </w:pPr>
            <w:r>
              <w:rPr>
                <w:b/>
                <w:bCs/>
                <w:color w:val="auto"/>
                <w:szCs w:val="21"/>
              </w:rPr>
              <w:t>要素</w:t>
            </w:r>
          </w:p>
        </w:tc>
        <w:tc>
          <w:tcPr>
            <w:tcW w:w="1087" w:type="pct"/>
            <w:vAlign w:val="center"/>
          </w:tcPr>
          <w:p w14:paraId="51BAD077">
            <w:pPr>
              <w:widowControl/>
              <w:jc w:val="center"/>
              <w:rPr>
                <w:b/>
                <w:bCs/>
                <w:color w:val="auto"/>
                <w:szCs w:val="21"/>
              </w:rPr>
            </w:pPr>
            <w:r>
              <w:rPr>
                <w:b/>
                <w:bCs/>
                <w:color w:val="auto"/>
                <w:szCs w:val="21"/>
              </w:rPr>
              <w:t>排放口(编号、</w:t>
            </w:r>
          </w:p>
          <w:p w14:paraId="35650225">
            <w:pPr>
              <w:widowControl/>
              <w:jc w:val="center"/>
              <w:rPr>
                <w:b/>
                <w:bCs/>
                <w:color w:val="auto"/>
                <w:szCs w:val="21"/>
              </w:rPr>
            </w:pPr>
            <w:r>
              <w:rPr>
                <w:b/>
                <w:bCs/>
                <w:color w:val="auto"/>
                <w:szCs w:val="21"/>
              </w:rPr>
              <w:t>名称)/污染源</w:t>
            </w:r>
          </w:p>
        </w:tc>
        <w:tc>
          <w:tcPr>
            <w:tcW w:w="504" w:type="pct"/>
            <w:vAlign w:val="center"/>
          </w:tcPr>
          <w:p w14:paraId="080CE282">
            <w:pPr>
              <w:widowControl/>
              <w:jc w:val="center"/>
              <w:rPr>
                <w:b/>
                <w:bCs/>
                <w:color w:val="auto"/>
                <w:szCs w:val="21"/>
              </w:rPr>
            </w:pPr>
            <w:r>
              <w:rPr>
                <w:b/>
                <w:bCs/>
                <w:color w:val="auto"/>
                <w:szCs w:val="21"/>
              </w:rPr>
              <w:t>污染物项目</w:t>
            </w:r>
          </w:p>
        </w:tc>
        <w:tc>
          <w:tcPr>
            <w:tcW w:w="1395" w:type="pct"/>
            <w:vAlign w:val="center"/>
          </w:tcPr>
          <w:p w14:paraId="7011B4B3">
            <w:pPr>
              <w:widowControl/>
              <w:jc w:val="center"/>
              <w:rPr>
                <w:b/>
                <w:bCs/>
                <w:color w:val="auto"/>
                <w:szCs w:val="21"/>
              </w:rPr>
            </w:pPr>
            <w:r>
              <w:rPr>
                <w:b/>
                <w:bCs/>
                <w:color w:val="auto"/>
                <w:szCs w:val="21"/>
              </w:rPr>
              <w:t>环境保护措施</w:t>
            </w:r>
          </w:p>
        </w:tc>
        <w:tc>
          <w:tcPr>
            <w:tcW w:w="1258" w:type="pct"/>
            <w:vAlign w:val="center"/>
          </w:tcPr>
          <w:p w14:paraId="393DCA5C">
            <w:pPr>
              <w:widowControl/>
              <w:jc w:val="center"/>
              <w:rPr>
                <w:b/>
                <w:bCs/>
                <w:color w:val="auto"/>
                <w:szCs w:val="21"/>
              </w:rPr>
            </w:pPr>
            <w:r>
              <w:rPr>
                <w:b/>
                <w:bCs/>
                <w:color w:val="auto"/>
                <w:szCs w:val="21"/>
              </w:rPr>
              <w:t>执行标准</w:t>
            </w:r>
          </w:p>
        </w:tc>
      </w:tr>
      <w:tr w14:paraId="378F83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restart"/>
            <w:vAlign w:val="center"/>
          </w:tcPr>
          <w:p w14:paraId="1A822DB6">
            <w:pPr>
              <w:widowControl/>
              <w:jc w:val="center"/>
              <w:rPr>
                <w:color w:val="auto"/>
                <w:szCs w:val="21"/>
              </w:rPr>
            </w:pPr>
            <w:r>
              <w:rPr>
                <w:color w:val="auto"/>
                <w:szCs w:val="21"/>
              </w:rPr>
              <w:t>大气环境</w:t>
            </w:r>
          </w:p>
        </w:tc>
        <w:tc>
          <w:tcPr>
            <w:tcW w:w="1087" w:type="pct"/>
            <w:shd w:val="clear" w:color="auto" w:fill="auto"/>
            <w:vAlign w:val="center"/>
          </w:tcPr>
          <w:p w14:paraId="06C3BAAA">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DA001</w:t>
            </w:r>
          </w:p>
        </w:tc>
        <w:tc>
          <w:tcPr>
            <w:tcW w:w="504" w:type="pct"/>
            <w:shd w:val="clear" w:color="auto" w:fill="auto"/>
            <w:vAlign w:val="center"/>
          </w:tcPr>
          <w:p w14:paraId="16D492E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颗粒物</w:t>
            </w:r>
          </w:p>
        </w:tc>
        <w:tc>
          <w:tcPr>
            <w:tcW w:w="1395" w:type="pct"/>
            <w:vAlign w:val="center"/>
          </w:tcPr>
          <w:p w14:paraId="72E316BE">
            <w:pPr>
              <w:widowControl/>
              <w:jc w:val="center"/>
              <w:rPr>
                <w:color w:val="auto"/>
                <w:szCs w:val="21"/>
              </w:rPr>
            </w:pPr>
            <w:r>
              <w:rPr>
                <w:rFonts w:hint="default" w:ascii="Times New Roman" w:hAnsi="Times New Roman" w:cs="Times New Roman"/>
                <w:color w:val="auto"/>
                <w:sz w:val="21"/>
                <w:szCs w:val="21"/>
                <w:lang w:val="en-US" w:eastAsia="zh-CN"/>
              </w:rPr>
              <w:t>集气罩+布袋除尘器</w:t>
            </w:r>
            <w:r>
              <w:rPr>
                <w:color w:val="auto"/>
                <w:szCs w:val="21"/>
              </w:rPr>
              <w:t>+15m排气筒</w:t>
            </w:r>
            <w:r>
              <w:rPr>
                <w:rFonts w:hint="eastAsia"/>
                <w:color w:val="auto"/>
              </w:rPr>
              <w:t>（DA001）</w:t>
            </w:r>
            <w:r>
              <w:rPr>
                <w:rFonts w:hint="eastAsia" w:cs="Times New Roman"/>
                <w:color w:val="auto"/>
                <w:szCs w:val="21"/>
                <w:lang w:val="en-US" w:eastAsia="zh-CN"/>
              </w:rPr>
              <w:t>（依托现有）</w:t>
            </w:r>
          </w:p>
        </w:tc>
        <w:tc>
          <w:tcPr>
            <w:tcW w:w="1258" w:type="pct"/>
            <w:vMerge w:val="restart"/>
            <w:vAlign w:val="center"/>
          </w:tcPr>
          <w:p w14:paraId="3942B3D9">
            <w:pPr>
              <w:jc w:val="center"/>
              <w:rPr>
                <w:color w:val="auto"/>
                <w:szCs w:val="21"/>
              </w:rPr>
            </w:pPr>
            <w:r>
              <w:rPr>
                <w:color w:val="auto"/>
                <w:szCs w:val="21"/>
              </w:rPr>
              <w:t>《大气污染物综合排放标准》</w:t>
            </w:r>
            <w:r>
              <w:rPr>
                <w:rFonts w:hint="eastAsia"/>
                <w:color w:val="auto"/>
                <w:szCs w:val="21"/>
              </w:rPr>
              <w:t>（</w:t>
            </w:r>
            <w:r>
              <w:rPr>
                <w:color w:val="auto"/>
                <w:szCs w:val="21"/>
              </w:rPr>
              <w:t>GB16297-1996</w:t>
            </w:r>
            <w:r>
              <w:rPr>
                <w:rFonts w:hint="eastAsia"/>
                <w:color w:val="auto"/>
                <w:szCs w:val="21"/>
              </w:rPr>
              <w:t>）表2</w:t>
            </w:r>
            <w:r>
              <w:rPr>
                <w:rFonts w:hint="eastAsia"/>
                <w:color w:val="auto"/>
                <w:szCs w:val="21"/>
                <w:lang w:val="en-US" w:eastAsia="zh-CN"/>
              </w:rPr>
              <w:t>二级排放标准</w:t>
            </w:r>
          </w:p>
        </w:tc>
      </w:tr>
      <w:tr w14:paraId="6BAADF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vAlign w:val="center"/>
          </w:tcPr>
          <w:p w14:paraId="2EA9CB2D">
            <w:pPr>
              <w:widowControl/>
              <w:jc w:val="center"/>
              <w:rPr>
                <w:color w:val="auto"/>
                <w:szCs w:val="21"/>
              </w:rPr>
            </w:pPr>
          </w:p>
        </w:tc>
        <w:tc>
          <w:tcPr>
            <w:tcW w:w="1087" w:type="pct"/>
            <w:shd w:val="clear" w:color="auto" w:fill="auto"/>
            <w:vAlign w:val="center"/>
          </w:tcPr>
          <w:p w14:paraId="4B71DB7D">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DA002</w:t>
            </w:r>
          </w:p>
        </w:tc>
        <w:tc>
          <w:tcPr>
            <w:tcW w:w="504" w:type="pct"/>
            <w:shd w:val="clear" w:color="auto" w:fill="auto"/>
            <w:vAlign w:val="center"/>
          </w:tcPr>
          <w:p w14:paraId="54A3A9B5">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颗粒物</w:t>
            </w:r>
          </w:p>
        </w:tc>
        <w:tc>
          <w:tcPr>
            <w:tcW w:w="1395" w:type="pct"/>
            <w:vAlign w:val="center"/>
          </w:tcPr>
          <w:p w14:paraId="502929B1">
            <w:pPr>
              <w:widowControl/>
              <w:jc w:val="center"/>
              <w:rPr>
                <w:color w:val="auto"/>
              </w:rPr>
            </w:pPr>
            <w:r>
              <w:rPr>
                <w:rFonts w:hint="default" w:ascii="Times New Roman" w:hAnsi="Times New Roman" w:cs="Times New Roman"/>
                <w:color w:val="auto"/>
                <w:sz w:val="21"/>
                <w:szCs w:val="21"/>
                <w:lang w:val="en-US" w:eastAsia="zh-CN"/>
              </w:rPr>
              <w:t>集气罩+布袋除尘器</w:t>
            </w:r>
            <w:r>
              <w:rPr>
                <w:color w:val="auto"/>
                <w:szCs w:val="21"/>
              </w:rPr>
              <w:t>+15m排气筒</w:t>
            </w:r>
            <w:r>
              <w:rPr>
                <w:rFonts w:hint="eastAsia"/>
                <w:color w:val="auto"/>
              </w:rPr>
              <w:t>（DA002）</w:t>
            </w:r>
            <w:r>
              <w:rPr>
                <w:rFonts w:hint="eastAsia" w:cs="Times New Roman"/>
                <w:color w:val="auto"/>
                <w:szCs w:val="21"/>
                <w:lang w:val="en-US" w:eastAsia="zh-CN"/>
              </w:rPr>
              <w:t>（依托现有）</w:t>
            </w:r>
          </w:p>
        </w:tc>
        <w:tc>
          <w:tcPr>
            <w:tcW w:w="1258" w:type="pct"/>
            <w:vMerge w:val="continue"/>
            <w:vAlign w:val="center"/>
          </w:tcPr>
          <w:p w14:paraId="5BDFA000">
            <w:pPr>
              <w:jc w:val="center"/>
              <w:rPr>
                <w:color w:val="auto"/>
                <w:szCs w:val="21"/>
              </w:rPr>
            </w:pPr>
          </w:p>
        </w:tc>
      </w:tr>
      <w:tr w14:paraId="3E06A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vAlign w:val="center"/>
          </w:tcPr>
          <w:p w14:paraId="388D8B4C">
            <w:pPr>
              <w:widowControl/>
              <w:jc w:val="center"/>
              <w:rPr>
                <w:color w:val="auto"/>
                <w:szCs w:val="21"/>
              </w:rPr>
            </w:pPr>
          </w:p>
        </w:tc>
        <w:tc>
          <w:tcPr>
            <w:tcW w:w="1087" w:type="pct"/>
            <w:shd w:val="clear" w:color="auto" w:fill="auto"/>
            <w:vAlign w:val="center"/>
          </w:tcPr>
          <w:p w14:paraId="36AB268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DA003</w:t>
            </w:r>
          </w:p>
        </w:tc>
        <w:tc>
          <w:tcPr>
            <w:tcW w:w="504" w:type="pct"/>
            <w:shd w:val="clear" w:color="auto" w:fill="auto"/>
            <w:vAlign w:val="center"/>
          </w:tcPr>
          <w:p w14:paraId="76CDBD3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颗粒物</w:t>
            </w:r>
          </w:p>
        </w:tc>
        <w:tc>
          <w:tcPr>
            <w:tcW w:w="1395" w:type="pct"/>
            <w:vAlign w:val="center"/>
          </w:tcPr>
          <w:p w14:paraId="5C7759D9">
            <w:pPr>
              <w:widowControl/>
              <w:jc w:val="center"/>
              <w:rPr>
                <w:color w:val="auto"/>
              </w:rPr>
            </w:pPr>
            <w:r>
              <w:rPr>
                <w:rFonts w:hint="default" w:ascii="Times New Roman" w:hAnsi="Times New Roman" w:cs="Times New Roman"/>
                <w:color w:val="auto"/>
                <w:sz w:val="21"/>
                <w:szCs w:val="21"/>
                <w:lang w:val="en-US" w:eastAsia="zh-CN"/>
              </w:rPr>
              <w:t>集气罩+布袋除尘器</w:t>
            </w:r>
            <w:r>
              <w:rPr>
                <w:color w:val="auto"/>
                <w:szCs w:val="21"/>
              </w:rPr>
              <w:t>+15m排气筒</w:t>
            </w:r>
            <w:r>
              <w:rPr>
                <w:rFonts w:hint="eastAsia"/>
                <w:color w:val="auto"/>
              </w:rPr>
              <w:t>（DA003）</w:t>
            </w:r>
            <w:r>
              <w:rPr>
                <w:rFonts w:hint="eastAsia" w:cs="Times New Roman"/>
                <w:color w:val="auto"/>
                <w:szCs w:val="21"/>
                <w:lang w:val="en-US" w:eastAsia="zh-CN"/>
              </w:rPr>
              <w:t>（依托现有）</w:t>
            </w:r>
          </w:p>
        </w:tc>
        <w:tc>
          <w:tcPr>
            <w:tcW w:w="1258" w:type="pct"/>
            <w:vMerge w:val="continue"/>
            <w:vAlign w:val="center"/>
          </w:tcPr>
          <w:p w14:paraId="6910A284">
            <w:pPr>
              <w:jc w:val="center"/>
              <w:rPr>
                <w:color w:val="auto"/>
                <w:szCs w:val="21"/>
              </w:rPr>
            </w:pPr>
          </w:p>
        </w:tc>
      </w:tr>
      <w:tr w14:paraId="4FCEE6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754" w:type="pct"/>
            <w:vMerge w:val="continue"/>
            <w:vAlign w:val="center"/>
          </w:tcPr>
          <w:p w14:paraId="010DE6EA">
            <w:pPr>
              <w:widowControl/>
              <w:jc w:val="center"/>
              <w:rPr>
                <w:color w:val="auto"/>
                <w:szCs w:val="21"/>
              </w:rPr>
            </w:pPr>
          </w:p>
        </w:tc>
        <w:tc>
          <w:tcPr>
            <w:tcW w:w="1087" w:type="pct"/>
            <w:shd w:val="clear" w:color="auto" w:fill="auto"/>
            <w:vAlign w:val="center"/>
          </w:tcPr>
          <w:p w14:paraId="3EF2EDD5">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DA004</w:t>
            </w:r>
          </w:p>
        </w:tc>
        <w:tc>
          <w:tcPr>
            <w:tcW w:w="504" w:type="pct"/>
            <w:shd w:val="clear" w:color="auto" w:fill="auto"/>
            <w:vAlign w:val="center"/>
          </w:tcPr>
          <w:p w14:paraId="39FF3F8C">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颗粒物</w:t>
            </w:r>
          </w:p>
        </w:tc>
        <w:tc>
          <w:tcPr>
            <w:tcW w:w="1395" w:type="pct"/>
            <w:vAlign w:val="center"/>
          </w:tcPr>
          <w:p w14:paraId="043FBBA3">
            <w:pPr>
              <w:widowControl/>
              <w:jc w:val="center"/>
              <w:rPr>
                <w:color w:val="auto"/>
                <w:szCs w:val="21"/>
              </w:rPr>
            </w:pPr>
            <w:r>
              <w:rPr>
                <w:rFonts w:hint="default" w:ascii="Times New Roman" w:hAnsi="Times New Roman" w:cs="Times New Roman"/>
                <w:color w:val="auto"/>
                <w:sz w:val="21"/>
                <w:szCs w:val="21"/>
                <w:lang w:val="en-US" w:eastAsia="zh-CN"/>
              </w:rPr>
              <w:t>集气罩+布袋除尘器</w:t>
            </w:r>
            <w:r>
              <w:rPr>
                <w:color w:val="auto"/>
                <w:szCs w:val="21"/>
              </w:rPr>
              <w:t>+15m排气筒</w:t>
            </w:r>
            <w:r>
              <w:rPr>
                <w:rFonts w:hint="eastAsia"/>
                <w:color w:val="auto"/>
              </w:rPr>
              <w:t>（DA00</w:t>
            </w:r>
            <w:r>
              <w:rPr>
                <w:rFonts w:hint="eastAsia"/>
                <w:color w:val="auto"/>
                <w:lang w:val="en-US" w:eastAsia="zh-CN"/>
              </w:rPr>
              <w:t>4</w:t>
            </w:r>
            <w:r>
              <w:rPr>
                <w:rFonts w:hint="eastAsia"/>
                <w:color w:val="auto"/>
              </w:rPr>
              <w:t>）</w:t>
            </w:r>
            <w:r>
              <w:rPr>
                <w:rFonts w:hint="eastAsia" w:cs="Times New Roman"/>
                <w:color w:val="auto"/>
                <w:szCs w:val="21"/>
                <w:lang w:val="en-US" w:eastAsia="zh-CN"/>
              </w:rPr>
              <w:t>（依托现有）</w:t>
            </w:r>
          </w:p>
        </w:tc>
        <w:tc>
          <w:tcPr>
            <w:tcW w:w="1258" w:type="pct"/>
            <w:vMerge w:val="continue"/>
            <w:vAlign w:val="center"/>
          </w:tcPr>
          <w:p w14:paraId="24ADE793">
            <w:pPr>
              <w:jc w:val="center"/>
              <w:rPr>
                <w:color w:val="auto"/>
                <w:szCs w:val="21"/>
              </w:rPr>
            </w:pPr>
          </w:p>
        </w:tc>
      </w:tr>
      <w:tr w14:paraId="00201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754" w:type="pct"/>
            <w:vMerge w:val="continue"/>
            <w:vAlign w:val="center"/>
          </w:tcPr>
          <w:p w14:paraId="702C0EC0">
            <w:pPr>
              <w:widowControl/>
              <w:jc w:val="center"/>
              <w:rPr>
                <w:color w:val="auto"/>
                <w:szCs w:val="21"/>
              </w:rPr>
            </w:pPr>
          </w:p>
        </w:tc>
        <w:tc>
          <w:tcPr>
            <w:tcW w:w="1087" w:type="pct"/>
            <w:shd w:val="clear" w:color="auto" w:fill="auto"/>
            <w:vAlign w:val="center"/>
          </w:tcPr>
          <w:p w14:paraId="031163EC">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DA005</w:t>
            </w:r>
          </w:p>
        </w:tc>
        <w:tc>
          <w:tcPr>
            <w:tcW w:w="504" w:type="pct"/>
            <w:shd w:val="clear" w:color="auto" w:fill="auto"/>
            <w:vAlign w:val="center"/>
          </w:tcPr>
          <w:p w14:paraId="1C7BD05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颗粒物</w:t>
            </w:r>
          </w:p>
        </w:tc>
        <w:tc>
          <w:tcPr>
            <w:tcW w:w="1395" w:type="pct"/>
            <w:shd w:val="clear" w:color="auto" w:fill="auto"/>
            <w:vAlign w:val="center"/>
          </w:tcPr>
          <w:p w14:paraId="22FA54A4">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集气罩+布袋除尘器</w:t>
            </w:r>
            <w:r>
              <w:rPr>
                <w:color w:val="auto"/>
                <w:szCs w:val="21"/>
              </w:rPr>
              <w:t>+15m排气筒</w:t>
            </w:r>
            <w:r>
              <w:rPr>
                <w:rFonts w:hint="eastAsia"/>
                <w:color w:val="auto"/>
              </w:rPr>
              <w:t>（DA00</w:t>
            </w:r>
            <w:r>
              <w:rPr>
                <w:rFonts w:hint="eastAsia"/>
                <w:color w:val="auto"/>
                <w:lang w:val="en-US" w:eastAsia="zh-CN"/>
              </w:rPr>
              <w:t>5</w:t>
            </w:r>
            <w:r>
              <w:rPr>
                <w:rFonts w:hint="eastAsia"/>
                <w:color w:val="auto"/>
              </w:rPr>
              <w:t>）</w:t>
            </w:r>
          </w:p>
        </w:tc>
        <w:tc>
          <w:tcPr>
            <w:tcW w:w="1258" w:type="pct"/>
            <w:vMerge w:val="continue"/>
            <w:vAlign w:val="center"/>
          </w:tcPr>
          <w:p w14:paraId="5851FAAA">
            <w:pPr>
              <w:jc w:val="center"/>
              <w:rPr>
                <w:color w:val="auto"/>
                <w:szCs w:val="21"/>
              </w:rPr>
            </w:pPr>
          </w:p>
        </w:tc>
      </w:tr>
      <w:tr w14:paraId="0C4D6D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54" w:type="pct"/>
            <w:vMerge w:val="continue"/>
            <w:vAlign w:val="center"/>
          </w:tcPr>
          <w:p w14:paraId="17FA0E59">
            <w:pPr>
              <w:adjustRightInd w:val="0"/>
              <w:snapToGrid w:val="0"/>
              <w:jc w:val="center"/>
              <w:rPr>
                <w:color w:val="auto"/>
              </w:rPr>
            </w:pPr>
          </w:p>
        </w:tc>
        <w:tc>
          <w:tcPr>
            <w:tcW w:w="1087" w:type="pct"/>
            <w:vAlign w:val="center"/>
          </w:tcPr>
          <w:p w14:paraId="04BE0A2E">
            <w:pPr>
              <w:adjustRightInd w:val="0"/>
              <w:snapToGrid w:val="0"/>
              <w:jc w:val="center"/>
              <w:rPr>
                <w:color w:val="auto"/>
              </w:rPr>
            </w:pPr>
            <w:r>
              <w:rPr>
                <w:rFonts w:hint="eastAsia"/>
                <w:color w:val="auto"/>
                <w:sz w:val="21"/>
                <w:szCs w:val="21"/>
                <w:lang w:val="en-US" w:eastAsia="zh-CN"/>
              </w:rPr>
              <w:t>破碎筛分分选粉尘</w:t>
            </w:r>
          </w:p>
        </w:tc>
        <w:tc>
          <w:tcPr>
            <w:tcW w:w="504" w:type="pct"/>
            <w:vMerge w:val="restart"/>
            <w:vAlign w:val="center"/>
          </w:tcPr>
          <w:p w14:paraId="2FDBEC55">
            <w:pPr>
              <w:jc w:val="center"/>
              <w:rPr>
                <w:color w:val="auto"/>
                <w:szCs w:val="21"/>
              </w:rPr>
            </w:pPr>
            <w:r>
              <w:rPr>
                <w:rFonts w:hint="eastAsia"/>
                <w:color w:val="auto"/>
                <w:sz w:val="21"/>
                <w:szCs w:val="21"/>
                <w:lang w:val="en-US" w:eastAsia="zh-CN"/>
              </w:rPr>
              <w:t>颗粒物</w:t>
            </w:r>
          </w:p>
        </w:tc>
        <w:tc>
          <w:tcPr>
            <w:tcW w:w="1395" w:type="pct"/>
            <w:shd w:val="clear" w:color="auto" w:fill="auto"/>
            <w:vAlign w:val="center"/>
          </w:tcPr>
          <w:p w14:paraId="61A2FA9F">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喷淋</w:t>
            </w:r>
            <w:r>
              <w:rPr>
                <w:rFonts w:hint="eastAsia"/>
                <w:color w:val="auto"/>
                <w:sz w:val="21"/>
                <w:szCs w:val="21"/>
                <w:lang w:val="en-US" w:eastAsia="zh-CN"/>
              </w:rPr>
              <w:t>除尘</w:t>
            </w:r>
            <w:r>
              <w:rPr>
                <w:rFonts w:hint="eastAsia"/>
                <w:color w:val="auto"/>
                <w:sz w:val="21"/>
                <w:szCs w:val="21"/>
              </w:rPr>
              <w:t>、</w:t>
            </w:r>
            <w:r>
              <w:rPr>
                <w:color w:val="auto"/>
                <w:sz w:val="21"/>
                <w:szCs w:val="21"/>
              </w:rPr>
              <w:t>厂房隔挡</w:t>
            </w:r>
          </w:p>
        </w:tc>
        <w:tc>
          <w:tcPr>
            <w:tcW w:w="1258" w:type="pct"/>
            <w:vMerge w:val="restart"/>
            <w:vAlign w:val="center"/>
          </w:tcPr>
          <w:p w14:paraId="71A768D9">
            <w:pPr>
              <w:adjustRightInd w:val="0"/>
              <w:snapToGrid w:val="0"/>
              <w:jc w:val="center"/>
              <w:rPr>
                <w:color w:val="auto"/>
              </w:rPr>
            </w:pPr>
            <w:r>
              <w:rPr>
                <w:color w:val="auto"/>
              </w:rPr>
              <w:t>《大气污染物综合排放标准》</w:t>
            </w:r>
            <w:r>
              <w:rPr>
                <w:rFonts w:hint="eastAsia"/>
                <w:color w:val="auto"/>
              </w:rPr>
              <w:t>（</w:t>
            </w:r>
            <w:r>
              <w:rPr>
                <w:color w:val="auto"/>
              </w:rPr>
              <w:t>GB16297-1996</w:t>
            </w:r>
            <w:r>
              <w:rPr>
                <w:rFonts w:hint="eastAsia"/>
                <w:color w:val="auto"/>
              </w:rPr>
              <w:t>）表2</w:t>
            </w:r>
            <w:r>
              <w:rPr>
                <w:color w:val="auto"/>
              </w:rPr>
              <w:t>无组织排放监控浓度限值</w:t>
            </w:r>
          </w:p>
        </w:tc>
      </w:tr>
      <w:tr w14:paraId="036FFA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54" w:type="pct"/>
            <w:vMerge w:val="continue"/>
            <w:vAlign w:val="center"/>
          </w:tcPr>
          <w:p w14:paraId="57545330">
            <w:pPr>
              <w:adjustRightInd w:val="0"/>
              <w:snapToGrid w:val="0"/>
              <w:jc w:val="center"/>
              <w:rPr>
                <w:color w:val="auto"/>
              </w:rPr>
            </w:pPr>
          </w:p>
        </w:tc>
        <w:tc>
          <w:tcPr>
            <w:tcW w:w="1087" w:type="pct"/>
            <w:vAlign w:val="center"/>
          </w:tcPr>
          <w:p w14:paraId="6A18123A">
            <w:pPr>
              <w:adjustRightInd w:val="0"/>
              <w:snapToGrid w:val="0"/>
              <w:jc w:val="center"/>
              <w:rPr>
                <w:rFonts w:hint="eastAsia"/>
                <w:color w:val="auto"/>
              </w:rPr>
            </w:pPr>
            <w:r>
              <w:rPr>
                <w:rFonts w:hint="eastAsia"/>
                <w:color w:val="auto"/>
                <w:sz w:val="21"/>
                <w:szCs w:val="21"/>
                <w:lang w:val="en-US" w:eastAsia="zh-CN"/>
              </w:rPr>
              <w:t>装卸粉尘</w:t>
            </w:r>
          </w:p>
        </w:tc>
        <w:tc>
          <w:tcPr>
            <w:tcW w:w="504" w:type="pct"/>
            <w:vMerge w:val="continue"/>
            <w:vAlign w:val="center"/>
          </w:tcPr>
          <w:p w14:paraId="4E87336A">
            <w:pPr>
              <w:jc w:val="center"/>
              <w:rPr>
                <w:rFonts w:hint="eastAsia"/>
                <w:color w:val="auto"/>
              </w:rPr>
            </w:pPr>
          </w:p>
        </w:tc>
        <w:tc>
          <w:tcPr>
            <w:tcW w:w="1395" w:type="pct"/>
            <w:shd w:val="clear" w:color="auto" w:fill="auto"/>
            <w:vAlign w:val="center"/>
          </w:tcPr>
          <w:p w14:paraId="071EAEE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喷淋、遮挡</w:t>
            </w:r>
          </w:p>
        </w:tc>
        <w:tc>
          <w:tcPr>
            <w:tcW w:w="1258" w:type="pct"/>
            <w:vMerge w:val="continue"/>
            <w:vAlign w:val="center"/>
          </w:tcPr>
          <w:p w14:paraId="70D79551">
            <w:pPr>
              <w:adjustRightInd w:val="0"/>
              <w:snapToGrid w:val="0"/>
              <w:jc w:val="center"/>
              <w:rPr>
                <w:rFonts w:hint="eastAsia"/>
                <w:color w:val="auto"/>
                <w:szCs w:val="21"/>
              </w:rPr>
            </w:pPr>
          </w:p>
        </w:tc>
      </w:tr>
      <w:tr w14:paraId="3EF94D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754" w:type="pct"/>
            <w:vMerge w:val="continue"/>
            <w:vAlign w:val="center"/>
          </w:tcPr>
          <w:p w14:paraId="0E3693D8">
            <w:pPr>
              <w:adjustRightInd w:val="0"/>
              <w:snapToGrid w:val="0"/>
              <w:jc w:val="center"/>
              <w:rPr>
                <w:color w:val="auto"/>
              </w:rPr>
            </w:pPr>
          </w:p>
        </w:tc>
        <w:tc>
          <w:tcPr>
            <w:tcW w:w="1087" w:type="pct"/>
            <w:vAlign w:val="center"/>
          </w:tcPr>
          <w:p w14:paraId="273C16F5">
            <w:pPr>
              <w:adjustRightInd w:val="0"/>
              <w:snapToGrid w:val="0"/>
              <w:jc w:val="center"/>
              <w:rPr>
                <w:color w:val="auto"/>
              </w:rPr>
            </w:pPr>
            <w:r>
              <w:rPr>
                <w:rFonts w:hint="eastAsia"/>
                <w:color w:val="auto"/>
                <w:sz w:val="21"/>
                <w:szCs w:val="21"/>
                <w:lang w:val="en-US" w:eastAsia="zh-CN"/>
              </w:rPr>
              <w:t>车辆运输扬尘</w:t>
            </w:r>
          </w:p>
        </w:tc>
        <w:tc>
          <w:tcPr>
            <w:tcW w:w="504" w:type="pct"/>
            <w:vMerge w:val="continue"/>
            <w:vAlign w:val="center"/>
          </w:tcPr>
          <w:p w14:paraId="47EA1B56">
            <w:pPr>
              <w:adjustRightInd w:val="0"/>
              <w:snapToGrid w:val="0"/>
              <w:jc w:val="center"/>
              <w:rPr>
                <w:color w:val="auto"/>
              </w:rPr>
            </w:pPr>
          </w:p>
        </w:tc>
        <w:tc>
          <w:tcPr>
            <w:tcW w:w="1395" w:type="pct"/>
            <w:shd w:val="clear" w:color="auto" w:fill="auto"/>
            <w:vAlign w:val="center"/>
          </w:tcPr>
          <w:p w14:paraId="2DB3CD4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车辆清洗、喷淋降尘</w:t>
            </w:r>
          </w:p>
        </w:tc>
        <w:tc>
          <w:tcPr>
            <w:tcW w:w="1258" w:type="pct"/>
            <w:vMerge w:val="continue"/>
            <w:vAlign w:val="center"/>
          </w:tcPr>
          <w:p w14:paraId="3C246A9D">
            <w:pPr>
              <w:adjustRightInd w:val="0"/>
              <w:snapToGrid w:val="0"/>
              <w:jc w:val="center"/>
              <w:rPr>
                <w:color w:val="auto"/>
              </w:rPr>
            </w:pPr>
          </w:p>
        </w:tc>
      </w:tr>
      <w:tr w14:paraId="7A1DEA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54" w:type="pct"/>
            <w:vMerge w:val="continue"/>
            <w:vAlign w:val="center"/>
          </w:tcPr>
          <w:p w14:paraId="49537969">
            <w:pPr>
              <w:widowControl/>
              <w:jc w:val="center"/>
              <w:rPr>
                <w:color w:val="auto"/>
                <w:szCs w:val="21"/>
              </w:rPr>
            </w:pPr>
          </w:p>
        </w:tc>
        <w:tc>
          <w:tcPr>
            <w:tcW w:w="1087" w:type="pct"/>
            <w:vAlign w:val="center"/>
          </w:tcPr>
          <w:p w14:paraId="4626517F">
            <w:pPr>
              <w:adjustRightInd w:val="0"/>
              <w:snapToGrid w:val="0"/>
              <w:jc w:val="center"/>
              <w:rPr>
                <w:color w:val="auto"/>
                <w:szCs w:val="21"/>
              </w:rPr>
            </w:pPr>
            <w:r>
              <w:rPr>
                <w:rFonts w:hint="eastAsia"/>
                <w:color w:val="auto"/>
                <w:sz w:val="21"/>
                <w:szCs w:val="21"/>
                <w:lang w:val="en-US" w:eastAsia="zh-CN"/>
              </w:rPr>
              <w:t>堆场扬尘</w:t>
            </w:r>
          </w:p>
        </w:tc>
        <w:tc>
          <w:tcPr>
            <w:tcW w:w="504" w:type="pct"/>
            <w:vMerge w:val="continue"/>
            <w:vAlign w:val="center"/>
          </w:tcPr>
          <w:p w14:paraId="58BAFCAE">
            <w:pPr>
              <w:jc w:val="center"/>
              <w:rPr>
                <w:color w:val="auto"/>
                <w:szCs w:val="21"/>
              </w:rPr>
            </w:pPr>
          </w:p>
        </w:tc>
        <w:tc>
          <w:tcPr>
            <w:tcW w:w="1395" w:type="pct"/>
            <w:shd w:val="clear" w:color="auto" w:fill="auto"/>
            <w:vAlign w:val="center"/>
          </w:tcPr>
          <w:p w14:paraId="13FBCEC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防尘网、雾化</w:t>
            </w:r>
          </w:p>
        </w:tc>
        <w:tc>
          <w:tcPr>
            <w:tcW w:w="1258" w:type="pct"/>
            <w:vMerge w:val="continue"/>
            <w:vAlign w:val="center"/>
          </w:tcPr>
          <w:p w14:paraId="5C517506">
            <w:pPr>
              <w:jc w:val="center"/>
              <w:rPr>
                <w:color w:val="auto"/>
                <w:szCs w:val="21"/>
              </w:rPr>
            </w:pPr>
          </w:p>
        </w:tc>
      </w:tr>
      <w:tr w14:paraId="5CF3F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Align w:val="center"/>
          </w:tcPr>
          <w:p w14:paraId="7F459E65">
            <w:pPr>
              <w:widowControl/>
              <w:jc w:val="center"/>
              <w:rPr>
                <w:color w:val="auto"/>
                <w:szCs w:val="21"/>
              </w:rPr>
            </w:pPr>
            <w:r>
              <w:rPr>
                <w:color w:val="auto"/>
                <w:szCs w:val="21"/>
              </w:rPr>
              <w:t>声环境</w:t>
            </w:r>
          </w:p>
        </w:tc>
        <w:tc>
          <w:tcPr>
            <w:tcW w:w="1087" w:type="pct"/>
            <w:vAlign w:val="center"/>
          </w:tcPr>
          <w:p w14:paraId="47E188DA">
            <w:pPr>
              <w:widowControl/>
              <w:jc w:val="center"/>
              <w:rPr>
                <w:color w:val="auto"/>
                <w:szCs w:val="21"/>
              </w:rPr>
            </w:pPr>
            <w:r>
              <w:rPr>
                <w:color w:val="auto"/>
                <w:szCs w:val="21"/>
              </w:rPr>
              <w:t>生产设备及辅助设备</w:t>
            </w:r>
          </w:p>
        </w:tc>
        <w:tc>
          <w:tcPr>
            <w:tcW w:w="504" w:type="pct"/>
            <w:vAlign w:val="center"/>
          </w:tcPr>
          <w:p w14:paraId="1A11F2AF">
            <w:pPr>
              <w:widowControl/>
              <w:jc w:val="center"/>
              <w:rPr>
                <w:color w:val="auto"/>
                <w:szCs w:val="21"/>
              </w:rPr>
            </w:pPr>
            <w:r>
              <w:rPr>
                <w:color w:val="auto"/>
                <w:szCs w:val="21"/>
              </w:rPr>
              <w:t>噪声</w:t>
            </w:r>
          </w:p>
        </w:tc>
        <w:tc>
          <w:tcPr>
            <w:tcW w:w="1395" w:type="pct"/>
            <w:vAlign w:val="center"/>
          </w:tcPr>
          <w:p w14:paraId="1A63DB5F">
            <w:pPr>
              <w:widowControl/>
              <w:jc w:val="center"/>
              <w:rPr>
                <w:color w:val="auto"/>
                <w:szCs w:val="21"/>
              </w:rPr>
            </w:pPr>
            <w:r>
              <w:rPr>
                <w:color w:val="auto"/>
                <w:szCs w:val="21"/>
              </w:rPr>
              <w:t>设备基础减振、厂房隔声等</w:t>
            </w:r>
          </w:p>
        </w:tc>
        <w:tc>
          <w:tcPr>
            <w:tcW w:w="1258" w:type="pct"/>
            <w:vAlign w:val="center"/>
          </w:tcPr>
          <w:p w14:paraId="1325F245">
            <w:pPr>
              <w:widowControl/>
              <w:jc w:val="center"/>
              <w:rPr>
                <w:color w:val="auto"/>
                <w:szCs w:val="21"/>
              </w:rPr>
            </w:pPr>
            <w:r>
              <w:rPr>
                <w:color w:val="auto"/>
                <w:szCs w:val="21"/>
              </w:rPr>
              <w:t>《工业企业厂界环境噪声排放标准》（GB12348-2008）2类</w:t>
            </w:r>
            <w:r>
              <w:rPr>
                <w:rFonts w:hint="eastAsia"/>
                <w:color w:val="auto"/>
                <w:szCs w:val="21"/>
              </w:rPr>
              <w:t>类</w:t>
            </w:r>
            <w:r>
              <w:rPr>
                <w:color w:val="auto"/>
                <w:szCs w:val="21"/>
              </w:rPr>
              <w:t>标准</w:t>
            </w:r>
          </w:p>
        </w:tc>
      </w:tr>
      <w:tr w14:paraId="51CC7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54" w:type="pct"/>
            <w:vAlign w:val="center"/>
          </w:tcPr>
          <w:p w14:paraId="0014163E">
            <w:pPr>
              <w:widowControl/>
              <w:jc w:val="center"/>
              <w:rPr>
                <w:color w:val="auto"/>
                <w:szCs w:val="21"/>
              </w:rPr>
            </w:pPr>
            <w:r>
              <w:rPr>
                <w:color w:val="auto"/>
                <w:szCs w:val="21"/>
              </w:rPr>
              <w:t>地表水环境</w:t>
            </w:r>
          </w:p>
        </w:tc>
        <w:tc>
          <w:tcPr>
            <w:tcW w:w="1087" w:type="pct"/>
            <w:vAlign w:val="center"/>
          </w:tcPr>
          <w:p w14:paraId="1A5EBC13">
            <w:pPr>
              <w:widowControl/>
              <w:jc w:val="center"/>
              <w:rPr>
                <w:color w:val="auto"/>
                <w:szCs w:val="21"/>
              </w:rPr>
            </w:pPr>
            <w:r>
              <w:rPr>
                <w:rFonts w:hint="eastAsia"/>
                <w:color w:val="auto"/>
                <w:szCs w:val="21"/>
                <w:lang w:val="en-US" w:eastAsia="zh-CN"/>
              </w:rPr>
              <w:t>/</w:t>
            </w:r>
          </w:p>
        </w:tc>
        <w:tc>
          <w:tcPr>
            <w:tcW w:w="504" w:type="pct"/>
            <w:vAlign w:val="center"/>
          </w:tcPr>
          <w:p w14:paraId="3D346103">
            <w:pPr>
              <w:widowControl/>
              <w:jc w:val="center"/>
              <w:rPr>
                <w:color w:val="auto"/>
                <w:szCs w:val="21"/>
              </w:rPr>
            </w:pPr>
            <w:r>
              <w:rPr>
                <w:rFonts w:hint="eastAsia"/>
                <w:color w:val="auto"/>
                <w:szCs w:val="21"/>
                <w:lang w:val="en-US" w:eastAsia="zh-CN"/>
              </w:rPr>
              <w:t>/</w:t>
            </w:r>
          </w:p>
        </w:tc>
        <w:tc>
          <w:tcPr>
            <w:tcW w:w="2653" w:type="pct"/>
            <w:gridSpan w:val="2"/>
            <w:vAlign w:val="center"/>
          </w:tcPr>
          <w:p w14:paraId="3165BF22">
            <w:pPr>
              <w:widowControl/>
              <w:jc w:val="center"/>
              <w:rPr>
                <w:color w:val="auto"/>
                <w:szCs w:val="21"/>
              </w:rPr>
            </w:pPr>
            <w:r>
              <w:rPr>
                <w:rFonts w:hint="eastAsia"/>
                <w:color w:val="auto"/>
                <w:szCs w:val="21"/>
                <w:lang w:val="en-US" w:eastAsia="zh-CN"/>
              </w:rPr>
              <w:t>/</w:t>
            </w:r>
          </w:p>
        </w:tc>
      </w:tr>
      <w:tr w14:paraId="28BAE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754" w:type="pct"/>
            <w:vMerge w:val="restart"/>
            <w:vAlign w:val="center"/>
          </w:tcPr>
          <w:p w14:paraId="1A036F5A">
            <w:pPr>
              <w:widowControl/>
              <w:jc w:val="center"/>
              <w:rPr>
                <w:color w:val="auto"/>
                <w:szCs w:val="21"/>
              </w:rPr>
            </w:pPr>
            <w:r>
              <w:rPr>
                <w:color w:val="auto"/>
                <w:szCs w:val="21"/>
              </w:rPr>
              <w:t>固体废物</w:t>
            </w:r>
          </w:p>
        </w:tc>
        <w:tc>
          <w:tcPr>
            <w:tcW w:w="1592" w:type="pct"/>
            <w:gridSpan w:val="2"/>
            <w:vAlign w:val="center"/>
          </w:tcPr>
          <w:p w14:paraId="61134743">
            <w:pPr>
              <w:jc w:val="center"/>
              <w:rPr>
                <w:color w:val="auto"/>
                <w:szCs w:val="21"/>
              </w:rPr>
            </w:pPr>
            <w:r>
              <w:rPr>
                <w:rFonts w:hint="eastAsia"/>
                <w:color w:val="auto"/>
                <w:szCs w:val="21"/>
                <w:lang w:val="en-US"/>
              </w:rPr>
              <w:t>除尘器收集的粉尘</w:t>
            </w:r>
          </w:p>
        </w:tc>
        <w:tc>
          <w:tcPr>
            <w:tcW w:w="1395" w:type="pct"/>
            <w:vAlign w:val="center"/>
          </w:tcPr>
          <w:p w14:paraId="07EFA7FC">
            <w:pPr>
              <w:jc w:val="center"/>
              <w:rPr>
                <w:rFonts w:hint="eastAsia" w:eastAsia="宋体"/>
                <w:color w:val="auto"/>
                <w:szCs w:val="21"/>
                <w:lang w:val="en-US" w:eastAsia="zh-CN"/>
              </w:rPr>
            </w:pPr>
            <w:r>
              <w:rPr>
                <w:rFonts w:hint="eastAsia"/>
                <w:color w:val="auto"/>
                <w:szCs w:val="21"/>
                <w:lang w:val="en-US"/>
              </w:rPr>
              <w:t>除尘器收集的粉尘</w:t>
            </w:r>
            <w:r>
              <w:rPr>
                <w:rFonts w:hint="eastAsia"/>
                <w:color w:val="auto"/>
              </w:rPr>
              <w:t>全部回用于生产</w:t>
            </w:r>
          </w:p>
        </w:tc>
        <w:tc>
          <w:tcPr>
            <w:tcW w:w="1258" w:type="pct"/>
            <w:vAlign w:val="center"/>
          </w:tcPr>
          <w:p w14:paraId="6747777F">
            <w:pPr>
              <w:widowControl/>
              <w:jc w:val="center"/>
              <w:rPr>
                <w:color w:val="auto"/>
                <w:szCs w:val="21"/>
              </w:rPr>
            </w:pPr>
            <w:r>
              <w:rPr>
                <w:color w:val="auto"/>
                <w:szCs w:val="21"/>
              </w:rPr>
              <w:t>《一般工业固体废物贮存和填埋污染控制标准》（GB18599-2020）</w:t>
            </w:r>
          </w:p>
        </w:tc>
      </w:tr>
      <w:tr w14:paraId="47E0F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54" w:type="pct"/>
            <w:vMerge w:val="continue"/>
            <w:vAlign w:val="center"/>
          </w:tcPr>
          <w:p w14:paraId="47D59688">
            <w:pPr>
              <w:widowControl/>
              <w:jc w:val="center"/>
              <w:rPr>
                <w:color w:val="auto"/>
                <w:szCs w:val="21"/>
              </w:rPr>
            </w:pPr>
          </w:p>
        </w:tc>
        <w:tc>
          <w:tcPr>
            <w:tcW w:w="1592" w:type="pct"/>
            <w:gridSpan w:val="2"/>
            <w:vAlign w:val="center"/>
          </w:tcPr>
          <w:p w14:paraId="3F8712F0">
            <w:pPr>
              <w:widowControl/>
              <w:jc w:val="center"/>
              <w:rPr>
                <w:color w:val="auto"/>
                <w:szCs w:val="21"/>
              </w:rPr>
            </w:pPr>
            <w:r>
              <w:rPr>
                <w:rFonts w:hint="eastAsia"/>
                <w:color w:val="auto"/>
                <w:szCs w:val="21"/>
              </w:rPr>
              <w:t>废机油</w:t>
            </w:r>
          </w:p>
        </w:tc>
        <w:tc>
          <w:tcPr>
            <w:tcW w:w="1395" w:type="pct"/>
            <w:vAlign w:val="center"/>
          </w:tcPr>
          <w:p w14:paraId="38968645">
            <w:pPr>
              <w:widowControl/>
              <w:jc w:val="center"/>
              <w:rPr>
                <w:color w:val="auto"/>
                <w:szCs w:val="21"/>
              </w:rPr>
            </w:pPr>
            <w:r>
              <w:rPr>
                <w:color w:val="auto"/>
                <w:szCs w:val="21"/>
              </w:rPr>
              <w:t>定期交由是</w:t>
            </w:r>
            <w:r>
              <w:rPr>
                <w:rFonts w:hint="eastAsia"/>
                <w:color w:val="auto"/>
                <w:szCs w:val="21"/>
                <w:lang w:eastAsia="zh-CN"/>
              </w:rPr>
              <w:t>陕西环能科技有限公司处置</w:t>
            </w:r>
            <w:r>
              <w:rPr>
                <w:color w:val="auto"/>
                <w:szCs w:val="21"/>
              </w:rPr>
              <w:t>处置</w:t>
            </w:r>
          </w:p>
        </w:tc>
        <w:tc>
          <w:tcPr>
            <w:tcW w:w="1258" w:type="pct"/>
            <w:vAlign w:val="center"/>
          </w:tcPr>
          <w:p w14:paraId="15609664">
            <w:pPr>
              <w:widowControl/>
              <w:jc w:val="center"/>
              <w:rPr>
                <w:color w:val="auto"/>
                <w:szCs w:val="21"/>
              </w:rPr>
            </w:pPr>
            <w:r>
              <w:rPr>
                <w:color w:val="auto"/>
                <w:szCs w:val="21"/>
              </w:rPr>
              <w:t>《危险废物贮存污染控制标准》（GB 18597-2023）、《危险废物收集贮存运输技术规范》（HJ 2025-2012）中相关规定</w:t>
            </w:r>
          </w:p>
        </w:tc>
      </w:tr>
      <w:tr w14:paraId="7D064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Align w:val="center"/>
          </w:tcPr>
          <w:p w14:paraId="4814642F">
            <w:pPr>
              <w:widowControl/>
              <w:jc w:val="center"/>
              <w:rPr>
                <w:color w:val="auto"/>
                <w:szCs w:val="21"/>
              </w:rPr>
            </w:pPr>
            <w:r>
              <w:rPr>
                <w:color w:val="auto"/>
                <w:szCs w:val="21"/>
              </w:rPr>
              <w:t>土壤及地下水污染防治措施</w:t>
            </w:r>
          </w:p>
        </w:tc>
        <w:tc>
          <w:tcPr>
            <w:tcW w:w="4245" w:type="pct"/>
            <w:gridSpan w:val="4"/>
            <w:vAlign w:val="center"/>
          </w:tcPr>
          <w:p w14:paraId="3B8730B1">
            <w:pPr>
              <w:widowControl/>
              <w:jc w:val="center"/>
              <w:rPr>
                <w:rFonts w:hint="eastAsia" w:eastAsia="宋体"/>
                <w:color w:val="auto"/>
                <w:szCs w:val="21"/>
                <w:lang w:eastAsia="zh-CN"/>
              </w:rPr>
            </w:pPr>
            <w:r>
              <w:rPr>
                <w:rFonts w:hint="eastAsia"/>
                <w:color w:val="auto"/>
                <w:szCs w:val="21"/>
                <w:lang w:val="en-US" w:eastAsia="zh-CN"/>
              </w:rPr>
              <w:t>/</w:t>
            </w:r>
          </w:p>
        </w:tc>
      </w:tr>
      <w:tr w14:paraId="2ADE0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54" w:type="pct"/>
            <w:vAlign w:val="center"/>
          </w:tcPr>
          <w:p w14:paraId="7184DD05">
            <w:pPr>
              <w:widowControl/>
              <w:jc w:val="center"/>
              <w:rPr>
                <w:color w:val="auto"/>
                <w:szCs w:val="21"/>
              </w:rPr>
            </w:pPr>
            <w:r>
              <w:rPr>
                <w:color w:val="auto"/>
                <w:szCs w:val="21"/>
              </w:rPr>
              <w:t>生态保</w:t>
            </w:r>
          </w:p>
          <w:p w14:paraId="7E955608">
            <w:pPr>
              <w:widowControl/>
              <w:jc w:val="center"/>
              <w:rPr>
                <w:color w:val="auto"/>
                <w:szCs w:val="21"/>
              </w:rPr>
            </w:pPr>
            <w:r>
              <w:rPr>
                <w:color w:val="auto"/>
                <w:szCs w:val="21"/>
              </w:rPr>
              <w:t>护措施</w:t>
            </w:r>
          </w:p>
        </w:tc>
        <w:tc>
          <w:tcPr>
            <w:tcW w:w="4245" w:type="pct"/>
            <w:gridSpan w:val="4"/>
            <w:vAlign w:val="center"/>
          </w:tcPr>
          <w:p w14:paraId="63C3B625">
            <w:pPr>
              <w:widowControl/>
              <w:jc w:val="center"/>
              <w:rPr>
                <w:color w:val="auto"/>
                <w:szCs w:val="21"/>
              </w:rPr>
            </w:pPr>
            <w:r>
              <w:rPr>
                <w:color w:val="auto"/>
                <w:szCs w:val="21"/>
              </w:rPr>
              <w:t>/</w:t>
            </w:r>
          </w:p>
        </w:tc>
      </w:tr>
      <w:tr w14:paraId="23815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Align w:val="center"/>
          </w:tcPr>
          <w:p w14:paraId="7418B61E">
            <w:pPr>
              <w:widowControl/>
              <w:jc w:val="center"/>
              <w:rPr>
                <w:color w:val="auto"/>
                <w:szCs w:val="21"/>
              </w:rPr>
            </w:pPr>
            <w:r>
              <w:rPr>
                <w:color w:val="auto"/>
                <w:szCs w:val="21"/>
              </w:rPr>
              <w:t>环境风险</w:t>
            </w:r>
          </w:p>
          <w:p w14:paraId="050DE1D6">
            <w:pPr>
              <w:widowControl/>
              <w:jc w:val="center"/>
              <w:rPr>
                <w:color w:val="auto"/>
                <w:szCs w:val="21"/>
              </w:rPr>
            </w:pPr>
            <w:r>
              <w:rPr>
                <w:color w:val="auto"/>
                <w:szCs w:val="21"/>
              </w:rPr>
              <w:t>防范措施</w:t>
            </w:r>
          </w:p>
        </w:tc>
        <w:tc>
          <w:tcPr>
            <w:tcW w:w="4245" w:type="pct"/>
            <w:gridSpan w:val="4"/>
            <w:vAlign w:val="center"/>
          </w:tcPr>
          <w:p w14:paraId="1CB37C09">
            <w:pPr>
              <w:pStyle w:val="68"/>
              <w:spacing w:before="24" w:beforeLines="10" w:line="360" w:lineRule="auto"/>
              <w:jc w:val="left"/>
              <w:rPr>
                <w:color w:val="auto"/>
                <w:szCs w:val="21"/>
              </w:rPr>
            </w:pPr>
            <w:r>
              <w:rPr>
                <w:rFonts w:hint="eastAsia" w:ascii="宋体" w:hAnsi="宋体" w:cs="宋体"/>
                <w:color w:val="auto"/>
              </w:rPr>
              <w:t>工作</w:t>
            </w:r>
            <w:r>
              <w:rPr>
                <w:rFonts w:ascii="宋体" w:hAnsi="宋体" w:cs="宋体"/>
                <w:color w:val="auto"/>
              </w:rPr>
              <w:t>人员定时巡视，一旦发现泄漏情况立即启动应急报警系统</w:t>
            </w:r>
          </w:p>
        </w:tc>
      </w:tr>
      <w:tr w14:paraId="25A8F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754" w:type="pct"/>
            <w:vAlign w:val="center"/>
          </w:tcPr>
          <w:p w14:paraId="3665ED27">
            <w:pPr>
              <w:widowControl/>
              <w:jc w:val="center"/>
              <w:rPr>
                <w:color w:val="auto"/>
                <w:szCs w:val="21"/>
                <w:lang w:bidi="ar"/>
              </w:rPr>
            </w:pPr>
            <w:r>
              <w:rPr>
                <w:color w:val="auto"/>
                <w:szCs w:val="21"/>
                <w:lang w:bidi="ar"/>
              </w:rPr>
              <w:t>其他环境</w:t>
            </w:r>
          </w:p>
          <w:p w14:paraId="032EA660">
            <w:pPr>
              <w:widowControl/>
              <w:jc w:val="center"/>
              <w:rPr>
                <w:color w:val="auto"/>
                <w:szCs w:val="21"/>
                <w:lang w:bidi="ar"/>
              </w:rPr>
            </w:pPr>
            <w:r>
              <w:rPr>
                <w:color w:val="auto"/>
                <w:szCs w:val="21"/>
                <w:lang w:bidi="ar"/>
              </w:rPr>
              <w:t>管理要求</w:t>
            </w:r>
          </w:p>
        </w:tc>
        <w:tc>
          <w:tcPr>
            <w:tcW w:w="4245" w:type="pct"/>
            <w:gridSpan w:val="4"/>
            <w:vAlign w:val="center"/>
          </w:tcPr>
          <w:p w14:paraId="2B2632F4">
            <w:pPr>
              <w:snapToGrid w:val="0"/>
              <w:spacing w:line="360" w:lineRule="auto"/>
              <w:rPr>
                <w:color w:val="auto"/>
                <w:szCs w:val="21"/>
              </w:rPr>
            </w:pPr>
            <w:r>
              <w:rPr>
                <w:rFonts w:hint="eastAsia"/>
                <w:color w:val="auto"/>
                <w:szCs w:val="21"/>
              </w:rPr>
              <w:t>①严格执行国家环境保护有关政策和法规，取得环评手续后尽快重新申报排污许可手续并组织完成本项目的竣工环保验收工作。</w:t>
            </w:r>
          </w:p>
          <w:p w14:paraId="1A5A92EE">
            <w:pPr>
              <w:snapToGrid w:val="0"/>
              <w:spacing w:line="360" w:lineRule="auto"/>
              <w:rPr>
                <w:color w:val="auto"/>
                <w:szCs w:val="21"/>
              </w:rPr>
            </w:pPr>
            <w:r>
              <w:rPr>
                <w:rFonts w:hint="eastAsia"/>
                <w:color w:val="auto"/>
                <w:szCs w:val="21"/>
              </w:rPr>
              <w:t>②严格执行建设项目“三同时”制度，监督项目环保“三同时”落实情况。</w:t>
            </w:r>
          </w:p>
          <w:p w14:paraId="39E94B6A">
            <w:pPr>
              <w:snapToGrid w:val="0"/>
              <w:spacing w:line="360" w:lineRule="auto"/>
              <w:rPr>
                <w:color w:val="auto"/>
                <w:szCs w:val="21"/>
                <w:lang w:bidi="ar"/>
              </w:rPr>
            </w:pPr>
            <w:r>
              <w:rPr>
                <w:rFonts w:hint="eastAsia"/>
                <w:color w:val="auto"/>
                <w:szCs w:val="21"/>
              </w:rPr>
              <w:t>③定期进行环境监测。</w:t>
            </w:r>
          </w:p>
        </w:tc>
      </w:tr>
    </w:tbl>
    <w:p w14:paraId="20A7AD9D">
      <w:pPr>
        <w:pStyle w:val="24"/>
        <w:jc w:val="center"/>
        <w:outlineLvl w:val="0"/>
        <w:rPr>
          <w:rFonts w:ascii="黑体" w:hAnsi="黑体" w:eastAsia="黑体"/>
          <w:snapToGrid w:val="0"/>
          <w:color w:val="auto"/>
          <w:sz w:val="30"/>
          <w:szCs w:val="30"/>
        </w:rPr>
      </w:pPr>
      <w:r>
        <w:rPr>
          <w:snapToGrid w:val="0"/>
          <w:color w:val="auto"/>
        </w:rPr>
        <w:br w:type="page"/>
      </w:r>
      <w:r>
        <w:rPr>
          <w:rFonts w:hint="eastAsia" w:ascii="黑体" w:hAnsi="黑体" w:eastAsia="黑体"/>
          <w:snapToGrid w:val="0"/>
          <w:color w:val="auto"/>
          <w:sz w:val="30"/>
          <w:szCs w:val="30"/>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DDEA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34DAC46C">
            <w:pPr>
              <w:spacing w:line="360" w:lineRule="auto"/>
              <w:ind w:firstLine="480" w:firstLineChars="200"/>
              <w:rPr>
                <w:rFonts w:ascii="宋体" w:cs="宋体"/>
                <w:color w:val="auto"/>
                <w:sz w:val="24"/>
              </w:rPr>
            </w:pPr>
            <w:r>
              <w:rPr>
                <w:rFonts w:hint="eastAsia"/>
                <w:color w:val="auto"/>
                <w:kern w:val="0"/>
                <w:sz w:val="24"/>
                <w:lang w:bidi="ar"/>
              </w:rPr>
              <w:t>本项目符合国家产业政策，选址合理。在全面落实环评提出的各项环保措施的情况下，各项污染物均能达标排放，固体废物均能够合理处置，对周围环境影响较小。从环境保护角度分析，该项目建设环境影响可行。</w:t>
            </w:r>
          </w:p>
        </w:tc>
      </w:tr>
    </w:tbl>
    <w:p w14:paraId="06CEDA1B">
      <w:pPr>
        <w:rPr>
          <w:rFonts w:ascii="宋体"/>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9F0FB86">
      <w:pPr>
        <w:pStyle w:val="24"/>
        <w:adjustRightInd w:val="0"/>
        <w:snapToGrid w:val="0"/>
        <w:spacing w:before="0" w:beforeAutospacing="0" w:after="0" w:afterAutospacing="0"/>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14:paraId="2F635801">
      <w:pPr>
        <w:pStyle w:val="24"/>
        <w:adjustRightInd w:val="0"/>
        <w:snapToGrid w:val="0"/>
        <w:spacing w:before="0" w:beforeAutospacing="0" w:after="0" w:afterAutospacing="0"/>
        <w:jc w:val="center"/>
        <w:outlineLvl w:val="0"/>
        <w:rPr>
          <w:rFonts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7"/>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2236"/>
        <w:gridCol w:w="1359"/>
        <w:gridCol w:w="1272"/>
        <w:gridCol w:w="1701"/>
        <w:gridCol w:w="1557"/>
        <w:gridCol w:w="1527"/>
        <w:gridCol w:w="1470"/>
        <w:gridCol w:w="1342"/>
      </w:tblGrid>
      <w:tr w14:paraId="327A5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8" w:type="pct"/>
            <w:tcBorders>
              <w:tl2br w:val="single" w:color="auto" w:sz="4" w:space="0"/>
            </w:tcBorders>
            <w:tcMar>
              <w:left w:w="28" w:type="dxa"/>
              <w:right w:w="28" w:type="dxa"/>
            </w:tcMar>
            <w:vAlign w:val="center"/>
          </w:tcPr>
          <w:p w14:paraId="7A0996CD">
            <w:pPr>
              <w:pStyle w:val="37"/>
              <w:spacing w:beforeLines="0" w:afterLines="0" w:line="240" w:lineRule="auto"/>
              <w:jc w:val="right"/>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项目</w:t>
            </w:r>
          </w:p>
          <w:p w14:paraId="54F43B22">
            <w:pPr>
              <w:pStyle w:val="37"/>
              <w:spacing w:beforeLines="0" w:afterLines="0" w:line="240" w:lineRule="auto"/>
              <w:jc w:val="left"/>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分类</w:t>
            </w:r>
          </w:p>
        </w:tc>
        <w:tc>
          <w:tcPr>
            <w:tcW w:w="823" w:type="pct"/>
            <w:tcMar>
              <w:left w:w="28" w:type="dxa"/>
              <w:right w:w="28" w:type="dxa"/>
            </w:tcMar>
            <w:vAlign w:val="center"/>
          </w:tcPr>
          <w:p w14:paraId="62E6F187">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污染物名称</w:t>
            </w:r>
          </w:p>
        </w:tc>
        <w:tc>
          <w:tcPr>
            <w:tcW w:w="500" w:type="pct"/>
            <w:tcMar>
              <w:left w:w="28" w:type="dxa"/>
              <w:right w:w="28" w:type="dxa"/>
            </w:tcMar>
            <w:vAlign w:val="center"/>
          </w:tcPr>
          <w:p w14:paraId="61EFC93D">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现有工程</w:t>
            </w:r>
          </w:p>
          <w:p w14:paraId="5C018800">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排放量（固体废物产生量）</w:t>
            </w:r>
            <w:r>
              <w:rPr>
                <w:rFonts w:ascii="Times New Roman" w:eastAsia="黑体"/>
                <w:b/>
                <w:bCs/>
                <w:snapToGrid w:val="0"/>
                <w:color w:val="auto"/>
                <w:spacing w:val="-6"/>
                <w:kern w:val="21"/>
                <w:szCs w:val="21"/>
              </w:rPr>
              <w:fldChar w:fldCharType="begin"/>
            </w:r>
            <w:r>
              <w:rPr>
                <w:rFonts w:ascii="Times New Roman" w:eastAsia="黑体"/>
                <w:b/>
                <w:bCs/>
                <w:snapToGrid w:val="0"/>
                <w:color w:val="auto"/>
                <w:spacing w:val="-6"/>
                <w:kern w:val="21"/>
                <w:szCs w:val="21"/>
              </w:rPr>
              <w:instrText xml:space="preserve"> = 1 \* GB3 \* MERGEFORMAT </w:instrText>
            </w:r>
            <w:r>
              <w:rPr>
                <w:rFonts w:ascii="Times New Roman" w:eastAsia="黑体"/>
                <w:b/>
                <w:bCs/>
                <w:snapToGrid w:val="0"/>
                <w:color w:val="auto"/>
                <w:spacing w:val="-6"/>
                <w:kern w:val="21"/>
                <w:szCs w:val="21"/>
              </w:rPr>
              <w:fldChar w:fldCharType="separate"/>
            </w:r>
            <w:r>
              <w:rPr>
                <w:rFonts w:ascii="Times New Roman" w:eastAsia="黑体"/>
                <w:b/>
                <w:bCs/>
                <w:color w:val="auto"/>
                <w:kern w:val="2"/>
                <w:szCs w:val="21"/>
              </w:rPr>
              <w:t>①</w:t>
            </w:r>
            <w:r>
              <w:rPr>
                <w:rFonts w:ascii="Times New Roman" w:eastAsia="黑体"/>
                <w:b/>
                <w:bCs/>
                <w:snapToGrid w:val="0"/>
                <w:color w:val="auto"/>
                <w:spacing w:val="-6"/>
                <w:kern w:val="21"/>
                <w:szCs w:val="21"/>
              </w:rPr>
              <w:fldChar w:fldCharType="end"/>
            </w:r>
          </w:p>
        </w:tc>
        <w:tc>
          <w:tcPr>
            <w:tcW w:w="468" w:type="pct"/>
            <w:tcMar>
              <w:left w:w="28" w:type="dxa"/>
              <w:right w:w="28" w:type="dxa"/>
            </w:tcMar>
            <w:vAlign w:val="center"/>
          </w:tcPr>
          <w:p w14:paraId="3F2DD099">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现有工程</w:t>
            </w:r>
          </w:p>
          <w:p w14:paraId="501BD5DE">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许可排放量</w:t>
            </w:r>
          </w:p>
          <w:p w14:paraId="37A2DC08">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fldChar w:fldCharType="begin"/>
            </w:r>
            <w:r>
              <w:rPr>
                <w:rFonts w:ascii="Times New Roman" w:eastAsia="黑体"/>
                <w:b/>
                <w:bCs/>
                <w:snapToGrid w:val="0"/>
                <w:color w:val="auto"/>
                <w:spacing w:val="-6"/>
                <w:kern w:val="21"/>
                <w:szCs w:val="21"/>
              </w:rPr>
              <w:instrText xml:space="preserve"> = 2 \* GB3 \* MERGEFORMAT </w:instrText>
            </w:r>
            <w:r>
              <w:rPr>
                <w:rFonts w:ascii="Times New Roman" w:eastAsia="黑体"/>
                <w:b/>
                <w:bCs/>
                <w:snapToGrid w:val="0"/>
                <w:color w:val="auto"/>
                <w:spacing w:val="-6"/>
                <w:kern w:val="21"/>
                <w:szCs w:val="21"/>
              </w:rPr>
              <w:fldChar w:fldCharType="separate"/>
            </w:r>
            <w:r>
              <w:rPr>
                <w:rFonts w:ascii="Times New Roman" w:eastAsia="黑体"/>
                <w:b/>
                <w:bCs/>
                <w:snapToGrid w:val="0"/>
                <w:color w:val="auto"/>
                <w:spacing w:val="-6"/>
                <w:kern w:val="21"/>
                <w:szCs w:val="21"/>
              </w:rPr>
              <w:t>②</w:t>
            </w:r>
            <w:r>
              <w:rPr>
                <w:rFonts w:ascii="Times New Roman" w:eastAsia="黑体"/>
                <w:b/>
                <w:bCs/>
                <w:snapToGrid w:val="0"/>
                <w:color w:val="auto"/>
                <w:spacing w:val="-6"/>
                <w:kern w:val="21"/>
                <w:szCs w:val="21"/>
              </w:rPr>
              <w:fldChar w:fldCharType="end"/>
            </w:r>
          </w:p>
        </w:tc>
        <w:tc>
          <w:tcPr>
            <w:tcW w:w="626" w:type="pct"/>
            <w:tcMar>
              <w:left w:w="28" w:type="dxa"/>
              <w:right w:w="28" w:type="dxa"/>
            </w:tcMar>
            <w:vAlign w:val="center"/>
          </w:tcPr>
          <w:p w14:paraId="4A955F99">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在建工程</w:t>
            </w:r>
          </w:p>
          <w:p w14:paraId="45C1E065">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排放量（固体废物产生量）</w:t>
            </w:r>
            <w:r>
              <w:rPr>
                <w:rFonts w:ascii="Times New Roman" w:eastAsia="黑体"/>
                <w:b/>
                <w:bCs/>
                <w:snapToGrid w:val="0"/>
                <w:color w:val="auto"/>
                <w:spacing w:val="-6"/>
                <w:kern w:val="21"/>
                <w:szCs w:val="21"/>
              </w:rPr>
              <w:fldChar w:fldCharType="begin"/>
            </w:r>
            <w:r>
              <w:rPr>
                <w:rFonts w:ascii="Times New Roman" w:eastAsia="黑体"/>
                <w:b/>
                <w:bCs/>
                <w:snapToGrid w:val="0"/>
                <w:color w:val="auto"/>
                <w:spacing w:val="-6"/>
                <w:kern w:val="21"/>
                <w:szCs w:val="21"/>
              </w:rPr>
              <w:instrText xml:space="preserve"> = 3 \* GB3 \* MERGEFORMAT </w:instrText>
            </w:r>
            <w:r>
              <w:rPr>
                <w:rFonts w:ascii="Times New Roman" w:eastAsia="黑体"/>
                <w:b/>
                <w:bCs/>
                <w:snapToGrid w:val="0"/>
                <w:color w:val="auto"/>
                <w:spacing w:val="-6"/>
                <w:kern w:val="21"/>
                <w:szCs w:val="21"/>
              </w:rPr>
              <w:fldChar w:fldCharType="separate"/>
            </w:r>
            <w:r>
              <w:rPr>
                <w:rFonts w:ascii="Times New Roman" w:eastAsia="黑体"/>
                <w:b/>
                <w:bCs/>
                <w:color w:val="auto"/>
                <w:kern w:val="2"/>
                <w:szCs w:val="21"/>
              </w:rPr>
              <w:t>③</w:t>
            </w:r>
            <w:r>
              <w:rPr>
                <w:rFonts w:ascii="Times New Roman" w:eastAsia="黑体"/>
                <w:b/>
                <w:bCs/>
                <w:snapToGrid w:val="0"/>
                <w:color w:val="auto"/>
                <w:spacing w:val="-6"/>
                <w:kern w:val="21"/>
                <w:szCs w:val="21"/>
              </w:rPr>
              <w:fldChar w:fldCharType="end"/>
            </w:r>
          </w:p>
        </w:tc>
        <w:tc>
          <w:tcPr>
            <w:tcW w:w="573" w:type="pct"/>
            <w:tcMar>
              <w:left w:w="28" w:type="dxa"/>
              <w:right w:w="28" w:type="dxa"/>
            </w:tcMar>
            <w:vAlign w:val="center"/>
          </w:tcPr>
          <w:p w14:paraId="5080A5F9">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本项目</w:t>
            </w:r>
          </w:p>
          <w:p w14:paraId="68650547">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排放量（固体废物产生量）</w:t>
            </w:r>
            <w:r>
              <w:rPr>
                <w:rFonts w:ascii="Times New Roman" w:eastAsia="黑体"/>
                <w:b/>
                <w:bCs/>
                <w:snapToGrid w:val="0"/>
                <w:color w:val="auto"/>
                <w:spacing w:val="-6"/>
                <w:kern w:val="21"/>
                <w:szCs w:val="21"/>
              </w:rPr>
              <w:fldChar w:fldCharType="begin"/>
            </w:r>
            <w:r>
              <w:rPr>
                <w:rFonts w:ascii="Times New Roman" w:eastAsia="黑体"/>
                <w:b/>
                <w:bCs/>
                <w:snapToGrid w:val="0"/>
                <w:color w:val="auto"/>
                <w:spacing w:val="-6"/>
                <w:kern w:val="21"/>
                <w:szCs w:val="21"/>
              </w:rPr>
              <w:instrText xml:space="preserve"> = 4 \* GB3 \* MERGEFORMAT </w:instrText>
            </w:r>
            <w:r>
              <w:rPr>
                <w:rFonts w:ascii="Times New Roman" w:eastAsia="黑体"/>
                <w:b/>
                <w:bCs/>
                <w:snapToGrid w:val="0"/>
                <w:color w:val="auto"/>
                <w:spacing w:val="-6"/>
                <w:kern w:val="21"/>
                <w:szCs w:val="21"/>
              </w:rPr>
              <w:fldChar w:fldCharType="separate"/>
            </w:r>
            <w:r>
              <w:rPr>
                <w:rFonts w:ascii="Times New Roman" w:eastAsia="黑体"/>
                <w:b/>
                <w:bCs/>
                <w:color w:val="auto"/>
                <w:kern w:val="2"/>
                <w:szCs w:val="21"/>
              </w:rPr>
              <w:t>④</w:t>
            </w:r>
            <w:r>
              <w:rPr>
                <w:rFonts w:ascii="Times New Roman" w:eastAsia="黑体"/>
                <w:b/>
                <w:bCs/>
                <w:snapToGrid w:val="0"/>
                <w:color w:val="auto"/>
                <w:spacing w:val="-6"/>
                <w:kern w:val="21"/>
                <w:szCs w:val="21"/>
              </w:rPr>
              <w:fldChar w:fldCharType="end"/>
            </w:r>
          </w:p>
        </w:tc>
        <w:tc>
          <w:tcPr>
            <w:tcW w:w="562" w:type="pct"/>
            <w:tcMar>
              <w:left w:w="28" w:type="dxa"/>
              <w:right w:w="28" w:type="dxa"/>
            </w:tcMar>
            <w:vAlign w:val="center"/>
          </w:tcPr>
          <w:p w14:paraId="0132DAE4">
            <w:pPr>
              <w:pStyle w:val="37"/>
              <w:spacing w:beforeLines="0" w:afterLines="0" w:line="240" w:lineRule="auto"/>
              <w:rPr>
                <w:rFonts w:ascii="Times New Roman" w:eastAsia="黑体"/>
                <w:b/>
                <w:bCs/>
                <w:snapToGrid w:val="0"/>
                <w:color w:val="auto"/>
                <w:spacing w:val="-16"/>
                <w:kern w:val="21"/>
                <w:szCs w:val="21"/>
              </w:rPr>
            </w:pPr>
            <w:r>
              <w:rPr>
                <w:rFonts w:ascii="Times New Roman" w:eastAsia="黑体"/>
                <w:b/>
                <w:bCs/>
                <w:snapToGrid w:val="0"/>
                <w:color w:val="auto"/>
                <w:spacing w:val="-16"/>
                <w:kern w:val="21"/>
                <w:szCs w:val="21"/>
              </w:rPr>
              <w:t>以新带老削减量</w:t>
            </w:r>
          </w:p>
          <w:p w14:paraId="329D1F79">
            <w:pPr>
              <w:pStyle w:val="37"/>
              <w:spacing w:beforeLines="0" w:afterLines="0" w:line="240" w:lineRule="auto"/>
              <w:rPr>
                <w:rFonts w:ascii="Times New Roman" w:eastAsia="黑体"/>
                <w:b/>
                <w:bCs/>
                <w:snapToGrid w:val="0"/>
                <w:color w:val="auto"/>
                <w:spacing w:val="-16"/>
                <w:kern w:val="21"/>
                <w:szCs w:val="21"/>
              </w:rPr>
            </w:pPr>
            <w:r>
              <w:rPr>
                <w:rFonts w:ascii="Times New Roman" w:eastAsia="黑体"/>
                <w:b/>
                <w:bCs/>
                <w:snapToGrid w:val="0"/>
                <w:color w:val="auto"/>
                <w:spacing w:val="-16"/>
                <w:kern w:val="21"/>
                <w:szCs w:val="21"/>
              </w:rPr>
              <w:t>（新建项目不填）</w:t>
            </w:r>
            <w:r>
              <w:rPr>
                <w:rFonts w:ascii="Times New Roman" w:eastAsia="黑体"/>
                <w:b/>
                <w:bCs/>
                <w:snapToGrid w:val="0"/>
                <w:color w:val="auto"/>
                <w:spacing w:val="-16"/>
                <w:kern w:val="21"/>
                <w:szCs w:val="21"/>
              </w:rPr>
              <w:fldChar w:fldCharType="begin"/>
            </w:r>
            <w:r>
              <w:rPr>
                <w:rFonts w:ascii="Times New Roman" w:eastAsia="黑体"/>
                <w:b/>
                <w:bCs/>
                <w:snapToGrid w:val="0"/>
                <w:color w:val="auto"/>
                <w:spacing w:val="-16"/>
                <w:kern w:val="21"/>
                <w:szCs w:val="21"/>
              </w:rPr>
              <w:instrText xml:space="preserve"> = 5 \* GB3 \* MERGEFORMAT </w:instrText>
            </w:r>
            <w:r>
              <w:rPr>
                <w:rFonts w:ascii="Times New Roman" w:eastAsia="黑体"/>
                <w:b/>
                <w:bCs/>
                <w:snapToGrid w:val="0"/>
                <w:color w:val="auto"/>
                <w:spacing w:val="-16"/>
                <w:kern w:val="21"/>
                <w:szCs w:val="21"/>
              </w:rPr>
              <w:fldChar w:fldCharType="separate"/>
            </w:r>
            <w:r>
              <w:rPr>
                <w:rFonts w:ascii="Times New Roman" w:eastAsia="黑体"/>
                <w:b/>
                <w:bCs/>
                <w:color w:val="auto"/>
                <w:kern w:val="2"/>
                <w:szCs w:val="21"/>
              </w:rPr>
              <w:t>⑤</w:t>
            </w:r>
            <w:r>
              <w:rPr>
                <w:rFonts w:ascii="Times New Roman" w:eastAsia="黑体"/>
                <w:b/>
                <w:bCs/>
                <w:snapToGrid w:val="0"/>
                <w:color w:val="auto"/>
                <w:spacing w:val="-16"/>
                <w:kern w:val="21"/>
                <w:szCs w:val="21"/>
              </w:rPr>
              <w:fldChar w:fldCharType="end"/>
            </w:r>
          </w:p>
        </w:tc>
        <w:tc>
          <w:tcPr>
            <w:tcW w:w="541" w:type="pct"/>
            <w:tcMar>
              <w:left w:w="28" w:type="dxa"/>
              <w:right w:w="28" w:type="dxa"/>
            </w:tcMar>
            <w:vAlign w:val="center"/>
          </w:tcPr>
          <w:p w14:paraId="3D2F6C3C">
            <w:pPr>
              <w:pStyle w:val="37"/>
              <w:spacing w:beforeLines="0" w:afterLines="0" w:line="240" w:lineRule="auto"/>
              <w:rPr>
                <w:rFonts w:ascii="Times New Roman" w:eastAsia="黑体"/>
                <w:b/>
                <w:bCs/>
                <w:snapToGrid w:val="0"/>
                <w:color w:val="auto"/>
                <w:spacing w:val="-16"/>
                <w:kern w:val="21"/>
                <w:szCs w:val="21"/>
              </w:rPr>
            </w:pPr>
            <w:r>
              <w:rPr>
                <w:rFonts w:ascii="Times New Roman" w:eastAsia="黑体"/>
                <w:b/>
                <w:bCs/>
                <w:snapToGrid w:val="0"/>
                <w:color w:val="auto"/>
                <w:spacing w:val="-16"/>
                <w:kern w:val="21"/>
                <w:szCs w:val="21"/>
              </w:rPr>
              <w:t>本项目建成后</w:t>
            </w:r>
          </w:p>
          <w:p w14:paraId="7CD91CF8">
            <w:pPr>
              <w:pStyle w:val="37"/>
              <w:spacing w:beforeLines="0" w:afterLines="0" w:line="240" w:lineRule="auto"/>
              <w:rPr>
                <w:rFonts w:ascii="Times New Roman" w:eastAsia="黑体"/>
                <w:b/>
                <w:bCs/>
                <w:snapToGrid w:val="0"/>
                <w:color w:val="auto"/>
                <w:spacing w:val="-16"/>
                <w:kern w:val="21"/>
                <w:szCs w:val="21"/>
              </w:rPr>
            </w:pPr>
            <w:r>
              <w:rPr>
                <w:rFonts w:ascii="Times New Roman" w:eastAsia="黑体"/>
                <w:b/>
                <w:bCs/>
                <w:snapToGrid w:val="0"/>
                <w:color w:val="auto"/>
                <w:spacing w:val="-16"/>
                <w:kern w:val="21"/>
                <w:szCs w:val="21"/>
              </w:rPr>
              <w:t>全厂排放量（固体废物产生量）</w:t>
            </w:r>
            <w:r>
              <w:rPr>
                <w:rFonts w:ascii="Times New Roman" w:eastAsia="黑体"/>
                <w:b/>
                <w:bCs/>
                <w:snapToGrid w:val="0"/>
                <w:color w:val="auto"/>
                <w:spacing w:val="-16"/>
                <w:kern w:val="21"/>
                <w:szCs w:val="21"/>
              </w:rPr>
              <w:fldChar w:fldCharType="begin"/>
            </w:r>
            <w:r>
              <w:rPr>
                <w:rFonts w:ascii="Times New Roman" w:eastAsia="黑体"/>
                <w:b/>
                <w:bCs/>
                <w:snapToGrid w:val="0"/>
                <w:color w:val="auto"/>
                <w:spacing w:val="-16"/>
                <w:kern w:val="21"/>
                <w:szCs w:val="21"/>
              </w:rPr>
              <w:instrText xml:space="preserve"> = 6 \* GB3 \* MERGEFORMAT </w:instrText>
            </w:r>
            <w:r>
              <w:rPr>
                <w:rFonts w:ascii="Times New Roman" w:eastAsia="黑体"/>
                <w:b/>
                <w:bCs/>
                <w:snapToGrid w:val="0"/>
                <w:color w:val="auto"/>
                <w:spacing w:val="-16"/>
                <w:kern w:val="21"/>
                <w:szCs w:val="21"/>
              </w:rPr>
              <w:fldChar w:fldCharType="separate"/>
            </w:r>
            <w:r>
              <w:rPr>
                <w:rFonts w:ascii="Times New Roman" w:eastAsia="黑体"/>
                <w:b/>
                <w:bCs/>
                <w:color w:val="auto"/>
                <w:kern w:val="2"/>
                <w:szCs w:val="21"/>
              </w:rPr>
              <w:t>⑥</w:t>
            </w:r>
            <w:r>
              <w:rPr>
                <w:rFonts w:ascii="Times New Roman" w:eastAsia="黑体"/>
                <w:b/>
                <w:bCs/>
                <w:snapToGrid w:val="0"/>
                <w:color w:val="auto"/>
                <w:spacing w:val="-16"/>
                <w:kern w:val="21"/>
                <w:szCs w:val="21"/>
              </w:rPr>
              <w:fldChar w:fldCharType="end"/>
            </w:r>
          </w:p>
        </w:tc>
        <w:tc>
          <w:tcPr>
            <w:tcW w:w="494" w:type="pct"/>
            <w:tcMar>
              <w:left w:w="28" w:type="dxa"/>
              <w:right w:w="28" w:type="dxa"/>
            </w:tcMar>
            <w:vAlign w:val="center"/>
          </w:tcPr>
          <w:p w14:paraId="3C90FE72">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t>变化量</w:t>
            </w:r>
          </w:p>
          <w:p w14:paraId="0CDD367B">
            <w:pPr>
              <w:pStyle w:val="37"/>
              <w:spacing w:beforeLines="0" w:afterLines="0" w:line="240" w:lineRule="auto"/>
              <w:rPr>
                <w:rFonts w:ascii="Times New Roman" w:eastAsia="黑体"/>
                <w:b/>
                <w:bCs/>
                <w:snapToGrid w:val="0"/>
                <w:color w:val="auto"/>
                <w:spacing w:val="-6"/>
                <w:kern w:val="21"/>
                <w:szCs w:val="21"/>
              </w:rPr>
            </w:pPr>
            <w:r>
              <w:rPr>
                <w:rFonts w:ascii="Times New Roman" w:eastAsia="黑体"/>
                <w:b/>
                <w:bCs/>
                <w:snapToGrid w:val="0"/>
                <w:color w:val="auto"/>
                <w:spacing w:val="-6"/>
                <w:kern w:val="21"/>
                <w:szCs w:val="21"/>
              </w:rPr>
              <w:fldChar w:fldCharType="begin"/>
            </w:r>
            <w:r>
              <w:rPr>
                <w:rFonts w:ascii="Times New Roman" w:eastAsia="黑体"/>
                <w:b/>
                <w:bCs/>
                <w:snapToGrid w:val="0"/>
                <w:color w:val="auto"/>
                <w:spacing w:val="-6"/>
                <w:kern w:val="21"/>
                <w:szCs w:val="21"/>
              </w:rPr>
              <w:instrText xml:space="preserve"> = 7 \* GB3 \* MERGEFORMAT </w:instrText>
            </w:r>
            <w:r>
              <w:rPr>
                <w:rFonts w:ascii="Times New Roman" w:eastAsia="黑体"/>
                <w:b/>
                <w:bCs/>
                <w:snapToGrid w:val="0"/>
                <w:color w:val="auto"/>
                <w:spacing w:val="-6"/>
                <w:kern w:val="21"/>
                <w:szCs w:val="21"/>
              </w:rPr>
              <w:fldChar w:fldCharType="separate"/>
            </w:r>
            <w:r>
              <w:rPr>
                <w:rFonts w:ascii="Times New Roman" w:eastAsia="黑体"/>
                <w:b/>
                <w:bCs/>
                <w:color w:val="auto"/>
                <w:kern w:val="2"/>
                <w:szCs w:val="21"/>
              </w:rPr>
              <w:t>⑦</w:t>
            </w:r>
            <w:r>
              <w:rPr>
                <w:rFonts w:ascii="Times New Roman" w:eastAsia="黑体"/>
                <w:b/>
                <w:bCs/>
                <w:snapToGrid w:val="0"/>
                <w:color w:val="auto"/>
                <w:spacing w:val="-6"/>
                <w:kern w:val="21"/>
                <w:szCs w:val="21"/>
              </w:rPr>
              <w:fldChar w:fldCharType="end"/>
            </w:r>
          </w:p>
        </w:tc>
      </w:tr>
      <w:tr w14:paraId="59E87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769BD519">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废气</w:t>
            </w:r>
          </w:p>
        </w:tc>
        <w:tc>
          <w:tcPr>
            <w:tcW w:w="823" w:type="pct"/>
            <w:shd w:val="clear" w:color="auto" w:fill="auto"/>
            <w:vAlign w:val="center"/>
          </w:tcPr>
          <w:p w14:paraId="5C5A3729">
            <w:pPr>
              <w:adjustRightInd w:val="0"/>
              <w:snapToGrid w:val="0"/>
              <w:jc w:val="center"/>
              <w:rPr>
                <w:rFonts w:hint="eastAsia" w:eastAsia="宋体"/>
                <w:snapToGrid w:val="0"/>
                <w:color w:val="auto"/>
                <w:kern w:val="21"/>
                <w:szCs w:val="21"/>
                <w:lang w:eastAsia="zh-CN"/>
              </w:rPr>
            </w:pPr>
            <w:r>
              <w:rPr>
                <w:rFonts w:hint="eastAsia"/>
                <w:color w:val="auto"/>
                <w:szCs w:val="21"/>
                <w:lang w:val="en-US" w:eastAsia="zh-CN"/>
              </w:rPr>
              <w:t>颗粒物</w:t>
            </w:r>
          </w:p>
        </w:tc>
        <w:tc>
          <w:tcPr>
            <w:tcW w:w="500" w:type="pct"/>
            <w:shd w:val="clear" w:color="auto" w:fill="auto"/>
            <w:vAlign w:val="center"/>
          </w:tcPr>
          <w:p w14:paraId="7C7C4726">
            <w:pPr>
              <w:pStyle w:val="37"/>
              <w:spacing w:beforeLines="0" w:afterLines="0" w:line="240" w:lineRule="auto"/>
              <w:rPr>
                <w:rFonts w:ascii="Times New Roman"/>
                <w:bCs/>
                <w:snapToGrid w:val="0"/>
                <w:color w:val="auto"/>
                <w:kern w:val="21"/>
                <w:szCs w:val="21"/>
              </w:rPr>
            </w:pPr>
            <w:r>
              <w:rPr>
                <w:rFonts w:hint="eastAsia" w:ascii="Times New Roman"/>
                <w:bCs/>
                <w:color w:val="auto"/>
                <w:kern w:val="2"/>
                <w:szCs w:val="21"/>
                <w:lang w:val="en-US" w:eastAsia="zh-CN"/>
              </w:rPr>
              <w:t>61.38</w:t>
            </w:r>
            <w:r>
              <w:rPr>
                <w:rFonts w:ascii="Times New Roman"/>
                <w:bCs/>
                <w:color w:val="auto"/>
                <w:kern w:val="2"/>
                <w:szCs w:val="21"/>
              </w:rPr>
              <w:t>t/a</w:t>
            </w:r>
          </w:p>
        </w:tc>
        <w:tc>
          <w:tcPr>
            <w:tcW w:w="468" w:type="pct"/>
            <w:shd w:val="clear" w:color="auto" w:fill="auto"/>
            <w:vAlign w:val="center"/>
          </w:tcPr>
          <w:p w14:paraId="4DDC7032">
            <w:pPr>
              <w:adjustRightInd w:val="0"/>
              <w:snapToGrid w:val="0"/>
              <w:jc w:val="center"/>
              <w:rPr>
                <w:snapToGrid w:val="0"/>
                <w:color w:val="auto"/>
                <w:kern w:val="21"/>
                <w:szCs w:val="21"/>
              </w:rPr>
            </w:pPr>
            <w:r>
              <w:rPr>
                <w:snapToGrid w:val="0"/>
                <w:color w:val="auto"/>
                <w:kern w:val="21"/>
                <w:szCs w:val="21"/>
              </w:rPr>
              <w:t>/</w:t>
            </w:r>
          </w:p>
        </w:tc>
        <w:tc>
          <w:tcPr>
            <w:tcW w:w="626" w:type="pct"/>
            <w:shd w:val="clear" w:color="auto" w:fill="auto"/>
            <w:vAlign w:val="center"/>
          </w:tcPr>
          <w:p w14:paraId="4D74D147">
            <w:pPr>
              <w:adjustRightInd w:val="0"/>
              <w:snapToGrid w:val="0"/>
              <w:jc w:val="center"/>
              <w:rPr>
                <w:snapToGrid w:val="0"/>
                <w:color w:val="auto"/>
                <w:kern w:val="21"/>
                <w:szCs w:val="21"/>
              </w:rPr>
            </w:pPr>
            <w:r>
              <w:rPr>
                <w:snapToGrid w:val="0"/>
                <w:color w:val="auto"/>
                <w:kern w:val="21"/>
                <w:szCs w:val="21"/>
              </w:rPr>
              <w:t>/</w:t>
            </w:r>
          </w:p>
        </w:tc>
        <w:tc>
          <w:tcPr>
            <w:tcW w:w="573" w:type="pct"/>
            <w:shd w:val="clear" w:color="auto" w:fill="auto"/>
            <w:vAlign w:val="center"/>
          </w:tcPr>
          <w:p w14:paraId="05B5D4E9">
            <w:pPr>
              <w:pStyle w:val="37"/>
              <w:tabs>
                <w:tab w:val="left" w:pos="491"/>
              </w:tabs>
              <w:spacing w:beforeLines="0" w:afterLines="0" w:line="240" w:lineRule="auto"/>
              <w:rPr>
                <w:rFonts w:ascii="Times New Roman"/>
                <w:color w:val="auto"/>
                <w:kern w:val="2"/>
                <w:szCs w:val="21"/>
              </w:rPr>
            </w:pPr>
            <w:r>
              <w:rPr>
                <w:rFonts w:hint="eastAsia" w:ascii="Times New Roman"/>
                <w:color w:val="auto"/>
                <w:kern w:val="2"/>
                <w:szCs w:val="21"/>
                <w:lang w:val="en-US" w:eastAsia="zh-CN"/>
              </w:rPr>
              <w:t>0.618</w:t>
            </w:r>
            <w:r>
              <w:rPr>
                <w:rFonts w:ascii="Times New Roman"/>
                <w:color w:val="auto"/>
                <w:kern w:val="2"/>
                <w:szCs w:val="21"/>
              </w:rPr>
              <w:t>t/a</w:t>
            </w:r>
          </w:p>
        </w:tc>
        <w:tc>
          <w:tcPr>
            <w:tcW w:w="562" w:type="pct"/>
            <w:shd w:val="clear" w:color="auto" w:fill="auto"/>
            <w:vAlign w:val="center"/>
          </w:tcPr>
          <w:p w14:paraId="7C0AA892">
            <w:pPr>
              <w:adjustRightInd w:val="0"/>
              <w:snapToGrid w:val="0"/>
              <w:jc w:val="center"/>
              <w:rPr>
                <w:rFonts w:hint="eastAsia" w:eastAsia="宋体"/>
                <w:snapToGrid w:val="0"/>
                <w:color w:val="auto"/>
                <w:kern w:val="21"/>
                <w:szCs w:val="21"/>
                <w:lang w:eastAsia="zh-CN"/>
              </w:rPr>
            </w:pPr>
            <w:r>
              <w:rPr>
                <w:rFonts w:hint="eastAsia"/>
                <w:snapToGrid w:val="0"/>
                <w:color w:val="auto"/>
                <w:kern w:val="21"/>
                <w:szCs w:val="21"/>
                <w:lang w:val="en-US" w:eastAsia="zh-CN"/>
              </w:rPr>
              <w:t>0</w:t>
            </w:r>
          </w:p>
        </w:tc>
        <w:tc>
          <w:tcPr>
            <w:tcW w:w="541" w:type="pct"/>
            <w:shd w:val="clear" w:color="auto" w:fill="auto"/>
            <w:vAlign w:val="center"/>
          </w:tcPr>
          <w:p w14:paraId="622504F1">
            <w:pPr>
              <w:pStyle w:val="37"/>
              <w:tabs>
                <w:tab w:val="left" w:pos="491"/>
              </w:tabs>
              <w:spacing w:beforeLines="0" w:afterLines="0" w:line="240" w:lineRule="auto"/>
              <w:rPr>
                <w:rFonts w:ascii="Times New Roman"/>
                <w:color w:val="auto"/>
                <w:kern w:val="2"/>
                <w:szCs w:val="21"/>
              </w:rPr>
            </w:pPr>
            <w:r>
              <w:rPr>
                <w:rFonts w:hint="eastAsia" w:ascii="Times New Roman"/>
                <w:color w:val="auto"/>
                <w:kern w:val="2"/>
                <w:szCs w:val="21"/>
                <w:lang w:val="en-US" w:eastAsia="zh-CN"/>
              </w:rPr>
              <w:t>61.998</w:t>
            </w:r>
            <w:r>
              <w:rPr>
                <w:rFonts w:ascii="Times New Roman"/>
                <w:color w:val="auto"/>
                <w:kern w:val="2"/>
                <w:szCs w:val="21"/>
              </w:rPr>
              <w:t>t/a</w:t>
            </w:r>
          </w:p>
        </w:tc>
        <w:tc>
          <w:tcPr>
            <w:tcW w:w="494" w:type="pct"/>
            <w:shd w:val="clear" w:color="auto" w:fill="auto"/>
            <w:vAlign w:val="center"/>
          </w:tcPr>
          <w:p w14:paraId="32C8D522">
            <w:pPr>
              <w:pStyle w:val="37"/>
              <w:tabs>
                <w:tab w:val="left" w:pos="491"/>
              </w:tabs>
              <w:spacing w:beforeLines="0" w:afterLines="0" w:line="240" w:lineRule="auto"/>
              <w:rPr>
                <w:rFonts w:ascii="Times New Roman"/>
                <w:color w:val="auto"/>
                <w:kern w:val="2"/>
                <w:szCs w:val="21"/>
              </w:rPr>
            </w:pPr>
            <w:r>
              <w:rPr>
                <w:rFonts w:hint="eastAsia" w:ascii="Times New Roman"/>
                <w:color w:val="auto"/>
                <w:kern w:val="2"/>
                <w:szCs w:val="21"/>
                <w:lang w:val="en-US" w:eastAsia="zh-CN"/>
              </w:rPr>
              <w:t>+0.618</w:t>
            </w:r>
            <w:r>
              <w:rPr>
                <w:rFonts w:ascii="Times New Roman"/>
                <w:color w:val="auto"/>
                <w:kern w:val="2"/>
                <w:szCs w:val="21"/>
              </w:rPr>
              <w:t>t/a</w:t>
            </w:r>
          </w:p>
        </w:tc>
      </w:tr>
      <w:tr w14:paraId="7652E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0A199D50">
            <w:pPr>
              <w:pStyle w:val="37"/>
              <w:spacing w:beforeLines="0" w:afterLines="0" w:line="240" w:lineRule="auto"/>
              <w:rPr>
                <w:rFonts w:ascii="Times New Roman"/>
                <w:snapToGrid w:val="0"/>
                <w:color w:val="auto"/>
                <w:kern w:val="21"/>
                <w:szCs w:val="21"/>
              </w:rPr>
            </w:pPr>
          </w:p>
        </w:tc>
        <w:tc>
          <w:tcPr>
            <w:tcW w:w="823" w:type="pct"/>
            <w:shd w:val="clear" w:color="auto" w:fill="auto"/>
            <w:vAlign w:val="center"/>
          </w:tcPr>
          <w:p w14:paraId="08F36201">
            <w:pPr>
              <w:adjustRightInd w:val="0"/>
              <w:snapToGrid w:val="0"/>
              <w:jc w:val="center"/>
              <w:rPr>
                <w:rFonts w:hint="default"/>
                <w:color w:val="auto"/>
                <w:szCs w:val="21"/>
                <w:lang w:val="en-US" w:eastAsia="zh-CN"/>
              </w:rPr>
            </w:pPr>
            <w:r>
              <w:rPr>
                <w:rFonts w:hint="eastAsia"/>
                <w:color w:val="auto"/>
                <w:szCs w:val="21"/>
                <w:lang w:val="en-US" w:eastAsia="zh-CN"/>
              </w:rPr>
              <w:t>食堂油烟</w:t>
            </w:r>
          </w:p>
        </w:tc>
        <w:tc>
          <w:tcPr>
            <w:tcW w:w="500" w:type="pct"/>
            <w:shd w:val="clear" w:color="auto" w:fill="auto"/>
            <w:vAlign w:val="center"/>
          </w:tcPr>
          <w:p w14:paraId="6CCFB368">
            <w:pPr>
              <w:pStyle w:val="37"/>
              <w:spacing w:beforeLines="0" w:afterLines="0" w:line="240" w:lineRule="auto"/>
              <w:rPr>
                <w:rFonts w:hint="default" w:ascii="Times New Roman" w:eastAsia="宋体"/>
                <w:bCs/>
                <w:color w:val="auto"/>
                <w:szCs w:val="21"/>
                <w:lang w:val="en-US" w:eastAsia="zh-CN"/>
              </w:rPr>
            </w:pPr>
            <w:r>
              <w:rPr>
                <w:rFonts w:hint="eastAsia" w:ascii="Times New Roman"/>
                <w:bCs/>
                <w:color w:val="auto"/>
                <w:szCs w:val="21"/>
                <w:lang w:val="en-US" w:eastAsia="zh-CN"/>
              </w:rPr>
              <w:t>0.0061</w:t>
            </w:r>
            <w:r>
              <w:rPr>
                <w:rFonts w:ascii="Times New Roman"/>
                <w:bCs/>
                <w:color w:val="auto"/>
                <w:kern w:val="2"/>
                <w:szCs w:val="21"/>
              </w:rPr>
              <w:t>t/a</w:t>
            </w:r>
          </w:p>
        </w:tc>
        <w:tc>
          <w:tcPr>
            <w:tcW w:w="468" w:type="pct"/>
            <w:shd w:val="clear" w:color="auto" w:fill="auto"/>
            <w:vAlign w:val="center"/>
          </w:tcPr>
          <w:p w14:paraId="1AF43152">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626" w:type="pct"/>
            <w:shd w:val="clear" w:color="auto" w:fill="auto"/>
            <w:vAlign w:val="center"/>
          </w:tcPr>
          <w:p w14:paraId="5234F9F2">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573" w:type="pct"/>
            <w:shd w:val="clear" w:color="auto" w:fill="auto"/>
            <w:vAlign w:val="center"/>
          </w:tcPr>
          <w:p w14:paraId="2603E352">
            <w:pPr>
              <w:pStyle w:val="37"/>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0</w:t>
            </w:r>
          </w:p>
        </w:tc>
        <w:tc>
          <w:tcPr>
            <w:tcW w:w="562" w:type="pct"/>
            <w:shd w:val="clear" w:color="auto" w:fill="auto"/>
            <w:vAlign w:val="center"/>
          </w:tcPr>
          <w:p w14:paraId="48EC30D3">
            <w:pPr>
              <w:pStyle w:val="37"/>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ascii="Times New Roman"/>
                <w:snapToGrid w:val="0"/>
                <w:color w:val="auto"/>
                <w:kern w:val="21"/>
                <w:szCs w:val="21"/>
              </w:rPr>
              <w:t>0</w:t>
            </w:r>
          </w:p>
        </w:tc>
        <w:tc>
          <w:tcPr>
            <w:tcW w:w="541" w:type="pct"/>
            <w:shd w:val="clear" w:color="auto" w:fill="auto"/>
            <w:vAlign w:val="center"/>
          </w:tcPr>
          <w:p w14:paraId="6F1B363E">
            <w:pPr>
              <w:pStyle w:val="37"/>
              <w:spacing w:beforeLines="0" w:afterLines="0" w:line="240" w:lineRule="auto"/>
              <w:rPr>
                <w:rFonts w:hint="eastAsia" w:ascii="宋体" w:hAnsi="Times New Roman" w:eastAsia="宋体" w:cs="Times New Roman"/>
                <w:snapToGrid w:val="0"/>
                <w:color w:val="auto"/>
                <w:kern w:val="21"/>
                <w:sz w:val="21"/>
                <w:szCs w:val="21"/>
                <w:lang w:val="en-US" w:eastAsia="zh-CN" w:bidi="ar-SA"/>
              </w:rPr>
            </w:pPr>
            <w:r>
              <w:rPr>
                <w:rFonts w:hint="eastAsia" w:ascii="Times New Roman"/>
                <w:bCs/>
                <w:color w:val="auto"/>
                <w:szCs w:val="21"/>
                <w:lang w:val="en-US" w:eastAsia="zh-CN"/>
              </w:rPr>
              <w:t>0.0061</w:t>
            </w:r>
            <w:r>
              <w:rPr>
                <w:rFonts w:ascii="Times New Roman"/>
                <w:bCs/>
                <w:color w:val="auto"/>
                <w:kern w:val="2"/>
                <w:szCs w:val="21"/>
              </w:rPr>
              <w:t>t/a</w:t>
            </w:r>
          </w:p>
        </w:tc>
        <w:tc>
          <w:tcPr>
            <w:tcW w:w="494" w:type="pct"/>
            <w:shd w:val="clear" w:color="auto" w:fill="auto"/>
            <w:vAlign w:val="center"/>
          </w:tcPr>
          <w:p w14:paraId="66AB0E54">
            <w:pPr>
              <w:pStyle w:val="37"/>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0</w:t>
            </w:r>
          </w:p>
        </w:tc>
      </w:tr>
      <w:tr w14:paraId="0719B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08" w:type="pct"/>
            <w:vMerge w:val="restart"/>
            <w:vAlign w:val="center"/>
          </w:tcPr>
          <w:p w14:paraId="596AB277">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废水</w:t>
            </w:r>
          </w:p>
        </w:tc>
        <w:tc>
          <w:tcPr>
            <w:tcW w:w="823" w:type="pct"/>
            <w:vAlign w:val="center"/>
          </w:tcPr>
          <w:p w14:paraId="15F55E45">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水量</w:t>
            </w:r>
          </w:p>
        </w:tc>
        <w:tc>
          <w:tcPr>
            <w:tcW w:w="500" w:type="pct"/>
            <w:vAlign w:val="center"/>
          </w:tcPr>
          <w:p w14:paraId="329719E9">
            <w:pPr>
              <w:pStyle w:val="37"/>
              <w:spacing w:beforeLines="0" w:afterLines="0" w:line="240" w:lineRule="auto"/>
              <w:rPr>
                <w:rFonts w:hint="eastAsia" w:ascii="Times New Roman" w:eastAsia="宋体"/>
                <w:snapToGrid w:val="0"/>
                <w:color w:val="auto"/>
                <w:kern w:val="21"/>
                <w:szCs w:val="21"/>
                <w:lang w:eastAsia="zh-CN"/>
              </w:rPr>
            </w:pPr>
            <w:r>
              <w:rPr>
                <w:rFonts w:hint="eastAsia" w:ascii="Times New Roman"/>
                <w:snapToGrid w:val="0"/>
                <w:color w:val="auto"/>
                <w:kern w:val="21"/>
                <w:szCs w:val="21"/>
                <w:lang w:val="en-US" w:eastAsia="zh-CN"/>
              </w:rPr>
              <w:t>0</w:t>
            </w:r>
          </w:p>
        </w:tc>
        <w:tc>
          <w:tcPr>
            <w:tcW w:w="468" w:type="pct"/>
            <w:vAlign w:val="center"/>
          </w:tcPr>
          <w:p w14:paraId="2F35B8D4">
            <w:pPr>
              <w:jc w:val="center"/>
              <w:rPr>
                <w:snapToGrid w:val="0"/>
                <w:color w:val="auto"/>
                <w:kern w:val="21"/>
                <w:szCs w:val="21"/>
              </w:rPr>
            </w:pPr>
            <w:r>
              <w:rPr>
                <w:snapToGrid w:val="0"/>
                <w:color w:val="auto"/>
                <w:kern w:val="21"/>
                <w:szCs w:val="21"/>
              </w:rPr>
              <w:t>/</w:t>
            </w:r>
          </w:p>
        </w:tc>
        <w:tc>
          <w:tcPr>
            <w:tcW w:w="626" w:type="pct"/>
            <w:vAlign w:val="center"/>
          </w:tcPr>
          <w:p w14:paraId="44E45BAE">
            <w:pPr>
              <w:jc w:val="center"/>
              <w:rPr>
                <w:snapToGrid w:val="0"/>
                <w:color w:val="auto"/>
                <w:kern w:val="21"/>
                <w:szCs w:val="21"/>
              </w:rPr>
            </w:pPr>
            <w:r>
              <w:rPr>
                <w:snapToGrid w:val="0"/>
                <w:color w:val="auto"/>
                <w:kern w:val="21"/>
                <w:szCs w:val="21"/>
              </w:rPr>
              <w:t>/</w:t>
            </w:r>
          </w:p>
        </w:tc>
        <w:tc>
          <w:tcPr>
            <w:tcW w:w="573" w:type="pct"/>
            <w:vAlign w:val="center"/>
          </w:tcPr>
          <w:p w14:paraId="3283A2E2">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lang w:val="en-US" w:eastAsia="zh-CN"/>
              </w:rPr>
              <w:t>0</w:t>
            </w:r>
          </w:p>
        </w:tc>
        <w:tc>
          <w:tcPr>
            <w:tcW w:w="562" w:type="pct"/>
            <w:vAlign w:val="center"/>
          </w:tcPr>
          <w:p w14:paraId="3CAB7E14">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41" w:type="pct"/>
            <w:vAlign w:val="center"/>
          </w:tcPr>
          <w:p w14:paraId="05CE7C79">
            <w:pPr>
              <w:pStyle w:val="37"/>
              <w:spacing w:beforeLines="0" w:afterLines="0" w:line="240" w:lineRule="auto"/>
              <w:rPr>
                <w:snapToGrid w:val="0"/>
                <w:color w:val="auto"/>
                <w:kern w:val="21"/>
                <w:szCs w:val="21"/>
              </w:rPr>
            </w:pPr>
            <w:r>
              <w:rPr>
                <w:rFonts w:hint="eastAsia" w:ascii="Times New Roman"/>
                <w:snapToGrid w:val="0"/>
                <w:color w:val="auto"/>
                <w:kern w:val="21"/>
                <w:szCs w:val="21"/>
                <w:lang w:val="en-US" w:eastAsia="zh-CN"/>
              </w:rPr>
              <w:t>0</w:t>
            </w:r>
          </w:p>
        </w:tc>
        <w:tc>
          <w:tcPr>
            <w:tcW w:w="494" w:type="pct"/>
            <w:vAlign w:val="center"/>
          </w:tcPr>
          <w:p w14:paraId="5D72131C">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lang w:val="en-US" w:eastAsia="zh-CN"/>
              </w:rPr>
              <w:t>0</w:t>
            </w:r>
          </w:p>
        </w:tc>
      </w:tr>
      <w:tr w14:paraId="3AAD62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2D8B23F7">
            <w:pPr>
              <w:pStyle w:val="37"/>
              <w:spacing w:beforeLines="0" w:afterLines="0" w:line="240" w:lineRule="auto"/>
              <w:rPr>
                <w:rFonts w:ascii="Times New Roman"/>
                <w:snapToGrid w:val="0"/>
                <w:color w:val="auto"/>
                <w:kern w:val="21"/>
                <w:szCs w:val="21"/>
              </w:rPr>
            </w:pPr>
          </w:p>
        </w:tc>
        <w:tc>
          <w:tcPr>
            <w:tcW w:w="823" w:type="pct"/>
            <w:vAlign w:val="center"/>
          </w:tcPr>
          <w:p w14:paraId="7FCC9010">
            <w:pPr>
              <w:pStyle w:val="37"/>
              <w:spacing w:beforeLines="0" w:afterLines="0" w:line="240" w:lineRule="auto"/>
              <w:rPr>
                <w:rFonts w:ascii="Times New Roman"/>
                <w:color w:val="auto"/>
                <w:szCs w:val="21"/>
              </w:rPr>
            </w:pPr>
            <w:r>
              <w:rPr>
                <w:rFonts w:ascii="Times New Roman"/>
                <w:color w:val="auto"/>
                <w:szCs w:val="21"/>
              </w:rPr>
              <w:t>COD</w:t>
            </w:r>
          </w:p>
        </w:tc>
        <w:tc>
          <w:tcPr>
            <w:tcW w:w="500" w:type="pct"/>
            <w:vAlign w:val="center"/>
          </w:tcPr>
          <w:p w14:paraId="4734518F">
            <w:pPr>
              <w:widowControl/>
              <w:jc w:val="center"/>
              <w:textAlignment w:val="center"/>
              <w:rPr>
                <w:rFonts w:hint="eastAsia" w:eastAsia="宋体"/>
                <w:snapToGrid w:val="0"/>
                <w:color w:val="auto"/>
                <w:kern w:val="21"/>
                <w:szCs w:val="21"/>
                <w:lang w:eastAsia="zh-CN"/>
              </w:rPr>
            </w:pPr>
            <w:r>
              <w:rPr>
                <w:rFonts w:hint="eastAsia"/>
                <w:color w:val="auto"/>
                <w:kern w:val="0"/>
                <w:szCs w:val="21"/>
                <w:lang w:val="en-US" w:eastAsia="zh-CN" w:bidi="ar"/>
              </w:rPr>
              <w:t>0</w:t>
            </w:r>
          </w:p>
        </w:tc>
        <w:tc>
          <w:tcPr>
            <w:tcW w:w="468" w:type="pct"/>
            <w:vAlign w:val="center"/>
          </w:tcPr>
          <w:p w14:paraId="13318842">
            <w:pPr>
              <w:adjustRightInd w:val="0"/>
              <w:snapToGrid w:val="0"/>
              <w:jc w:val="center"/>
              <w:rPr>
                <w:snapToGrid w:val="0"/>
                <w:color w:val="auto"/>
                <w:kern w:val="21"/>
                <w:szCs w:val="21"/>
              </w:rPr>
            </w:pPr>
            <w:r>
              <w:rPr>
                <w:snapToGrid w:val="0"/>
                <w:color w:val="auto"/>
                <w:kern w:val="21"/>
                <w:szCs w:val="21"/>
              </w:rPr>
              <w:t>/</w:t>
            </w:r>
          </w:p>
        </w:tc>
        <w:tc>
          <w:tcPr>
            <w:tcW w:w="626" w:type="pct"/>
            <w:vAlign w:val="center"/>
          </w:tcPr>
          <w:p w14:paraId="393F4B04">
            <w:pPr>
              <w:adjustRightInd w:val="0"/>
              <w:snapToGrid w:val="0"/>
              <w:jc w:val="center"/>
              <w:rPr>
                <w:snapToGrid w:val="0"/>
                <w:color w:val="auto"/>
                <w:kern w:val="21"/>
                <w:szCs w:val="21"/>
              </w:rPr>
            </w:pPr>
            <w:r>
              <w:rPr>
                <w:snapToGrid w:val="0"/>
                <w:color w:val="auto"/>
                <w:kern w:val="21"/>
                <w:szCs w:val="21"/>
              </w:rPr>
              <w:t>/</w:t>
            </w:r>
          </w:p>
        </w:tc>
        <w:tc>
          <w:tcPr>
            <w:tcW w:w="573" w:type="pct"/>
            <w:vAlign w:val="center"/>
          </w:tcPr>
          <w:p w14:paraId="4D2FD2CF">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562" w:type="pct"/>
            <w:vAlign w:val="center"/>
          </w:tcPr>
          <w:p w14:paraId="724C912C">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41" w:type="pct"/>
            <w:vAlign w:val="center"/>
          </w:tcPr>
          <w:p w14:paraId="2F74D940">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494" w:type="pct"/>
            <w:vAlign w:val="center"/>
          </w:tcPr>
          <w:p w14:paraId="76DD7D98">
            <w:pPr>
              <w:widowControl/>
              <w:jc w:val="center"/>
              <w:textAlignment w:val="center"/>
              <w:rPr>
                <w:snapToGrid w:val="0"/>
                <w:color w:val="auto"/>
                <w:kern w:val="21"/>
                <w:szCs w:val="21"/>
              </w:rPr>
            </w:pPr>
            <w:r>
              <w:rPr>
                <w:rFonts w:hint="eastAsia"/>
                <w:color w:val="auto"/>
                <w:kern w:val="0"/>
                <w:szCs w:val="21"/>
                <w:lang w:val="en-US" w:eastAsia="zh-CN" w:bidi="ar"/>
              </w:rPr>
              <w:t>0</w:t>
            </w:r>
          </w:p>
        </w:tc>
      </w:tr>
      <w:tr w14:paraId="208BF4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240982B">
            <w:pPr>
              <w:pStyle w:val="37"/>
              <w:spacing w:beforeLines="0" w:afterLines="0" w:line="240" w:lineRule="auto"/>
              <w:rPr>
                <w:rFonts w:ascii="Times New Roman"/>
                <w:snapToGrid w:val="0"/>
                <w:color w:val="auto"/>
                <w:kern w:val="21"/>
                <w:szCs w:val="21"/>
              </w:rPr>
            </w:pPr>
          </w:p>
        </w:tc>
        <w:tc>
          <w:tcPr>
            <w:tcW w:w="823" w:type="pct"/>
            <w:vAlign w:val="center"/>
          </w:tcPr>
          <w:p w14:paraId="2F439DCB">
            <w:pPr>
              <w:pStyle w:val="37"/>
              <w:spacing w:beforeLines="0" w:afterLines="0" w:line="240" w:lineRule="auto"/>
              <w:rPr>
                <w:rFonts w:ascii="Times New Roman"/>
                <w:color w:val="auto"/>
                <w:szCs w:val="21"/>
              </w:rPr>
            </w:pPr>
            <w:r>
              <w:rPr>
                <w:rFonts w:ascii="Times New Roman"/>
                <w:color w:val="auto"/>
                <w:szCs w:val="21"/>
              </w:rPr>
              <w:t>BOD</w:t>
            </w:r>
            <w:r>
              <w:rPr>
                <w:rFonts w:ascii="Times New Roman"/>
                <w:color w:val="auto"/>
                <w:szCs w:val="21"/>
                <w:vertAlign w:val="subscript"/>
              </w:rPr>
              <w:t>5</w:t>
            </w:r>
          </w:p>
        </w:tc>
        <w:tc>
          <w:tcPr>
            <w:tcW w:w="500" w:type="pct"/>
            <w:vAlign w:val="center"/>
          </w:tcPr>
          <w:p w14:paraId="2959A299">
            <w:pPr>
              <w:widowControl/>
              <w:jc w:val="center"/>
              <w:textAlignment w:val="center"/>
              <w:rPr>
                <w:rFonts w:hint="eastAsia" w:eastAsia="宋体"/>
                <w:snapToGrid w:val="0"/>
                <w:color w:val="auto"/>
                <w:kern w:val="21"/>
                <w:szCs w:val="21"/>
                <w:lang w:eastAsia="zh-CN"/>
              </w:rPr>
            </w:pPr>
            <w:r>
              <w:rPr>
                <w:rFonts w:hint="eastAsia"/>
                <w:color w:val="auto"/>
                <w:kern w:val="0"/>
                <w:szCs w:val="21"/>
                <w:lang w:val="en-US" w:eastAsia="zh-CN" w:bidi="ar"/>
              </w:rPr>
              <w:t>0</w:t>
            </w:r>
          </w:p>
        </w:tc>
        <w:tc>
          <w:tcPr>
            <w:tcW w:w="468" w:type="pct"/>
            <w:vAlign w:val="center"/>
          </w:tcPr>
          <w:p w14:paraId="01BA3AB7">
            <w:pPr>
              <w:adjustRightInd w:val="0"/>
              <w:snapToGrid w:val="0"/>
              <w:jc w:val="center"/>
              <w:rPr>
                <w:snapToGrid w:val="0"/>
                <w:color w:val="auto"/>
                <w:kern w:val="21"/>
                <w:szCs w:val="21"/>
              </w:rPr>
            </w:pPr>
            <w:r>
              <w:rPr>
                <w:snapToGrid w:val="0"/>
                <w:color w:val="auto"/>
                <w:kern w:val="21"/>
                <w:szCs w:val="21"/>
              </w:rPr>
              <w:t>/</w:t>
            </w:r>
          </w:p>
        </w:tc>
        <w:tc>
          <w:tcPr>
            <w:tcW w:w="626" w:type="pct"/>
            <w:vAlign w:val="center"/>
          </w:tcPr>
          <w:p w14:paraId="35C0FC70">
            <w:pPr>
              <w:adjustRightInd w:val="0"/>
              <w:snapToGrid w:val="0"/>
              <w:jc w:val="center"/>
              <w:rPr>
                <w:snapToGrid w:val="0"/>
                <w:color w:val="auto"/>
                <w:kern w:val="21"/>
                <w:szCs w:val="21"/>
              </w:rPr>
            </w:pPr>
            <w:r>
              <w:rPr>
                <w:snapToGrid w:val="0"/>
                <w:color w:val="auto"/>
                <w:kern w:val="21"/>
                <w:szCs w:val="21"/>
              </w:rPr>
              <w:t>/</w:t>
            </w:r>
          </w:p>
        </w:tc>
        <w:tc>
          <w:tcPr>
            <w:tcW w:w="573" w:type="pct"/>
            <w:vAlign w:val="center"/>
          </w:tcPr>
          <w:p w14:paraId="0A4A2A2C">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562" w:type="pct"/>
            <w:vAlign w:val="center"/>
          </w:tcPr>
          <w:p w14:paraId="53F28948">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41" w:type="pct"/>
            <w:vAlign w:val="center"/>
          </w:tcPr>
          <w:p w14:paraId="2816B0AF">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494" w:type="pct"/>
            <w:vAlign w:val="center"/>
          </w:tcPr>
          <w:p w14:paraId="22C4646A">
            <w:pPr>
              <w:widowControl/>
              <w:jc w:val="center"/>
              <w:textAlignment w:val="center"/>
              <w:rPr>
                <w:snapToGrid w:val="0"/>
                <w:color w:val="auto"/>
                <w:kern w:val="21"/>
                <w:szCs w:val="21"/>
              </w:rPr>
            </w:pPr>
            <w:r>
              <w:rPr>
                <w:rFonts w:hint="eastAsia"/>
                <w:color w:val="auto"/>
                <w:kern w:val="0"/>
                <w:szCs w:val="21"/>
                <w:lang w:val="en-US" w:eastAsia="zh-CN" w:bidi="ar"/>
              </w:rPr>
              <w:t>0</w:t>
            </w:r>
          </w:p>
        </w:tc>
      </w:tr>
      <w:tr w14:paraId="0BA71B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14ED3D7">
            <w:pPr>
              <w:pStyle w:val="37"/>
              <w:spacing w:beforeLines="0" w:afterLines="0" w:line="240" w:lineRule="auto"/>
              <w:rPr>
                <w:rFonts w:ascii="Times New Roman"/>
                <w:snapToGrid w:val="0"/>
                <w:color w:val="auto"/>
                <w:kern w:val="21"/>
                <w:szCs w:val="21"/>
              </w:rPr>
            </w:pPr>
          </w:p>
        </w:tc>
        <w:tc>
          <w:tcPr>
            <w:tcW w:w="823" w:type="pct"/>
            <w:vAlign w:val="center"/>
          </w:tcPr>
          <w:p w14:paraId="7D6CEDE4">
            <w:pPr>
              <w:pStyle w:val="37"/>
              <w:spacing w:beforeLines="0" w:afterLines="0" w:line="240" w:lineRule="auto"/>
              <w:rPr>
                <w:rFonts w:ascii="Times New Roman"/>
                <w:color w:val="auto"/>
                <w:szCs w:val="21"/>
              </w:rPr>
            </w:pPr>
            <w:r>
              <w:rPr>
                <w:rFonts w:ascii="Times New Roman"/>
                <w:snapToGrid w:val="0"/>
                <w:color w:val="auto"/>
                <w:kern w:val="21"/>
                <w:szCs w:val="21"/>
              </w:rPr>
              <w:t>SS</w:t>
            </w:r>
          </w:p>
        </w:tc>
        <w:tc>
          <w:tcPr>
            <w:tcW w:w="500" w:type="pct"/>
            <w:vAlign w:val="center"/>
          </w:tcPr>
          <w:p w14:paraId="4DFB1BA0">
            <w:pPr>
              <w:widowControl/>
              <w:jc w:val="center"/>
              <w:textAlignment w:val="center"/>
              <w:rPr>
                <w:rFonts w:hint="eastAsia" w:eastAsia="宋体"/>
                <w:snapToGrid w:val="0"/>
                <w:color w:val="auto"/>
                <w:kern w:val="21"/>
                <w:szCs w:val="21"/>
                <w:lang w:eastAsia="zh-CN"/>
              </w:rPr>
            </w:pPr>
            <w:r>
              <w:rPr>
                <w:rFonts w:hint="eastAsia"/>
                <w:color w:val="auto"/>
                <w:kern w:val="0"/>
                <w:szCs w:val="21"/>
                <w:lang w:val="en-US" w:eastAsia="zh-CN" w:bidi="ar"/>
              </w:rPr>
              <w:t>0</w:t>
            </w:r>
          </w:p>
        </w:tc>
        <w:tc>
          <w:tcPr>
            <w:tcW w:w="468" w:type="pct"/>
            <w:vAlign w:val="center"/>
          </w:tcPr>
          <w:p w14:paraId="4FD06C9D">
            <w:pPr>
              <w:jc w:val="center"/>
              <w:rPr>
                <w:snapToGrid w:val="0"/>
                <w:color w:val="auto"/>
                <w:kern w:val="21"/>
                <w:szCs w:val="21"/>
              </w:rPr>
            </w:pPr>
            <w:r>
              <w:rPr>
                <w:snapToGrid w:val="0"/>
                <w:color w:val="auto"/>
                <w:kern w:val="21"/>
                <w:szCs w:val="21"/>
              </w:rPr>
              <w:t>/</w:t>
            </w:r>
          </w:p>
        </w:tc>
        <w:tc>
          <w:tcPr>
            <w:tcW w:w="626" w:type="pct"/>
            <w:vAlign w:val="center"/>
          </w:tcPr>
          <w:p w14:paraId="1F7C4C56">
            <w:pPr>
              <w:jc w:val="center"/>
              <w:rPr>
                <w:snapToGrid w:val="0"/>
                <w:color w:val="auto"/>
                <w:kern w:val="21"/>
                <w:szCs w:val="21"/>
              </w:rPr>
            </w:pPr>
            <w:r>
              <w:rPr>
                <w:snapToGrid w:val="0"/>
                <w:color w:val="auto"/>
                <w:kern w:val="21"/>
                <w:szCs w:val="21"/>
              </w:rPr>
              <w:t>/</w:t>
            </w:r>
          </w:p>
        </w:tc>
        <w:tc>
          <w:tcPr>
            <w:tcW w:w="573" w:type="pct"/>
            <w:vAlign w:val="center"/>
          </w:tcPr>
          <w:p w14:paraId="30B2C4B9">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562" w:type="pct"/>
            <w:vAlign w:val="center"/>
          </w:tcPr>
          <w:p w14:paraId="5698B8CB">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41" w:type="pct"/>
            <w:vAlign w:val="center"/>
          </w:tcPr>
          <w:p w14:paraId="5CC6F428">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494" w:type="pct"/>
            <w:vAlign w:val="center"/>
          </w:tcPr>
          <w:p w14:paraId="0BBA1E3F">
            <w:pPr>
              <w:widowControl/>
              <w:jc w:val="center"/>
              <w:textAlignment w:val="center"/>
              <w:rPr>
                <w:snapToGrid w:val="0"/>
                <w:color w:val="auto"/>
                <w:kern w:val="21"/>
                <w:szCs w:val="21"/>
              </w:rPr>
            </w:pPr>
            <w:r>
              <w:rPr>
                <w:rFonts w:hint="eastAsia"/>
                <w:color w:val="auto"/>
                <w:kern w:val="0"/>
                <w:szCs w:val="21"/>
                <w:lang w:val="en-US" w:eastAsia="zh-CN" w:bidi="ar"/>
              </w:rPr>
              <w:t>0</w:t>
            </w:r>
          </w:p>
        </w:tc>
      </w:tr>
      <w:tr w14:paraId="477A6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77767FB9">
            <w:pPr>
              <w:pStyle w:val="37"/>
              <w:spacing w:beforeLines="0" w:afterLines="0" w:line="240" w:lineRule="auto"/>
              <w:rPr>
                <w:rFonts w:ascii="Times New Roman"/>
                <w:snapToGrid w:val="0"/>
                <w:color w:val="auto"/>
                <w:kern w:val="21"/>
                <w:szCs w:val="21"/>
              </w:rPr>
            </w:pPr>
          </w:p>
        </w:tc>
        <w:tc>
          <w:tcPr>
            <w:tcW w:w="823" w:type="pct"/>
            <w:vAlign w:val="center"/>
          </w:tcPr>
          <w:p w14:paraId="220A7D86">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氨氮</w:t>
            </w:r>
          </w:p>
        </w:tc>
        <w:tc>
          <w:tcPr>
            <w:tcW w:w="500" w:type="pct"/>
            <w:vAlign w:val="center"/>
          </w:tcPr>
          <w:p w14:paraId="45653FCC">
            <w:pPr>
              <w:widowControl/>
              <w:jc w:val="center"/>
              <w:textAlignment w:val="center"/>
              <w:rPr>
                <w:rFonts w:hint="eastAsia" w:eastAsia="宋体"/>
                <w:snapToGrid w:val="0"/>
                <w:color w:val="auto"/>
                <w:kern w:val="21"/>
                <w:szCs w:val="21"/>
                <w:lang w:eastAsia="zh-CN"/>
              </w:rPr>
            </w:pPr>
            <w:r>
              <w:rPr>
                <w:rFonts w:hint="eastAsia"/>
                <w:color w:val="auto"/>
                <w:kern w:val="0"/>
                <w:szCs w:val="21"/>
                <w:lang w:val="en-US" w:eastAsia="zh-CN" w:bidi="ar"/>
              </w:rPr>
              <w:t>0</w:t>
            </w:r>
          </w:p>
        </w:tc>
        <w:tc>
          <w:tcPr>
            <w:tcW w:w="468" w:type="pct"/>
            <w:vAlign w:val="center"/>
          </w:tcPr>
          <w:p w14:paraId="08EC180E">
            <w:pPr>
              <w:jc w:val="center"/>
              <w:rPr>
                <w:snapToGrid w:val="0"/>
                <w:color w:val="auto"/>
                <w:kern w:val="21"/>
                <w:szCs w:val="21"/>
              </w:rPr>
            </w:pPr>
            <w:r>
              <w:rPr>
                <w:snapToGrid w:val="0"/>
                <w:color w:val="auto"/>
                <w:kern w:val="21"/>
                <w:szCs w:val="21"/>
              </w:rPr>
              <w:t>/</w:t>
            </w:r>
          </w:p>
        </w:tc>
        <w:tc>
          <w:tcPr>
            <w:tcW w:w="626" w:type="pct"/>
            <w:vAlign w:val="center"/>
          </w:tcPr>
          <w:p w14:paraId="781E63C8">
            <w:pPr>
              <w:jc w:val="center"/>
              <w:rPr>
                <w:snapToGrid w:val="0"/>
                <w:color w:val="auto"/>
                <w:kern w:val="21"/>
                <w:szCs w:val="21"/>
              </w:rPr>
            </w:pPr>
            <w:r>
              <w:rPr>
                <w:snapToGrid w:val="0"/>
                <w:color w:val="auto"/>
                <w:kern w:val="21"/>
                <w:szCs w:val="21"/>
              </w:rPr>
              <w:t>/</w:t>
            </w:r>
          </w:p>
        </w:tc>
        <w:tc>
          <w:tcPr>
            <w:tcW w:w="573" w:type="pct"/>
            <w:vAlign w:val="center"/>
          </w:tcPr>
          <w:p w14:paraId="0C7E9496">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562" w:type="pct"/>
            <w:vAlign w:val="center"/>
          </w:tcPr>
          <w:p w14:paraId="7841DB7F">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41" w:type="pct"/>
            <w:vAlign w:val="center"/>
          </w:tcPr>
          <w:p w14:paraId="6699DCD7">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494" w:type="pct"/>
            <w:vAlign w:val="center"/>
          </w:tcPr>
          <w:p w14:paraId="357AC564">
            <w:pPr>
              <w:widowControl/>
              <w:jc w:val="center"/>
              <w:textAlignment w:val="center"/>
              <w:rPr>
                <w:snapToGrid w:val="0"/>
                <w:color w:val="auto"/>
                <w:kern w:val="21"/>
                <w:szCs w:val="21"/>
              </w:rPr>
            </w:pPr>
            <w:r>
              <w:rPr>
                <w:rFonts w:hint="eastAsia"/>
                <w:color w:val="auto"/>
                <w:kern w:val="0"/>
                <w:szCs w:val="21"/>
                <w:lang w:val="en-US" w:eastAsia="zh-CN" w:bidi="ar"/>
              </w:rPr>
              <w:t>0</w:t>
            </w:r>
          </w:p>
        </w:tc>
      </w:tr>
      <w:tr w14:paraId="0D141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0BA7504C">
            <w:pPr>
              <w:pStyle w:val="37"/>
              <w:spacing w:beforeLines="0" w:afterLines="0" w:line="240" w:lineRule="auto"/>
              <w:rPr>
                <w:rFonts w:ascii="Times New Roman"/>
                <w:snapToGrid w:val="0"/>
                <w:color w:val="auto"/>
                <w:kern w:val="21"/>
                <w:szCs w:val="21"/>
              </w:rPr>
            </w:pPr>
          </w:p>
        </w:tc>
        <w:tc>
          <w:tcPr>
            <w:tcW w:w="823" w:type="pct"/>
            <w:vAlign w:val="center"/>
          </w:tcPr>
          <w:p w14:paraId="69AF9C57">
            <w:pPr>
              <w:pStyle w:val="68"/>
              <w:rPr>
                <w:color w:val="auto"/>
                <w:szCs w:val="21"/>
              </w:rPr>
            </w:pPr>
            <w:r>
              <w:rPr>
                <w:rFonts w:hint="eastAsia"/>
                <w:color w:val="auto"/>
                <w:szCs w:val="21"/>
              </w:rPr>
              <w:t>TN</w:t>
            </w:r>
          </w:p>
        </w:tc>
        <w:tc>
          <w:tcPr>
            <w:tcW w:w="500" w:type="pct"/>
            <w:vAlign w:val="center"/>
          </w:tcPr>
          <w:p w14:paraId="23E94285">
            <w:pPr>
              <w:widowControl/>
              <w:jc w:val="center"/>
              <w:textAlignment w:val="center"/>
              <w:rPr>
                <w:rFonts w:hint="eastAsia" w:eastAsia="宋体"/>
                <w:snapToGrid w:val="0"/>
                <w:color w:val="auto"/>
                <w:kern w:val="21"/>
                <w:szCs w:val="21"/>
                <w:lang w:eastAsia="zh-CN"/>
              </w:rPr>
            </w:pPr>
            <w:r>
              <w:rPr>
                <w:rFonts w:hint="eastAsia"/>
                <w:color w:val="auto"/>
                <w:kern w:val="0"/>
                <w:szCs w:val="21"/>
                <w:lang w:val="en-US" w:eastAsia="zh-CN" w:bidi="ar"/>
              </w:rPr>
              <w:t>0</w:t>
            </w:r>
          </w:p>
        </w:tc>
        <w:tc>
          <w:tcPr>
            <w:tcW w:w="468" w:type="pct"/>
            <w:vAlign w:val="center"/>
          </w:tcPr>
          <w:p w14:paraId="3A48423F">
            <w:pPr>
              <w:jc w:val="center"/>
              <w:rPr>
                <w:snapToGrid w:val="0"/>
                <w:color w:val="auto"/>
                <w:kern w:val="21"/>
                <w:szCs w:val="21"/>
              </w:rPr>
            </w:pPr>
            <w:r>
              <w:rPr>
                <w:snapToGrid w:val="0"/>
                <w:color w:val="auto"/>
                <w:kern w:val="21"/>
                <w:szCs w:val="21"/>
              </w:rPr>
              <w:t>/</w:t>
            </w:r>
          </w:p>
        </w:tc>
        <w:tc>
          <w:tcPr>
            <w:tcW w:w="626" w:type="pct"/>
            <w:vAlign w:val="center"/>
          </w:tcPr>
          <w:p w14:paraId="6C1204EB">
            <w:pPr>
              <w:jc w:val="center"/>
              <w:rPr>
                <w:snapToGrid w:val="0"/>
                <w:color w:val="auto"/>
                <w:kern w:val="21"/>
                <w:szCs w:val="21"/>
              </w:rPr>
            </w:pPr>
            <w:r>
              <w:rPr>
                <w:snapToGrid w:val="0"/>
                <w:color w:val="auto"/>
                <w:kern w:val="21"/>
                <w:szCs w:val="21"/>
              </w:rPr>
              <w:t>/</w:t>
            </w:r>
          </w:p>
        </w:tc>
        <w:tc>
          <w:tcPr>
            <w:tcW w:w="573" w:type="pct"/>
            <w:vAlign w:val="center"/>
          </w:tcPr>
          <w:p w14:paraId="0D2982FC">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562" w:type="pct"/>
            <w:vAlign w:val="center"/>
          </w:tcPr>
          <w:p w14:paraId="3143D213">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541" w:type="pct"/>
            <w:vAlign w:val="center"/>
          </w:tcPr>
          <w:p w14:paraId="53A90D6A">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494" w:type="pct"/>
            <w:vAlign w:val="center"/>
          </w:tcPr>
          <w:p w14:paraId="7712B64E">
            <w:pPr>
              <w:widowControl/>
              <w:jc w:val="center"/>
              <w:textAlignment w:val="center"/>
              <w:rPr>
                <w:snapToGrid w:val="0"/>
                <w:color w:val="auto"/>
                <w:kern w:val="21"/>
                <w:szCs w:val="21"/>
              </w:rPr>
            </w:pPr>
            <w:r>
              <w:rPr>
                <w:rFonts w:hint="eastAsia"/>
                <w:color w:val="auto"/>
                <w:kern w:val="0"/>
                <w:szCs w:val="21"/>
                <w:lang w:val="en-US" w:eastAsia="zh-CN" w:bidi="ar"/>
              </w:rPr>
              <w:t>0</w:t>
            </w:r>
          </w:p>
        </w:tc>
      </w:tr>
      <w:tr w14:paraId="2A825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4F46E4C6">
            <w:pPr>
              <w:pStyle w:val="37"/>
              <w:spacing w:beforeLines="0" w:afterLines="0" w:line="240" w:lineRule="auto"/>
              <w:rPr>
                <w:rFonts w:ascii="Times New Roman"/>
                <w:snapToGrid w:val="0"/>
                <w:color w:val="auto"/>
                <w:kern w:val="21"/>
                <w:szCs w:val="21"/>
              </w:rPr>
            </w:pPr>
          </w:p>
        </w:tc>
        <w:tc>
          <w:tcPr>
            <w:tcW w:w="823" w:type="pct"/>
            <w:vAlign w:val="center"/>
          </w:tcPr>
          <w:p w14:paraId="63A7CA05">
            <w:pPr>
              <w:pStyle w:val="68"/>
              <w:rPr>
                <w:color w:val="auto"/>
                <w:szCs w:val="21"/>
              </w:rPr>
            </w:pPr>
            <w:r>
              <w:rPr>
                <w:rFonts w:hint="eastAsia"/>
                <w:color w:val="auto"/>
                <w:szCs w:val="21"/>
              </w:rPr>
              <w:t>TP</w:t>
            </w:r>
          </w:p>
        </w:tc>
        <w:tc>
          <w:tcPr>
            <w:tcW w:w="500" w:type="pct"/>
            <w:vAlign w:val="center"/>
          </w:tcPr>
          <w:p w14:paraId="36ADEB2B">
            <w:pPr>
              <w:widowControl/>
              <w:jc w:val="center"/>
              <w:textAlignment w:val="center"/>
              <w:rPr>
                <w:rFonts w:hint="eastAsia" w:eastAsia="宋体"/>
                <w:snapToGrid w:val="0"/>
                <w:color w:val="auto"/>
                <w:kern w:val="21"/>
                <w:szCs w:val="21"/>
                <w:lang w:eastAsia="zh-CN"/>
              </w:rPr>
            </w:pPr>
            <w:r>
              <w:rPr>
                <w:rFonts w:hint="eastAsia"/>
                <w:color w:val="auto"/>
                <w:kern w:val="0"/>
                <w:szCs w:val="21"/>
                <w:lang w:val="en-US" w:eastAsia="zh-CN" w:bidi="ar"/>
              </w:rPr>
              <w:t>0</w:t>
            </w:r>
          </w:p>
        </w:tc>
        <w:tc>
          <w:tcPr>
            <w:tcW w:w="468" w:type="pct"/>
            <w:vAlign w:val="center"/>
          </w:tcPr>
          <w:p w14:paraId="265B3D90">
            <w:pPr>
              <w:adjustRightInd w:val="0"/>
              <w:snapToGrid w:val="0"/>
              <w:jc w:val="center"/>
              <w:rPr>
                <w:snapToGrid w:val="0"/>
                <w:color w:val="auto"/>
                <w:kern w:val="21"/>
                <w:szCs w:val="21"/>
              </w:rPr>
            </w:pPr>
            <w:r>
              <w:rPr>
                <w:snapToGrid w:val="0"/>
                <w:color w:val="auto"/>
                <w:kern w:val="21"/>
                <w:szCs w:val="21"/>
              </w:rPr>
              <w:t>/</w:t>
            </w:r>
          </w:p>
        </w:tc>
        <w:tc>
          <w:tcPr>
            <w:tcW w:w="626" w:type="pct"/>
            <w:vAlign w:val="center"/>
          </w:tcPr>
          <w:p w14:paraId="7275E4B2">
            <w:pPr>
              <w:adjustRightInd w:val="0"/>
              <w:snapToGrid w:val="0"/>
              <w:jc w:val="center"/>
              <w:rPr>
                <w:snapToGrid w:val="0"/>
                <w:color w:val="auto"/>
                <w:kern w:val="21"/>
                <w:szCs w:val="21"/>
              </w:rPr>
            </w:pPr>
            <w:r>
              <w:rPr>
                <w:snapToGrid w:val="0"/>
                <w:color w:val="auto"/>
                <w:kern w:val="21"/>
                <w:szCs w:val="21"/>
              </w:rPr>
              <w:t>/</w:t>
            </w:r>
          </w:p>
        </w:tc>
        <w:tc>
          <w:tcPr>
            <w:tcW w:w="573" w:type="pct"/>
            <w:vAlign w:val="center"/>
          </w:tcPr>
          <w:p w14:paraId="743C5D1C">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562" w:type="pct"/>
            <w:vAlign w:val="center"/>
          </w:tcPr>
          <w:p w14:paraId="231F7097">
            <w:pPr>
              <w:pStyle w:val="37"/>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w:t>
            </w:r>
          </w:p>
        </w:tc>
        <w:tc>
          <w:tcPr>
            <w:tcW w:w="541" w:type="pct"/>
            <w:vAlign w:val="center"/>
          </w:tcPr>
          <w:p w14:paraId="45F1FB3D">
            <w:pPr>
              <w:widowControl/>
              <w:jc w:val="center"/>
              <w:textAlignment w:val="center"/>
              <w:rPr>
                <w:snapToGrid w:val="0"/>
                <w:color w:val="auto"/>
                <w:kern w:val="21"/>
                <w:szCs w:val="21"/>
              </w:rPr>
            </w:pPr>
            <w:r>
              <w:rPr>
                <w:rFonts w:hint="eastAsia"/>
                <w:color w:val="auto"/>
                <w:kern w:val="0"/>
                <w:szCs w:val="21"/>
                <w:lang w:val="en-US" w:eastAsia="zh-CN" w:bidi="ar"/>
              </w:rPr>
              <w:t>0</w:t>
            </w:r>
          </w:p>
        </w:tc>
        <w:tc>
          <w:tcPr>
            <w:tcW w:w="494" w:type="pct"/>
            <w:vAlign w:val="center"/>
          </w:tcPr>
          <w:p w14:paraId="5C72AC55">
            <w:pPr>
              <w:widowControl/>
              <w:jc w:val="center"/>
              <w:textAlignment w:val="center"/>
              <w:rPr>
                <w:snapToGrid w:val="0"/>
                <w:color w:val="auto"/>
                <w:kern w:val="21"/>
                <w:szCs w:val="21"/>
              </w:rPr>
            </w:pPr>
            <w:r>
              <w:rPr>
                <w:rFonts w:hint="eastAsia"/>
                <w:color w:val="auto"/>
                <w:kern w:val="0"/>
                <w:szCs w:val="21"/>
                <w:lang w:val="en-US" w:eastAsia="zh-CN" w:bidi="ar"/>
              </w:rPr>
              <w:t>0</w:t>
            </w:r>
          </w:p>
        </w:tc>
      </w:tr>
      <w:tr w14:paraId="61B027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13232267">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一般工业</w:t>
            </w:r>
          </w:p>
          <w:p w14:paraId="781DA825">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固体废物</w:t>
            </w:r>
          </w:p>
        </w:tc>
        <w:tc>
          <w:tcPr>
            <w:tcW w:w="823" w:type="pct"/>
            <w:shd w:val="clear" w:color="auto" w:fill="auto"/>
            <w:vAlign w:val="center"/>
          </w:tcPr>
          <w:p w14:paraId="3D5AB785">
            <w:pPr>
              <w:pStyle w:val="24"/>
              <w:widowControl/>
              <w:spacing w:before="0" w:beforeAutospacing="0" w:after="0" w:afterAutospacing="0"/>
              <w:contextualSpacing/>
              <w:jc w:val="center"/>
              <w:rPr>
                <w:rFonts w:hint="eastAsia" w:eastAsia="宋体"/>
                <w:color w:val="auto"/>
                <w:sz w:val="21"/>
                <w:szCs w:val="21"/>
                <w:lang w:val="en-US" w:eastAsia="zh-CN"/>
              </w:rPr>
            </w:pPr>
            <w:r>
              <w:rPr>
                <w:rFonts w:hint="eastAsia"/>
                <w:color w:val="auto"/>
                <w:sz w:val="21"/>
                <w:szCs w:val="21"/>
                <w:lang w:val="en-US" w:eastAsia="zh-CN"/>
              </w:rPr>
              <w:t>生活垃圾</w:t>
            </w:r>
          </w:p>
        </w:tc>
        <w:tc>
          <w:tcPr>
            <w:tcW w:w="500" w:type="pct"/>
            <w:shd w:val="clear" w:color="auto" w:fill="auto"/>
            <w:vAlign w:val="center"/>
          </w:tcPr>
          <w:p w14:paraId="57507085">
            <w:pPr>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olor w:val="auto"/>
              </w:rPr>
              <w:t>14.25</w:t>
            </w:r>
            <w:r>
              <w:rPr>
                <w:rFonts w:ascii="Times New Roman"/>
                <w:bCs/>
                <w:color w:val="auto"/>
                <w:kern w:val="2"/>
                <w:szCs w:val="21"/>
              </w:rPr>
              <w:t>t/a</w:t>
            </w:r>
          </w:p>
        </w:tc>
        <w:tc>
          <w:tcPr>
            <w:tcW w:w="468" w:type="pct"/>
            <w:shd w:val="clear" w:color="auto" w:fill="auto"/>
            <w:vAlign w:val="center"/>
          </w:tcPr>
          <w:p w14:paraId="1901025B">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626" w:type="pct"/>
            <w:shd w:val="clear" w:color="auto" w:fill="auto"/>
            <w:vAlign w:val="center"/>
          </w:tcPr>
          <w:p w14:paraId="0444F497">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573" w:type="pct"/>
            <w:vAlign w:val="center"/>
          </w:tcPr>
          <w:p w14:paraId="722B7FEA">
            <w:pPr>
              <w:adjustRightInd w:val="0"/>
              <w:snapToGrid w:val="0"/>
              <w:jc w:val="center"/>
              <w:rPr>
                <w:rFonts w:hint="default"/>
                <w:snapToGrid w:val="0"/>
                <w:color w:val="auto"/>
                <w:kern w:val="21"/>
                <w:szCs w:val="21"/>
                <w:lang w:val="en-US" w:eastAsia="zh-CN"/>
              </w:rPr>
            </w:pPr>
            <w:r>
              <w:rPr>
                <w:rFonts w:hint="eastAsia"/>
                <w:snapToGrid w:val="0"/>
                <w:color w:val="auto"/>
                <w:kern w:val="21"/>
                <w:szCs w:val="21"/>
                <w:lang w:val="en-US" w:eastAsia="zh-CN"/>
              </w:rPr>
              <w:t>0</w:t>
            </w:r>
          </w:p>
        </w:tc>
        <w:tc>
          <w:tcPr>
            <w:tcW w:w="562" w:type="pct"/>
            <w:vAlign w:val="center"/>
          </w:tcPr>
          <w:p w14:paraId="702EA98A">
            <w:pPr>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0</w:t>
            </w:r>
          </w:p>
        </w:tc>
        <w:tc>
          <w:tcPr>
            <w:tcW w:w="541" w:type="pct"/>
            <w:shd w:val="clear" w:color="auto" w:fill="auto"/>
            <w:vAlign w:val="center"/>
          </w:tcPr>
          <w:p w14:paraId="02846DAB">
            <w:pPr>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olor w:val="auto"/>
              </w:rPr>
              <w:t>14.25</w:t>
            </w:r>
            <w:r>
              <w:rPr>
                <w:rFonts w:ascii="Times New Roman"/>
                <w:bCs/>
                <w:color w:val="auto"/>
                <w:kern w:val="2"/>
                <w:szCs w:val="21"/>
              </w:rPr>
              <w:t>t/a</w:t>
            </w:r>
          </w:p>
        </w:tc>
        <w:tc>
          <w:tcPr>
            <w:tcW w:w="494" w:type="pct"/>
            <w:vAlign w:val="center"/>
          </w:tcPr>
          <w:p w14:paraId="795ABA13">
            <w:pPr>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0</w:t>
            </w:r>
          </w:p>
        </w:tc>
      </w:tr>
      <w:tr w14:paraId="6FBF7F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2CB9E6B6">
            <w:pPr>
              <w:pStyle w:val="37"/>
              <w:spacing w:beforeLines="0" w:afterLines="0" w:line="240" w:lineRule="auto"/>
              <w:rPr>
                <w:rFonts w:ascii="Times New Roman"/>
                <w:snapToGrid w:val="0"/>
                <w:color w:val="auto"/>
                <w:kern w:val="21"/>
                <w:szCs w:val="21"/>
              </w:rPr>
            </w:pPr>
          </w:p>
        </w:tc>
        <w:tc>
          <w:tcPr>
            <w:tcW w:w="823" w:type="pct"/>
            <w:shd w:val="clear" w:color="auto" w:fill="auto"/>
            <w:vAlign w:val="center"/>
          </w:tcPr>
          <w:p w14:paraId="04CF03C6">
            <w:pPr>
              <w:pStyle w:val="24"/>
              <w:widowControl/>
              <w:spacing w:before="0" w:beforeAutospacing="0" w:after="0" w:afterAutospacing="0"/>
              <w:contextualSpacing/>
              <w:jc w:val="center"/>
              <w:rPr>
                <w:rFonts w:hint="default"/>
                <w:color w:val="auto"/>
                <w:sz w:val="21"/>
                <w:szCs w:val="21"/>
                <w:lang w:val="en-US" w:eastAsia="zh-CN"/>
              </w:rPr>
            </w:pPr>
            <w:r>
              <w:rPr>
                <w:rFonts w:hint="eastAsia"/>
                <w:color w:val="auto"/>
                <w:sz w:val="21"/>
                <w:szCs w:val="21"/>
                <w:lang w:val="en-US" w:eastAsia="zh-CN"/>
              </w:rPr>
              <w:t>废油脂</w:t>
            </w:r>
          </w:p>
        </w:tc>
        <w:tc>
          <w:tcPr>
            <w:tcW w:w="500" w:type="pct"/>
            <w:shd w:val="clear" w:color="auto" w:fill="auto"/>
            <w:vAlign w:val="center"/>
          </w:tcPr>
          <w:p w14:paraId="194FEEBE">
            <w:pPr>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olor w:val="auto"/>
              </w:rPr>
              <w:t>0.285</w:t>
            </w:r>
            <w:r>
              <w:rPr>
                <w:rFonts w:ascii="Times New Roman"/>
                <w:bCs/>
                <w:color w:val="auto"/>
                <w:kern w:val="2"/>
                <w:szCs w:val="21"/>
              </w:rPr>
              <w:t>t/a</w:t>
            </w:r>
          </w:p>
        </w:tc>
        <w:tc>
          <w:tcPr>
            <w:tcW w:w="468" w:type="pct"/>
            <w:shd w:val="clear" w:color="auto" w:fill="auto"/>
            <w:vAlign w:val="center"/>
          </w:tcPr>
          <w:p w14:paraId="6C224E22">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626" w:type="pct"/>
            <w:shd w:val="clear" w:color="auto" w:fill="auto"/>
            <w:vAlign w:val="center"/>
          </w:tcPr>
          <w:p w14:paraId="64B17577">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573" w:type="pct"/>
            <w:vAlign w:val="center"/>
          </w:tcPr>
          <w:p w14:paraId="0D9BAC0A">
            <w:pPr>
              <w:adjustRightInd w:val="0"/>
              <w:snapToGrid w:val="0"/>
              <w:jc w:val="center"/>
              <w:rPr>
                <w:rFonts w:hint="default"/>
                <w:snapToGrid w:val="0"/>
                <w:color w:val="auto"/>
                <w:kern w:val="21"/>
                <w:szCs w:val="21"/>
                <w:lang w:val="en-US" w:eastAsia="zh-CN"/>
              </w:rPr>
            </w:pPr>
            <w:r>
              <w:rPr>
                <w:rFonts w:hint="eastAsia"/>
                <w:snapToGrid w:val="0"/>
                <w:color w:val="auto"/>
                <w:kern w:val="21"/>
                <w:szCs w:val="21"/>
                <w:lang w:val="en-US" w:eastAsia="zh-CN"/>
              </w:rPr>
              <w:t>0</w:t>
            </w:r>
          </w:p>
        </w:tc>
        <w:tc>
          <w:tcPr>
            <w:tcW w:w="562" w:type="pct"/>
            <w:vAlign w:val="center"/>
          </w:tcPr>
          <w:p w14:paraId="17D581DF">
            <w:pPr>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0</w:t>
            </w:r>
          </w:p>
        </w:tc>
        <w:tc>
          <w:tcPr>
            <w:tcW w:w="541" w:type="pct"/>
            <w:shd w:val="clear" w:color="auto" w:fill="auto"/>
            <w:vAlign w:val="center"/>
          </w:tcPr>
          <w:p w14:paraId="52308418">
            <w:pPr>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olor w:val="auto"/>
              </w:rPr>
              <w:t>0.285</w:t>
            </w:r>
            <w:r>
              <w:rPr>
                <w:rFonts w:ascii="Times New Roman"/>
                <w:bCs/>
                <w:color w:val="auto"/>
                <w:kern w:val="2"/>
                <w:szCs w:val="21"/>
              </w:rPr>
              <w:t>t/a</w:t>
            </w:r>
          </w:p>
        </w:tc>
        <w:tc>
          <w:tcPr>
            <w:tcW w:w="494" w:type="pct"/>
            <w:vAlign w:val="center"/>
          </w:tcPr>
          <w:p w14:paraId="4FAB455C">
            <w:pPr>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0</w:t>
            </w:r>
          </w:p>
        </w:tc>
      </w:tr>
      <w:tr w14:paraId="51D43B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5FDDD073">
            <w:pPr>
              <w:pStyle w:val="37"/>
              <w:spacing w:beforeLines="0" w:afterLines="0" w:line="240" w:lineRule="auto"/>
              <w:rPr>
                <w:rFonts w:ascii="Times New Roman"/>
                <w:snapToGrid w:val="0"/>
                <w:color w:val="auto"/>
                <w:kern w:val="21"/>
                <w:szCs w:val="21"/>
              </w:rPr>
            </w:pPr>
          </w:p>
        </w:tc>
        <w:tc>
          <w:tcPr>
            <w:tcW w:w="823" w:type="pct"/>
            <w:shd w:val="clear" w:color="auto" w:fill="auto"/>
            <w:vAlign w:val="center"/>
          </w:tcPr>
          <w:p w14:paraId="49E4C854">
            <w:pPr>
              <w:pStyle w:val="24"/>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除尘器收集粉尘</w:t>
            </w:r>
          </w:p>
        </w:tc>
        <w:tc>
          <w:tcPr>
            <w:tcW w:w="500" w:type="pct"/>
            <w:shd w:val="clear" w:color="auto" w:fill="auto"/>
            <w:vAlign w:val="center"/>
          </w:tcPr>
          <w:p w14:paraId="1F0CC48C">
            <w:pPr>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1181.68</w:t>
            </w:r>
            <w:r>
              <w:rPr>
                <w:rFonts w:ascii="Times New Roman"/>
                <w:bCs/>
                <w:color w:val="auto"/>
                <w:kern w:val="2"/>
                <w:szCs w:val="21"/>
              </w:rPr>
              <w:t>t/a</w:t>
            </w:r>
          </w:p>
        </w:tc>
        <w:tc>
          <w:tcPr>
            <w:tcW w:w="468" w:type="pct"/>
            <w:shd w:val="clear" w:color="auto" w:fill="auto"/>
            <w:vAlign w:val="center"/>
          </w:tcPr>
          <w:p w14:paraId="736AA6ED">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626" w:type="pct"/>
            <w:shd w:val="clear" w:color="auto" w:fill="auto"/>
            <w:vAlign w:val="center"/>
          </w:tcPr>
          <w:p w14:paraId="1BE29A53">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573" w:type="pct"/>
            <w:shd w:val="clear" w:color="auto" w:fill="auto"/>
            <w:vAlign w:val="center"/>
          </w:tcPr>
          <w:p w14:paraId="69B67960">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5.64</w:t>
            </w:r>
            <w:r>
              <w:rPr>
                <w:rFonts w:ascii="Times New Roman"/>
                <w:bCs/>
                <w:color w:val="auto"/>
                <w:kern w:val="2"/>
                <w:szCs w:val="21"/>
              </w:rPr>
              <w:t>t/a</w:t>
            </w:r>
          </w:p>
        </w:tc>
        <w:tc>
          <w:tcPr>
            <w:tcW w:w="562" w:type="pct"/>
            <w:shd w:val="clear" w:color="auto" w:fill="auto"/>
            <w:vAlign w:val="center"/>
          </w:tcPr>
          <w:p w14:paraId="6BB1B026">
            <w:pPr>
              <w:pStyle w:val="37"/>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ascii="Times New Roman"/>
                <w:snapToGrid w:val="0"/>
                <w:color w:val="auto"/>
                <w:kern w:val="21"/>
                <w:szCs w:val="21"/>
              </w:rPr>
              <w:t>0</w:t>
            </w:r>
          </w:p>
        </w:tc>
        <w:tc>
          <w:tcPr>
            <w:tcW w:w="541" w:type="pct"/>
            <w:vAlign w:val="center"/>
          </w:tcPr>
          <w:p w14:paraId="663451AE">
            <w:pPr>
              <w:jc w:val="center"/>
              <w:rPr>
                <w:rFonts w:hint="eastAsia" w:ascii="Times New Roman" w:hAnsi="Times New Roman" w:cs="Times New Roman"/>
                <w:color w:val="auto"/>
                <w:szCs w:val="21"/>
              </w:rPr>
            </w:pPr>
            <w:r>
              <w:rPr>
                <w:rFonts w:hint="eastAsia" w:cs="Times New Roman"/>
                <w:color w:val="auto"/>
                <w:szCs w:val="21"/>
                <w:lang w:val="en-US" w:eastAsia="zh-CN"/>
              </w:rPr>
              <w:t>1187.32</w:t>
            </w:r>
            <w:r>
              <w:rPr>
                <w:rFonts w:ascii="Times New Roman"/>
                <w:bCs/>
                <w:color w:val="auto"/>
                <w:kern w:val="2"/>
                <w:szCs w:val="21"/>
              </w:rPr>
              <w:t>t/a</w:t>
            </w:r>
          </w:p>
        </w:tc>
        <w:tc>
          <w:tcPr>
            <w:tcW w:w="494" w:type="pct"/>
            <w:vAlign w:val="center"/>
          </w:tcPr>
          <w:p w14:paraId="1713DC9E">
            <w:pPr>
              <w:jc w:val="center"/>
              <w:rPr>
                <w:rFonts w:hint="eastAsia"/>
                <w:snapToGrid w:val="0"/>
                <w:color w:val="auto"/>
                <w:kern w:val="21"/>
                <w:szCs w:val="21"/>
              </w:rPr>
            </w:pPr>
            <w:r>
              <w:rPr>
                <w:rFonts w:hint="eastAsia"/>
                <w:color w:val="auto"/>
                <w:szCs w:val="21"/>
                <w:lang w:val="en-US" w:eastAsia="zh-CN"/>
              </w:rPr>
              <w:t>+5.64</w:t>
            </w:r>
            <w:r>
              <w:rPr>
                <w:rFonts w:ascii="Times New Roman"/>
                <w:bCs/>
                <w:color w:val="auto"/>
                <w:kern w:val="2"/>
                <w:szCs w:val="21"/>
              </w:rPr>
              <w:t>t/a</w:t>
            </w:r>
          </w:p>
        </w:tc>
      </w:tr>
      <w:tr w14:paraId="7420AE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4DE201ED">
            <w:pPr>
              <w:pStyle w:val="37"/>
              <w:spacing w:beforeLines="0" w:afterLines="0" w:line="240" w:lineRule="auto"/>
              <w:rPr>
                <w:rFonts w:ascii="Times New Roman"/>
                <w:snapToGrid w:val="0"/>
                <w:color w:val="auto"/>
                <w:kern w:val="21"/>
                <w:szCs w:val="21"/>
              </w:rPr>
            </w:pPr>
          </w:p>
        </w:tc>
        <w:tc>
          <w:tcPr>
            <w:tcW w:w="823" w:type="pct"/>
            <w:shd w:val="clear" w:color="auto" w:fill="auto"/>
            <w:vAlign w:val="center"/>
          </w:tcPr>
          <w:p w14:paraId="469572F4">
            <w:pPr>
              <w:pStyle w:val="24"/>
              <w:widowControl/>
              <w:spacing w:before="0" w:beforeAutospacing="0" w:after="0" w:afterAutospacing="0"/>
              <w:contextualSpacing/>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沉淀池沉渣</w:t>
            </w:r>
          </w:p>
        </w:tc>
        <w:tc>
          <w:tcPr>
            <w:tcW w:w="500" w:type="pct"/>
            <w:shd w:val="clear" w:color="auto" w:fill="auto"/>
            <w:vAlign w:val="center"/>
          </w:tcPr>
          <w:p w14:paraId="2912874F">
            <w:pPr>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olor w:val="auto"/>
              </w:rPr>
              <w:t>12.15</w:t>
            </w:r>
            <w:r>
              <w:rPr>
                <w:rFonts w:ascii="Times New Roman"/>
                <w:bCs/>
                <w:color w:val="auto"/>
                <w:kern w:val="2"/>
                <w:szCs w:val="21"/>
              </w:rPr>
              <w:t>t/a</w:t>
            </w:r>
          </w:p>
        </w:tc>
        <w:tc>
          <w:tcPr>
            <w:tcW w:w="468" w:type="pct"/>
            <w:shd w:val="clear" w:color="auto" w:fill="auto"/>
            <w:vAlign w:val="center"/>
          </w:tcPr>
          <w:p w14:paraId="10B10859">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626" w:type="pct"/>
            <w:shd w:val="clear" w:color="auto" w:fill="auto"/>
            <w:vAlign w:val="center"/>
          </w:tcPr>
          <w:p w14:paraId="059E360D">
            <w:pPr>
              <w:adjustRightInd w:val="0"/>
              <w:snapToGrid w:val="0"/>
              <w:jc w:val="center"/>
              <w:rPr>
                <w:rFonts w:ascii="Times New Roman" w:hAnsi="Times New Roman" w:eastAsia="宋体" w:cs="Times New Roman"/>
                <w:snapToGrid w:val="0"/>
                <w:color w:val="auto"/>
                <w:kern w:val="21"/>
                <w:sz w:val="21"/>
                <w:szCs w:val="21"/>
                <w:lang w:val="en-US" w:eastAsia="zh-CN" w:bidi="ar-SA"/>
              </w:rPr>
            </w:pPr>
            <w:r>
              <w:rPr>
                <w:snapToGrid w:val="0"/>
                <w:color w:val="auto"/>
                <w:kern w:val="21"/>
                <w:szCs w:val="21"/>
              </w:rPr>
              <w:t>/</w:t>
            </w:r>
          </w:p>
        </w:tc>
        <w:tc>
          <w:tcPr>
            <w:tcW w:w="573" w:type="pct"/>
            <w:shd w:val="clear" w:color="auto" w:fill="auto"/>
            <w:vAlign w:val="center"/>
          </w:tcPr>
          <w:p w14:paraId="29C54002">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w:t>
            </w:r>
          </w:p>
        </w:tc>
        <w:tc>
          <w:tcPr>
            <w:tcW w:w="562" w:type="pct"/>
            <w:shd w:val="clear" w:color="auto" w:fill="auto"/>
            <w:vAlign w:val="center"/>
          </w:tcPr>
          <w:p w14:paraId="423475B7">
            <w:pPr>
              <w:pStyle w:val="37"/>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0</w:t>
            </w:r>
          </w:p>
        </w:tc>
        <w:tc>
          <w:tcPr>
            <w:tcW w:w="541" w:type="pct"/>
            <w:vAlign w:val="center"/>
          </w:tcPr>
          <w:p w14:paraId="28172184">
            <w:pPr>
              <w:jc w:val="center"/>
              <w:rPr>
                <w:rFonts w:hint="eastAsia" w:ascii="Times New Roman" w:hAnsi="Times New Roman" w:cs="Times New Roman"/>
                <w:color w:val="auto"/>
                <w:szCs w:val="21"/>
              </w:rPr>
            </w:pPr>
            <w:r>
              <w:rPr>
                <w:rFonts w:ascii="Times New Roman" w:hAnsi="Times New Roman"/>
                <w:color w:val="auto"/>
              </w:rPr>
              <w:t>12.15</w:t>
            </w:r>
            <w:r>
              <w:rPr>
                <w:rFonts w:ascii="Times New Roman"/>
                <w:bCs/>
                <w:color w:val="auto"/>
                <w:kern w:val="2"/>
                <w:szCs w:val="21"/>
              </w:rPr>
              <w:t>t/a</w:t>
            </w:r>
          </w:p>
        </w:tc>
        <w:tc>
          <w:tcPr>
            <w:tcW w:w="494" w:type="pct"/>
            <w:vAlign w:val="center"/>
          </w:tcPr>
          <w:p w14:paraId="64E1E8CA">
            <w:pPr>
              <w:jc w:val="center"/>
              <w:rPr>
                <w:rFonts w:hint="eastAsia"/>
                <w:snapToGrid w:val="0"/>
                <w:color w:val="auto"/>
                <w:kern w:val="21"/>
                <w:szCs w:val="21"/>
              </w:rPr>
            </w:pPr>
            <w:r>
              <w:rPr>
                <w:rFonts w:hint="eastAsia"/>
                <w:color w:val="auto"/>
                <w:szCs w:val="21"/>
                <w:lang w:val="en-US" w:eastAsia="zh-CN"/>
              </w:rPr>
              <w:t>0</w:t>
            </w:r>
          </w:p>
        </w:tc>
      </w:tr>
      <w:tr w14:paraId="4533D7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Align w:val="center"/>
          </w:tcPr>
          <w:p w14:paraId="20683FAF">
            <w:pPr>
              <w:pStyle w:val="37"/>
              <w:spacing w:beforeLines="0" w:afterLines="0" w:line="240" w:lineRule="auto"/>
              <w:rPr>
                <w:rFonts w:ascii="Times New Roman"/>
                <w:snapToGrid w:val="0"/>
                <w:color w:val="auto"/>
                <w:kern w:val="21"/>
                <w:szCs w:val="21"/>
              </w:rPr>
            </w:pPr>
            <w:r>
              <w:rPr>
                <w:rFonts w:ascii="Times New Roman"/>
                <w:snapToGrid w:val="0"/>
                <w:color w:val="auto"/>
                <w:kern w:val="21"/>
                <w:szCs w:val="21"/>
              </w:rPr>
              <w:t>危险废物</w:t>
            </w:r>
          </w:p>
        </w:tc>
        <w:tc>
          <w:tcPr>
            <w:tcW w:w="823" w:type="pct"/>
            <w:vAlign w:val="center"/>
          </w:tcPr>
          <w:p w14:paraId="5DF25A97">
            <w:pPr>
              <w:jc w:val="center"/>
              <w:rPr>
                <w:rFonts w:hint="eastAsia" w:eastAsia="宋体"/>
                <w:color w:val="auto"/>
                <w:szCs w:val="21"/>
                <w:lang w:eastAsia="zh-CN"/>
              </w:rPr>
            </w:pPr>
            <w:r>
              <w:rPr>
                <w:rFonts w:hint="eastAsia"/>
                <w:color w:val="auto"/>
                <w:szCs w:val="21"/>
                <w:lang w:val="en-US" w:eastAsia="zh-CN"/>
              </w:rPr>
              <w:t>废机油</w:t>
            </w:r>
          </w:p>
        </w:tc>
        <w:tc>
          <w:tcPr>
            <w:tcW w:w="500" w:type="pct"/>
            <w:shd w:val="clear" w:color="auto" w:fill="auto"/>
            <w:vAlign w:val="center"/>
          </w:tcPr>
          <w:p w14:paraId="2BF94108">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rPr>
              <w:t>0.2</w:t>
            </w:r>
            <w:r>
              <w:rPr>
                <w:rFonts w:ascii="Times New Roman"/>
                <w:bCs/>
                <w:color w:val="auto"/>
                <w:kern w:val="2"/>
                <w:szCs w:val="21"/>
              </w:rPr>
              <w:t>t/a</w:t>
            </w:r>
          </w:p>
        </w:tc>
        <w:tc>
          <w:tcPr>
            <w:tcW w:w="468" w:type="pct"/>
            <w:vAlign w:val="center"/>
          </w:tcPr>
          <w:p w14:paraId="7EAA4EE5">
            <w:pPr>
              <w:jc w:val="center"/>
              <w:rPr>
                <w:snapToGrid w:val="0"/>
                <w:color w:val="auto"/>
                <w:kern w:val="21"/>
                <w:szCs w:val="21"/>
              </w:rPr>
            </w:pPr>
            <w:r>
              <w:rPr>
                <w:snapToGrid w:val="0"/>
                <w:color w:val="auto"/>
                <w:kern w:val="21"/>
                <w:szCs w:val="21"/>
              </w:rPr>
              <w:t>/</w:t>
            </w:r>
          </w:p>
        </w:tc>
        <w:tc>
          <w:tcPr>
            <w:tcW w:w="626" w:type="pct"/>
            <w:vAlign w:val="center"/>
          </w:tcPr>
          <w:p w14:paraId="4BB216C2">
            <w:pPr>
              <w:jc w:val="center"/>
              <w:rPr>
                <w:snapToGrid w:val="0"/>
                <w:color w:val="auto"/>
                <w:kern w:val="21"/>
                <w:szCs w:val="21"/>
              </w:rPr>
            </w:pPr>
            <w:r>
              <w:rPr>
                <w:snapToGrid w:val="0"/>
                <w:color w:val="auto"/>
                <w:kern w:val="21"/>
                <w:szCs w:val="21"/>
              </w:rPr>
              <w:t>/</w:t>
            </w:r>
          </w:p>
        </w:tc>
        <w:tc>
          <w:tcPr>
            <w:tcW w:w="573" w:type="pct"/>
            <w:shd w:val="clear" w:color="auto" w:fill="auto"/>
            <w:vAlign w:val="center"/>
          </w:tcPr>
          <w:p w14:paraId="6D3C0989">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w:t>
            </w:r>
            <w:r>
              <w:rPr>
                <w:rFonts w:ascii="Times New Roman"/>
                <w:bCs/>
                <w:color w:val="auto"/>
                <w:kern w:val="2"/>
                <w:szCs w:val="21"/>
              </w:rPr>
              <w:t>t/a</w:t>
            </w:r>
          </w:p>
        </w:tc>
        <w:tc>
          <w:tcPr>
            <w:tcW w:w="562" w:type="pct"/>
            <w:shd w:val="clear" w:color="auto" w:fill="auto"/>
            <w:vAlign w:val="center"/>
          </w:tcPr>
          <w:p w14:paraId="0034F15A">
            <w:pPr>
              <w:pStyle w:val="37"/>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0</w:t>
            </w:r>
          </w:p>
        </w:tc>
        <w:tc>
          <w:tcPr>
            <w:tcW w:w="541" w:type="pct"/>
            <w:vAlign w:val="center"/>
          </w:tcPr>
          <w:p w14:paraId="6375ABD3">
            <w:pPr>
              <w:jc w:val="center"/>
              <w:rPr>
                <w:rFonts w:hint="eastAsia" w:ascii="Times New Roman" w:hAnsi="Times New Roman" w:cs="Times New Roman"/>
                <w:color w:val="auto"/>
                <w:szCs w:val="21"/>
              </w:rPr>
            </w:pPr>
            <w:r>
              <w:rPr>
                <w:rFonts w:hint="eastAsia" w:ascii="Times New Roman" w:hAnsi="Times New Roman" w:cs="Times New Roman"/>
                <w:color w:val="auto"/>
                <w:szCs w:val="21"/>
                <w:lang w:val="en-US" w:eastAsia="zh-CN"/>
              </w:rPr>
              <w:t>0.3</w:t>
            </w:r>
            <w:r>
              <w:rPr>
                <w:rFonts w:ascii="Times New Roman"/>
                <w:bCs/>
                <w:color w:val="auto"/>
                <w:kern w:val="2"/>
                <w:szCs w:val="21"/>
              </w:rPr>
              <w:t>t/a</w:t>
            </w:r>
          </w:p>
        </w:tc>
        <w:tc>
          <w:tcPr>
            <w:tcW w:w="494" w:type="pct"/>
            <w:vAlign w:val="center"/>
          </w:tcPr>
          <w:p w14:paraId="174CF23C">
            <w:pPr>
              <w:jc w:val="center"/>
              <w:rPr>
                <w:color w:val="auto"/>
                <w:szCs w:val="21"/>
              </w:rPr>
            </w:pPr>
            <w:r>
              <w:rPr>
                <w:rFonts w:hint="eastAsia"/>
                <w:color w:val="auto"/>
                <w:szCs w:val="21"/>
                <w:lang w:val="en-US" w:eastAsia="zh-CN"/>
              </w:rPr>
              <w:t>+0.1</w:t>
            </w:r>
            <w:r>
              <w:rPr>
                <w:rFonts w:ascii="Times New Roman"/>
                <w:bCs/>
                <w:color w:val="auto"/>
                <w:kern w:val="2"/>
                <w:szCs w:val="21"/>
              </w:rPr>
              <w:t>t/a</w:t>
            </w:r>
          </w:p>
        </w:tc>
      </w:tr>
    </w:tbl>
    <w:p w14:paraId="6731F65F">
      <w:pPr>
        <w:pStyle w:val="37"/>
        <w:spacing w:beforeLines="0" w:afterLines="0"/>
        <w:jc w:val="left"/>
        <w:rPr>
          <w:color w:val="auto"/>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sectPr>
      <w:footerReference r:id="rId6"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29178">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F3483">
    <w:pPr>
      <w:pStyle w:val="16"/>
      <w:framePr w:wrap="around" w:vAnchor="text" w:hAnchor="margin" w:xAlign="center" w:y="1"/>
      <w:rPr>
        <w:rStyle w:val="31"/>
      </w:rPr>
    </w:pPr>
    <w:r>
      <w:fldChar w:fldCharType="begin"/>
    </w:r>
    <w:r>
      <w:rPr>
        <w:rStyle w:val="31"/>
      </w:rPr>
      <w:instrText xml:space="preserve">PAGE  </w:instrText>
    </w:r>
    <w:r>
      <w:fldChar w:fldCharType="end"/>
    </w:r>
  </w:p>
  <w:p w14:paraId="5E583C64">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315">
    <w:pPr>
      <w:pStyle w:val="16"/>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28DF07">
                          <w:pPr>
                            <w:pStyle w:val="16"/>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44</w:t>
                          </w:r>
                          <w:r>
                            <w:rPr>
                              <w:sz w:val="24"/>
                              <w:szCs w:val="24"/>
                            </w:rPr>
                            <w:fldChar w:fldCharType="end"/>
                          </w:r>
                          <w:r>
                            <w:rPr>
                              <w:sz w:val="24"/>
                              <w:szCs w:val="24"/>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mt+atYBAACyAwAADgAAAAAAAAABACAAAAAe&#10;AQAAZHJzL2Uyb0RvYy54bWxQSwUGAAAAAAYABgBZAQAAZgUAAAAA&#10;">
              <v:fill on="f" focussize="0,0"/>
              <v:stroke on="f"/>
              <v:imagedata o:title=""/>
              <o:lock v:ext="edit" aspectratio="f"/>
              <v:textbox inset="0mm,0mm,0mm,0mm" style="mso-fit-shape-to-text:t;">
                <w:txbxContent>
                  <w:p w14:paraId="3C28DF07">
                    <w:pPr>
                      <w:pStyle w:val="16"/>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44</w:t>
                    </w:r>
                    <w:r>
                      <w:rPr>
                        <w:sz w:val="24"/>
                        <w:szCs w:val="24"/>
                      </w:rPr>
                      <w:fldChar w:fldCharType="end"/>
                    </w:r>
                    <w:r>
                      <w:rPr>
                        <w:sz w:val="24"/>
                        <w:szCs w:val="24"/>
                      </w:rPr>
                      <w:t xml:space="preserve"> —</w:t>
                    </w:r>
                  </w:p>
                </w:txbxContent>
              </v:textbox>
            </v:shape>
          </w:pict>
        </mc:Fallback>
      </mc:AlternateConten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852D">
    <w:pPr>
      <w:pStyle w:val="16"/>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567418">
                          <w:pPr>
                            <w:pStyle w:val="16"/>
                          </w:pPr>
                          <w:r>
                            <w:t xml:space="preserve">— </w:t>
                          </w:r>
                          <w:r>
                            <w:fldChar w:fldCharType="begin"/>
                          </w:r>
                          <w:r>
                            <w:instrText xml:space="preserve"> PAGE  \* MERGEFORMAT </w:instrText>
                          </w:r>
                          <w:r>
                            <w:fldChar w:fldCharType="separate"/>
                          </w:r>
                          <w:r>
                            <w:t>72</w:t>
                          </w:r>
                          <w:r>
                            <w:fldChar w:fldCharType="end"/>
                          </w:r>
                          <w: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U4fMbXAQAAsgMAAA4AAAAAAAAAAQAgAAAA&#10;HgEAAGRycy9lMm9Eb2MueG1sUEsFBgAAAAAGAAYAWQEAAGcFAAAAAA==&#10;">
              <v:fill on="f" focussize="0,0"/>
              <v:stroke on="f"/>
              <v:imagedata o:title=""/>
              <o:lock v:ext="edit" aspectratio="f"/>
              <v:textbox inset="0mm,0mm,0mm,0mm" style="mso-fit-shape-to-text:t;">
                <w:txbxContent>
                  <w:p w14:paraId="3E567418">
                    <w:pPr>
                      <w:pStyle w:val="16"/>
                    </w:pPr>
                    <w:r>
                      <w:t xml:space="preserve">— </w:t>
                    </w:r>
                    <w:r>
                      <w:fldChar w:fldCharType="begin"/>
                    </w:r>
                    <w:r>
                      <w:instrText xml:space="preserve"> PAGE  \* MERGEFORMAT </w:instrText>
                    </w:r>
                    <w:r>
                      <w:fldChar w:fldCharType="separate"/>
                    </w:r>
                    <w:r>
                      <w:t>72</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9ED123"/>
    <w:multiLevelType w:val="singleLevel"/>
    <w:tmpl w:val="AB9ED123"/>
    <w:lvl w:ilvl="0" w:tentative="0">
      <w:start w:val="1"/>
      <w:numFmt w:val="bullet"/>
      <w:pStyle w:val="11"/>
      <w:lvlText w:val=""/>
      <w:lvlJc w:val="left"/>
      <w:pPr>
        <w:tabs>
          <w:tab w:val="left" w:pos="2040"/>
        </w:tabs>
        <w:ind w:left="2040" w:hanging="360"/>
      </w:pPr>
      <w:rPr>
        <w:rFonts w:hint="default" w:ascii="Wingdings" w:hAnsi="Wingdings"/>
      </w:rPr>
    </w:lvl>
  </w:abstractNum>
  <w:abstractNum w:abstractNumId="1">
    <w:nsid w:val="AFEF6D18"/>
    <w:multiLevelType w:val="singleLevel"/>
    <w:tmpl w:val="AFEF6D18"/>
    <w:lvl w:ilvl="0" w:tentative="0">
      <w:start w:val="1"/>
      <w:numFmt w:val="decimal"/>
      <w:suff w:val="nothing"/>
      <w:lvlText w:val="（%1）"/>
      <w:lvlJc w:val="left"/>
    </w:lvl>
  </w:abstractNum>
  <w:abstractNum w:abstractNumId="2">
    <w:nsid w:val="B142385A"/>
    <w:multiLevelType w:val="singleLevel"/>
    <w:tmpl w:val="B142385A"/>
    <w:lvl w:ilvl="0" w:tentative="0">
      <w:start w:val="1"/>
      <w:numFmt w:val="decimal"/>
      <w:lvlText w:val="%1."/>
      <w:lvlJc w:val="left"/>
      <w:pPr>
        <w:tabs>
          <w:tab w:val="left" w:pos="312"/>
        </w:tabs>
      </w:pPr>
    </w:lvl>
  </w:abstractNum>
  <w:abstractNum w:abstractNumId="3">
    <w:nsid w:val="C8375224"/>
    <w:multiLevelType w:val="singleLevel"/>
    <w:tmpl w:val="C8375224"/>
    <w:lvl w:ilvl="0" w:tentative="0">
      <w:start w:val="2"/>
      <w:numFmt w:val="decimal"/>
      <w:suff w:val="nothing"/>
      <w:lvlText w:val="（%1）"/>
      <w:lvlJc w:val="left"/>
    </w:lvl>
  </w:abstractNum>
  <w:abstractNum w:abstractNumId="4">
    <w:nsid w:val="FBA5D9D7"/>
    <w:multiLevelType w:val="singleLevel"/>
    <w:tmpl w:val="FBA5D9D7"/>
    <w:lvl w:ilvl="0" w:tentative="0">
      <w:start w:val="1"/>
      <w:numFmt w:val="chineseCounting"/>
      <w:suff w:val="nothing"/>
      <w:lvlText w:val="%1、"/>
      <w:lvlJc w:val="left"/>
      <w:rPr>
        <w:rFonts w:hint="eastAsia"/>
      </w:rPr>
    </w:lvl>
  </w:abstractNum>
  <w:abstractNum w:abstractNumId="5">
    <w:nsid w:val="040B72BB"/>
    <w:multiLevelType w:val="singleLevel"/>
    <w:tmpl w:val="040B72BB"/>
    <w:lvl w:ilvl="0" w:tentative="0">
      <w:start w:val="1"/>
      <w:numFmt w:val="decimal"/>
      <w:lvlText w:val="%1."/>
      <w:lvlJc w:val="left"/>
      <w:pPr>
        <w:tabs>
          <w:tab w:val="left" w:pos="312"/>
        </w:tabs>
      </w:pPr>
    </w:lvl>
  </w:abstractNum>
  <w:abstractNum w:abstractNumId="6">
    <w:nsid w:val="0BF6E37C"/>
    <w:multiLevelType w:val="singleLevel"/>
    <w:tmpl w:val="0BF6E37C"/>
    <w:lvl w:ilvl="0" w:tentative="0">
      <w:start w:val="1"/>
      <w:numFmt w:val="decimal"/>
      <w:suff w:val="space"/>
      <w:lvlText w:val="%1."/>
      <w:lvlJc w:val="left"/>
    </w:lvl>
  </w:abstractNum>
  <w:abstractNum w:abstractNumId="7">
    <w:nsid w:val="1D3DF431"/>
    <w:multiLevelType w:val="singleLevel"/>
    <w:tmpl w:val="1D3DF431"/>
    <w:lvl w:ilvl="0" w:tentative="0">
      <w:start w:val="1"/>
      <w:numFmt w:val="decimal"/>
      <w:lvlText w:val="%1."/>
      <w:lvlJc w:val="left"/>
      <w:pPr>
        <w:tabs>
          <w:tab w:val="left" w:pos="312"/>
        </w:tabs>
      </w:pPr>
    </w:lvl>
  </w:abstractNum>
  <w:abstractNum w:abstractNumId="8">
    <w:nsid w:val="3CBC3ECE"/>
    <w:multiLevelType w:val="singleLevel"/>
    <w:tmpl w:val="3CBC3ECE"/>
    <w:lvl w:ilvl="0" w:tentative="0">
      <w:start w:val="1"/>
      <w:numFmt w:val="decimal"/>
      <w:suff w:val="nothing"/>
      <w:lvlText w:val="%1、"/>
      <w:lvlJc w:val="left"/>
    </w:lvl>
  </w:abstractNum>
  <w:num w:numId="1">
    <w:abstractNumId w:val="0"/>
  </w:num>
  <w:num w:numId="2">
    <w:abstractNumId w:val="6"/>
  </w:num>
  <w:num w:numId="3">
    <w:abstractNumId w:val="2"/>
  </w:num>
  <w:num w:numId="4">
    <w:abstractNumId w:val="7"/>
  </w:num>
  <w:num w:numId="5">
    <w:abstractNumId w:val="5"/>
  </w:num>
  <w:num w:numId="6">
    <w:abstractNumId w:val="4"/>
  </w:num>
  <w:num w:numId="7">
    <w:abstractNumId w:val="1"/>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jc1M2JiNjBjMjdhMzI3N2MwY2IzYWM4NDBiMGIifQ=="/>
  </w:docVars>
  <w:rsids>
    <w:rsidRoot w:val="00172A27"/>
    <w:rsid w:val="000060B3"/>
    <w:rsid w:val="0002117A"/>
    <w:rsid w:val="0004364B"/>
    <w:rsid w:val="0004388A"/>
    <w:rsid w:val="00044EF2"/>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208B3"/>
    <w:rsid w:val="00131F42"/>
    <w:rsid w:val="0013399F"/>
    <w:rsid w:val="001357F1"/>
    <w:rsid w:val="00136AE5"/>
    <w:rsid w:val="00140FA8"/>
    <w:rsid w:val="00142FEB"/>
    <w:rsid w:val="00143A2D"/>
    <w:rsid w:val="00145A41"/>
    <w:rsid w:val="00151675"/>
    <w:rsid w:val="00154BCF"/>
    <w:rsid w:val="00157435"/>
    <w:rsid w:val="00172A27"/>
    <w:rsid w:val="0017504D"/>
    <w:rsid w:val="0017671A"/>
    <w:rsid w:val="00177422"/>
    <w:rsid w:val="00177A21"/>
    <w:rsid w:val="00184590"/>
    <w:rsid w:val="001870D1"/>
    <w:rsid w:val="0018781E"/>
    <w:rsid w:val="0019262D"/>
    <w:rsid w:val="001A1B35"/>
    <w:rsid w:val="001A2968"/>
    <w:rsid w:val="001A48A2"/>
    <w:rsid w:val="001A6F61"/>
    <w:rsid w:val="001B72B8"/>
    <w:rsid w:val="001C69B3"/>
    <w:rsid w:val="001D5595"/>
    <w:rsid w:val="001D7874"/>
    <w:rsid w:val="001D7F22"/>
    <w:rsid w:val="001E2D8E"/>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2E4555"/>
    <w:rsid w:val="002E604C"/>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14FA"/>
    <w:rsid w:val="00381A72"/>
    <w:rsid w:val="00384676"/>
    <w:rsid w:val="00390857"/>
    <w:rsid w:val="003A4BF3"/>
    <w:rsid w:val="003B420D"/>
    <w:rsid w:val="003C53FE"/>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0700"/>
    <w:rsid w:val="00431E6C"/>
    <w:rsid w:val="004328EF"/>
    <w:rsid w:val="0043302A"/>
    <w:rsid w:val="00433CE7"/>
    <w:rsid w:val="00452738"/>
    <w:rsid w:val="00456091"/>
    <w:rsid w:val="00466321"/>
    <w:rsid w:val="00484B9B"/>
    <w:rsid w:val="004855F6"/>
    <w:rsid w:val="0048661E"/>
    <w:rsid w:val="00494670"/>
    <w:rsid w:val="004A3823"/>
    <w:rsid w:val="004C064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E19"/>
    <w:rsid w:val="005D36AB"/>
    <w:rsid w:val="00617CC3"/>
    <w:rsid w:val="006377A6"/>
    <w:rsid w:val="00637A3D"/>
    <w:rsid w:val="006411EF"/>
    <w:rsid w:val="006748B8"/>
    <w:rsid w:val="00675481"/>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6F48D7"/>
    <w:rsid w:val="00706C5D"/>
    <w:rsid w:val="007305B2"/>
    <w:rsid w:val="00732922"/>
    <w:rsid w:val="00733326"/>
    <w:rsid w:val="0075162E"/>
    <w:rsid w:val="00754034"/>
    <w:rsid w:val="00756556"/>
    <w:rsid w:val="007618C4"/>
    <w:rsid w:val="00765D05"/>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5A81"/>
    <w:rsid w:val="009E227D"/>
    <w:rsid w:val="009E5019"/>
    <w:rsid w:val="009F28DA"/>
    <w:rsid w:val="00A04F1B"/>
    <w:rsid w:val="00A0501B"/>
    <w:rsid w:val="00A145E0"/>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AF7D78"/>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6DBF"/>
    <w:rsid w:val="00BF1C20"/>
    <w:rsid w:val="00C10578"/>
    <w:rsid w:val="00C135BC"/>
    <w:rsid w:val="00C15C95"/>
    <w:rsid w:val="00C15DAA"/>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B3FCB"/>
    <w:rsid w:val="00CC06E9"/>
    <w:rsid w:val="00CC489B"/>
    <w:rsid w:val="00CD2BCD"/>
    <w:rsid w:val="00CD3A4C"/>
    <w:rsid w:val="00CE10E9"/>
    <w:rsid w:val="00CE2910"/>
    <w:rsid w:val="00CE5393"/>
    <w:rsid w:val="00CF36BE"/>
    <w:rsid w:val="00CF6000"/>
    <w:rsid w:val="00D003F3"/>
    <w:rsid w:val="00D0364F"/>
    <w:rsid w:val="00D06834"/>
    <w:rsid w:val="00D207F7"/>
    <w:rsid w:val="00D308ED"/>
    <w:rsid w:val="00D36D86"/>
    <w:rsid w:val="00D428AA"/>
    <w:rsid w:val="00D50A34"/>
    <w:rsid w:val="00D53EFA"/>
    <w:rsid w:val="00D61B88"/>
    <w:rsid w:val="00D910C3"/>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234"/>
    <w:rsid w:val="00E16FE2"/>
    <w:rsid w:val="00E2656A"/>
    <w:rsid w:val="00E412D0"/>
    <w:rsid w:val="00E45164"/>
    <w:rsid w:val="00E56322"/>
    <w:rsid w:val="00E60982"/>
    <w:rsid w:val="00E62C62"/>
    <w:rsid w:val="00E654C1"/>
    <w:rsid w:val="00E65D97"/>
    <w:rsid w:val="00E72A5A"/>
    <w:rsid w:val="00E73354"/>
    <w:rsid w:val="00E91CC7"/>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64C9A"/>
    <w:rsid w:val="010E16A7"/>
    <w:rsid w:val="01113D6B"/>
    <w:rsid w:val="011E1FE4"/>
    <w:rsid w:val="01290F7E"/>
    <w:rsid w:val="01415CD2"/>
    <w:rsid w:val="01430E25"/>
    <w:rsid w:val="01473770"/>
    <w:rsid w:val="01525C6B"/>
    <w:rsid w:val="015937D7"/>
    <w:rsid w:val="015D1E09"/>
    <w:rsid w:val="018A1427"/>
    <w:rsid w:val="019B1AE2"/>
    <w:rsid w:val="01B34E22"/>
    <w:rsid w:val="01BF53CD"/>
    <w:rsid w:val="01C20BC1"/>
    <w:rsid w:val="01C2314D"/>
    <w:rsid w:val="01E55EBE"/>
    <w:rsid w:val="01F1594A"/>
    <w:rsid w:val="020E02AA"/>
    <w:rsid w:val="021470A3"/>
    <w:rsid w:val="021F2822"/>
    <w:rsid w:val="0224362A"/>
    <w:rsid w:val="02280891"/>
    <w:rsid w:val="023C5C3C"/>
    <w:rsid w:val="023F0464"/>
    <w:rsid w:val="02565B96"/>
    <w:rsid w:val="025E1D27"/>
    <w:rsid w:val="02606FB7"/>
    <w:rsid w:val="02697903"/>
    <w:rsid w:val="02843A2D"/>
    <w:rsid w:val="02873BB9"/>
    <w:rsid w:val="02BC1FAC"/>
    <w:rsid w:val="02CE77DD"/>
    <w:rsid w:val="02DB6532"/>
    <w:rsid w:val="02E1776D"/>
    <w:rsid w:val="02F96569"/>
    <w:rsid w:val="02FB4EAF"/>
    <w:rsid w:val="02FF0983"/>
    <w:rsid w:val="03191A60"/>
    <w:rsid w:val="033D14FE"/>
    <w:rsid w:val="03422811"/>
    <w:rsid w:val="034F0B7A"/>
    <w:rsid w:val="035D3297"/>
    <w:rsid w:val="036D4334"/>
    <w:rsid w:val="037F3816"/>
    <w:rsid w:val="03950B15"/>
    <w:rsid w:val="03AD7684"/>
    <w:rsid w:val="03B8546A"/>
    <w:rsid w:val="03D3089B"/>
    <w:rsid w:val="03E272F9"/>
    <w:rsid w:val="03EA7B21"/>
    <w:rsid w:val="03F139E0"/>
    <w:rsid w:val="04041965"/>
    <w:rsid w:val="04071455"/>
    <w:rsid w:val="041B4E07"/>
    <w:rsid w:val="041F6588"/>
    <w:rsid w:val="04754611"/>
    <w:rsid w:val="04763EE5"/>
    <w:rsid w:val="049E4A3D"/>
    <w:rsid w:val="04C9495C"/>
    <w:rsid w:val="04D77189"/>
    <w:rsid w:val="04E26763"/>
    <w:rsid w:val="05283431"/>
    <w:rsid w:val="055F4D6E"/>
    <w:rsid w:val="05627D51"/>
    <w:rsid w:val="056439D2"/>
    <w:rsid w:val="056C683D"/>
    <w:rsid w:val="059C797B"/>
    <w:rsid w:val="05AA323A"/>
    <w:rsid w:val="05D07D2F"/>
    <w:rsid w:val="05D90BCF"/>
    <w:rsid w:val="05E36A34"/>
    <w:rsid w:val="05F83EAE"/>
    <w:rsid w:val="062C700B"/>
    <w:rsid w:val="063A3C2B"/>
    <w:rsid w:val="063E7D85"/>
    <w:rsid w:val="0650001B"/>
    <w:rsid w:val="06654211"/>
    <w:rsid w:val="067A4EE3"/>
    <w:rsid w:val="068E6BE0"/>
    <w:rsid w:val="06D50788"/>
    <w:rsid w:val="07027CB2"/>
    <w:rsid w:val="070752C8"/>
    <w:rsid w:val="07293586"/>
    <w:rsid w:val="07295285"/>
    <w:rsid w:val="074E116B"/>
    <w:rsid w:val="074E723E"/>
    <w:rsid w:val="07636392"/>
    <w:rsid w:val="07770C56"/>
    <w:rsid w:val="078E45D7"/>
    <w:rsid w:val="07D008F2"/>
    <w:rsid w:val="07DE24CD"/>
    <w:rsid w:val="07E61381"/>
    <w:rsid w:val="07E8334B"/>
    <w:rsid w:val="08205BD3"/>
    <w:rsid w:val="084538E8"/>
    <w:rsid w:val="086724C2"/>
    <w:rsid w:val="08686958"/>
    <w:rsid w:val="086D77A9"/>
    <w:rsid w:val="08743303"/>
    <w:rsid w:val="088F318D"/>
    <w:rsid w:val="08931509"/>
    <w:rsid w:val="08990AE0"/>
    <w:rsid w:val="089B6610"/>
    <w:rsid w:val="08A2671D"/>
    <w:rsid w:val="08AC3608"/>
    <w:rsid w:val="08B963B3"/>
    <w:rsid w:val="09097FD2"/>
    <w:rsid w:val="092217DD"/>
    <w:rsid w:val="0923288D"/>
    <w:rsid w:val="09304C99"/>
    <w:rsid w:val="093A7294"/>
    <w:rsid w:val="095073FA"/>
    <w:rsid w:val="097A6225"/>
    <w:rsid w:val="09970B1D"/>
    <w:rsid w:val="09A06CC1"/>
    <w:rsid w:val="09A91DF6"/>
    <w:rsid w:val="09B41187"/>
    <w:rsid w:val="09B864FF"/>
    <w:rsid w:val="09D516AE"/>
    <w:rsid w:val="09E32DF6"/>
    <w:rsid w:val="09ED4C49"/>
    <w:rsid w:val="09F31ED9"/>
    <w:rsid w:val="09F76F1D"/>
    <w:rsid w:val="0A1269AB"/>
    <w:rsid w:val="0A1D5F98"/>
    <w:rsid w:val="0A1F7DCE"/>
    <w:rsid w:val="0A263993"/>
    <w:rsid w:val="0A2D3AC2"/>
    <w:rsid w:val="0A5B7E05"/>
    <w:rsid w:val="0A5D5C5F"/>
    <w:rsid w:val="0A730BBA"/>
    <w:rsid w:val="0A8F3F52"/>
    <w:rsid w:val="0A9D666F"/>
    <w:rsid w:val="0AA755DF"/>
    <w:rsid w:val="0AAF1754"/>
    <w:rsid w:val="0AB85257"/>
    <w:rsid w:val="0ACE737D"/>
    <w:rsid w:val="0ADE623C"/>
    <w:rsid w:val="0AEA1280"/>
    <w:rsid w:val="0AEC0016"/>
    <w:rsid w:val="0AEE5964"/>
    <w:rsid w:val="0B064214"/>
    <w:rsid w:val="0B0B182B"/>
    <w:rsid w:val="0B114967"/>
    <w:rsid w:val="0B120D44"/>
    <w:rsid w:val="0B2930AC"/>
    <w:rsid w:val="0B41524D"/>
    <w:rsid w:val="0B4824BC"/>
    <w:rsid w:val="0B5E6057"/>
    <w:rsid w:val="0B725406"/>
    <w:rsid w:val="0B7D2C3D"/>
    <w:rsid w:val="0BAE0408"/>
    <w:rsid w:val="0BD27BF6"/>
    <w:rsid w:val="0BFA364D"/>
    <w:rsid w:val="0C152A04"/>
    <w:rsid w:val="0C1C6402"/>
    <w:rsid w:val="0C1E4963"/>
    <w:rsid w:val="0C3B3C7D"/>
    <w:rsid w:val="0C5372E8"/>
    <w:rsid w:val="0C670CE3"/>
    <w:rsid w:val="0C6D0C00"/>
    <w:rsid w:val="0C6F7B97"/>
    <w:rsid w:val="0C95391E"/>
    <w:rsid w:val="0C9910B8"/>
    <w:rsid w:val="0CAB2EAE"/>
    <w:rsid w:val="0CAD05B9"/>
    <w:rsid w:val="0CB07E2C"/>
    <w:rsid w:val="0CB47CA0"/>
    <w:rsid w:val="0CC872A8"/>
    <w:rsid w:val="0CCC26A6"/>
    <w:rsid w:val="0CCD48BE"/>
    <w:rsid w:val="0CDB6D0A"/>
    <w:rsid w:val="0CEF4822"/>
    <w:rsid w:val="0CF62067"/>
    <w:rsid w:val="0D1150F2"/>
    <w:rsid w:val="0D2A3ABE"/>
    <w:rsid w:val="0D3E799F"/>
    <w:rsid w:val="0D4728C2"/>
    <w:rsid w:val="0D5B5405"/>
    <w:rsid w:val="0D5D3E94"/>
    <w:rsid w:val="0D621C7D"/>
    <w:rsid w:val="0D8B2461"/>
    <w:rsid w:val="0D90229C"/>
    <w:rsid w:val="0D951880"/>
    <w:rsid w:val="0DAE649D"/>
    <w:rsid w:val="0DB13287"/>
    <w:rsid w:val="0DC12675"/>
    <w:rsid w:val="0DE22CAF"/>
    <w:rsid w:val="0E211365"/>
    <w:rsid w:val="0E297BB1"/>
    <w:rsid w:val="0E2D3DBE"/>
    <w:rsid w:val="0E3E5A73"/>
    <w:rsid w:val="0E4E740F"/>
    <w:rsid w:val="0E5E4047"/>
    <w:rsid w:val="0E73034D"/>
    <w:rsid w:val="0E7F174D"/>
    <w:rsid w:val="0E9475C7"/>
    <w:rsid w:val="0E9C09EC"/>
    <w:rsid w:val="0E9E0CA2"/>
    <w:rsid w:val="0EC75A69"/>
    <w:rsid w:val="0ECB69C5"/>
    <w:rsid w:val="0ED0142C"/>
    <w:rsid w:val="0EDA4D25"/>
    <w:rsid w:val="0F000E93"/>
    <w:rsid w:val="0F130A0E"/>
    <w:rsid w:val="0F135A35"/>
    <w:rsid w:val="0F13775A"/>
    <w:rsid w:val="0F3A124A"/>
    <w:rsid w:val="0F403A6D"/>
    <w:rsid w:val="0F52686D"/>
    <w:rsid w:val="0F5B2655"/>
    <w:rsid w:val="0F5F45FE"/>
    <w:rsid w:val="0F601A19"/>
    <w:rsid w:val="0F6132F6"/>
    <w:rsid w:val="0F7F00F1"/>
    <w:rsid w:val="0F8A3D0E"/>
    <w:rsid w:val="0F9A112B"/>
    <w:rsid w:val="0FA80874"/>
    <w:rsid w:val="0FBB36E8"/>
    <w:rsid w:val="0FD06B9F"/>
    <w:rsid w:val="0FDC03BC"/>
    <w:rsid w:val="0FDC2728"/>
    <w:rsid w:val="0FDD2E69"/>
    <w:rsid w:val="10173730"/>
    <w:rsid w:val="10195CA5"/>
    <w:rsid w:val="10523173"/>
    <w:rsid w:val="1055699B"/>
    <w:rsid w:val="106D2F64"/>
    <w:rsid w:val="107233E8"/>
    <w:rsid w:val="109755DC"/>
    <w:rsid w:val="109C0CFF"/>
    <w:rsid w:val="10A6156E"/>
    <w:rsid w:val="10B63710"/>
    <w:rsid w:val="10B67795"/>
    <w:rsid w:val="10BE060A"/>
    <w:rsid w:val="10E00D64"/>
    <w:rsid w:val="10F10820"/>
    <w:rsid w:val="10FA5065"/>
    <w:rsid w:val="110A3DFB"/>
    <w:rsid w:val="111C1CF8"/>
    <w:rsid w:val="111C2F7A"/>
    <w:rsid w:val="11270A41"/>
    <w:rsid w:val="114977A3"/>
    <w:rsid w:val="11665CA1"/>
    <w:rsid w:val="1170063A"/>
    <w:rsid w:val="119D29D4"/>
    <w:rsid w:val="11B147AE"/>
    <w:rsid w:val="11C75D80"/>
    <w:rsid w:val="11DB1509"/>
    <w:rsid w:val="11E93EB4"/>
    <w:rsid w:val="12062D4C"/>
    <w:rsid w:val="12154D3D"/>
    <w:rsid w:val="1218738A"/>
    <w:rsid w:val="123560E6"/>
    <w:rsid w:val="12437AFC"/>
    <w:rsid w:val="12493617"/>
    <w:rsid w:val="125A5CE7"/>
    <w:rsid w:val="129E7204"/>
    <w:rsid w:val="12B32FBE"/>
    <w:rsid w:val="12E110C3"/>
    <w:rsid w:val="1307640C"/>
    <w:rsid w:val="13097E33"/>
    <w:rsid w:val="130F5C30"/>
    <w:rsid w:val="13122F09"/>
    <w:rsid w:val="13143247"/>
    <w:rsid w:val="1367781A"/>
    <w:rsid w:val="13812877"/>
    <w:rsid w:val="13916645"/>
    <w:rsid w:val="13931596"/>
    <w:rsid w:val="13951726"/>
    <w:rsid w:val="13AC347F"/>
    <w:rsid w:val="13E7095B"/>
    <w:rsid w:val="13EA2254"/>
    <w:rsid w:val="13F120CF"/>
    <w:rsid w:val="13FF33B7"/>
    <w:rsid w:val="14294C53"/>
    <w:rsid w:val="142C4440"/>
    <w:rsid w:val="14382ADC"/>
    <w:rsid w:val="14396509"/>
    <w:rsid w:val="143F42F3"/>
    <w:rsid w:val="149044A4"/>
    <w:rsid w:val="149311DD"/>
    <w:rsid w:val="14A14FAE"/>
    <w:rsid w:val="14A97E9E"/>
    <w:rsid w:val="14CB0766"/>
    <w:rsid w:val="14D709D0"/>
    <w:rsid w:val="14DD2C3C"/>
    <w:rsid w:val="14ED452F"/>
    <w:rsid w:val="150422D9"/>
    <w:rsid w:val="15087B4C"/>
    <w:rsid w:val="151614F8"/>
    <w:rsid w:val="153100E0"/>
    <w:rsid w:val="154A2F50"/>
    <w:rsid w:val="155618F4"/>
    <w:rsid w:val="15666686"/>
    <w:rsid w:val="158619E3"/>
    <w:rsid w:val="159A5C6B"/>
    <w:rsid w:val="15A84CC8"/>
    <w:rsid w:val="15A97D82"/>
    <w:rsid w:val="15AA1C40"/>
    <w:rsid w:val="15BD1BCA"/>
    <w:rsid w:val="15FA0C1E"/>
    <w:rsid w:val="16087E1D"/>
    <w:rsid w:val="162030D5"/>
    <w:rsid w:val="16401B89"/>
    <w:rsid w:val="164976AB"/>
    <w:rsid w:val="16775FC6"/>
    <w:rsid w:val="16884460"/>
    <w:rsid w:val="16A44B2E"/>
    <w:rsid w:val="16CB1E6E"/>
    <w:rsid w:val="16D323CF"/>
    <w:rsid w:val="16DF3B6C"/>
    <w:rsid w:val="17017F86"/>
    <w:rsid w:val="171A77D1"/>
    <w:rsid w:val="172D20E4"/>
    <w:rsid w:val="17395CA1"/>
    <w:rsid w:val="17675381"/>
    <w:rsid w:val="176946F7"/>
    <w:rsid w:val="17701D14"/>
    <w:rsid w:val="17735226"/>
    <w:rsid w:val="17A70B2D"/>
    <w:rsid w:val="17D022BB"/>
    <w:rsid w:val="17E86A50"/>
    <w:rsid w:val="17EC02EE"/>
    <w:rsid w:val="17FC3FB9"/>
    <w:rsid w:val="17FD3A51"/>
    <w:rsid w:val="180A2E6A"/>
    <w:rsid w:val="181A2116"/>
    <w:rsid w:val="181D20C5"/>
    <w:rsid w:val="18334FF9"/>
    <w:rsid w:val="183771C0"/>
    <w:rsid w:val="18610CDC"/>
    <w:rsid w:val="18724E0B"/>
    <w:rsid w:val="18860743"/>
    <w:rsid w:val="18884B74"/>
    <w:rsid w:val="189F624C"/>
    <w:rsid w:val="18AD5046"/>
    <w:rsid w:val="18E94E6B"/>
    <w:rsid w:val="18EE5FC2"/>
    <w:rsid w:val="18F54CC8"/>
    <w:rsid w:val="1912263B"/>
    <w:rsid w:val="19222D40"/>
    <w:rsid w:val="192F2A82"/>
    <w:rsid w:val="1943320A"/>
    <w:rsid w:val="1963014B"/>
    <w:rsid w:val="19923117"/>
    <w:rsid w:val="19953677"/>
    <w:rsid w:val="1996351B"/>
    <w:rsid w:val="19BB0E06"/>
    <w:rsid w:val="19BD2614"/>
    <w:rsid w:val="19BF6413"/>
    <w:rsid w:val="19C72DC1"/>
    <w:rsid w:val="19EE47F1"/>
    <w:rsid w:val="19FF247C"/>
    <w:rsid w:val="1A023DF9"/>
    <w:rsid w:val="1A1B7FF8"/>
    <w:rsid w:val="1A1C66C0"/>
    <w:rsid w:val="1A274E8C"/>
    <w:rsid w:val="1A3908A8"/>
    <w:rsid w:val="1A4047B3"/>
    <w:rsid w:val="1A42393B"/>
    <w:rsid w:val="1A472952"/>
    <w:rsid w:val="1A4F55F9"/>
    <w:rsid w:val="1A6B20EE"/>
    <w:rsid w:val="1A6F3681"/>
    <w:rsid w:val="1A732F49"/>
    <w:rsid w:val="1A7867B1"/>
    <w:rsid w:val="1A872550"/>
    <w:rsid w:val="1A924173"/>
    <w:rsid w:val="1A9F5AEC"/>
    <w:rsid w:val="1AAD45DE"/>
    <w:rsid w:val="1AAF2000"/>
    <w:rsid w:val="1AB4703D"/>
    <w:rsid w:val="1AE3334B"/>
    <w:rsid w:val="1B0146D0"/>
    <w:rsid w:val="1B046F80"/>
    <w:rsid w:val="1B3059FE"/>
    <w:rsid w:val="1B3267B5"/>
    <w:rsid w:val="1B3C729B"/>
    <w:rsid w:val="1B40161D"/>
    <w:rsid w:val="1B410951"/>
    <w:rsid w:val="1B4205C7"/>
    <w:rsid w:val="1B441859"/>
    <w:rsid w:val="1B4C2CD0"/>
    <w:rsid w:val="1B5B57CB"/>
    <w:rsid w:val="1B6606B1"/>
    <w:rsid w:val="1B76726A"/>
    <w:rsid w:val="1B787A2E"/>
    <w:rsid w:val="1B8912BC"/>
    <w:rsid w:val="1B9401F3"/>
    <w:rsid w:val="1B993993"/>
    <w:rsid w:val="1B9E2247"/>
    <w:rsid w:val="1BA47D8A"/>
    <w:rsid w:val="1BCB45CC"/>
    <w:rsid w:val="1BD21EF1"/>
    <w:rsid w:val="1BD2365C"/>
    <w:rsid w:val="1BF956CF"/>
    <w:rsid w:val="1C1461AC"/>
    <w:rsid w:val="1C1D60A7"/>
    <w:rsid w:val="1C250273"/>
    <w:rsid w:val="1C27223D"/>
    <w:rsid w:val="1C281B11"/>
    <w:rsid w:val="1C4A7CD9"/>
    <w:rsid w:val="1C5E7925"/>
    <w:rsid w:val="1C746B04"/>
    <w:rsid w:val="1C7879D5"/>
    <w:rsid w:val="1C8D76F3"/>
    <w:rsid w:val="1C8E5869"/>
    <w:rsid w:val="1CA53641"/>
    <w:rsid w:val="1CA97F07"/>
    <w:rsid w:val="1CB74E16"/>
    <w:rsid w:val="1CBC4E85"/>
    <w:rsid w:val="1CC636AD"/>
    <w:rsid w:val="1CC708DC"/>
    <w:rsid w:val="1CCD29FA"/>
    <w:rsid w:val="1CCE0005"/>
    <w:rsid w:val="1CE9533F"/>
    <w:rsid w:val="1CFD070F"/>
    <w:rsid w:val="1D061502"/>
    <w:rsid w:val="1D0E6F59"/>
    <w:rsid w:val="1D1D719C"/>
    <w:rsid w:val="1D1F1166"/>
    <w:rsid w:val="1D281406"/>
    <w:rsid w:val="1D434E54"/>
    <w:rsid w:val="1D5F6196"/>
    <w:rsid w:val="1D6132A5"/>
    <w:rsid w:val="1D6628F1"/>
    <w:rsid w:val="1D8E56D5"/>
    <w:rsid w:val="1DAE5E7E"/>
    <w:rsid w:val="1DF82708"/>
    <w:rsid w:val="1DFB1EE3"/>
    <w:rsid w:val="1E1467F1"/>
    <w:rsid w:val="1E4F7829"/>
    <w:rsid w:val="1E501177"/>
    <w:rsid w:val="1E573C73"/>
    <w:rsid w:val="1E7461DD"/>
    <w:rsid w:val="1E7A43DA"/>
    <w:rsid w:val="1E897E41"/>
    <w:rsid w:val="1E951AA0"/>
    <w:rsid w:val="1E9D0594"/>
    <w:rsid w:val="1E9E02F4"/>
    <w:rsid w:val="1EA01E32"/>
    <w:rsid w:val="1F053CF4"/>
    <w:rsid w:val="1F334CEE"/>
    <w:rsid w:val="1F466821"/>
    <w:rsid w:val="1F502B79"/>
    <w:rsid w:val="1F5942E3"/>
    <w:rsid w:val="1F805949"/>
    <w:rsid w:val="1F841754"/>
    <w:rsid w:val="1FB97650"/>
    <w:rsid w:val="1FC55FF4"/>
    <w:rsid w:val="1FC8473F"/>
    <w:rsid w:val="1FDE4E0F"/>
    <w:rsid w:val="1FE7539E"/>
    <w:rsid w:val="1FE82C53"/>
    <w:rsid w:val="1FEA1B2A"/>
    <w:rsid w:val="1FEA659C"/>
    <w:rsid w:val="20030255"/>
    <w:rsid w:val="20087C8F"/>
    <w:rsid w:val="20146634"/>
    <w:rsid w:val="202D5948"/>
    <w:rsid w:val="2037665B"/>
    <w:rsid w:val="204131A1"/>
    <w:rsid w:val="20671BE0"/>
    <w:rsid w:val="20743577"/>
    <w:rsid w:val="207545BF"/>
    <w:rsid w:val="20963CB8"/>
    <w:rsid w:val="20997459"/>
    <w:rsid w:val="20A81A1B"/>
    <w:rsid w:val="20A83220"/>
    <w:rsid w:val="20B07FB6"/>
    <w:rsid w:val="20B646FB"/>
    <w:rsid w:val="20CF7BED"/>
    <w:rsid w:val="20DA2DB5"/>
    <w:rsid w:val="20EF0E4F"/>
    <w:rsid w:val="20F021EA"/>
    <w:rsid w:val="21007FCB"/>
    <w:rsid w:val="212A1E87"/>
    <w:rsid w:val="212D74D2"/>
    <w:rsid w:val="21374CD0"/>
    <w:rsid w:val="213B74B1"/>
    <w:rsid w:val="21577648"/>
    <w:rsid w:val="215A2310"/>
    <w:rsid w:val="216830DB"/>
    <w:rsid w:val="21696E53"/>
    <w:rsid w:val="219843C9"/>
    <w:rsid w:val="21BD5459"/>
    <w:rsid w:val="21DE318A"/>
    <w:rsid w:val="21E14C3C"/>
    <w:rsid w:val="21ED1832"/>
    <w:rsid w:val="21EF5B80"/>
    <w:rsid w:val="221B003E"/>
    <w:rsid w:val="223B7AD6"/>
    <w:rsid w:val="224403D4"/>
    <w:rsid w:val="22576990"/>
    <w:rsid w:val="225C1C80"/>
    <w:rsid w:val="2265580C"/>
    <w:rsid w:val="227C2F3E"/>
    <w:rsid w:val="229E507D"/>
    <w:rsid w:val="22A30143"/>
    <w:rsid w:val="22A5210D"/>
    <w:rsid w:val="22A53FD5"/>
    <w:rsid w:val="22C17957"/>
    <w:rsid w:val="22F47480"/>
    <w:rsid w:val="22F83AA2"/>
    <w:rsid w:val="23176A1F"/>
    <w:rsid w:val="234667E9"/>
    <w:rsid w:val="23645B24"/>
    <w:rsid w:val="23706277"/>
    <w:rsid w:val="23957A8C"/>
    <w:rsid w:val="23B720F8"/>
    <w:rsid w:val="23D26F32"/>
    <w:rsid w:val="23DE1C48"/>
    <w:rsid w:val="24003A9F"/>
    <w:rsid w:val="240210CD"/>
    <w:rsid w:val="24066BDB"/>
    <w:rsid w:val="2419216E"/>
    <w:rsid w:val="24491152"/>
    <w:rsid w:val="2454396E"/>
    <w:rsid w:val="24591B8E"/>
    <w:rsid w:val="245A38EA"/>
    <w:rsid w:val="24840143"/>
    <w:rsid w:val="24854856"/>
    <w:rsid w:val="24B50383"/>
    <w:rsid w:val="24BF09F7"/>
    <w:rsid w:val="250D49FE"/>
    <w:rsid w:val="25186BC6"/>
    <w:rsid w:val="251B66B7"/>
    <w:rsid w:val="252D53FE"/>
    <w:rsid w:val="25341A0A"/>
    <w:rsid w:val="25382DC5"/>
    <w:rsid w:val="253D487F"/>
    <w:rsid w:val="25480F3F"/>
    <w:rsid w:val="254E25E8"/>
    <w:rsid w:val="25695674"/>
    <w:rsid w:val="257F27A2"/>
    <w:rsid w:val="258C23D0"/>
    <w:rsid w:val="25B04809"/>
    <w:rsid w:val="25B71670"/>
    <w:rsid w:val="25EC2D81"/>
    <w:rsid w:val="25F34F3E"/>
    <w:rsid w:val="25FE26B3"/>
    <w:rsid w:val="261A071C"/>
    <w:rsid w:val="261D548C"/>
    <w:rsid w:val="263846F2"/>
    <w:rsid w:val="264F6561"/>
    <w:rsid w:val="265224C7"/>
    <w:rsid w:val="26656DEF"/>
    <w:rsid w:val="26914E82"/>
    <w:rsid w:val="2692022C"/>
    <w:rsid w:val="26931839"/>
    <w:rsid w:val="26BC332C"/>
    <w:rsid w:val="26DC45B9"/>
    <w:rsid w:val="26DD05A4"/>
    <w:rsid w:val="26F3643F"/>
    <w:rsid w:val="26F401FA"/>
    <w:rsid w:val="270A267F"/>
    <w:rsid w:val="27100E33"/>
    <w:rsid w:val="27226855"/>
    <w:rsid w:val="277057A2"/>
    <w:rsid w:val="278C73F8"/>
    <w:rsid w:val="27AB215B"/>
    <w:rsid w:val="27AC15FA"/>
    <w:rsid w:val="280B656E"/>
    <w:rsid w:val="28195EE2"/>
    <w:rsid w:val="282B4FF9"/>
    <w:rsid w:val="2838482E"/>
    <w:rsid w:val="283A32F8"/>
    <w:rsid w:val="285507C5"/>
    <w:rsid w:val="28640A1C"/>
    <w:rsid w:val="2874680A"/>
    <w:rsid w:val="288B2A44"/>
    <w:rsid w:val="288D0AD8"/>
    <w:rsid w:val="28A013AD"/>
    <w:rsid w:val="28AA645A"/>
    <w:rsid w:val="28AD5878"/>
    <w:rsid w:val="28B906C0"/>
    <w:rsid w:val="28BE7A85"/>
    <w:rsid w:val="28C11F57"/>
    <w:rsid w:val="28E05C4D"/>
    <w:rsid w:val="28FC05AD"/>
    <w:rsid w:val="29030993"/>
    <w:rsid w:val="29046169"/>
    <w:rsid w:val="290D7264"/>
    <w:rsid w:val="29206EB8"/>
    <w:rsid w:val="2927387C"/>
    <w:rsid w:val="294457E3"/>
    <w:rsid w:val="294D0764"/>
    <w:rsid w:val="29595666"/>
    <w:rsid w:val="297B7724"/>
    <w:rsid w:val="29824F56"/>
    <w:rsid w:val="29874881"/>
    <w:rsid w:val="299949BA"/>
    <w:rsid w:val="299E7401"/>
    <w:rsid w:val="299F1BE7"/>
    <w:rsid w:val="29AB2164"/>
    <w:rsid w:val="29B55DCA"/>
    <w:rsid w:val="29C65134"/>
    <w:rsid w:val="29E325E0"/>
    <w:rsid w:val="29EE6148"/>
    <w:rsid w:val="29FA3201"/>
    <w:rsid w:val="2A1060BE"/>
    <w:rsid w:val="2A452503"/>
    <w:rsid w:val="2A544E3B"/>
    <w:rsid w:val="2A6C653F"/>
    <w:rsid w:val="2A870E0B"/>
    <w:rsid w:val="2A91303E"/>
    <w:rsid w:val="2ACB21DF"/>
    <w:rsid w:val="2ADA0352"/>
    <w:rsid w:val="2B117E06"/>
    <w:rsid w:val="2B1E5CB3"/>
    <w:rsid w:val="2B312862"/>
    <w:rsid w:val="2B367CA0"/>
    <w:rsid w:val="2B3E4EAD"/>
    <w:rsid w:val="2B595843"/>
    <w:rsid w:val="2B6974E6"/>
    <w:rsid w:val="2B780C7E"/>
    <w:rsid w:val="2B7D08BC"/>
    <w:rsid w:val="2B9250EC"/>
    <w:rsid w:val="2BA936A8"/>
    <w:rsid w:val="2BBD04C8"/>
    <w:rsid w:val="2BCB46B9"/>
    <w:rsid w:val="2BDF0FF1"/>
    <w:rsid w:val="2C0D23B6"/>
    <w:rsid w:val="2C315A5A"/>
    <w:rsid w:val="2C4402A1"/>
    <w:rsid w:val="2C4B1C25"/>
    <w:rsid w:val="2C9B7ED5"/>
    <w:rsid w:val="2C9F5E1F"/>
    <w:rsid w:val="2CA25CA3"/>
    <w:rsid w:val="2CA75156"/>
    <w:rsid w:val="2CD37914"/>
    <w:rsid w:val="2CE33F5E"/>
    <w:rsid w:val="2CE61358"/>
    <w:rsid w:val="2D12089C"/>
    <w:rsid w:val="2D311ABC"/>
    <w:rsid w:val="2D632D02"/>
    <w:rsid w:val="2D635F72"/>
    <w:rsid w:val="2D9B0C9F"/>
    <w:rsid w:val="2D9E56F5"/>
    <w:rsid w:val="2DA10637"/>
    <w:rsid w:val="2DA76AAC"/>
    <w:rsid w:val="2DB939BB"/>
    <w:rsid w:val="2DBE000D"/>
    <w:rsid w:val="2DF83A39"/>
    <w:rsid w:val="2E276865"/>
    <w:rsid w:val="2E667F96"/>
    <w:rsid w:val="2E770112"/>
    <w:rsid w:val="2E813A2E"/>
    <w:rsid w:val="2E8226AB"/>
    <w:rsid w:val="2E8B0409"/>
    <w:rsid w:val="2EAF37BB"/>
    <w:rsid w:val="2EBF61AC"/>
    <w:rsid w:val="2EC05537"/>
    <w:rsid w:val="2ED87DE1"/>
    <w:rsid w:val="2EDD678B"/>
    <w:rsid w:val="2EF04710"/>
    <w:rsid w:val="2EFB41BF"/>
    <w:rsid w:val="2EFF6701"/>
    <w:rsid w:val="2F320995"/>
    <w:rsid w:val="2F4800A8"/>
    <w:rsid w:val="2F5D6240"/>
    <w:rsid w:val="2F822456"/>
    <w:rsid w:val="2F901AB8"/>
    <w:rsid w:val="2F9B0B20"/>
    <w:rsid w:val="2F9F50DC"/>
    <w:rsid w:val="2FA43472"/>
    <w:rsid w:val="2FBC2844"/>
    <w:rsid w:val="2FC71915"/>
    <w:rsid w:val="2FD065E6"/>
    <w:rsid w:val="2FD96870"/>
    <w:rsid w:val="30037365"/>
    <w:rsid w:val="30161F54"/>
    <w:rsid w:val="302428C3"/>
    <w:rsid w:val="30424851"/>
    <w:rsid w:val="30451BBC"/>
    <w:rsid w:val="304C67C6"/>
    <w:rsid w:val="30526A6B"/>
    <w:rsid w:val="30580BC9"/>
    <w:rsid w:val="3069415C"/>
    <w:rsid w:val="306D27C7"/>
    <w:rsid w:val="307764BA"/>
    <w:rsid w:val="309D4424"/>
    <w:rsid w:val="309F1C17"/>
    <w:rsid w:val="30AD6667"/>
    <w:rsid w:val="30BD5A5B"/>
    <w:rsid w:val="30C65728"/>
    <w:rsid w:val="30CF15BF"/>
    <w:rsid w:val="30D53BBD"/>
    <w:rsid w:val="30DE09A0"/>
    <w:rsid w:val="30F83C8F"/>
    <w:rsid w:val="30F92970"/>
    <w:rsid w:val="3106021B"/>
    <w:rsid w:val="311E2ED7"/>
    <w:rsid w:val="31304E28"/>
    <w:rsid w:val="31496359"/>
    <w:rsid w:val="3155560E"/>
    <w:rsid w:val="315619EE"/>
    <w:rsid w:val="315C449C"/>
    <w:rsid w:val="316F4478"/>
    <w:rsid w:val="31813D45"/>
    <w:rsid w:val="31860EE9"/>
    <w:rsid w:val="3186135C"/>
    <w:rsid w:val="31885988"/>
    <w:rsid w:val="31B82709"/>
    <w:rsid w:val="31D05482"/>
    <w:rsid w:val="31D10829"/>
    <w:rsid w:val="31E5120A"/>
    <w:rsid w:val="31EB1D38"/>
    <w:rsid w:val="31EC5542"/>
    <w:rsid w:val="31F15EEC"/>
    <w:rsid w:val="320A7897"/>
    <w:rsid w:val="32197378"/>
    <w:rsid w:val="322C1F03"/>
    <w:rsid w:val="3233357D"/>
    <w:rsid w:val="323A2CC6"/>
    <w:rsid w:val="32400B34"/>
    <w:rsid w:val="32456B21"/>
    <w:rsid w:val="324E03D4"/>
    <w:rsid w:val="329655CE"/>
    <w:rsid w:val="32984A00"/>
    <w:rsid w:val="329E6876"/>
    <w:rsid w:val="32A93554"/>
    <w:rsid w:val="32AC3044"/>
    <w:rsid w:val="32B9045F"/>
    <w:rsid w:val="32C043F9"/>
    <w:rsid w:val="32F01183"/>
    <w:rsid w:val="3311371E"/>
    <w:rsid w:val="333015F2"/>
    <w:rsid w:val="334B6320"/>
    <w:rsid w:val="334E68C0"/>
    <w:rsid w:val="33572FB0"/>
    <w:rsid w:val="33723946"/>
    <w:rsid w:val="33813D35"/>
    <w:rsid w:val="338A5133"/>
    <w:rsid w:val="338F56F3"/>
    <w:rsid w:val="33905426"/>
    <w:rsid w:val="33D26ADA"/>
    <w:rsid w:val="33D934D4"/>
    <w:rsid w:val="33ED56C2"/>
    <w:rsid w:val="33F95E15"/>
    <w:rsid w:val="33FE2F6A"/>
    <w:rsid w:val="340E07E5"/>
    <w:rsid w:val="341B1AAB"/>
    <w:rsid w:val="34235BF7"/>
    <w:rsid w:val="3431306B"/>
    <w:rsid w:val="34563E84"/>
    <w:rsid w:val="34967E3C"/>
    <w:rsid w:val="349B3370"/>
    <w:rsid w:val="34BA57F5"/>
    <w:rsid w:val="34C74165"/>
    <w:rsid w:val="34E27123"/>
    <w:rsid w:val="34E56399"/>
    <w:rsid w:val="35187CE9"/>
    <w:rsid w:val="353F4B20"/>
    <w:rsid w:val="35434919"/>
    <w:rsid w:val="357276A3"/>
    <w:rsid w:val="35753BC1"/>
    <w:rsid w:val="358C5FA8"/>
    <w:rsid w:val="35A52E1A"/>
    <w:rsid w:val="35A96A55"/>
    <w:rsid w:val="35AD087B"/>
    <w:rsid w:val="35C15DF1"/>
    <w:rsid w:val="35C331CE"/>
    <w:rsid w:val="36074A7F"/>
    <w:rsid w:val="36100339"/>
    <w:rsid w:val="361C403D"/>
    <w:rsid w:val="362F4ADC"/>
    <w:rsid w:val="364E5A31"/>
    <w:rsid w:val="36526F88"/>
    <w:rsid w:val="36610694"/>
    <w:rsid w:val="36923549"/>
    <w:rsid w:val="36B75FBF"/>
    <w:rsid w:val="36BD0C45"/>
    <w:rsid w:val="36FC1AF8"/>
    <w:rsid w:val="371A67CE"/>
    <w:rsid w:val="372E04CB"/>
    <w:rsid w:val="37335523"/>
    <w:rsid w:val="374C2700"/>
    <w:rsid w:val="377C674A"/>
    <w:rsid w:val="37942267"/>
    <w:rsid w:val="37BF2ED1"/>
    <w:rsid w:val="37E00298"/>
    <w:rsid w:val="37EC2A71"/>
    <w:rsid w:val="37F323CA"/>
    <w:rsid w:val="383276D1"/>
    <w:rsid w:val="387074E6"/>
    <w:rsid w:val="388F6A33"/>
    <w:rsid w:val="38927B5B"/>
    <w:rsid w:val="38A50319"/>
    <w:rsid w:val="38B302F9"/>
    <w:rsid w:val="38DB3D3B"/>
    <w:rsid w:val="38E2156D"/>
    <w:rsid w:val="38E6379C"/>
    <w:rsid w:val="38F12CD3"/>
    <w:rsid w:val="38F92413"/>
    <w:rsid w:val="38F94775"/>
    <w:rsid w:val="39025AD6"/>
    <w:rsid w:val="392971ED"/>
    <w:rsid w:val="39325651"/>
    <w:rsid w:val="3949339B"/>
    <w:rsid w:val="39495149"/>
    <w:rsid w:val="394B53CF"/>
    <w:rsid w:val="396C3072"/>
    <w:rsid w:val="398443D3"/>
    <w:rsid w:val="39902D77"/>
    <w:rsid w:val="39C41618"/>
    <w:rsid w:val="39DA3F44"/>
    <w:rsid w:val="39E91191"/>
    <w:rsid w:val="3A0B2CF9"/>
    <w:rsid w:val="3A173499"/>
    <w:rsid w:val="3A1E0383"/>
    <w:rsid w:val="3A5E7CBC"/>
    <w:rsid w:val="3A872856"/>
    <w:rsid w:val="3A972DD2"/>
    <w:rsid w:val="3AA54601"/>
    <w:rsid w:val="3ACF7098"/>
    <w:rsid w:val="3ADE2FAA"/>
    <w:rsid w:val="3AE55345"/>
    <w:rsid w:val="3AEA4709"/>
    <w:rsid w:val="3B0C0B24"/>
    <w:rsid w:val="3B253993"/>
    <w:rsid w:val="3B2767FC"/>
    <w:rsid w:val="3B3763D1"/>
    <w:rsid w:val="3B3B4F65"/>
    <w:rsid w:val="3B473D94"/>
    <w:rsid w:val="3B63409B"/>
    <w:rsid w:val="3B6B37DA"/>
    <w:rsid w:val="3B732261"/>
    <w:rsid w:val="3B741A56"/>
    <w:rsid w:val="3B85018E"/>
    <w:rsid w:val="3B8B3748"/>
    <w:rsid w:val="3BC7317B"/>
    <w:rsid w:val="3BD038FF"/>
    <w:rsid w:val="3BED44B1"/>
    <w:rsid w:val="3BF350F4"/>
    <w:rsid w:val="3BFD0102"/>
    <w:rsid w:val="3C0D06AF"/>
    <w:rsid w:val="3C2F6E1E"/>
    <w:rsid w:val="3C326368"/>
    <w:rsid w:val="3C371BD0"/>
    <w:rsid w:val="3C4F64BA"/>
    <w:rsid w:val="3C5A24B7"/>
    <w:rsid w:val="3C6B1A78"/>
    <w:rsid w:val="3C6B3628"/>
    <w:rsid w:val="3C786EC3"/>
    <w:rsid w:val="3C804C2E"/>
    <w:rsid w:val="3C9E7EBE"/>
    <w:rsid w:val="3CBA0813"/>
    <w:rsid w:val="3CBB0907"/>
    <w:rsid w:val="3CC75E4F"/>
    <w:rsid w:val="3CD63197"/>
    <w:rsid w:val="3CDA245A"/>
    <w:rsid w:val="3CE139AC"/>
    <w:rsid w:val="3CE93461"/>
    <w:rsid w:val="3D0C2143"/>
    <w:rsid w:val="3D103344"/>
    <w:rsid w:val="3D1B504E"/>
    <w:rsid w:val="3D1E06B7"/>
    <w:rsid w:val="3D4D2D2E"/>
    <w:rsid w:val="3D5373E0"/>
    <w:rsid w:val="3D930A30"/>
    <w:rsid w:val="3DBF3C2B"/>
    <w:rsid w:val="3DDB2F06"/>
    <w:rsid w:val="3DE206D0"/>
    <w:rsid w:val="3DF31B27"/>
    <w:rsid w:val="3DFF49A8"/>
    <w:rsid w:val="3E111FAD"/>
    <w:rsid w:val="3E350391"/>
    <w:rsid w:val="3E5E3444"/>
    <w:rsid w:val="3E5F3BF8"/>
    <w:rsid w:val="3E6B5B61"/>
    <w:rsid w:val="3E7C3164"/>
    <w:rsid w:val="3E90168C"/>
    <w:rsid w:val="3EDA0523"/>
    <w:rsid w:val="3EEA117C"/>
    <w:rsid w:val="3F1B4E33"/>
    <w:rsid w:val="3F2A148C"/>
    <w:rsid w:val="3F366C36"/>
    <w:rsid w:val="3F391F17"/>
    <w:rsid w:val="3F3A2A51"/>
    <w:rsid w:val="3F3C12AC"/>
    <w:rsid w:val="3F4D1DA7"/>
    <w:rsid w:val="3F6C0686"/>
    <w:rsid w:val="3F6C7EC6"/>
    <w:rsid w:val="3F6F25EF"/>
    <w:rsid w:val="3F840B09"/>
    <w:rsid w:val="3FB80C5D"/>
    <w:rsid w:val="3FCE1A84"/>
    <w:rsid w:val="3FDF05B5"/>
    <w:rsid w:val="3FED0F2A"/>
    <w:rsid w:val="40034533"/>
    <w:rsid w:val="40086724"/>
    <w:rsid w:val="40093884"/>
    <w:rsid w:val="400B2868"/>
    <w:rsid w:val="40295CD4"/>
    <w:rsid w:val="405F34A4"/>
    <w:rsid w:val="40623AEA"/>
    <w:rsid w:val="40630593"/>
    <w:rsid w:val="406B3BF6"/>
    <w:rsid w:val="407A6407"/>
    <w:rsid w:val="40BC1CAC"/>
    <w:rsid w:val="40CA7B2F"/>
    <w:rsid w:val="40EF2A79"/>
    <w:rsid w:val="41045AF3"/>
    <w:rsid w:val="4110479E"/>
    <w:rsid w:val="411918A4"/>
    <w:rsid w:val="413E7B51"/>
    <w:rsid w:val="41577F58"/>
    <w:rsid w:val="415C52D1"/>
    <w:rsid w:val="416A0352"/>
    <w:rsid w:val="417A278B"/>
    <w:rsid w:val="418F5D0F"/>
    <w:rsid w:val="41B63597"/>
    <w:rsid w:val="41C94B7F"/>
    <w:rsid w:val="41D81490"/>
    <w:rsid w:val="41E376E1"/>
    <w:rsid w:val="41FF6288"/>
    <w:rsid w:val="4200449D"/>
    <w:rsid w:val="4205007B"/>
    <w:rsid w:val="42170990"/>
    <w:rsid w:val="42266404"/>
    <w:rsid w:val="42353226"/>
    <w:rsid w:val="42380450"/>
    <w:rsid w:val="423A3BCC"/>
    <w:rsid w:val="424E57D2"/>
    <w:rsid w:val="42784CF1"/>
    <w:rsid w:val="42892A5A"/>
    <w:rsid w:val="428D254A"/>
    <w:rsid w:val="42937D85"/>
    <w:rsid w:val="42AC04F6"/>
    <w:rsid w:val="42B26C49"/>
    <w:rsid w:val="42F26851"/>
    <w:rsid w:val="42F55E4F"/>
    <w:rsid w:val="42F8373B"/>
    <w:rsid w:val="430345BA"/>
    <w:rsid w:val="43095100"/>
    <w:rsid w:val="432A382B"/>
    <w:rsid w:val="432C6FB2"/>
    <w:rsid w:val="432F3601"/>
    <w:rsid w:val="433A6FE6"/>
    <w:rsid w:val="43432C09"/>
    <w:rsid w:val="43480868"/>
    <w:rsid w:val="434B4745"/>
    <w:rsid w:val="4350713C"/>
    <w:rsid w:val="436653E0"/>
    <w:rsid w:val="43671FE0"/>
    <w:rsid w:val="436F1C50"/>
    <w:rsid w:val="438C2802"/>
    <w:rsid w:val="43C4431A"/>
    <w:rsid w:val="43CB374F"/>
    <w:rsid w:val="43D210A9"/>
    <w:rsid w:val="43E91A02"/>
    <w:rsid w:val="43F93925"/>
    <w:rsid w:val="43FE2FD4"/>
    <w:rsid w:val="442B7BFD"/>
    <w:rsid w:val="443639BB"/>
    <w:rsid w:val="444035EC"/>
    <w:rsid w:val="44492AC9"/>
    <w:rsid w:val="445B34B1"/>
    <w:rsid w:val="445E5CB0"/>
    <w:rsid w:val="44610641"/>
    <w:rsid w:val="447353BD"/>
    <w:rsid w:val="44811E49"/>
    <w:rsid w:val="448B4217"/>
    <w:rsid w:val="44935825"/>
    <w:rsid w:val="449F6565"/>
    <w:rsid w:val="44A616A1"/>
    <w:rsid w:val="44B951CC"/>
    <w:rsid w:val="44C32D1F"/>
    <w:rsid w:val="44C37EA1"/>
    <w:rsid w:val="44CD14E0"/>
    <w:rsid w:val="44D97CC8"/>
    <w:rsid w:val="44DE708D"/>
    <w:rsid w:val="44F20B0B"/>
    <w:rsid w:val="450B1E4C"/>
    <w:rsid w:val="452151CC"/>
    <w:rsid w:val="452E5F4C"/>
    <w:rsid w:val="453523FD"/>
    <w:rsid w:val="4540264A"/>
    <w:rsid w:val="455A248C"/>
    <w:rsid w:val="45612018"/>
    <w:rsid w:val="45701CAF"/>
    <w:rsid w:val="45790035"/>
    <w:rsid w:val="457D462B"/>
    <w:rsid w:val="45885EA9"/>
    <w:rsid w:val="458946E9"/>
    <w:rsid w:val="459070D4"/>
    <w:rsid w:val="459736E0"/>
    <w:rsid w:val="45973D1D"/>
    <w:rsid w:val="45A47C0E"/>
    <w:rsid w:val="45EC58B9"/>
    <w:rsid w:val="46146ADE"/>
    <w:rsid w:val="46226F8A"/>
    <w:rsid w:val="46380A1F"/>
    <w:rsid w:val="46420213"/>
    <w:rsid w:val="464A2500"/>
    <w:rsid w:val="465655A4"/>
    <w:rsid w:val="46577FD6"/>
    <w:rsid w:val="46731A57"/>
    <w:rsid w:val="468C0539"/>
    <w:rsid w:val="46B053A1"/>
    <w:rsid w:val="46B06807"/>
    <w:rsid w:val="46BC7362"/>
    <w:rsid w:val="46D955A7"/>
    <w:rsid w:val="46DC3AA0"/>
    <w:rsid w:val="47133957"/>
    <w:rsid w:val="4723347D"/>
    <w:rsid w:val="47236A32"/>
    <w:rsid w:val="47401E7A"/>
    <w:rsid w:val="474C38CF"/>
    <w:rsid w:val="47573126"/>
    <w:rsid w:val="478362F0"/>
    <w:rsid w:val="4794108C"/>
    <w:rsid w:val="47A0687C"/>
    <w:rsid w:val="47A07E0C"/>
    <w:rsid w:val="47AB5150"/>
    <w:rsid w:val="47B265AF"/>
    <w:rsid w:val="47BF6F89"/>
    <w:rsid w:val="482639FA"/>
    <w:rsid w:val="48307997"/>
    <w:rsid w:val="48382F58"/>
    <w:rsid w:val="483A5DB3"/>
    <w:rsid w:val="48631243"/>
    <w:rsid w:val="4870272E"/>
    <w:rsid w:val="488E6683"/>
    <w:rsid w:val="48B76BC7"/>
    <w:rsid w:val="48C36F0E"/>
    <w:rsid w:val="48CE1A9E"/>
    <w:rsid w:val="48F0738F"/>
    <w:rsid w:val="4904108C"/>
    <w:rsid w:val="490E1F0B"/>
    <w:rsid w:val="49180694"/>
    <w:rsid w:val="493C188A"/>
    <w:rsid w:val="49505EAD"/>
    <w:rsid w:val="49695393"/>
    <w:rsid w:val="49793828"/>
    <w:rsid w:val="49807EB7"/>
    <w:rsid w:val="49A33B13"/>
    <w:rsid w:val="49C54500"/>
    <w:rsid w:val="49DC7715"/>
    <w:rsid w:val="49F12379"/>
    <w:rsid w:val="49F66C27"/>
    <w:rsid w:val="4A023139"/>
    <w:rsid w:val="4A032B06"/>
    <w:rsid w:val="4A1F5241"/>
    <w:rsid w:val="4A317C5F"/>
    <w:rsid w:val="4A4A0D21"/>
    <w:rsid w:val="4A7144FF"/>
    <w:rsid w:val="4A7B576F"/>
    <w:rsid w:val="4A7E09CA"/>
    <w:rsid w:val="4A83540F"/>
    <w:rsid w:val="4A8835F7"/>
    <w:rsid w:val="4A9621B8"/>
    <w:rsid w:val="4AB31279"/>
    <w:rsid w:val="4AB83EDC"/>
    <w:rsid w:val="4AC26B09"/>
    <w:rsid w:val="4ACE588D"/>
    <w:rsid w:val="4AE36C07"/>
    <w:rsid w:val="4AF561A9"/>
    <w:rsid w:val="4B223A4B"/>
    <w:rsid w:val="4B2E0642"/>
    <w:rsid w:val="4B3C56F2"/>
    <w:rsid w:val="4B481704"/>
    <w:rsid w:val="4B506A63"/>
    <w:rsid w:val="4B6D116B"/>
    <w:rsid w:val="4B703E8A"/>
    <w:rsid w:val="4B736055"/>
    <w:rsid w:val="4B83273C"/>
    <w:rsid w:val="4B8E31F1"/>
    <w:rsid w:val="4BBD5522"/>
    <w:rsid w:val="4BCC547D"/>
    <w:rsid w:val="4BFE70B6"/>
    <w:rsid w:val="4C2537F3"/>
    <w:rsid w:val="4C4A0649"/>
    <w:rsid w:val="4C4D2740"/>
    <w:rsid w:val="4C513462"/>
    <w:rsid w:val="4C5414AB"/>
    <w:rsid w:val="4C7E5ECA"/>
    <w:rsid w:val="4C876AA5"/>
    <w:rsid w:val="4C8B005F"/>
    <w:rsid w:val="4C9B5863"/>
    <w:rsid w:val="4CAA0DD8"/>
    <w:rsid w:val="4CBD57DA"/>
    <w:rsid w:val="4CC052CA"/>
    <w:rsid w:val="4CC90623"/>
    <w:rsid w:val="4CE04FDB"/>
    <w:rsid w:val="4CE90CC5"/>
    <w:rsid w:val="4CF63610"/>
    <w:rsid w:val="4D0201D0"/>
    <w:rsid w:val="4D0E00FB"/>
    <w:rsid w:val="4D176606"/>
    <w:rsid w:val="4D1B0752"/>
    <w:rsid w:val="4D4055C0"/>
    <w:rsid w:val="4D5325E2"/>
    <w:rsid w:val="4D5D758E"/>
    <w:rsid w:val="4D6614CB"/>
    <w:rsid w:val="4D6C0FAE"/>
    <w:rsid w:val="4D8220AC"/>
    <w:rsid w:val="4D9D07FF"/>
    <w:rsid w:val="4DCD5A37"/>
    <w:rsid w:val="4DD40DC6"/>
    <w:rsid w:val="4DE153CA"/>
    <w:rsid w:val="4DEC4FB0"/>
    <w:rsid w:val="4DFE254E"/>
    <w:rsid w:val="4E075D8A"/>
    <w:rsid w:val="4E502893"/>
    <w:rsid w:val="4E532D58"/>
    <w:rsid w:val="4E7531C7"/>
    <w:rsid w:val="4E7540BA"/>
    <w:rsid w:val="4E8D6F35"/>
    <w:rsid w:val="4E944C60"/>
    <w:rsid w:val="4E9A049C"/>
    <w:rsid w:val="4EA2737D"/>
    <w:rsid w:val="4EA36C37"/>
    <w:rsid w:val="4EA5547E"/>
    <w:rsid w:val="4EB34E02"/>
    <w:rsid w:val="4EB54CA5"/>
    <w:rsid w:val="4EC00FAD"/>
    <w:rsid w:val="4EE51018"/>
    <w:rsid w:val="4EE67C1A"/>
    <w:rsid w:val="4EE9281A"/>
    <w:rsid w:val="4EEF633A"/>
    <w:rsid w:val="4EF50FCB"/>
    <w:rsid w:val="4F112C81"/>
    <w:rsid w:val="4F1418FD"/>
    <w:rsid w:val="4F195A30"/>
    <w:rsid w:val="4F1A0CDA"/>
    <w:rsid w:val="4F436D2D"/>
    <w:rsid w:val="4F4C16EA"/>
    <w:rsid w:val="4F5412BD"/>
    <w:rsid w:val="4F7C5E20"/>
    <w:rsid w:val="4F8E345D"/>
    <w:rsid w:val="4F9843DC"/>
    <w:rsid w:val="4FA40ED3"/>
    <w:rsid w:val="4FAF53FC"/>
    <w:rsid w:val="4FC62A8C"/>
    <w:rsid w:val="4FCA260C"/>
    <w:rsid w:val="4FE20F0D"/>
    <w:rsid w:val="4FE51552"/>
    <w:rsid w:val="4FE80CC1"/>
    <w:rsid w:val="4FF15E59"/>
    <w:rsid w:val="4FF44D7B"/>
    <w:rsid w:val="4FFA476D"/>
    <w:rsid w:val="500B0F52"/>
    <w:rsid w:val="5021024B"/>
    <w:rsid w:val="503D72F6"/>
    <w:rsid w:val="50504C4B"/>
    <w:rsid w:val="50552435"/>
    <w:rsid w:val="50593702"/>
    <w:rsid w:val="506566DA"/>
    <w:rsid w:val="507414FF"/>
    <w:rsid w:val="50812FC2"/>
    <w:rsid w:val="508C257C"/>
    <w:rsid w:val="50916518"/>
    <w:rsid w:val="50924AD3"/>
    <w:rsid w:val="509C6E7C"/>
    <w:rsid w:val="509E5922"/>
    <w:rsid w:val="50AB7913"/>
    <w:rsid w:val="50EB7394"/>
    <w:rsid w:val="50F934A0"/>
    <w:rsid w:val="51152D20"/>
    <w:rsid w:val="511F2F07"/>
    <w:rsid w:val="512849B4"/>
    <w:rsid w:val="51465A67"/>
    <w:rsid w:val="514F4E6E"/>
    <w:rsid w:val="51546218"/>
    <w:rsid w:val="515A3067"/>
    <w:rsid w:val="5162104E"/>
    <w:rsid w:val="516375F5"/>
    <w:rsid w:val="517B4996"/>
    <w:rsid w:val="518014CC"/>
    <w:rsid w:val="51A76A58"/>
    <w:rsid w:val="51B178D7"/>
    <w:rsid w:val="51B573C7"/>
    <w:rsid w:val="51C82097"/>
    <w:rsid w:val="51CF58FB"/>
    <w:rsid w:val="51D610EC"/>
    <w:rsid w:val="51D634E3"/>
    <w:rsid w:val="51E30F31"/>
    <w:rsid w:val="520E3564"/>
    <w:rsid w:val="52141EBF"/>
    <w:rsid w:val="521B19DD"/>
    <w:rsid w:val="521D148B"/>
    <w:rsid w:val="523956D4"/>
    <w:rsid w:val="525564B4"/>
    <w:rsid w:val="52A51493"/>
    <w:rsid w:val="52A7153C"/>
    <w:rsid w:val="52B57EEA"/>
    <w:rsid w:val="52F11D2A"/>
    <w:rsid w:val="52F61A70"/>
    <w:rsid w:val="53005A6E"/>
    <w:rsid w:val="53233119"/>
    <w:rsid w:val="532D7F79"/>
    <w:rsid w:val="53883955"/>
    <w:rsid w:val="5399057C"/>
    <w:rsid w:val="539C7B01"/>
    <w:rsid w:val="53A039CC"/>
    <w:rsid w:val="53A1505A"/>
    <w:rsid w:val="53B26BD2"/>
    <w:rsid w:val="53BF452D"/>
    <w:rsid w:val="53D73EA5"/>
    <w:rsid w:val="53FA6733"/>
    <w:rsid w:val="53FB0B31"/>
    <w:rsid w:val="54063E08"/>
    <w:rsid w:val="543437E8"/>
    <w:rsid w:val="54454859"/>
    <w:rsid w:val="54601828"/>
    <w:rsid w:val="54662BFB"/>
    <w:rsid w:val="54776BB6"/>
    <w:rsid w:val="548B7EB9"/>
    <w:rsid w:val="54B323D7"/>
    <w:rsid w:val="54B90FC5"/>
    <w:rsid w:val="54D97871"/>
    <w:rsid w:val="54DE1526"/>
    <w:rsid w:val="54F73313"/>
    <w:rsid w:val="54F80955"/>
    <w:rsid w:val="55027729"/>
    <w:rsid w:val="551A4F6E"/>
    <w:rsid w:val="551C47BE"/>
    <w:rsid w:val="55393B44"/>
    <w:rsid w:val="553A5DBC"/>
    <w:rsid w:val="55406AE0"/>
    <w:rsid w:val="555170A7"/>
    <w:rsid w:val="555563F6"/>
    <w:rsid w:val="55585BCC"/>
    <w:rsid w:val="556233C2"/>
    <w:rsid w:val="5565384F"/>
    <w:rsid w:val="557430F6"/>
    <w:rsid w:val="55824C69"/>
    <w:rsid w:val="5587536D"/>
    <w:rsid w:val="559355FF"/>
    <w:rsid w:val="559B174B"/>
    <w:rsid w:val="55AF2A34"/>
    <w:rsid w:val="55B162AC"/>
    <w:rsid w:val="55CE0CF4"/>
    <w:rsid w:val="55D10548"/>
    <w:rsid w:val="55D63DB0"/>
    <w:rsid w:val="55EF09CE"/>
    <w:rsid w:val="55FA7A9F"/>
    <w:rsid w:val="55FB55C5"/>
    <w:rsid w:val="56097C71"/>
    <w:rsid w:val="56177853"/>
    <w:rsid w:val="561A1EEF"/>
    <w:rsid w:val="561E5C2D"/>
    <w:rsid w:val="56220DA3"/>
    <w:rsid w:val="5637310B"/>
    <w:rsid w:val="564F0701"/>
    <w:rsid w:val="56584FC5"/>
    <w:rsid w:val="565A22EB"/>
    <w:rsid w:val="56610120"/>
    <w:rsid w:val="568C5381"/>
    <w:rsid w:val="569577C7"/>
    <w:rsid w:val="56A30136"/>
    <w:rsid w:val="56A65531"/>
    <w:rsid w:val="56B22A9C"/>
    <w:rsid w:val="56D52F08"/>
    <w:rsid w:val="56E04EE6"/>
    <w:rsid w:val="56E10C5F"/>
    <w:rsid w:val="56E36785"/>
    <w:rsid w:val="57153B2A"/>
    <w:rsid w:val="572719D3"/>
    <w:rsid w:val="572826FA"/>
    <w:rsid w:val="57381DBB"/>
    <w:rsid w:val="573C40E7"/>
    <w:rsid w:val="576B5351"/>
    <w:rsid w:val="578A490A"/>
    <w:rsid w:val="57A70387"/>
    <w:rsid w:val="57AC4455"/>
    <w:rsid w:val="57B72A76"/>
    <w:rsid w:val="57C3426C"/>
    <w:rsid w:val="57CD116A"/>
    <w:rsid w:val="57CE1F93"/>
    <w:rsid w:val="57F97FAD"/>
    <w:rsid w:val="583D1EC5"/>
    <w:rsid w:val="586F24D7"/>
    <w:rsid w:val="588743D1"/>
    <w:rsid w:val="5887701A"/>
    <w:rsid w:val="589715D5"/>
    <w:rsid w:val="58D63CE3"/>
    <w:rsid w:val="58F212EB"/>
    <w:rsid w:val="59142C25"/>
    <w:rsid w:val="591B2019"/>
    <w:rsid w:val="591E34A5"/>
    <w:rsid w:val="591E6BCB"/>
    <w:rsid w:val="592065EC"/>
    <w:rsid w:val="59253085"/>
    <w:rsid w:val="5930648C"/>
    <w:rsid w:val="594A67BA"/>
    <w:rsid w:val="594B2A08"/>
    <w:rsid w:val="595F352B"/>
    <w:rsid w:val="59643B25"/>
    <w:rsid w:val="59687E88"/>
    <w:rsid w:val="59722042"/>
    <w:rsid w:val="59796F2C"/>
    <w:rsid w:val="59833184"/>
    <w:rsid w:val="599427CE"/>
    <w:rsid w:val="59A246D5"/>
    <w:rsid w:val="59B27F8B"/>
    <w:rsid w:val="59B35EE3"/>
    <w:rsid w:val="59C0439F"/>
    <w:rsid w:val="59C83A10"/>
    <w:rsid w:val="59CE2FAA"/>
    <w:rsid w:val="5A020049"/>
    <w:rsid w:val="5A1D6A13"/>
    <w:rsid w:val="5A596DE6"/>
    <w:rsid w:val="5A673229"/>
    <w:rsid w:val="5A7317BD"/>
    <w:rsid w:val="5A834F08"/>
    <w:rsid w:val="5A86096D"/>
    <w:rsid w:val="5A951B44"/>
    <w:rsid w:val="5ABE2233"/>
    <w:rsid w:val="5AC02939"/>
    <w:rsid w:val="5AD621EF"/>
    <w:rsid w:val="5AE707F0"/>
    <w:rsid w:val="5AFF52D9"/>
    <w:rsid w:val="5B022F52"/>
    <w:rsid w:val="5B3F7D02"/>
    <w:rsid w:val="5B4D241F"/>
    <w:rsid w:val="5B503CBD"/>
    <w:rsid w:val="5B877EDE"/>
    <w:rsid w:val="5B90055D"/>
    <w:rsid w:val="5BA46CE2"/>
    <w:rsid w:val="5BA940E8"/>
    <w:rsid w:val="5BB66779"/>
    <w:rsid w:val="5BB95D06"/>
    <w:rsid w:val="5BCE2C90"/>
    <w:rsid w:val="5BDF5D95"/>
    <w:rsid w:val="5BEC298C"/>
    <w:rsid w:val="5BFE7528"/>
    <w:rsid w:val="5C020F61"/>
    <w:rsid w:val="5C192C5D"/>
    <w:rsid w:val="5C234E22"/>
    <w:rsid w:val="5C2A15C6"/>
    <w:rsid w:val="5C3D63E5"/>
    <w:rsid w:val="5C4E644E"/>
    <w:rsid w:val="5C5F5FDC"/>
    <w:rsid w:val="5C6323E1"/>
    <w:rsid w:val="5C757E7F"/>
    <w:rsid w:val="5C761E49"/>
    <w:rsid w:val="5C823448"/>
    <w:rsid w:val="5C8E7193"/>
    <w:rsid w:val="5C8F2147"/>
    <w:rsid w:val="5CAE553B"/>
    <w:rsid w:val="5CB201BD"/>
    <w:rsid w:val="5CCB5CF1"/>
    <w:rsid w:val="5CD831E3"/>
    <w:rsid w:val="5CF74E63"/>
    <w:rsid w:val="5D002CAA"/>
    <w:rsid w:val="5D0F623A"/>
    <w:rsid w:val="5D425180"/>
    <w:rsid w:val="5D8436A5"/>
    <w:rsid w:val="5D864346"/>
    <w:rsid w:val="5DCB29F3"/>
    <w:rsid w:val="5DDE524A"/>
    <w:rsid w:val="5DE91890"/>
    <w:rsid w:val="5DF272AD"/>
    <w:rsid w:val="5E0335A2"/>
    <w:rsid w:val="5E070CBD"/>
    <w:rsid w:val="5E2467F1"/>
    <w:rsid w:val="5E581797"/>
    <w:rsid w:val="5E705F61"/>
    <w:rsid w:val="5E737B68"/>
    <w:rsid w:val="5E8621BD"/>
    <w:rsid w:val="5EA93E10"/>
    <w:rsid w:val="5EC734A7"/>
    <w:rsid w:val="5EDD7F5D"/>
    <w:rsid w:val="5EE017FC"/>
    <w:rsid w:val="5EE35BEB"/>
    <w:rsid w:val="5EEC59BC"/>
    <w:rsid w:val="5F05442F"/>
    <w:rsid w:val="5F1A2B43"/>
    <w:rsid w:val="5F1A2F60"/>
    <w:rsid w:val="5F27133B"/>
    <w:rsid w:val="5F443B39"/>
    <w:rsid w:val="5F6E0BB6"/>
    <w:rsid w:val="5F790873"/>
    <w:rsid w:val="5F824661"/>
    <w:rsid w:val="5F8D66F8"/>
    <w:rsid w:val="5F9268DB"/>
    <w:rsid w:val="5F9C5455"/>
    <w:rsid w:val="5FB837BB"/>
    <w:rsid w:val="5FB844E9"/>
    <w:rsid w:val="5FBF2B25"/>
    <w:rsid w:val="5FD53CDB"/>
    <w:rsid w:val="5FE077DE"/>
    <w:rsid w:val="5FE62E42"/>
    <w:rsid w:val="6002014A"/>
    <w:rsid w:val="600A5C0E"/>
    <w:rsid w:val="601B6F8F"/>
    <w:rsid w:val="606F72DB"/>
    <w:rsid w:val="60762543"/>
    <w:rsid w:val="608B5AEC"/>
    <w:rsid w:val="608E7761"/>
    <w:rsid w:val="60A52CFD"/>
    <w:rsid w:val="60A9459B"/>
    <w:rsid w:val="60C11A6A"/>
    <w:rsid w:val="60CC405A"/>
    <w:rsid w:val="61630BEE"/>
    <w:rsid w:val="616E53F6"/>
    <w:rsid w:val="617064ED"/>
    <w:rsid w:val="61707F91"/>
    <w:rsid w:val="61882403"/>
    <w:rsid w:val="61AD0213"/>
    <w:rsid w:val="61C84EF5"/>
    <w:rsid w:val="61D30753"/>
    <w:rsid w:val="61D753A1"/>
    <w:rsid w:val="61DF12F2"/>
    <w:rsid w:val="61E215D8"/>
    <w:rsid w:val="61EA6C19"/>
    <w:rsid w:val="61ED1794"/>
    <w:rsid w:val="620F1AC6"/>
    <w:rsid w:val="621551CF"/>
    <w:rsid w:val="621B3775"/>
    <w:rsid w:val="622F2D2A"/>
    <w:rsid w:val="62364782"/>
    <w:rsid w:val="625B63C5"/>
    <w:rsid w:val="627E6541"/>
    <w:rsid w:val="62AD09A1"/>
    <w:rsid w:val="62B2382C"/>
    <w:rsid w:val="62B62BAD"/>
    <w:rsid w:val="62BB6808"/>
    <w:rsid w:val="62C02E96"/>
    <w:rsid w:val="62C94169"/>
    <w:rsid w:val="62D16199"/>
    <w:rsid w:val="62D6719E"/>
    <w:rsid w:val="62FC4477"/>
    <w:rsid w:val="630F3F38"/>
    <w:rsid w:val="63520F1A"/>
    <w:rsid w:val="63555F06"/>
    <w:rsid w:val="635D3329"/>
    <w:rsid w:val="635F3637"/>
    <w:rsid w:val="637871C7"/>
    <w:rsid w:val="6381535B"/>
    <w:rsid w:val="6384309D"/>
    <w:rsid w:val="638C3D00"/>
    <w:rsid w:val="639141AA"/>
    <w:rsid w:val="63940CAF"/>
    <w:rsid w:val="63942566"/>
    <w:rsid w:val="6394356A"/>
    <w:rsid w:val="63B57EF1"/>
    <w:rsid w:val="63C61B2C"/>
    <w:rsid w:val="63CC0713"/>
    <w:rsid w:val="63D24ECA"/>
    <w:rsid w:val="63D40BE9"/>
    <w:rsid w:val="63DF2082"/>
    <w:rsid w:val="63FC132D"/>
    <w:rsid w:val="64102431"/>
    <w:rsid w:val="642E3CB8"/>
    <w:rsid w:val="642E7722"/>
    <w:rsid w:val="642F67E7"/>
    <w:rsid w:val="644520EB"/>
    <w:rsid w:val="64461AB8"/>
    <w:rsid w:val="645C7B76"/>
    <w:rsid w:val="64632349"/>
    <w:rsid w:val="646C1136"/>
    <w:rsid w:val="64916833"/>
    <w:rsid w:val="64A5243A"/>
    <w:rsid w:val="64E071D8"/>
    <w:rsid w:val="64F531DE"/>
    <w:rsid w:val="64F8164D"/>
    <w:rsid w:val="64FF3D1B"/>
    <w:rsid w:val="6502427A"/>
    <w:rsid w:val="650E7B4D"/>
    <w:rsid w:val="652778E1"/>
    <w:rsid w:val="65373578"/>
    <w:rsid w:val="653E6F19"/>
    <w:rsid w:val="653F12CB"/>
    <w:rsid w:val="6545060B"/>
    <w:rsid w:val="65605444"/>
    <w:rsid w:val="65622F6B"/>
    <w:rsid w:val="65794933"/>
    <w:rsid w:val="657C58B7"/>
    <w:rsid w:val="659D51CC"/>
    <w:rsid w:val="65BC08CD"/>
    <w:rsid w:val="65D06126"/>
    <w:rsid w:val="65EA0CC9"/>
    <w:rsid w:val="660202AA"/>
    <w:rsid w:val="660B53B0"/>
    <w:rsid w:val="661324B7"/>
    <w:rsid w:val="66235272"/>
    <w:rsid w:val="662F4444"/>
    <w:rsid w:val="66464D7E"/>
    <w:rsid w:val="664A237C"/>
    <w:rsid w:val="664E0EA5"/>
    <w:rsid w:val="665C3E5E"/>
    <w:rsid w:val="666902A6"/>
    <w:rsid w:val="668533B4"/>
    <w:rsid w:val="66B6356E"/>
    <w:rsid w:val="66BA095E"/>
    <w:rsid w:val="66C946D9"/>
    <w:rsid w:val="66D02156"/>
    <w:rsid w:val="66DF7CB0"/>
    <w:rsid w:val="66EF5C92"/>
    <w:rsid w:val="66F26258"/>
    <w:rsid w:val="66F8003A"/>
    <w:rsid w:val="66F95B50"/>
    <w:rsid w:val="67112E9A"/>
    <w:rsid w:val="671169F6"/>
    <w:rsid w:val="67135656"/>
    <w:rsid w:val="6716225F"/>
    <w:rsid w:val="67185FD7"/>
    <w:rsid w:val="671D63D5"/>
    <w:rsid w:val="671F124A"/>
    <w:rsid w:val="67271640"/>
    <w:rsid w:val="674A015A"/>
    <w:rsid w:val="67656D42"/>
    <w:rsid w:val="677A33C6"/>
    <w:rsid w:val="67A71109"/>
    <w:rsid w:val="67B46B65"/>
    <w:rsid w:val="67CF4BF7"/>
    <w:rsid w:val="681A3FD0"/>
    <w:rsid w:val="681A67B8"/>
    <w:rsid w:val="681D7C60"/>
    <w:rsid w:val="681F6961"/>
    <w:rsid w:val="6828172D"/>
    <w:rsid w:val="684739A8"/>
    <w:rsid w:val="68582403"/>
    <w:rsid w:val="68610A2F"/>
    <w:rsid w:val="687A681D"/>
    <w:rsid w:val="68805514"/>
    <w:rsid w:val="68DE3D33"/>
    <w:rsid w:val="69017824"/>
    <w:rsid w:val="690B4CFB"/>
    <w:rsid w:val="690D143F"/>
    <w:rsid w:val="690F3409"/>
    <w:rsid w:val="691C7D63"/>
    <w:rsid w:val="69215CB8"/>
    <w:rsid w:val="69316E2F"/>
    <w:rsid w:val="693E77B0"/>
    <w:rsid w:val="694E2071"/>
    <w:rsid w:val="69531548"/>
    <w:rsid w:val="6957358A"/>
    <w:rsid w:val="696B5589"/>
    <w:rsid w:val="69766163"/>
    <w:rsid w:val="697A3B33"/>
    <w:rsid w:val="697C3B65"/>
    <w:rsid w:val="697E0274"/>
    <w:rsid w:val="6988406D"/>
    <w:rsid w:val="699F653B"/>
    <w:rsid w:val="69BD2E65"/>
    <w:rsid w:val="69C72F87"/>
    <w:rsid w:val="69D44760"/>
    <w:rsid w:val="69EB1780"/>
    <w:rsid w:val="69F72936"/>
    <w:rsid w:val="69F80BFC"/>
    <w:rsid w:val="6A0746BF"/>
    <w:rsid w:val="6A2922A9"/>
    <w:rsid w:val="6A3F7D1E"/>
    <w:rsid w:val="6A4913B5"/>
    <w:rsid w:val="6A520EC7"/>
    <w:rsid w:val="6A7823C5"/>
    <w:rsid w:val="6AA67D9D"/>
    <w:rsid w:val="6AA70E28"/>
    <w:rsid w:val="6AA875F7"/>
    <w:rsid w:val="6AAD2DB2"/>
    <w:rsid w:val="6AAE27AE"/>
    <w:rsid w:val="6AB60012"/>
    <w:rsid w:val="6ABE3B1C"/>
    <w:rsid w:val="6AD06466"/>
    <w:rsid w:val="6AD918C3"/>
    <w:rsid w:val="6AF87E20"/>
    <w:rsid w:val="6B014FD4"/>
    <w:rsid w:val="6B1765E4"/>
    <w:rsid w:val="6B1C774A"/>
    <w:rsid w:val="6B27067A"/>
    <w:rsid w:val="6B322639"/>
    <w:rsid w:val="6B3F49C8"/>
    <w:rsid w:val="6B5477F9"/>
    <w:rsid w:val="6B5C220A"/>
    <w:rsid w:val="6B607066"/>
    <w:rsid w:val="6B783627"/>
    <w:rsid w:val="6BA240C1"/>
    <w:rsid w:val="6BA738D4"/>
    <w:rsid w:val="6BA73E6E"/>
    <w:rsid w:val="6BC168B5"/>
    <w:rsid w:val="6BC77FCB"/>
    <w:rsid w:val="6BCA111F"/>
    <w:rsid w:val="6BDE3DB5"/>
    <w:rsid w:val="6C044D7B"/>
    <w:rsid w:val="6C184383"/>
    <w:rsid w:val="6C2247C7"/>
    <w:rsid w:val="6C5279B2"/>
    <w:rsid w:val="6C636C38"/>
    <w:rsid w:val="6C700663"/>
    <w:rsid w:val="6C811FFD"/>
    <w:rsid w:val="6C8163CC"/>
    <w:rsid w:val="6CF15220"/>
    <w:rsid w:val="6D031B69"/>
    <w:rsid w:val="6D100720"/>
    <w:rsid w:val="6D1D5019"/>
    <w:rsid w:val="6D2677FC"/>
    <w:rsid w:val="6D2D20B0"/>
    <w:rsid w:val="6D43230F"/>
    <w:rsid w:val="6D623811"/>
    <w:rsid w:val="6D656628"/>
    <w:rsid w:val="6D6E6B6B"/>
    <w:rsid w:val="6D714693"/>
    <w:rsid w:val="6D8617C0"/>
    <w:rsid w:val="6D8B6BE4"/>
    <w:rsid w:val="6D964144"/>
    <w:rsid w:val="6DAD4F9F"/>
    <w:rsid w:val="6DB34098"/>
    <w:rsid w:val="6DB52698"/>
    <w:rsid w:val="6DB545B6"/>
    <w:rsid w:val="6DD90715"/>
    <w:rsid w:val="6DE02FB4"/>
    <w:rsid w:val="6DE63302"/>
    <w:rsid w:val="6E012965"/>
    <w:rsid w:val="6E041063"/>
    <w:rsid w:val="6E0E2143"/>
    <w:rsid w:val="6E2378C1"/>
    <w:rsid w:val="6E257913"/>
    <w:rsid w:val="6E2A4841"/>
    <w:rsid w:val="6E2E7ECC"/>
    <w:rsid w:val="6E4C2FBA"/>
    <w:rsid w:val="6E514CED"/>
    <w:rsid w:val="6E5518BE"/>
    <w:rsid w:val="6E5F3482"/>
    <w:rsid w:val="6E7C42C8"/>
    <w:rsid w:val="6E843F52"/>
    <w:rsid w:val="6EB563D5"/>
    <w:rsid w:val="6EB94E6D"/>
    <w:rsid w:val="6ECE341F"/>
    <w:rsid w:val="6ED5421A"/>
    <w:rsid w:val="6ED749C9"/>
    <w:rsid w:val="6ED92677"/>
    <w:rsid w:val="6EF0248F"/>
    <w:rsid w:val="6F0A3AFB"/>
    <w:rsid w:val="6F225983"/>
    <w:rsid w:val="6F2A6F6F"/>
    <w:rsid w:val="6F566D49"/>
    <w:rsid w:val="6F5A2DFE"/>
    <w:rsid w:val="6F5F4A4D"/>
    <w:rsid w:val="6F6049BF"/>
    <w:rsid w:val="6F991C7F"/>
    <w:rsid w:val="6F9E212C"/>
    <w:rsid w:val="6FAA5C3A"/>
    <w:rsid w:val="6FD43436"/>
    <w:rsid w:val="6FD52F5C"/>
    <w:rsid w:val="6FE43808"/>
    <w:rsid w:val="6FF34176"/>
    <w:rsid w:val="6FFC5590"/>
    <w:rsid w:val="70022B97"/>
    <w:rsid w:val="700A0487"/>
    <w:rsid w:val="701F501C"/>
    <w:rsid w:val="702E23C7"/>
    <w:rsid w:val="70540C83"/>
    <w:rsid w:val="70561CBC"/>
    <w:rsid w:val="70616401"/>
    <w:rsid w:val="70696A50"/>
    <w:rsid w:val="706D1DD0"/>
    <w:rsid w:val="70856B87"/>
    <w:rsid w:val="70AE52B6"/>
    <w:rsid w:val="70B9041F"/>
    <w:rsid w:val="70BD6212"/>
    <w:rsid w:val="70D527EE"/>
    <w:rsid w:val="70D90117"/>
    <w:rsid w:val="70E64A50"/>
    <w:rsid w:val="7104581E"/>
    <w:rsid w:val="713F014B"/>
    <w:rsid w:val="71587CD3"/>
    <w:rsid w:val="715B5300"/>
    <w:rsid w:val="715F2A54"/>
    <w:rsid w:val="719764F7"/>
    <w:rsid w:val="71B72890"/>
    <w:rsid w:val="71BF2CC8"/>
    <w:rsid w:val="71C46393"/>
    <w:rsid w:val="71C84F54"/>
    <w:rsid w:val="71CA611F"/>
    <w:rsid w:val="71CC77C2"/>
    <w:rsid w:val="71D27F8A"/>
    <w:rsid w:val="72134E62"/>
    <w:rsid w:val="72194E0E"/>
    <w:rsid w:val="722E5DA3"/>
    <w:rsid w:val="72553024"/>
    <w:rsid w:val="7265409A"/>
    <w:rsid w:val="72936E59"/>
    <w:rsid w:val="729E6109"/>
    <w:rsid w:val="72BD0483"/>
    <w:rsid w:val="72CB65F3"/>
    <w:rsid w:val="72FF0741"/>
    <w:rsid w:val="73122968"/>
    <w:rsid w:val="731F5D5E"/>
    <w:rsid w:val="73207690"/>
    <w:rsid w:val="732C4E8C"/>
    <w:rsid w:val="735164BE"/>
    <w:rsid w:val="735B35C6"/>
    <w:rsid w:val="738C041D"/>
    <w:rsid w:val="73A261DE"/>
    <w:rsid w:val="73B471FE"/>
    <w:rsid w:val="73B5320B"/>
    <w:rsid w:val="73C038AB"/>
    <w:rsid w:val="73C51AD5"/>
    <w:rsid w:val="73C53042"/>
    <w:rsid w:val="73DC213A"/>
    <w:rsid w:val="7410704F"/>
    <w:rsid w:val="74147B26"/>
    <w:rsid w:val="741E793C"/>
    <w:rsid w:val="74294AF6"/>
    <w:rsid w:val="74341F76"/>
    <w:rsid w:val="745E3944"/>
    <w:rsid w:val="74850A24"/>
    <w:rsid w:val="749B1FF5"/>
    <w:rsid w:val="74A4534E"/>
    <w:rsid w:val="74A92964"/>
    <w:rsid w:val="74AA5C83"/>
    <w:rsid w:val="74BC52A1"/>
    <w:rsid w:val="74E97D07"/>
    <w:rsid w:val="74F3598D"/>
    <w:rsid w:val="74FE2C3F"/>
    <w:rsid w:val="75027F24"/>
    <w:rsid w:val="7513394F"/>
    <w:rsid w:val="7532765E"/>
    <w:rsid w:val="75377F70"/>
    <w:rsid w:val="754D6FE3"/>
    <w:rsid w:val="755651FF"/>
    <w:rsid w:val="7589772A"/>
    <w:rsid w:val="75AA6994"/>
    <w:rsid w:val="75B07F1D"/>
    <w:rsid w:val="75D91D6C"/>
    <w:rsid w:val="75E86171"/>
    <w:rsid w:val="75F2770C"/>
    <w:rsid w:val="76120095"/>
    <w:rsid w:val="7613018A"/>
    <w:rsid w:val="761D64FD"/>
    <w:rsid w:val="762B6E04"/>
    <w:rsid w:val="7635099D"/>
    <w:rsid w:val="765F1B8F"/>
    <w:rsid w:val="768C7E47"/>
    <w:rsid w:val="7690626B"/>
    <w:rsid w:val="76946CFC"/>
    <w:rsid w:val="769E2278"/>
    <w:rsid w:val="76A50F09"/>
    <w:rsid w:val="76AF6EA2"/>
    <w:rsid w:val="76B11D32"/>
    <w:rsid w:val="76BD0D38"/>
    <w:rsid w:val="76D11659"/>
    <w:rsid w:val="76F854DD"/>
    <w:rsid w:val="76FB3C64"/>
    <w:rsid w:val="772207AC"/>
    <w:rsid w:val="77271B0C"/>
    <w:rsid w:val="77752FD1"/>
    <w:rsid w:val="77762421"/>
    <w:rsid w:val="777911B5"/>
    <w:rsid w:val="777B359A"/>
    <w:rsid w:val="777D1E86"/>
    <w:rsid w:val="778D2B00"/>
    <w:rsid w:val="779C40BA"/>
    <w:rsid w:val="77B56B1F"/>
    <w:rsid w:val="77BC18D4"/>
    <w:rsid w:val="77E53A25"/>
    <w:rsid w:val="780253C8"/>
    <w:rsid w:val="780F09F4"/>
    <w:rsid w:val="78104AA8"/>
    <w:rsid w:val="781147CB"/>
    <w:rsid w:val="782F3180"/>
    <w:rsid w:val="783A38D3"/>
    <w:rsid w:val="783C3F1A"/>
    <w:rsid w:val="78462278"/>
    <w:rsid w:val="78826582"/>
    <w:rsid w:val="788C6DD5"/>
    <w:rsid w:val="788F5DDA"/>
    <w:rsid w:val="789E7F82"/>
    <w:rsid w:val="78A82F32"/>
    <w:rsid w:val="78A90480"/>
    <w:rsid w:val="78A956BE"/>
    <w:rsid w:val="78AC1A52"/>
    <w:rsid w:val="78C93BB8"/>
    <w:rsid w:val="78EF295D"/>
    <w:rsid w:val="78F978E5"/>
    <w:rsid w:val="78FE33A1"/>
    <w:rsid w:val="79033EDA"/>
    <w:rsid w:val="79221ACD"/>
    <w:rsid w:val="79230AF6"/>
    <w:rsid w:val="793A229D"/>
    <w:rsid w:val="793B7903"/>
    <w:rsid w:val="795523FC"/>
    <w:rsid w:val="79764DDF"/>
    <w:rsid w:val="798E2128"/>
    <w:rsid w:val="799F60E4"/>
    <w:rsid w:val="79A33E26"/>
    <w:rsid w:val="79A454A8"/>
    <w:rsid w:val="79A9083B"/>
    <w:rsid w:val="79E903F0"/>
    <w:rsid w:val="7A036672"/>
    <w:rsid w:val="7A0D74F1"/>
    <w:rsid w:val="7A144135"/>
    <w:rsid w:val="7A2B3F6A"/>
    <w:rsid w:val="7A2B76DE"/>
    <w:rsid w:val="7A364017"/>
    <w:rsid w:val="7A3B3D87"/>
    <w:rsid w:val="7A4A24F3"/>
    <w:rsid w:val="7A552C46"/>
    <w:rsid w:val="7A770E0E"/>
    <w:rsid w:val="7A8265E1"/>
    <w:rsid w:val="7A862E00"/>
    <w:rsid w:val="7AA023F3"/>
    <w:rsid w:val="7AAC5F98"/>
    <w:rsid w:val="7AB71B55"/>
    <w:rsid w:val="7AC83C05"/>
    <w:rsid w:val="7ACA7190"/>
    <w:rsid w:val="7ACC043A"/>
    <w:rsid w:val="7AD24297"/>
    <w:rsid w:val="7AD5601C"/>
    <w:rsid w:val="7AE55D78"/>
    <w:rsid w:val="7B1B5C3E"/>
    <w:rsid w:val="7B2D1C44"/>
    <w:rsid w:val="7B384BC8"/>
    <w:rsid w:val="7B566C76"/>
    <w:rsid w:val="7B684A03"/>
    <w:rsid w:val="7B686D42"/>
    <w:rsid w:val="7B841746"/>
    <w:rsid w:val="7B95154C"/>
    <w:rsid w:val="7BA45C33"/>
    <w:rsid w:val="7BBA1D07"/>
    <w:rsid w:val="7BC71071"/>
    <w:rsid w:val="7BE16FCA"/>
    <w:rsid w:val="7BE67FFA"/>
    <w:rsid w:val="7BF85F7F"/>
    <w:rsid w:val="7C1D7794"/>
    <w:rsid w:val="7C211032"/>
    <w:rsid w:val="7C2C1579"/>
    <w:rsid w:val="7C2D10C0"/>
    <w:rsid w:val="7C340E4C"/>
    <w:rsid w:val="7C442E67"/>
    <w:rsid w:val="7C4A0507"/>
    <w:rsid w:val="7C5C305D"/>
    <w:rsid w:val="7C5F25C6"/>
    <w:rsid w:val="7C6C5AC7"/>
    <w:rsid w:val="7C75137E"/>
    <w:rsid w:val="7CA9128F"/>
    <w:rsid w:val="7CB974BC"/>
    <w:rsid w:val="7CC40763"/>
    <w:rsid w:val="7CC6544B"/>
    <w:rsid w:val="7D0239FF"/>
    <w:rsid w:val="7D0C7D89"/>
    <w:rsid w:val="7D24527D"/>
    <w:rsid w:val="7D5B2A8C"/>
    <w:rsid w:val="7D5E40CD"/>
    <w:rsid w:val="7D670B0E"/>
    <w:rsid w:val="7D7717E6"/>
    <w:rsid w:val="7D8F646F"/>
    <w:rsid w:val="7D983576"/>
    <w:rsid w:val="7DA0242A"/>
    <w:rsid w:val="7DAA5CD3"/>
    <w:rsid w:val="7DB06B11"/>
    <w:rsid w:val="7DC12B60"/>
    <w:rsid w:val="7DC51FA1"/>
    <w:rsid w:val="7DCD56F2"/>
    <w:rsid w:val="7DD63DE7"/>
    <w:rsid w:val="7DE4195C"/>
    <w:rsid w:val="7E064983"/>
    <w:rsid w:val="7E28325F"/>
    <w:rsid w:val="7E3C65F7"/>
    <w:rsid w:val="7E531B26"/>
    <w:rsid w:val="7E7B3392"/>
    <w:rsid w:val="7E8B30DA"/>
    <w:rsid w:val="7E9401E1"/>
    <w:rsid w:val="7E9A5639"/>
    <w:rsid w:val="7EA10DDC"/>
    <w:rsid w:val="7EAA3560"/>
    <w:rsid w:val="7EAB4931"/>
    <w:rsid w:val="7EC16584"/>
    <w:rsid w:val="7EC357BF"/>
    <w:rsid w:val="7EDC7492"/>
    <w:rsid w:val="7EDE145C"/>
    <w:rsid w:val="7EE227C2"/>
    <w:rsid w:val="7EF425D4"/>
    <w:rsid w:val="7EFC18E2"/>
    <w:rsid w:val="7F001CE7"/>
    <w:rsid w:val="7F204B4A"/>
    <w:rsid w:val="7F3F3880"/>
    <w:rsid w:val="7F605CD2"/>
    <w:rsid w:val="7F7304EC"/>
    <w:rsid w:val="7F747428"/>
    <w:rsid w:val="7F7829FC"/>
    <w:rsid w:val="7F855D7C"/>
    <w:rsid w:val="7F9A0C15"/>
    <w:rsid w:val="7FBD72C3"/>
    <w:rsid w:val="7FE47E50"/>
    <w:rsid w:val="7FEE1B73"/>
    <w:rsid w:val="7FF41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99" w:semiHidden="0" w:name="Body Text Indent 2" w:locked="1"/>
    <w:lsdException w:qFormat="1"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99"/>
    <w:pPr>
      <w:keepNext/>
      <w:keepLines/>
      <w:spacing w:before="260" w:after="260" w:line="416" w:lineRule="auto"/>
      <w:jc w:val="center"/>
      <w:outlineLvl w:val="1"/>
    </w:pPr>
    <w:rPr>
      <w:rFonts w:ascii="Arial" w:hAnsi="Arial" w:eastAsia="黑体" w:cs="Arial"/>
      <w:sz w:val="32"/>
      <w:szCs w:val="32"/>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locked/>
    <w:uiPriority w:val="0"/>
    <w:pPr>
      <w:ind w:firstLine="420" w:firstLineChars="200"/>
    </w:pPr>
  </w:style>
  <w:style w:type="paragraph" w:styleId="5">
    <w:name w:val="caption"/>
    <w:basedOn w:val="1"/>
    <w:next w:val="1"/>
    <w:qFormat/>
    <w:locked/>
    <w:uiPriority w:val="35"/>
    <w:rPr>
      <w:rFonts w:ascii="Arial" w:hAnsi="Arial" w:eastAsia="黑体"/>
      <w:sz w:val="20"/>
    </w:rPr>
  </w:style>
  <w:style w:type="paragraph" w:styleId="6">
    <w:name w:val="annotation text"/>
    <w:basedOn w:val="1"/>
    <w:link w:val="41"/>
    <w:semiHidden/>
    <w:qFormat/>
    <w:uiPriority w:val="0"/>
    <w:pPr>
      <w:jc w:val="left"/>
    </w:pPr>
    <w:rPr>
      <w:kern w:val="0"/>
      <w:sz w:val="24"/>
      <w:szCs w:val="20"/>
    </w:rPr>
  </w:style>
  <w:style w:type="paragraph" w:styleId="7">
    <w:name w:val="Body Text"/>
    <w:basedOn w:val="1"/>
    <w:link w:val="42"/>
    <w:qFormat/>
    <w:uiPriority w:val="0"/>
    <w:pPr>
      <w:widowControl/>
      <w:snapToGrid w:val="0"/>
      <w:spacing w:before="60" w:after="160" w:line="259" w:lineRule="auto"/>
      <w:ind w:right="113"/>
    </w:pPr>
    <w:rPr>
      <w:kern w:val="0"/>
      <w:sz w:val="18"/>
      <w:szCs w:val="20"/>
    </w:rPr>
  </w:style>
  <w:style w:type="paragraph" w:styleId="8">
    <w:name w:val="Body Text Indent"/>
    <w:basedOn w:val="1"/>
    <w:link w:val="43"/>
    <w:qFormat/>
    <w:uiPriority w:val="0"/>
    <w:pPr>
      <w:spacing w:after="120"/>
      <w:ind w:left="420" w:leftChars="200"/>
    </w:pPr>
    <w:rPr>
      <w:kern w:val="0"/>
      <w:sz w:val="24"/>
      <w:szCs w:val="20"/>
    </w:rPr>
  </w:style>
  <w:style w:type="paragraph" w:styleId="9">
    <w:name w:val="Block Text"/>
    <w:basedOn w:val="1"/>
    <w:qFormat/>
    <w:locked/>
    <w:uiPriority w:val="0"/>
    <w:pPr>
      <w:adjustRightInd w:val="0"/>
      <w:snapToGrid w:val="0"/>
      <w:spacing w:line="300" w:lineRule="atLeast"/>
      <w:ind w:left="420" w:leftChars="200" w:right="-336" w:rightChars="-160"/>
    </w:pPr>
  </w:style>
  <w:style w:type="paragraph" w:styleId="10">
    <w:name w:val="Plain Text"/>
    <w:basedOn w:val="1"/>
    <w:qFormat/>
    <w:locked/>
    <w:uiPriority w:val="0"/>
    <w:rPr>
      <w:rFonts w:ascii="宋体" w:hAnsi="Courier New" w:cs="Courier New"/>
      <w:szCs w:val="21"/>
    </w:rPr>
  </w:style>
  <w:style w:type="paragraph" w:styleId="11">
    <w:name w:val="List Bullet 5"/>
    <w:basedOn w:val="1"/>
    <w:qFormat/>
    <w:locked/>
    <w:uiPriority w:val="0"/>
    <w:pPr>
      <w:numPr>
        <w:ilvl w:val="0"/>
        <w:numId w:val="1"/>
      </w:numPr>
    </w:pPr>
  </w:style>
  <w:style w:type="paragraph" w:styleId="12">
    <w:name w:val="Date"/>
    <w:basedOn w:val="1"/>
    <w:next w:val="1"/>
    <w:link w:val="44"/>
    <w:qFormat/>
    <w:uiPriority w:val="0"/>
    <w:pPr>
      <w:ind w:left="100" w:leftChars="2500"/>
    </w:pPr>
    <w:rPr>
      <w:kern w:val="0"/>
      <w:sz w:val="24"/>
      <w:szCs w:val="20"/>
    </w:rPr>
  </w:style>
  <w:style w:type="paragraph" w:styleId="13">
    <w:name w:val="Body Text Indent 2"/>
    <w:basedOn w:val="1"/>
    <w:next w:val="14"/>
    <w:qFormat/>
    <w:locked/>
    <w:uiPriority w:val="99"/>
    <w:pPr>
      <w:spacing w:line="360" w:lineRule="auto"/>
      <w:ind w:left="560"/>
    </w:pPr>
  </w:style>
  <w:style w:type="paragraph" w:styleId="14">
    <w:name w:val="Body Text First Indent 2"/>
    <w:basedOn w:val="8"/>
    <w:next w:val="1"/>
    <w:unhideWhenUsed/>
    <w:qFormat/>
    <w:locked/>
    <w:uiPriority w:val="0"/>
    <w:pPr>
      <w:ind w:firstLine="420" w:firstLineChars="200"/>
    </w:pPr>
    <w:rPr>
      <w:kern w:val="2"/>
      <w:sz w:val="28"/>
    </w:rPr>
  </w:style>
  <w:style w:type="paragraph" w:styleId="15">
    <w:name w:val="Balloon Text"/>
    <w:basedOn w:val="1"/>
    <w:link w:val="45"/>
    <w:semiHidden/>
    <w:qFormat/>
    <w:uiPriority w:val="0"/>
    <w:rPr>
      <w:kern w:val="0"/>
      <w:sz w:val="18"/>
      <w:szCs w:val="20"/>
    </w:rPr>
  </w:style>
  <w:style w:type="paragraph" w:styleId="16">
    <w:name w:val="footer"/>
    <w:basedOn w:val="1"/>
    <w:link w:val="46"/>
    <w:qFormat/>
    <w:uiPriority w:val="99"/>
    <w:pPr>
      <w:tabs>
        <w:tab w:val="center" w:pos="4153"/>
        <w:tab w:val="right" w:pos="8306"/>
      </w:tabs>
      <w:snapToGrid w:val="0"/>
      <w:jc w:val="left"/>
    </w:pPr>
    <w:rPr>
      <w:kern w:val="0"/>
      <w:sz w:val="18"/>
      <w:szCs w:val="20"/>
    </w:rPr>
  </w:style>
  <w:style w:type="paragraph" w:styleId="17">
    <w:name w:val="header"/>
    <w:basedOn w:val="1"/>
    <w:next w:val="18"/>
    <w:link w:val="47"/>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8">
    <w:name w:val="样式5"/>
    <w:basedOn w:val="19"/>
    <w:next w:val="1"/>
    <w:qFormat/>
    <w:uiPriority w:val="0"/>
    <w:pPr>
      <w:spacing w:before="120" w:after="120" w:line="400" w:lineRule="exact"/>
      <w:ind w:firstLine="480"/>
    </w:pPr>
    <w:rPr>
      <w:iCs/>
    </w:rPr>
  </w:style>
  <w:style w:type="paragraph" w:customStyle="1" w:styleId="19">
    <w:name w:val="样式3"/>
    <w:basedOn w:val="20"/>
    <w:qFormat/>
    <w:uiPriority w:val="0"/>
    <w:pPr>
      <w:keepNext/>
      <w:spacing w:after="60" w:line="600" w:lineRule="exact"/>
      <w:ind w:right="-193" w:firstLine="624"/>
      <w:jc w:val="center"/>
    </w:pPr>
    <w:rPr>
      <w:spacing w:val="10"/>
    </w:rPr>
  </w:style>
  <w:style w:type="paragraph" w:styleId="20">
    <w:name w:val="List"/>
    <w:basedOn w:val="1"/>
    <w:qFormat/>
    <w:locked/>
    <w:uiPriority w:val="0"/>
    <w:pPr>
      <w:spacing w:before="60" w:after="240" w:line="240" w:lineRule="atLeast"/>
      <w:ind w:left="360" w:hanging="360"/>
      <w:textAlignment w:val="baseline"/>
    </w:pPr>
    <w:rPr>
      <w:b/>
      <w:spacing w:val="20"/>
      <w:kern w:val="0"/>
      <w:sz w:val="28"/>
      <w:szCs w:val="20"/>
    </w:rPr>
  </w:style>
  <w:style w:type="paragraph" w:styleId="21">
    <w:name w:val="toc 6"/>
    <w:basedOn w:val="1"/>
    <w:next w:val="1"/>
    <w:qFormat/>
    <w:locked/>
    <w:uiPriority w:val="0"/>
    <w:pPr>
      <w:ind w:left="1050"/>
      <w:jc w:val="left"/>
    </w:pPr>
    <w:rPr>
      <w:sz w:val="18"/>
      <w:szCs w:val="18"/>
    </w:rPr>
  </w:style>
  <w:style w:type="paragraph" w:styleId="22">
    <w:name w:val="Body Text Indent 3"/>
    <w:basedOn w:val="1"/>
    <w:unhideWhenUsed/>
    <w:qFormat/>
    <w:locked/>
    <w:uiPriority w:val="0"/>
    <w:pPr>
      <w:spacing w:after="120"/>
      <w:ind w:left="420" w:leftChars="200"/>
    </w:pPr>
    <w:rPr>
      <w:sz w:val="16"/>
    </w:rPr>
  </w:style>
  <w:style w:type="paragraph" w:styleId="23">
    <w:name w:val="table of figures"/>
    <w:basedOn w:val="1"/>
    <w:next w:val="1"/>
    <w:qFormat/>
    <w:locked/>
    <w:uiPriority w:val="0"/>
    <w:pPr>
      <w:ind w:left="200" w:leftChars="200" w:hanging="200" w:hangingChars="200"/>
    </w:pPr>
  </w:style>
  <w:style w:type="paragraph" w:styleId="24">
    <w:name w:val="Normal (Web)"/>
    <w:basedOn w:val="1"/>
    <w:link w:val="48"/>
    <w:qFormat/>
    <w:uiPriority w:val="0"/>
    <w:pPr>
      <w:widowControl/>
      <w:spacing w:before="100" w:beforeAutospacing="1" w:after="100" w:afterAutospacing="1"/>
      <w:jc w:val="left"/>
    </w:pPr>
    <w:rPr>
      <w:rFonts w:ascii="宋体" w:hAnsi="宋体"/>
      <w:kern w:val="0"/>
      <w:sz w:val="24"/>
      <w:szCs w:val="20"/>
    </w:rPr>
  </w:style>
  <w:style w:type="paragraph" w:styleId="25">
    <w:name w:val="annotation subject"/>
    <w:basedOn w:val="6"/>
    <w:next w:val="6"/>
    <w:link w:val="49"/>
    <w:semiHidden/>
    <w:qFormat/>
    <w:uiPriority w:val="0"/>
    <w:rPr>
      <w:b/>
    </w:rPr>
  </w:style>
  <w:style w:type="paragraph" w:styleId="26">
    <w:name w:val="Body Text First Indent"/>
    <w:basedOn w:val="7"/>
    <w:next w:val="1"/>
    <w:qFormat/>
    <w:locked/>
    <w:uiPriority w:val="0"/>
    <w:pPr>
      <w:ind w:firstLine="420" w:firstLineChars="100"/>
    </w:p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locked/>
    <w:uiPriority w:val="0"/>
    <w:rPr>
      <w:b/>
    </w:rPr>
  </w:style>
  <w:style w:type="character" w:styleId="31">
    <w:name w:val="page number"/>
    <w:qFormat/>
    <w:locked/>
    <w:uiPriority w:val="0"/>
  </w:style>
  <w:style w:type="character" w:styleId="32">
    <w:name w:val="Emphasis"/>
    <w:qFormat/>
    <w:locked/>
    <w:uiPriority w:val="0"/>
    <w:rPr>
      <w:i/>
    </w:rPr>
  </w:style>
  <w:style w:type="character" w:styleId="33">
    <w:name w:val="Hyperlink"/>
    <w:qFormat/>
    <w:locked/>
    <w:uiPriority w:val="0"/>
    <w:rPr>
      <w:color w:val="0000FF"/>
      <w:u w:val="single"/>
    </w:rPr>
  </w:style>
  <w:style w:type="character" w:styleId="34">
    <w:name w:val="annotation reference"/>
    <w:semiHidden/>
    <w:qFormat/>
    <w:uiPriority w:val="0"/>
    <w:rPr>
      <w:sz w:val="21"/>
    </w:rPr>
  </w:style>
  <w:style w:type="paragraph" w:customStyle="1" w:styleId="35">
    <w:name w:val="Default"/>
    <w:basedOn w:val="36"/>
    <w:qFormat/>
    <w:uiPriority w:val="0"/>
    <w:rPr>
      <w:rFonts w:cs="宋体"/>
      <w:color w:val="000000"/>
      <w:sz w:val="24"/>
      <w:szCs w:val="24"/>
    </w:rPr>
  </w:style>
  <w:style w:type="paragraph" w:customStyle="1" w:styleId="36">
    <w:name w:val="纯文本1"/>
    <w:basedOn w:val="1"/>
    <w:qFormat/>
    <w:uiPriority w:val="99"/>
    <w:pPr>
      <w:autoSpaceDE w:val="0"/>
      <w:autoSpaceDN w:val="0"/>
      <w:adjustRightInd w:val="0"/>
      <w:textAlignment w:val="baseline"/>
    </w:pPr>
    <w:rPr>
      <w:rFonts w:ascii="宋体"/>
      <w:szCs w:val="20"/>
    </w:rPr>
  </w:style>
  <w:style w:type="paragraph" w:customStyle="1" w:styleId="37">
    <w:name w:val="表格"/>
    <w:basedOn w:val="1"/>
    <w:next w:val="1"/>
    <w:link w:val="40"/>
    <w:qFormat/>
    <w:uiPriority w:val="0"/>
    <w:pPr>
      <w:adjustRightInd w:val="0"/>
      <w:snapToGrid w:val="0"/>
      <w:spacing w:beforeLines="10" w:afterLines="10" w:line="259" w:lineRule="auto"/>
      <w:jc w:val="center"/>
    </w:pPr>
    <w:rPr>
      <w:rFonts w:ascii="宋体"/>
      <w:kern w:val="0"/>
      <w:szCs w:val="20"/>
    </w:rPr>
  </w:style>
  <w:style w:type="paragraph" w:customStyle="1" w:styleId="38">
    <w:name w:val="样式1"/>
    <w:basedOn w:val="1"/>
    <w:qFormat/>
    <w:uiPriority w:val="0"/>
    <w:pPr>
      <w:spacing w:after="40" w:line="300" w:lineRule="atLeast"/>
      <w:jc w:val="center"/>
      <w:outlineLvl w:val="2"/>
    </w:pPr>
    <w:rPr>
      <w:rFonts w:eastAsia="楷体_GB2312"/>
    </w:rPr>
  </w:style>
  <w:style w:type="paragraph" w:customStyle="1" w:styleId="39">
    <w:name w:val="图表标题"/>
    <w:basedOn w:val="1"/>
    <w:qFormat/>
    <w:uiPriority w:val="0"/>
    <w:pPr>
      <w:spacing w:before="50" w:beforeLines="50" w:line="360" w:lineRule="auto"/>
      <w:jc w:val="center"/>
    </w:pPr>
    <w:rPr>
      <w:rFonts w:eastAsia="黑体"/>
      <w:sz w:val="24"/>
      <w:szCs w:val="22"/>
    </w:rPr>
  </w:style>
  <w:style w:type="character" w:customStyle="1" w:styleId="40">
    <w:name w:val="表格 Char"/>
    <w:link w:val="37"/>
    <w:qFormat/>
    <w:locked/>
    <w:uiPriority w:val="0"/>
    <w:rPr>
      <w:rFonts w:ascii="宋体"/>
      <w:sz w:val="21"/>
    </w:rPr>
  </w:style>
  <w:style w:type="character" w:customStyle="1" w:styleId="41">
    <w:name w:val="批注文字 Char"/>
    <w:link w:val="6"/>
    <w:qFormat/>
    <w:locked/>
    <w:uiPriority w:val="0"/>
    <w:rPr>
      <w:rFonts w:ascii="Times New Roman" w:hAnsi="Times New Roman" w:eastAsia="宋体"/>
      <w:sz w:val="24"/>
    </w:rPr>
  </w:style>
  <w:style w:type="character" w:customStyle="1" w:styleId="42">
    <w:name w:val="正文文本 Char"/>
    <w:link w:val="7"/>
    <w:qFormat/>
    <w:locked/>
    <w:uiPriority w:val="0"/>
    <w:rPr>
      <w:sz w:val="18"/>
    </w:rPr>
  </w:style>
  <w:style w:type="character" w:customStyle="1" w:styleId="43">
    <w:name w:val="正文文本缩进 Char"/>
    <w:link w:val="8"/>
    <w:semiHidden/>
    <w:qFormat/>
    <w:locked/>
    <w:uiPriority w:val="0"/>
    <w:rPr>
      <w:rFonts w:ascii="Times New Roman" w:hAnsi="Times New Roman" w:eastAsia="宋体"/>
      <w:sz w:val="24"/>
    </w:rPr>
  </w:style>
  <w:style w:type="character" w:customStyle="1" w:styleId="44">
    <w:name w:val="日期 Char"/>
    <w:link w:val="12"/>
    <w:qFormat/>
    <w:locked/>
    <w:uiPriority w:val="0"/>
    <w:rPr>
      <w:rFonts w:ascii="Times New Roman" w:hAnsi="Times New Roman" w:eastAsia="宋体"/>
      <w:sz w:val="24"/>
    </w:rPr>
  </w:style>
  <w:style w:type="character" w:customStyle="1" w:styleId="45">
    <w:name w:val="批注框文本 Char"/>
    <w:link w:val="15"/>
    <w:semiHidden/>
    <w:qFormat/>
    <w:locked/>
    <w:uiPriority w:val="0"/>
    <w:rPr>
      <w:rFonts w:ascii="Times New Roman" w:hAnsi="Times New Roman" w:eastAsia="宋体"/>
      <w:sz w:val="18"/>
    </w:rPr>
  </w:style>
  <w:style w:type="character" w:customStyle="1" w:styleId="46">
    <w:name w:val="页脚 Char"/>
    <w:link w:val="16"/>
    <w:qFormat/>
    <w:locked/>
    <w:uiPriority w:val="99"/>
    <w:rPr>
      <w:sz w:val="18"/>
    </w:rPr>
  </w:style>
  <w:style w:type="character" w:customStyle="1" w:styleId="47">
    <w:name w:val="页眉 Char"/>
    <w:link w:val="17"/>
    <w:qFormat/>
    <w:locked/>
    <w:uiPriority w:val="0"/>
    <w:rPr>
      <w:sz w:val="18"/>
    </w:rPr>
  </w:style>
  <w:style w:type="character" w:customStyle="1" w:styleId="48">
    <w:name w:val="普通(网站) Char"/>
    <w:link w:val="24"/>
    <w:qFormat/>
    <w:locked/>
    <w:uiPriority w:val="0"/>
    <w:rPr>
      <w:rFonts w:ascii="宋体" w:hAnsi="宋体" w:eastAsia="宋体"/>
      <w:sz w:val="24"/>
    </w:rPr>
  </w:style>
  <w:style w:type="character" w:customStyle="1" w:styleId="49">
    <w:name w:val="批注主题 Char"/>
    <w:link w:val="25"/>
    <w:semiHidden/>
    <w:qFormat/>
    <w:locked/>
    <w:uiPriority w:val="0"/>
    <w:rPr>
      <w:rFonts w:ascii="Times New Roman" w:hAnsi="Times New Roman" w:eastAsia="宋体"/>
      <w:b/>
      <w:kern w:val="2"/>
      <w:sz w:val="24"/>
    </w:rPr>
  </w:style>
  <w:style w:type="paragraph" w:customStyle="1" w:styleId="50">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1">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2">
    <w:name w:val="样式 标题 1一级标题 + 段前: 0.5 行 段后: 0.5 行"/>
    <w:basedOn w:val="2"/>
    <w:qFormat/>
    <w:uiPriority w:val="99"/>
    <w:pPr>
      <w:spacing w:line="320" w:lineRule="exact"/>
      <w:outlineLvl w:val="9"/>
    </w:pPr>
    <w:rPr>
      <w:spacing w:val="-6"/>
      <w:sz w:val="21"/>
      <w:szCs w:val="21"/>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页脚 字符"/>
    <w:qFormat/>
    <w:uiPriority w:val="99"/>
  </w:style>
  <w:style w:type="character" w:customStyle="1" w:styleId="55">
    <w:name w:val="正文文本 字符1"/>
    <w:semiHidden/>
    <w:qFormat/>
    <w:uiPriority w:val="0"/>
    <w:rPr>
      <w:rFonts w:ascii="Times New Roman" w:hAnsi="Times New Roman" w:eastAsia="宋体"/>
      <w:sz w:val="24"/>
    </w:rPr>
  </w:style>
  <w:style w:type="character" w:customStyle="1" w:styleId="56">
    <w:name w:val="日期 字符"/>
    <w:semiHidden/>
    <w:qFormat/>
    <w:uiPriority w:val="0"/>
    <w:rPr>
      <w:rFonts w:ascii="Times New Roman" w:hAnsi="Times New Roman" w:eastAsia="宋体"/>
      <w:sz w:val="24"/>
    </w:rPr>
  </w:style>
  <w:style w:type="paragraph" w:customStyle="1" w:styleId="57">
    <w:name w:val="表格文字"/>
    <w:basedOn w:val="1"/>
    <w:qFormat/>
    <w:uiPriority w:val="0"/>
    <w:pPr>
      <w:jc w:val="center"/>
    </w:pPr>
    <w:rPr>
      <w:rFonts w:ascii="仿宋_GB2312" w:hAnsi="Arial Black" w:eastAsia="仿宋_GB2312"/>
      <w:kern w:val="44"/>
      <w:sz w:val="24"/>
    </w:rPr>
  </w:style>
  <w:style w:type="paragraph" w:customStyle="1" w:styleId="58">
    <w:name w:val="正文缩进1"/>
    <w:basedOn w:val="1"/>
    <w:qFormat/>
    <w:uiPriority w:val="99"/>
    <w:pPr>
      <w:ind w:firstLine="200" w:firstLineChars="200"/>
    </w:pPr>
    <w:rPr>
      <w:rFonts w:eastAsia="楷体_GB2312"/>
    </w:rPr>
  </w:style>
  <w:style w:type="paragraph" w:customStyle="1" w:styleId="59">
    <w:name w:val="惠泽正文"/>
    <w:basedOn w:val="1"/>
    <w:qFormat/>
    <w:uiPriority w:val="0"/>
    <w:pPr>
      <w:spacing w:line="480" w:lineRule="exact"/>
      <w:ind w:firstLine="480" w:firstLineChars="200"/>
    </w:pPr>
    <w:rPr>
      <w:rFonts w:hAnsi="宋体" w:cs="宋体"/>
      <w:sz w:val="24"/>
      <w:szCs w:val="20"/>
    </w:rPr>
  </w:style>
  <w:style w:type="paragraph" w:customStyle="1" w:styleId="60">
    <w:name w:val="标准段落"/>
    <w:basedOn w:val="1"/>
    <w:next w:val="1"/>
    <w:qFormat/>
    <w:uiPriority w:val="0"/>
    <w:pPr>
      <w:spacing w:line="360" w:lineRule="auto"/>
      <w:ind w:firstLine="480" w:firstLineChars="200"/>
    </w:pPr>
    <w:rPr>
      <w:kern w:val="0"/>
      <w:sz w:val="24"/>
    </w:rPr>
  </w:style>
  <w:style w:type="paragraph" w:customStyle="1" w:styleId="61">
    <w:name w:val="报告表正文"/>
    <w:basedOn w:val="1"/>
    <w:qFormat/>
    <w:uiPriority w:val="99"/>
    <w:pPr>
      <w:adjustRightInd w:val="0"/>
      <w:spacing w:line="312" w:lineRule="auto"/>
      <w:ind w:left="113" w:right="113" w:firstLine="482"/>
      <w:jc w:val="left"/>
    </w:pPr>
    <w:rPr>
      <w:kern w:val="0"/>
      <w:sz w:val="24"/>
      <w:szCs w:val="21"/>
    </w:rPr>
  </w:style>
  <w:style w:type="paragraph" w:customStyle="1" w:styleId="62">
    <w:name w:val="应填表格"/>
    <w:basedOn w:val="1"/>
    <w:qFormat/>
    <w:uiPriority w:val="0"/>
    <w:pPr>
      <w:adjustRightInd w:val="0"/>
      <w:spacing w:before="40" w:after="40"/>
      <w:jc w:val="left"/>
      <w:textAlignment w:val="baseline"/>
    </w:pPr>
    <w:rPr>
      <w:kern w:val="0"/>
      <w:sz w:val="24"/>
      <w:szCs w:val="20"/>
    </w:rPr>
  </w:style>
  <w:style w:type="paragraph" w:customStyle="1" w:styleId="6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5">
    <w:name w:val="小四正文格式"/>
    <w:basedOn w:val="1"/>
    <w:qFormat/>
    <w:uiPriority w:val="0"/>
    <w:pPr>
      <w:spacing w:line="360" w:lineRule="auto"/>
      <w:ind w:firstLine="200" w:firstLineChars="200"/>
    </w:pPr>
    <w:rPr>
      <w:rFonts w:ascii="宋体" w:hAnsi="宋体"/>
      <w:sz w:val="24"/>
    </w:rPr>
  </w:style>
  <w:style w:type="paragraph" w:customStyle="1" w:styleId="66">
    <w:name w:val="图表文字"/>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67">
    <w:name w:val="0正文"/>
    <w:basedOn w:val="1"/>
    <w:qFormat/>
    <w:uiPriority w:val="0"/>
    <w:pPr>
      <w:ind w:firstLine="480"/>
    </w:pPr>
    <w:rPr>
      <w:color w:val="0000FF"/>
      <w:kern w:val="0"/>
    </w:rPr>
  </w:style>
  <w:style w:type="paragraph" w:customStyle="1" w:styleId="68">
    <w:name w:val="报告表格"/>
    <w:qFormat/>
    <w:uiPriority w:val="0"/>
    <w:pPr>
      <w:autoSpaceDE w:val="0"/>
      <w:autoSpaceDN w:val="0"/>
      <w:adjustRightInd w:val="0"/>
      <w:jc w:val="center"/>
      <w:textAlignment w:val="bottom"/>
    </w:pPr>
    <w:rPr>
      <w:rFonts w:ascii="Times New Roman" w:hAnsi="Times New Roman" w:eastAsia="宋体" w:cs="Times New Roman"/>
      <w:sz w:val="21"/>
      <w:lang w:val="en-US" w:eastAsia="zh-CN" w:bidi="ar-SA"/>
    </w:rPr>
  </w:style>
  <w:style w:type="paragraph" w:customStyle="1" w:styleId="69">
    <w:name w:val="22222"/>
    <w:basedOn w:val="1"/>
    <w:qFormat/>
    <w:uiPriority w:val="0"/>
    <w:pPr>
      <w:spacing w:line="480" w:lineRule="exact"/>
      <w:ind w:firstLine="480" w:firstLineChars="200"/>
    </w:pPr>
    <w:rPr>
      <w:rFonts w:hAnsi="宋体"/>
      <w:sz w:val="24"/>
    </w:rPr>
  </w:style>
  <w:style w:type="paragraph" w:customStyle="1" w:styleId="70">
    <w:name w:val="Normal (Web)1"/>
    <w:basedOn w:val="1"/>
    <w:next w:val="71"/>
    <w:qFormat/>
    <w:uiPriority w:val="0"/>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71">
    <w:name w:val="Date1"/>
    <w:basedOn w:val="1"/>
    <w:next w:val="1"/>
    <w:qFormat/>
    <w:uiPriority w:val="0"/>
    <w:pPr>
      <w:widowControl/>
      <w:kinsoku w:val="0"/>
      <w:autoSpaceDE w:val="0"/>
      <w:autoSpaceDN w:val="0"/>
      <w:adjustRightInd w:val="0"/>
      <w:snapToGrid w:val="0"/>
      <w:ind w:left="2500" w:leftChars="2500"/>
      <w:jc w:val="left"/>
      <w:textAlignment w:val="baseline"/>
    </w:pPr>
    <w:rPr>
      <w:rFonts w:ascii="Arial" w:hAnsi="Arial" w:eastAsia="Arial" w:cs="Arial"/>
      <w:snapToGrid w:val="0"/>
      <w:color w:val="000000"/>
      <w:kern w:val="0"/>
      <w:szCs w:val="21"/>
    </w:rPr>
  </w:style>
  <w:style w:type="paragraph" w:customStyle="1" w:styleId="72">
    <w:name w:val="Char"/>
    <w:basedOn w:val="1"/>
    <w:qFormat/>
    <w:uiPriority w:val="0"/>
  </w:style>
  <w:style w:type="paragraph" w:customStyle="1" w:styleId="73">
    <w:name w:val="样式 正文文本缩进 + 行距: 1.5 倍行距"/>
    <w:basedOn w:val="74"/>
    <w:next w:val="17"/>
    <w:qFormat/>
    <w:uiPriority w:val="0"/>
    <w:pPr>
      <w:spacing w:line="360" w:lineRule="auto"/>
      <w:ind w:left="90" w:leftChars="32" w:firstLine="560" w:firstLineChars="200"/>
    </w:pPr>
    <w:rPr>
      <w:rFonts w:cs="宋体"/>
    </w:rPr>
  </w:style>
  <w:style w:type="paragraph" w:customStyle="1" w:styleId="74">
    <w:name w:val="正文文本缩进1"/>
    <w:basedOn w:val="1"/>
    <w:next w:val="73"/>
    <w:qFormat/>
    <w:uiPriority w:val="0"/>
    <w:pPr>
      <w:spacing w:after="120"/>
      <w:ind w:left="420" w:leftChars="200"/>
    </w:pPr>
    <w:rPr>
      <w:sz w:val="24"/>
    </w:rPr>
  </w:style>
  <w:style w:type="paragraph" w:customStyle="1" w:styleId="75">
    <w:name w:val="p0"/>
    <w:basedOn w:val="1"/>
    <w:qFormat/>
    <w:uiPriority w:val="0"/>
    <w:pPr>
      <w:widowControl/>
    </w:pPr>
    <w:rPr>
      <w:kern w:val="0"/>
      <w:szCs w:val="21"/>
    </w:rPr>
  </w:style>
  <w:style w:type="paragraph" w:customStyle="1" w:styleId="76">
    <w:name w:val="君邦正文"/>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77">
    <w:name w:val="Table Paragraph"/>
    <w:basedOn w:val="1"/>
    <w:qFormat/>
    <w:uiPriority w:val="0"/>
    <w:pPr>
      <w:widowControl/>
      <w:jc w:val="left"/>
    </w:pPr>
    <w:rPr>
      <w:rFonts w:ascii="Calibri" w:hAnsi="Calibri"/>
      <w:kern w:val="0"/>
      <w:sz w:val="22"/>
      <w:szCs w:val="22"/>
    </w:rPr>
  </w:style>
  <w:style w:type="table" w:customStyle="1" w:styleId="78">
    <w:name w:val="Table Normal"/>
    <w:unhideWhenUsed/>
    <w:qFormat/>
    <w:uiPriority w:val="0"/>
    <w:tblPr>
      <w:tblCellMar>
        <w:top w:w="0" w:type="dxa"/>
        <w:left w:w="0" w:type="dxa"/>
        <w:bottom w:w="0" w:type="dxa"/>
        <w:right w:w="0" w:type="dxa"/>
      </w:tblCellMar>
    </w:tblPr>
  </w:style>
  <w:style w:type="paragraph" w:customStyle="1" w:styleId="79">
    <w:name w:val="表格文字2"/>
    <w:basedOn w:val="1"/>
    <w:qFormat/>
    <w:uiPriority w:val="0"/>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80">
    <w:name w:val="Table Text"/>
    <w:basedOn w:val="1"/>
    <w:semiHidden/>
    <w:qFormat/>
    <w:uiPriority w:val="0"/>
    <w:rPr>
      <w:rFonts w:ascii="宋体" w:hAnsi="宋体" w:cs="宋体"/>
      <w:sz w:val="20"/>
      <w:szCs w:val="20"/>
      <w:lang w:eastAsia="en-US"/>
    </w:rPr>
  </w:style>
  <w:style w:type="paragraph" w:customStyle="1" w:styleId="81">
    <w:name w:val="首行缩进"/>
    <w:basedOn w:val="1"/>
    <w:qFormat/>
    <w:uiPriority w:val="0"/>
    <w:pPr>
      <w:adjustRightInd w:val="0"/>
      <w:snapToGrid w:val="0"/>
      <w:ind w:firstLine="480"/>
    </w:pPr>
  </w:style>
  <w:style w:type="paragraph" w:customStyle="1" w:styleId="82">
    <w:name w:val="惠泽表格"/>
    <w:basedOn w:val="1"/>
    <w:qFormat/>
    <w:uiPriority w:val="0"/>
    <w:pPr>
      <w:spacing w:line="480" w:lineRule="exact"/>
      <w:jc w:val="center"/>
    </w:pPr>
    <w:rPr>
      <w:rFonts w:ascii="黑体" w:hAnsi="黑体" w:eastAsia="黑体" w:cs="宋体"/>
      <w:sz w:val="24"/>
      <w:szCs w:val="20"/>
    </w:rPr>
  </w:style>
  <w:style w:type="paragraph" w:customStyle="1" w:styleId="83">
    <w:name w:val="样式 样式 样式 首行缩进:  1 字符 + 首行缩进:  2 字符2 + 首行缩进:  2 字符"/>
    <w:basedOn w:val="1"/>
    <w:qFormat/>
    <w:uiPriority w:val="99"/>
    <w:pPr>
      <w:spacing w:line="360" w:lineRule="auto"/>
      <w:ind w:firstLine="480" w:firstLineChars="200"/>
    </w:pPr>
    <w:rPr>
      <w:rFonts w:ascii="宋体" w:hAnsi="宋体" w:cs="宋体"/>
      <w:sz w:val="24"/>
    </w:rPr>
  </w:style>
  <w:style w:type="paragraph" w:customStyle="1" w:styleId="84">
    <w:name w:val="报告书正文"/>
    <w:basedOn w:val="1"/>
    <w:qFormat/>
    <w:uiPriority w:val="0"/>
    <w:pPr>
      <w:spacing w:line="300" w:lineRule="auto"/>
      <w:ind w:firstLine="480"/>
    </w:pPr>
  </w:style>
  <w:style w:type="character" w:customStyle="1" w:styleId="85">
    <w:name w:val="font21"/>
    <w:qFormat/>
    <w:uiPriority w:val="0"/>
    <w:rPr>
      <w:rFonts w:hint="eastAsia" w:ascii="宋体" w:hAnsi="宋体" w:eastAsia="宋体" w:cs="宋体"/>
      <w:color w:val="000000"/>
      <w:sz w:val="24"/>
      <w:szCs w:val="24"/>
      <w:u w:val="none"/>
    </w:rPr>
  </w:style>
  <w:style w:type="character" w:customStyle="1" w:styleId="86">
    <w:name w:val="font41"/>
    <w:qFormat/>
    <w:uiPriority w:val="0"/>
    <w:rPr>
      <w:rFonts w:hint="default" w:ascii="Times New Roman" w:hAnsi="Times New Roman" w:cs="Times New Roman"/>
      <w:color w:val="000000"/>
      <w:sz w:val="24"/>
      <w:szCs w:val="24"/>
      <w:u w:val="none"/>
    </w:rPr>
  </w:style>
  <w:style w:type="character" w:customStyle="1" w:styleId="87">
    <w:name w:val="正文文本 Char Char"/>
    <w:qFormat/>
    <w:uiPriority w:val="0"/>
    <w:rPr>
      <w:rFonts w:ascii="宋体" w:eastAsia="宋体"/>
      <w:sz w:val="28"/>
      <w:lang w:val="en-US" w:eastAsia="zh-CN" w:bidi="ar-SA"/>
    </w:rPr>
  </w:style>
  <w:style w:type="paragraph" w:customStyle="1" w:styleId="88">
    <w:name w:val="表格表头"/>
    <w:basedOn w:val="1"/>
    <w:qFormat/>
    <w:uiPriority w:val="0"/>
    <w:pPr>
      <w:spacing w:line="240" w:lineRule="auto"/>
      <w:ind w:firstLine="420" w:firstLineChars="200"/>
      <w:jc w:val="center"/>
    </w:pPr>
    <w:rPr>
      <w:rFonts w:hint="eastAsia" w:ascii="Times New Roman" w:hAnsi="Times New Roman" w:eastAsia="宋体"/>
      <w:b/>
      <w:color w:val="000000"/>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"/>
    </extobj>
    <extobj name="F360BE8B-6686-4F3D-AEAF-501FE73E4058-2">
      <extobjdata type="F360BE8B-6686-4F3D-AEAF-501FE73E4058" data="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"/>
    </extobj>
    <extobj name="F360BE8B-6686-4F3D-AEAF-501FE73E4058-3">
      <extobjdata type="F360BE8B-6686-4F3D-AEAF-501FE73E4058" data="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52</Pages>
  <Words>6503</Words>
  <Characters>6794</Characters>
  <Lines>372</Lines>
  <Paragraphs>104</Paragraphs>
  <TotalTime>121</TotalTime>
  <ScaleCrop>false</ScaleCrop>
  <LinksUpToDate>false</LinksUpToDate>
  <CharactersWithSpaces>6873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Lenovo</cp:lastModifiedBy>
  <cp:lastPrinted>2024-09-02T06:30:00Z</cp:lastPrinted>
  <dcterms:modified xsi:type="dcterms:W3CDTF">2025-05-09T03:22:43Z</dcterms:modified>
  <dc:title>附件2</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ED910105E9A94D56A1B3947546596872_13</vt:lpwstr>
  </property>
  <property fmtid="{D5CDD505-2E9C-101B-9397-08002B2CF9AE}" pid="4" name="KSOTemplateDocerSaveRecord">
    <vt:lpwstr>eyJoZGlkIjoiMmE4Yjc1M2JiNjBjMjdhMzI3N2MwY2IzYWM4NDBiMGIifQ==</vt:lpwstr>
  </property>
</Properties>
</file>