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BCC56">
      <w:pPr>
        <w:keepNext w:val="0"/>
        <w:keepLines w:val="0"/>
        <w:pageBreakBefore w:val="0"/>
        <w:widowControl w:val="0"/>
        <w:kinsoku/>
        <w:wordWrap/>
        <w:overflowPunct/>
        <w:topLinePunct w:val="0"/>
        <w:autoSpaceDE/>
        <w:autoSpaceDN/>
        <w:bidi w:val="0"/>
        <w:adjustRightInd w:val="0"/>
        <w:snapToGrid w:val="0"/>
        <w:spacing w:afterAutospacing="0" w:line="240" w:lineRule="auto"/>
        <w:jc w:val="right"/>
        <w:textAlignment w:val="auto"/>
        <w:rPr>
          <w:rFonts w:hint="eastAsia" w:eastAsia="楷体"/>
          <w:color w:val="auto"/>
          <w:sz w:val="28"/>
          <w:szCs w:val="28"/>
          <w:highlight w:val="none"/>
          <w:lang w:val="en-US" w:eastAsia="zh-CN"/>
        </w:rPr>
      </w:pPr>
      <w:bookmarkStart w:id="0" w:name="_Hlk65481340"/>
      <w:r>
        <w:rPr>
          <w:rFonts w:eastAsia="楷体"/>
          <w:color w:val="auto"/>
          <w:sz w:val="28"/>
          <w:szCs w:val="28"/>
          <w:highlight w:val="none"/>
        </w:rPr>
        <w:t>报告编号：</w:t>
      </w:r>
      <w:r>
        <w:rPr>
          <w:rFonts w:hint="eastAsia" w:eastAsia="楷体"/>
          <w:color w:val="auto"/>
          <w:sz w:val="28"/>
          <w:szCs w:val="28"/>
          <w:highlight w:val="none"/>
        </w:rPr>
        <w:t>202</w:t>
      </w:r>
      <w:r>
        <w:rPr>
          <w:rFonts w:hint="eastAsia" w:eastAsia="楷体"/>
          <w:color w:val="auto"/>
          <w:sz w:val="28"/>
          <w:szCs w:val="28"/>
          <w:highlight w:val="none"/>
          <w:lang w:val="en-US" w:eastAsia="zh-CN"/>
        </w:rPr>
        <w:t>5</w:t>
      </w:r>
      <w:r>
        <w:rPr>
          <w:rFonts w:hint="eastAsia" w:eastAsia="楷体"/>
          <w:color w:val="auto"/>
          <w:sz w:val="28"/>
          <w:szCs w:val="28"/>
          <w:highlight w:val="none"/>
        </w:rPr>
        <w:t>G00</w:t>
      </w:r>
      <w:r>
        <w:rPr>
          <w:rFonts w:hint="eastAsia" w:eastAsia="楷体"/>
          <w:color w:val="auto"/>
          <w:sz w:val="28"/>
          <w:szCs w:val="28"/>
          <w:highlight w:val="none"/>
          <w:lang w:val="en-US" w:eastAsia="zh-CN"/>
        </w:rPr>
        <w:t>3</w:t>
      </w:r>
    </w:p>
    <w:p w14:paraId="3C2F0F18">
      <w:pPr>
        <w:widowControl/>
        <w:spacing w:beforeAutospacing="0"/>
        <w:jc w:val="center"/>
        <w:rPr>
          <w:rFonts w:eastAsia="华文新魏"/>
          <w:b/>
          <w:color w:val="auto"/>
          <w:kern w:val="44"/>
          <w:sz w:val="44"/>
          <w:szCs w:val="44"/>
          <w:highlight w:val="none"/>
        </w:rPr>
      </w:pPr>
      <w:r>
        <w:rPr>
          <w:rFonts w:eastAsia="黑体"/>
          <w:color w:val="auto"/>
          <w:sz w:val="36"/>
          <w:szCs w:val="36"/>
          <w:highlight w:val="none"/>
        </w:rPr>
        <mc:AlternateContent>
          <mc:Choice Requires="wps">
            <w:drawing>
              <wp:anchor distT="0" distB="0" distL="114300" distR="114300" simplePos="0" relativeHeight="251659264" behindDoc="0" locked="0" layoutInCell="1" allowOverlap="1">
                <wp:simplePos x="0" y="0"/>
                <wp:positionH relativeFrom="column">
                  <wp:posOffset>-31750</wp:posOffset>
                </wp:positionH>
                <wp:positionV relativeFrom="paragraph">
                  <wp:posOffset>70485</wp:posOffset>
                </wp:positionV>
                <wp:extent cx="5638800" cy="0"/>
                <wp:effectExtent l="0" t="41275" r="0" b="50165"/>
                <wp:wrapNone/>
                <wp:docPr id="7" name="直接连接符 7"/>
                <wp:cNvGraphicFramePr/>
                <a:graphic xmlns:a="http://schemas.openxmlformats.org/drawingml/2006/main">
                  <a:graphicData uri="http://schemas.microsoft.com/office/word/2010/wordprocessingShape">
                    <wps:wsp>
                      <wps:cNvCnPr/>
                      <wps:spPr>
                        <a:xfrm>
                          <a:off x="0" y="0"/>
                          <a:ext cx="5638800" cy="0"/>
                        </a:xfrm>
                        <a:prstGeom prst="line">
                          <a:avLst/>
                        </a:prstGeom>
                        <a:ln w="82550" cap="flat" cmpd="thinThick">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5pt;margin-top:5.55pt;height:0pt;width:444pt;z-index:251659264;mso-width-relative:page;mso-height-relative:page;" filled="f" stroked="t" coordsize="21600,21600" o:gfxdata="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0TdUPSAAAACAEAAA8AAAAAAAAAAQAgAAAAIgAAAGRycy9kb3ducmV2LnhtbFBLAQIUABQA&#10;AAAIAIdO4kBV3CBL9gEAAO0DAAAOAAAAAAAAAAEAIAAAACEBAABkcnMvZTJvRG9jLnhtbFBLBQYA&#10;AAAABgAGAFkBAACJBQAAAAA=&#10;">
                <v:fill on="f" focussize="0,0"/>
                <v:stroke weight="6.5pt" color="#000000" linestyle="thinThick" joinstyle="round"/>
                <v:imagedata o:title=""/>
                <o:lock v:ext="edit" aspectratio="f"/>
              </v:line>
            </w:pict>
          </mc:Fallback>
        </mc:AlternateContent>
      </w:r>
    </w:p>
    <w:p w14:paraId="41A5CF57">
      <w:pPr>
        <w:widowControl/>
        <w:jc w:val="center"/>
        <w:rPr>
          <w:rFonts w:eastAsia="华文新魏"/>
          <w:b/>
          <w:color w:val="auto"/>
          <w:kern w:val="44"/>
          <w:sz w:val="44"/>
          <w:szCs w:val="44"/>
          <w:highlight w:val="none"/>
        </w:rPr>
      </w:pPr>
    </w:p>
    <w:p w14:paraId="5B7B0956">
      <w:pPr>
        <w:widowControl/>
        <w:jc w:val="center"/>
        <w:rPr>
          <w:rFonts w:eastAsia="华文新魏"/>
          <w:b/>
          <w:color w:val="auto"/>
          <w:kern w:val="44"/>
          <w:sz w:val="44"/>
          <w:szCs w:val="44"/>
          <w:highlight w:val="none"/>
        </w:rPr>
      </w:pPr>
    </w:p>
    <w:p w14:paraId="1FDBA762">
      <w:pPr>
        <w:widowControl/>
        <w:jc w:val="center"/>
        <w:rPr>
          <w:rFonts w:eastAsia="华文新魏"/>
          <w:b/>
          <w:color w:val="auto"/>
          <w:kern w:val="44"/>
          <w:sz w:val="44"/>
          <w:szCs w:val="44"/>
          <w:highlight w:val="none"/>
        </w:rPr>
      </w:pPr>
    </w:p>
    <w:bookmarkEnd w:id="0"/>
    <w:p w14:paraId="6FEC9638">
      <w:pPr>
        <w:widowControl/>
        <w:spacing w:line="360" w:lineRule="auto"/>
        <w:jc w:val="center"/>
        <w:rPr>
          <w:rFonts w:ascii="华文新魏" w:hAnsi="黑体" w:eastAsia="华文新魏"/>
          <w:color w:val="auto"/>
          <w:kern w:val="44"/>
          <w:sz w:val="44"/>
          <w:szCs w:val="44"/>
          <w:highlight w:val="none"/>
          <w:lang w:bidi="zh-CN"/>
        </w:rPr>
      </w:pPr>
      <w:r>
        <w:rPr>
          <w:rFonts w:hint="eastAsia" w:ascii="华文新魏" w:hAnsi="黑体" w:eastAsia="华文新魏"/>
          <w:color w:val="auto"/>
          <w:kern w:val="44"/>
          <w:sz w:val="44"/>
          <w:szCs w:val="44"/>
          <w:highlight w:val="none"/>
          <w:lang w:bidi="zh-CN"/>
        </w:rPr>
        <w:t>核工业二</w:t>
      </w:r>
      <w:r>
        <w:rPr>
          <w:rFonts w:hint="eastAsia" w:ascii="华文新魏" w:hAnsi="黑体" w:eastAsia="华文新魏"/>
          <w:color w:val="auto"/>
          <w:kern w:val="44"/>
          <w:sz w:val="44"/>
          <w:szCs w:val="44"/>
          <w:highlight w:val="none"/>
          <w:lang w:val="en-US" w:bidi="zh-CN"/>
        </w:rPr>
        <w:t>0</w:t>
      </w:r>
      <w:r>
        <w:rPr>
          <w:rFonts w:hint="eastAsia" w:ascii="华文新魏" w:hAnsi="黑体" w:eastAsia="华文新魏"/>
          <w:color w:val="auto"/>
          <w:kern w:val="44"/>
          <w:sz w:val="44"/>
          <w:szCs w:val="44"/>
          <w:highlight w:val="none"/>
          <w:lang w:bidi="zh-CN"/>
        </w:rPr>
        <w:t>三研究所</w:t>
      </w:r>
      <w:r>
        <w:rPr>
          <w:rFonts w:hint="eastAsia" w:ascii="华文新魏" w:hAnsi="黑体" w:eastAsia="华文新魏"/>
          <w:color w:val="auto"/>
          <w:kern w:val="44"/>
          <w:sz w:val="44"/>
          <w:szCs w:val="44"/>
          <w:highlight w:val="none"/>
          <w:lang w:val="en-US" w:bidi="zh-CN"/>
        </w:rPr>
        <w:t>分析测试中心扩建</w:t>
      </w:r>
      <w:r>
        <w:rPr>
          <w:rFonts w:hint="eastAsia" w:ascii="华文新魏" w:hAnsi="黑体" w:eastAsia="华文新魏"/>
          <w:color w:val="auto"/>
          <w:kern w:val="44"/>
          <w:sz w:val="44"/>
          <w:szCs w:val="44"/>
          <w:highlight w:val="none"/>
          <w:lang w:bidi="zh-CN"/>
        </w:rPr>
        <w:t>项目</w:t>
      </w:r>
    </w:p>
    <w:p w14:paraId="23C7E0CB">
      <w:pPr>
        <w:widowControl/>
        <w:spacing w:line="360" w:lineRule="auto"/>
        <w:jc w:val="center"/>
        <w:rPr>
          <w:rFonts w:ascii="华文行楷" w:eastAsia="华文行楷"/>
          <w:b/>
          <w:color w:val="auto"/>
          <w:spacing w:val="40"/>
          <w:kern w:val="72"/>
          <w:sz w:val="72"/>
          <w:szCs w:val="72"/>
          <w:highlight w:val="none"/>
        </w:rPr>
      </w:pPr>
      <w:r>
        <w:rPr>
          <w:rFonts w:hint="eastAsia" w:ascii="华文行楷" w:eastAsia="华文行楷"/>
          <w:b/>
          <w:color w:val="auto"/>
          <w:spacing w:val="40"/>
          <w:kern w:val="72"/>
          <w:sz w:val="72"/>
          <w:szCs w:val="72"/>
          <w:highlight w:val="none"/>
        </w:rPr>
        <w:t>环境影响报告表</w:t>
      </w:r>
    </w:p>
    <w:p w14:paraId="52FDD3DD">
      <w:pPr>
        <w:widowControl/>
        <w:spacing w:line="360" w:lineRule="auto"/>
        <w:jc w:val="center"/>
        <w:rPr>
          <w:rFonts w:ascii="华文行楷" w:eastAsia="华文行楷"/>
          <w:bCs/>
          <w:color w:val="auto"/>
          <w:spacing w:val="40"/>
          <w:kern w:val="72"/>
          <w:sz w:val="84"/>
          <w:szCs w:val="84"/>
          <w:highlight w:val="none"/>
        </w:rPr>
      </w:pPr>
    </w:p>
    <w:p w14:paraId="0C883C27">
      <w:pPr>
        <w:widowControl/>
        <w:spacing w:line="360" w:lineRule="auto"/>
        <w:jc w:val="center"/>
        <w:rPr>
          <w:rFonts w:ascii="华文行楷" w:eastAsia="华文行楷"/>
          <w:bCs/>
          <w:color w:val="auto"/>
          <w:spacing w:val="40"/>
          <w:kern w:val="72"/>
          <w:sz w:val="84"/>
          <w:szCs w:val="84"/>
          <w:highlight w:val="none"/>
        </w:rPr>
      </w:pPr>
    </w:p>
    <w:p w14:paraId="603808E1">
      <w:pPr>
        <w:widowControl/>
        <w:spacing w:line="360" w:lineRule="auto"/>
        <w:jc w:val="center"/>
        <w:rPr>
          <w:rFonts w:ascii="华文行楷" w:eastAsia="华文行楷"/>
          <w:bCs/>
          <w:color w:val="auto"/>
          <w:spacing w:val="40"/>
          <w:kern w:val="72"/>
          <w:sz w:val="84"/>
          <w:szCs w:val="84"/>
          <w:highlight w:val="none"/>
        </w:rPr>
      </w:pP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2"/>
        <w:gridCol w:w="5543"/>
      </w:tblGrid>
      <w:tr w14:paraId="16F38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82" w:type="dxa"/>
            <w:noWrap w:val="0"/>
            <w:vAlign w:val="center"/>
          </w:tcPr>
          <w:p w14:paraId="2CE370F3">
            <w:pPr>
              <w:jc w:val="center"/>
              <w:rPr>
                <w:rFonts w:eastAsia="楷体"/>
                <w:b/>
                <w:bCs/>
                <w:color w:val="auto"/>
                <w:sz w:val="36"/>
                <w:szCs w:val="36"/>
                <w:highlight w:val="none"/>
                <w:lang w:val="en-GB"/>
              </w:rPr>
            </w:pPr>
            <w:bookmarkStart w:id="1" w:name="_Hlk65481448"/>
            <w:bookmarkStart w:id="2" w:name="_Hlk65591324"/>
            <w:r>
              <w:rPr>
                <w:rFonts w:eastAsia="楷体"/>
                <w:b/>
                <w:bCs/>
                <w:color w:val="auto"/>
                <w:sz w:val="36"/>
                <w:szCs w:val="36"/>
                <w:highlight w:val="none"/>
                <w:lang w:val="en-GB"/>
              </w:rPr>
              <w:t>建设单位：</w:t>
            </w:r>
          </w:p>
        </w:tc>
        <w:tc>
          <w:tcPr>
            <w:tcW w:w="5543" w:type="dxa"/>
            <w:noWrap w:val="0"/>
            <w:vAlign w:val="center"/>
          </w:tcPr>
          <w:p w14:paraId="7F28734A">
            <w:pPr>
              <w:jc w:val="center"/>
              <w:rPr>
                <w:rFonts w:eastAsia="楷体"/>
                <w:b/>
                <w:bCs/>
                <w:color w:val="auto"/>
                <w:sz w:val="36"/>
                <w:szCs w:val="36"/>
                <w:highlight w:val="none"/>
                <w:lang w:val="en-GB"/>
              </w:rPr>
            </w:pPr>
            <w:r>
              <w:rPr>
                <w:rFonts w:hint="eastAsia" w:eastAsia="楷体"/>
                <w:b/>
                <w:bCs/>
                <w:color w:val="auto"/>
                <w:sz w:val="36"/>
                <w:szCs w:val="36"/>
                <w:highlight w:val="none"/>
                <w:lang w:val="en-GB"/>
              </w:rPr>
              <w:t>核工业二0三研究所</w:t>
            </w:r>
          </w:p>
        </w:tc>
      </w:tr>
      <w:bookmarkEnd w:id="1"/>
      <w:tr w14:paraId="3E04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82" w:type="dxa"/>
            <w:noWrap w:val="0"/>
            <w:vAlign w:val="center"/>
          </w:tcPr>
          <w:p w14:paraId="64F8DE60">
            <w:pPr>
              <w:jc w:val="center"/>
              <w:rPr>
                <w:rFonts w:eastAsia="楷体"/>
                <w:b/>
                <w:bCs/>
                <w:color w:val="auto"/>
                <w:sz w:val="36"/>
                <w:szCs w:val="36"/>
                <w:highlight w:val="none"/>
                <w:lang w:val="en-GB"/>
              </w:rPr>
            </w:pPr>
            <w:r>
              <w:rPr>
                <w:rFonts w:eastAsia="楷体"/>
                <w:b/>
                <w:bCs/>
                <w:color w:val="auto"/>
                <w:sz w:val="36"/>
                <w:szCs w:val="36"/>
                <w:highlight w:val="none"/>
                <w:lang w:val="en-GB"/>
              </w:rPr>
              <w:t>评价单位：</w:t>
            </w:r>
          </w:p>
        </w:tc>
        <w:tc>
          <w:tcPr>
            <w:tcW w:w="5543" w:type="dxa"/>
            <w:noWrap w:val="0"/>
            <w:vAlign w:val="center"/>
          </w:tcPr>
          <w:p w14:paraId="4C78D5F2">
            <w:pPr>
              <w:jc w:val="center"/>
              <w:rPr>
                <w:rFonts w:hint="default" w:eastAsia="楷体"/>
                <w:b/>
                <w:bCs/>
                <w:color w:val="auto"/>
                <w:sz w:val="36"/>
                <w:szCs w:val="36"/>
                <w:highlight w:val="none"/>
                <w:lang w:val="en-US" w:eastAsia="zh-CN"/>
              </w:rPr>
            </w:pPr>
            <w:r>
              <w:rPr>
                <w:rFonts w:hint="eastAsia" w:eastAsia="楷体"/>
                <w:b/>
                <w:bCs/>
                <w:color w:val="auto"/>
                <w:sz w:val="36"/>
                <w:szCs w:val="36"/>
                <w:highlight w:val="none"/>
                <w:lang w:val="en-US" w:eastAsia="zh-CN"/>
              </w:rPr>
              <w:t>陕西中核大地实业有限公司</w:t>
            </w:r>
          </w:p>
        </w:tc>
      </w:tr>
      <w:bookmarkEnd w:id="2"/>
    </w:tbl>
    <w:p w14:paraId="4612A640">
      <w:pPr>
        <w:pStyle w:val="20"/>
        <w:tabs>
          <w:tab w:val="left" w:pos="890"/>
          <w:tab w:val="clear" w:pos="8303"/>
        </w:tabs>
        <w:spacing w:before="120" w:beforeLines="50" w:line="240" w:lineRule="auto"/>
        <w:rPr>
          <w:rFonts w:eastAsia="楷体"/>
          <w:b w:val="0"/>
          <w:color w:val="auto"/>
          <w:sz w:val="36"/>
          <w:szCs w:val="36"/>
          <w:highlight w:val="none"/>
          <w:lang w:val="en-GB"/>
        </w:rPr>
      </w:pPr>
    </w:p>
    <w:p w14:paraId="2017B5D2">
      <w:pPr>
        <w:pStyle w:val="20"/>
        <w:tabs>
          <w:tab w:val="left" w:pos="890"/>
          <w:tab w:val="clear" w:pos="8303"/>
        </w:tabs>
        <w:spacing w:before="120" w:beforeLines="50" w:line="240" w:lineRule="auto"/>
        <w:rPr>
          <w:rFonts w:hAnsi="Times New Roman" w:eastAsia="黑体"/>
          <w:color w:val="auto"/>
          <w:sz w:val="36"/>
          <w:szCs w:val="36"/>
          <w:highlight w:val="none"/>
        </w:rPr>
      </w:pPr>
      <w:r>
        <w:rPr>
          <w:rFonts w:eastAsia="楷体"/>
          <w:b w:val="0"/>
          <w:color w:val="auto"/>
          <w:sz w:val="36"/>
          <w:szCs w:val="36"/>
          <w:highlight w:val="none"/>
          <w:lang w:val="en-GB"/>
        </w:rPr>
        <w:t>二○二</w:t>
      </w:r>
      <w:r>
        <w:rPr>
          <w:rFonts w:hint="eastAsia" w:eastAsia="楷体"/>
          <w:b w:val="0"/>
          <w:color w:val="auto"/>
          <w:sz w:val="36"/>
          <w:szCs w:val="36"/>
          <w:highlight w:val="none"/>
          <w:lang w:val="en-US" w:eastAsia="zh-CN"/>
        </w:rPr>
        <w:t>五</w:t>
      </w:r>
      <w:r>
        <w:rPr>
          <w:rFonts w:eastAsia="楷体"/>
          <w:b w:val="0"/>
          <w:color w:val="auto"/>
          <w:sz w:val="36"/>
          <w:szCs w:val="36"/>
          <w:highlight w:val="none"/>
          <w:lang w:val="en-GB"/>
        </w:rPr>
        <w:t>年</w:t>
      </w:r>
      <w:r>
        <w:rPr>
          <w:rFonts w:hint="eastAsia" w:eastAsia="楷体"/>
          <w:b w:val="0"/>
          <w:color w:val="auto"/>
          <w:sz w:val="36"/>
          <w:szCs w:val="36"/>
          <w:highlight w:val="none"/>
          <w:lang w:val="en-US" w:eastAsia="zh-CN"/>
        </w:rPr>
        <w:t>五</w:t>
      </w:r>
      <w:r>
        <w:rPr>
          <w:rFonts w:eastAsia="楷体"/>
          <w:b w:val="0"/>
          <w:color w:val="auto"/>
          <w:sz w:val="36"/>
          <w:szCs w:val="36"/>
          <w:highlight w:val="none"/>
          <w:lang w:val="en-GB"/>
        </w:rPr>
        <w:t>月</w:t>
      </w:r>
    </w:p>
    <w:p w14:paraId="1D627C62">
      <w:pPr>
        <w:rPr>
          <w:rFonts w:ascii="仿宋_GB2312" w:hAnsi="仿宋_GB2312" w:eastAsia="仿宋_GB2312" w:cs="仿宋_GB2312"/>
          <w:color w:val="auto"/>
          <w:sz w:val="36"/>
          <w:szCs w:val="36"/>
          <w:highlight w:val="none"/>
        </w:rPr>
      </w:pPr>
      <w:r>
        <w:rPr>
          <w:rFonts w:ascii="仿宋_GB2312" w:hAnsi="仿宋_GB2312" w:eastAsia="仿宋_GB2312" w:cs="仿宋_GB2312"/>
          <w:color w:val="auto"/>
          <w:sz w:val="36"/>
          <w:szCs w:val="36"/>
          <w:highlight w:val="none"/>
        </w:rPr>
        <w:br w:type="page"/>
      </w:r>
    </w:p>
    <w:p w14:paraId="3B53BAAC">
      <w:pPr>
        <w:adjustRightInd w:val="0"/>
        <w:snapToGrid w:val="0"/>
        <w:jc w:val="center"/>
        <w:outlineLvl w:val="0"/>
        <w:rPr>
          <w:rFonts w:ascii="方正小标宋_GBK" w:eastAsia="方正小标宋_GBK"/>
          <w:bCs/>
          <w:color w:val="auto"/>
          <w:sz w:val="72"/>
          <w:szCs w:val="72"/>
          <w:highlight w:val="none"/>
        </w:rPr>
      </w:pPr>
      <w:r>
        <w:rPr>
          <w:rFonts w:hint="eastAsia" w:ascii="方正小标宋_GBK" w:eastAsia="方正小标宋_GBK"/>
          <w:bCs/>
          <w:color w:val="auto"/>
          <w:sz w:val="72"/>
          <w:szCs w:val="72"/>
          <w:highlight w:val="none"/>
        </w:rPr>
        <w:t>建设项目环境影响报告表</w:t>
      </w:r>
    </w:p>
    <w:p w14:paraId="376D1ADA">
      <w:pPr>
        <w:adjustRightInd w:val="0"/>
        <w:snapToGrid w:val="0"/>
        <w:spacing w:before="192" w:beforeLines="80"/>
        <w:jc w:val="center"/>
        <w:rPr>
          <w:rFonts w:ascii="楷体_GB2312" w:eastAsia="楷体_GB2312"/>
          <w:bCs/>
          <w:color w:val="auto"/>
          <w:sz w:val="48"/>
          <w:szCs w:val="48"/>
          <w:highlight w:val="none"/>
        </w:rPr>
      </w:pPr>
      <w:r>
        <w:rPr>
          <w:rFonts w:hint="eastAsia" w:ascii="楷体_GB2312" w:eastAsia="楷体_GB2312"/>
          <w:bCs/>
          <w:color w:val="auto"/>
          <w:sz w:val="48"/>
          <w:szCs w:val="48"/>
          <w:highlight w:val="none"/>
        </w:rPr>
        <w:t>（污染影响类）</w:t>
      </w:r>
    </w:p>
    <w:p w14:paraId="69DACBDB">
      <w:pPr>
        <w:jc w:val="center"/>
        <w:rPr>
          <w:rFonts w:eastAsia="仿宋"/>
          <w:color w:val="auto"/>
          <w:sz w:val="52"/>
          <w:szCs w:val="52"/>
          <w:highlight w:val="none"/>
        </w:rPr>
      </w:pPr>
    </w:p>
    <w:p w14:paraId="2DFFB58B">
      <w:pPr>
        <w:spacing w:line="360" w:lineRule="auto"/>
        <w:rPr>
          <w:rFonts w:eastAsia="仿宋"/>
          <w:color w:val="auto"/>
          <w:sz w:val="44"/>
          <w:szCs w:val="44"/>
          <w:highlight w:val="none"/>
        </w:rPr>
      </w:pPr>
    </w:p>
    <w:p w14:paraId="7FF29D68">
      <w:pPr>
        <w:spacing w:line="360" w:lineRule="auto"/>
        <w:rPr>
          <w:rFonts w:eastAsia="仿宋"/>
          <w:color w:val="auto"/>
          <w:sz w:val="44"/>
          <w:szCs w:val="44"/>
          <w:highlight w:val="none"/>
        </w:rPr>
      </w:pPr>
    </w:p>
    <w:p w14:paraId="5453ED2B">
      <w:pPr>
        <w:pStyle w:val="7"/>
        <w:ind w:firstLine="0" w:firstLineChars="0"/>
        <w:rPr>
          <w:rFonts w:eastAsia="仿宋"/>
          <w:color w:val="auto"/>
          <w:sz w:val="44"/>
          <w:szCs w:val="44"/>
          <w:highlight w:val="none"/>
        </w:rPr>
      </w:pPr>
    </w:p>
    <w:p w14:paraId="302CA577">
      <w:pPr>
        <w:spacing w:line="360" w:lineRule="auto"/>
        <w:rPr>
          <w:rFonts w:eastAsia="仿宋"/>
          <w:color w:val="auto"/>
          <w:sz w:val="44"/>
          <w:szCs w:val="44"/>
          <w:highlight w:val="none"/>
        </w:rPr>
      </w:pPr>
    </w:p>
    <w:p w14:paraId="7BB5F59D">
      <w:pPr>
        <w:spacing w:line="360" w:lineRule="auto"/>
        <w:rPr>
          <w:rFonts w:eastAsia="仿宋"/>
          <w:color w:val="auto"/>
          <w:sz w:val="44"/>
          <w:szCs w:val="44"/>
          <w:highlight w:val="none"/>
        </w:rPr>
      </w:pPr>
    </w:p>
    <w:p w14:paraId="602493E5">
      <w:pPr>
        <w:adjustRightInd w:val="0"/>
        <w:snapToGrid w:val="0"/>
        <w:spacing w:line="288" w:lineRule="auto"/>
        <w:ind w:left="1800" w:hanging="1800" w:hangingChars="500"/>
        <w:rPr>
          <w:rFonts w:ascii="仿宋_GB2312" w:eastAsia="仿宋_GB2312"/>
          <w:color w:val="auto"/>
          <w:sz w:val="36"/>
          <w:szCs w:val="36"/>
          <w:highlight w:val="none"/>
          <w:u w:val="single"/>
        </w:rPr>
      </w:pPr>
      <w:r>
        <w:rPr>
          <w:rFonts w:hint="eastAsia" w:ascii="仿宋_GB2312" w:eastAsia="仿宋_GB2312"/>
          <w:color w:val="auto"/>
          <w:sz w:val="36"/>
          <w:szCs w:val="36"/>
          <w:highlight w:val="none"/>
        </w:rPr>
        <w:t>项目名称：</w:t>
      </w:r>
      <w:r>
        <w:rPr>
          <w:rFonts w:hint="eastAsia" w:ascii="仿宋_GB2312" w:eastAsia="仿宋_GB2312"/>
          <w:color w:val="auto"/>
          <w:sz w:val="36"/>
          <w:szCs w:val="36"/>
          <w:highlight w:val="none"/>
          <w:u w:val="single"/>
        </w:rPr>
        <w:t>核工业二</w:t>
      </w:r>
      <w:r>
        <w:rPr>
          <w:rFonts w:hint="eastAsia" w:ascii="仿宋_GB2312" w:eastAsia="仿宋_GB2312"/>
          <w:color w:val="auto"/>
          <w:sz w:val="36"/>
          <w:szCs w:val="36"/>
          <w:highlight w:val="none"/>
          <w:u w:val="single"/>
          <w:lang w:eastAsia="zh-CN"/>
        </w:rPr>
        <w:t>0</w:t>
      </w:r>
      <w:r>
        <w:rPr>
          <w:rFonts w:hint="eastAsia" w:ascii="仿宋_GB2312" w:eastAsia="仿宋_GB2312"/>
          <w:color w:val="auto"/>
          <w:sz w:val="36"/>
          <w:szCs w:val="36"/>
          <w:highlight w:val="none"/>
          <w:u w:val="single"/>
        </w:rPr>
        <w:t>三研究所</w:t>
      </w:r>
      <w:r>
        <w:rPr>
          <w:rFonts w:hint="eastAsia" w:ascii="仿宋_GB2312" w:eastAsia="仿宋_GB2312"/>
          <w:color w:val="auto"/>
          <w:sz w:val="36"/>
          <w:szCs w:val="36"/>
          <w:highlight w:val="none"/>
          <w:u w:val="single"/>
          <w:lang w:val="en-US" w:eastAsia="zh-CN"/>
        </w:rPr>
        <w:t>分析测试中心扩建</w:t>
      </w:r>
      <w:r>
        <w:rPr>
          <w:rFonts w:hint="eastAsia" w:ascii="仿宋_GB2312" w:eastAsia="仿宋_GB2312"/>
          <w:color w:val="auto"/>
          <w:sz w:val="36"/>
          <w:szCs w:val="36"/>
          <w:highlight w:val="none"/>
          <w:u w:val="single"/>
        </w:rPr>
        <w:t xml:space="preserve">项目 </w:t>
      </w:r>
    </w:p>
    <w:p w14:paraId="419D7499">
      <w:pPr>
        <w:adjustRightInd w:val="0"/>
        <w:snapToGrid w:val="0"/>
        <w:spacing w:line="288" w:lineRule="auto"/>
        <w:rPr>
          <w:rFonts w:hint="default" w:ascii="仿宋_GB2312" w:eastAsia="仿宋_GB2312"/>
          <w:color w:val="auto"/>
          <w:sz w:val="36"/>
          <w:szCs w:val="36"/>
          <w:highlight w:val="none"/>
          <w:u w:val="single"/>
          <w:lang w:val="en-US" w:eastAsia="zh-CN"/>
        </w:rPr>
      </w:pPr>
      <w:r>
        <w:rPr>
          <w:rFonts w:hint="eastAsia" w:ascii="仿宋_GB2312" w:eastAsia="仿宋_GB2312"/>
          <w:color w:val="auto"/>
          <w:sz w:val="36"/>
          <w:szCs w:val="36"/>
          <w:highlight w:val="none"/>
        </w:rPr>
        <w:t>建设单位（盖章）：</w:t>
      </w:r>
      <w:r>
        <w:rPr>
          <w:rFonts w:hint="eastAsia" w:ascii="仿宋_GB2312" w:eastAsia="仿宋_GB2312"/>
          <w:color w:val="auto"/>
          <w:sz w:val="36"/>
          <w:szCs w:val="36"/>
          <w:highlight w:val="none"/>
          <w:u w:val="single"/>
          <w:lang w:val="en-US" w:eastAsia="zh-CN"/>
        </w:rPr>
        <w:t xml:space="preserve">      </w:t>
      </w:r>
      <w:r>
        <w:rPr>
          <w:rFonts w:hint="eastAsia" w:ascii="仿宋_GB2312" w:eastAsia="仿宋_GB2312"/>
          <w:color w:val="auto"/>
          <w:sz w:val="36"/>
          <w:szCs w:val="36"/>
          <w:highlight w:val="none"/>
          <w:u w:val="single"/>
        </w:rPr>
        <w:t xml:space="preserve">核工业二0三研究所   </w:t>
      </w:r>
      <w:r>
        <w:rPr>
          <w:rFonts w:hint="eastAsia" w:ascii="仿宋_GB2312" w:eastAsia="仿宋_GB2312"/>
          <w:color w:val="auto"/>
          <w:sz w:val="36"/>
          <w:szCs w:val="36"/>
          <w:highlight w:val="none"/>
          <w:u w:val="single"/>
          <w:lang w:val="en-US" w:eastAsia="zh-CN"/>
        </w:rPr>
        <w:t xml:space="preserve">    </w:t>
      </w:r>
    </w:p>
    <w:p w14:paraId="51801C11">
      <w:pPr>
        <w:adjustRightInd w:val="0"/>
        <w:snapToGrid w:val="0"/>
        <w:spacing w:line="288" w:lineRule="auto"/>
        <w:rPr>
          <w:rFonts w:ascii="仿宋_GB2312" w:eastAsia="仿宋_GB2312"/>
          <w:color w:val="auto"/>
          <w:sz w:val="36"/>
          <w:szCs w:val="36"/>
          <w:highlight w:val="none"/>
          <w:u w:val="single"/>
        </w:rPr>
      </w:pPr>
      <w:r>
        <w:rPr>
          <w:rFonts w:hint="eastAsia" w:ascii="仿宋_GB2312" w:eastAsia="仿宋_GB2312"/>
          <w:color w:val="auto"/>
          <w:sz w:val="36"/>
          <w:szCs w:val="36"/>
          <w:highlight w:val="none"/>
        </w:rPr>
        <w:t>编制日期：</w:t>
      </w:r>
      <w:r>
        <w:rPr>
          <w:rFonts w:hint="eastAsia" w:ascii="仿宋_GB2312" w:eastAsia="仿宋_GB2312"/>
          <w:color w:val="auto"/>
          <w:sz w:val="36"/>
          <w:szCs w:val="36"/>
          <w:highlight w:val="none"/>
          <w:u w:val="single"/>
        </w:rPr>
        <w:t xml:space="preserve">             </w:t>
      </w:r>
      <w:r>
        <w:rPr>
          <w:rFonts w:ascii="仿宋_GB2312" w:eastAsia="仿宋_GB2312"/>
          <w:color w:val="auto"/>
          <w:sz w:val="36"/>
          <w:szCs w:val="36"/>
          <w:highlight w:val="none"/>
          <w:u w:val="single"/>
        </w:rPr>
        <w:t xml:space="preserve">   202</w:t>
      </w:r>
      <w:r>
        <w:rPr>
          <w:rFonts w:hint="eastAsia" w:ascii="仿宋_GB2312" w:eastAsia="仿宋_GB2312"/>
          <w:color w:val="auto"/>
          <w:sz w:val="36"/>
          <w:szCs w:val="36"/>
          <w:highlight w:val="none"/>
          <w:u w:val="single"/>
          <w:lang w:val="en-US" w:eastAsia="zh-CN"/>
        </w:rPr>
        <w:t>5</w:t>
      </w:r>
      <w:r>
        <w:rPr>
          <w:rFonts w:ascii="仿宋_GB2312" w:eastAsia="仿宋_GB2312"/>
          <w:color w:val="auto"/>
          <w:sz w:val="36"/>
          <w:szCs w:val="36"/>
          <w:highlight w:val="none"/>
          <w:u w:val="single"/>
        </w:rPr>
        <w:t>年</w:t>
      </w:r>
      <w:r>
        <w:rPr>
          <w:rFonts w:hint="eastAsia" w:ascii="仿宋_GB2312" w:eastAsia="仿宋_GB2312"/>
          <w:color w:val="auto"/>
          <w:sz w:val="36"/>
          <w:szCs w:val="36"/>
          <w:highlight w:val="none"/>
          <w:u w:val="single"/>
          <w:lang w:val="en-US" w:eastAsia="zh-CN"/>
        </w:rPr>
        <w:t>5</w:t>
      </w:r>
      <w:r>
        <w:rPr>
          <w:rFonts w:ascii="仿宋_GB2312" w:eastAsia="仿宋_GB2312"/>
          <w:color w:val="auto"/>
          <w:sz w:val="36"/>
          <w:szCs w:val="36"/>
          <w:highlight w:val="none"/>
          <w:u w:val="single"/>
        </w:rPr>
        <w:t xml:space="preserve">月   </w:t>
      </w:r>
      <w:r>
        <w:rPr>
          <w:rFonts w:hint="eastAsia" w:ascii="仿宋_GB2312" w:eastAsia="仿宋_GB2312"/>
          <w:color w:val="auto"/>
          <w:sz w:val="36"/>
          <w:szCs w:val="36"/>
          <w:highlight w:val="none"/>
          <w:u w:val="single"/>
        </w:rPr>
        <w:t xml:space="preserve">          </w:t>
      </w:r>
    </w:p>
    <w:p w14:paraId="595C2262">
      <w:pPr>
        <w:adjustRightInd w:val="0"/>
        <w:snapToGrid w:val="0"/>
        <w:spacing w:line="288" w:lineRule="auto"/>
        <w:rPr>
          <w:rFonts w:ascii="仿宋_GB2312" w:eastAsia="仿宋_GB2312"/>
          <w:color w:val="auto"/>
          <w:sz w:val="36"/>
          <w:szCs w:val="36"/>
          <w:highlight w:val="none"/>
        </w:rPr>
      </w:pPr>
      <w:bookmarkStart w:id="3" w:name="_Hlk57884087"/>
    </w:p>
    <w:p w14:paraId="6B821338">
      <w:pPr>
        <w:adjustRightInd w:val="0"/>
        <w:snapToGrid w:val="0"/>
        <w:spacing w:line="288" w:lineRule="auto"/>
        <w:ind w:firstLine="1040"/>
        <w:rPr>
          <w:rFonts w:ascii="仿宋_GB2312" w:eastAsia="仿宋_GB2312"/>
          <w:color w:val="auto"/>
          <w:sz w:val="36"/>
          <w:szCs w:val="36"/>
          <w:highlight w:val="none"/>
        </w:rPr>
      </w:pPr>
    </w:p>
    <w:p w14:paraId="5D98BFA9">
      <w:pPr>
        <w:adjustRightInd w:val="0"/>
        <w:snapToGrid w:val="0"/>
        <w:spacing w:line="288" w:lineRule="auto"/>
        <w:ind w:firstLine="1040"/>
        <w:rPr>
          <w:rFonts w:ascii="仿宋_GB2312" w:eastAsia="仿宋_GB2312"/>
          <w:color w:val="auto"/>
          <w:sz w:val="36"/>
          <w:szCs w:val="36"/>
          <w:highlight w:val="none"/>
        </w:rPr>
      </w:pPr>
    </w:p>
    <w:bookmarkEnd w:id="3"/>
    <w:p w14:paraId="1C569E24">
      <w:pPr>
        <w:adjustRightInd w:val="0"/>
        <w:snapToGrid w:val="0"/>
        <w:spacing w:line="288" w:lineRule="auto"/>
        <w:jc w:val="center"/>
        <w:rPr>
          <w:rFonts w:ascii="仿宋_GB2312" w:eastAsia="仿宋_GB2312"/>
          <w:color w:val="auto"/>
          <w:sz w:val="36"/>
          <w:szCs w:val="36"/>
          <w:highlight w:val="none"/>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楷体_GB2312" w:eastAsia="楷体_GB2312"/>
          <w:color w:val="auto"/>
          <w:sz w:val="36"/>
          <w:szCs w:val="36"/>
          <w:highlight w:val="none"/>
        </w:rPr>
        <w:t>中华人民共和国生态环境部制</w:t>
      </w:r>
    </w:p>
    <w:p w14:paraId="33A87418">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一、建设项目基本情况</w:t>
      </w:r>
    </w:p>
    <w:tbl>
      <w:tblPr>
        <w:tblStyle w:val="27"/>
        <w:tblW w:w="88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856"/>
        <w:gridCol w:w="2126"/>
        <w:gridCol w:w="1985"/>
        <w:gridCol w:w="2903"/>
      </w:tblGrid>
      <w:tr w14:paraId="2F7611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7" w:hRule="atLeast"/>
          <w:jc w:val="center"/>
        </w:trPr>
        <w:tc>
          <w:tcPr>
            <w:tcW w:w="1856" w:type="dxa"/>
            <w:noWrap w:val="0"/>
            <w:tcMar>
              <w:top w:w="16" w:type="dxa"/>
              <w:left w:w="16" w:type="dxa"/>
              <w:right w:w="16" w:type="dxa"/>
            </w:tcMar>
            <w:vAlign w:val="center"/>
          </w:tcPr>
          <w:p w14:paraId="0D3071B3">
            <w:pPr>
              <w:adjustRightInd w:val="0"/>
              <w:snapToGrid w:val="0"/>
              <w:jc w:val="center"/>
              <w:rPr>
                <w:color w:val="auto"/>
                <w:sz w:val="24"/>
                <w:highlight w:val="none"/>
              </w:rPr>
            </w:pPr>
            <w:r>
              <w:rPr>
                <w:color w:val="auto"/>
                <w:sz w:val="24"/>
                <w:highlight w:val="none"/>
              </w:rPr>
              <w:t>建设项目名称</w:t>
            </w:r>
          </w:p>
        </w:tc>
        <w:tc>
          <w:tcPr>
            <w:tcW w:w="7014" w:type="dxa"/>
            <w:gridSpan w:val="3"/>
            <w:noWrap w:val="0"/>
            <w:vAlign w:val="center"/>
          </w:tcPr>
          <w:p w14:paraId="21D39AB5">
            <w:pPr>
              <w:adjustRightInd w:val="0"/>
              <w:snapToGrid w:val="0"/>
              <w:jc w:val="center"/>
              <w:rPr>
                <w:bCs/>
                <w:color w:val="auto"/>
                <w:sz w:val="24"/>
                <w:highlight w:val="none"/>
                <w:lang w:bidi="zh-CN"/>
              </w:rPr>
            </w:pPr>
            <w:r>
              <w:rPr>
                <w:rFonts w:hint="eastAsia"/>
                <w:bCs/>
                <w:color w:val="auto"/>
                <w:sz w:val="24"/>
                <w:highlight w:val="none"/>
                <w:lang w:bidi="zh-CN"/>
              </w:rPr>
              <w:t>核工业二0三研究所</w:t>
            </w:r>
            <w:r>
              <w:rPr>
                <w:rFonts w:hint="eastAsia"/>
                <w:bCs/>
                <w:color w:val="auto"/>
                <w:sz w:val="24"/>
                <w:highlight w:val="none"/>
                <w:lang w:val="en-US" w:bidi="zh-CN"/>
              </w:rPr>
              <w:t>分析测试中心扩建</w:t>
            </w:r>
            <w:r>
              <w:rPr>
                <w:rFonts w:hint="eastAsia"/>
                <w:bCs/>
                <w:color w:val="auto"/>
                <w:sz w:val="24"/>
                <w:highlight w:val="none"/>
                <w:lang w:bidi="zh-CN"/>
              </w:rPr>
              <w:t>项目</w:t>
            </w:r>
          </w:p>
        </w:tc>
      </w:tr>
      <w:tr w14:paraId="428F38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noWrap w:val="0"/>
            <w:tcMar>
              <w:top w:w="16" w:type="dxa"/>
              <w:left w:w="16" w:type="dxa"/>
              <w:right w:w="16" w:type="dxa"/>
            </w:tcMar>
            <w:vAlign w:val="center"/>
          </w:tcPr>
          <w:p w14:paraId="3B157FCE">
            <w:pPr>
              <w:adjustRightInd w:val="0"/>
              <w:snapToGrid w:val="0"/>
              <w:jc w:val="center"/>
              <w:rPr>
                <w:color w:val="auto"/>
                <w:sz w:val="24"/>
                <w:highlight w:val="none"/>
              </w:rPr>
            </w:pPr>
            <w:r>
              <w:rPr>
                <w:color w:val="auto"/>
                <w:sz w:val="24"/>
                <w:highlight w:val="none"/>
              </w:rPr>
              <w:t>项目代码</w:t>
            </w:r>
          </w:p>
        </w:tc>
        <w:tc>
          <w:tcPr>
            <w:tcW w:w="7014" w:type="dxa"/>
            <w:gridSpan w:val="3"/>
            <w:noWrap w:val="0"/>
            <w:vAlign w:val="center"/>
          </w:tcPr>
          <w:p w14:paraId="00F761B8">
            <w:pPr>
              <w:adjustRightInd w:val="0"/>
              <w:snapToGrid w:val="0"/>
              <w:jc w:val="center"/>
              <w:rPr>
                <w:color w:val="auto"/>
                <w:sz w:val="24"/>
                <w:highlight w:val="none"/>
              </w:rPr>
            </w:pPr>
            <w:r>
              <w:rPr>
                <w:rFonts w:hint="eastAsia"/>
                <w:color w:val="auto"/>
                <w:sz w:val="24"/>
                <w:highlight w:val="none"/>
              </w:rPr>
              <w:t>/</w:t>
            </w:r>
          </w:p>
        </w:tc>
      </w:tr>
      <w:tr w14:paraId="58F94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noWrap w:val="0"/>
            <w:tcMar>
              <w:top w:w="16" w:type="dxa"/>
              <w:left w:w="16" w:type="dxa"/>
              <w:right w:w="16" w:type="dxa"/>
            </w:tcMar>
            <w:vAlign w:val="center"/>
          </w:tcPr>
          <w:p w14:paraId="3E3CB372">
            <w:pPr>
              <w:adjustRightInd w:val="0"/>
              <w:snapToGrid w:val="0"/>
              <w:jc w:val="center"/>
              <w:rPr>
                <w:color w:val="auto"/>
                <w:sz w:val="24"/>
                <w:highlight w:val="none"/>
              </w:rPr>
            </w:pPr>
            <w:r>
              <w:rPr>
                <w:color w:val="auto"/>
                <w:sz w:val="24"/>
                <w:highlight w:val="none"/>
              </w:rPr>
              <w:t>建设单位联系人</w:t>
            </w:r>
          </w:p>
        </w:tc>
        <w:tc>
          <w:tcPr>
            <w:tcW w:w="2126" w:type="dxa"/>
            <w:noWrap w:val="0"/>
            <w:vAlign w:val="center"/>
          </w:tcPr>
          <w:p w14:paraId="0B88DADE">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王攀峰</w:t>
            </w:r>
          </w:p>
        </w:tc>
        <w:tc>
          <w:tcPr>
            <w:tcW w:w="1985" w:type="dxa"/>
            <w:noWrap w:val="0"/>
            <w:vAlign w:val="center"/>
          </w:tcPr>
          <w:p w14:paraId="482F325D">
            <w:pPr>
              <w:adjustRightInd w:val="0"/>
              <w:snapToGrid w:val="0"/>
              <w:jc w:val="center"/>
              <w:rPr>
                <w:color w:val="auto"/>
                <w:sz w:val="24"/>
                <w:highlight w:val="none"/>
              </w:rPr>
            </w:pPr>
            <w:r>
              <w:rPr>
                <w:color w:val="auto"/>
                <w:sz w:val="24"/>
                <w:highlight w:val="none"/>
              </w:rPr>
              <w:t>联系方式</w:t>
            </w:r>
          </w:p>
        </w:tc>
        <w:tc>
          <w:tcPr>
            <w:tcW w:w="2903" w:type="dxa"/>
            <w:noWrap w:val="0"/>
            <w:vAlign w:val="center"/>
          </w:tcPr>
          <w:p w14:paraId="7155904D">
            <w:pPr>
              <w:adjustRightInd w:val="0"/>
              <w:snapToGrid w:val="0"/>
              <w:jc w:val="center"/>
              <w:rPr>
                <w:color w:val="auto"/>
                <w:sz w:val="24"/>
                <w:highlight w:val="none"/>
              </w:rPr>
            </w:pPr>
            <w:r>
              <w:rPr>
                <w:color w:val="auto"/>
                <w:sz w:val="24"/>
                <w:highlight w:val="none"/>
              </w:rPr>
              <w:t>18192095566</w:t>
            </w:r>
          </w:p>
        </w:tc>
      </w:tr>
      <w:tr w14:paraId="16821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noWrap w:val="0"/>
            <w:tcMar>
              <w:top w:w="16" w:type="dxa"/>
              <w:left w:w="16" w:type="dxa"/>
              <w:right w:w="16" w:type="dxa"/>
            </w:tcMar>
            <w:vAlign w:val="center"/>
          </w:tcPr>
          <w:p w14:paraId="4D8355E3">
            <w:pPr>
              <w:adjustRightInd w:val="0"/>
              <w:snapToGrid w:val="0"/>
              <w:jc w:val="center"/>
              <w:rPr>
                <w:color w:val="auto"/>
                <w:sz w:val="24"/>
                <w:highlight w:val="none"/>
              </w:rPr>
            </w:pPr>
            <w:r>
              <w:rPr>
                <w:color w:val="auto"/>
                <w:sz w:val="24"/>
                <w:highlight w:val="none"/>
              </w:rPr>
              <w:t>建设地点</w:t>
            </w:r>
          </w:p>
        </w:tc>
        <w:tc>
          <w:tcPr>
            <w:tcW w:w="7014" w:type="dxa"/>
            <w:gridSpan w:val="3"/>
            <w:noWrap w:val="0"/>
            <w:vAlign w:val="center"/>
          </w:tcPr>
          <w:p w14:paraId="32A1CBA3">
            <w:pPr>
              <w:adjustRightInd w:val="0"/>
              <w:snapToGrid w:val="0"/>
              <w:jc w:val="center"/>
              <w:rPr>
                <w:rFonts w:hint="default" w:eastAsia="宋体"/>
                <w:color w:val="auto"/>
                <w:sz w:val="24"/>
                <w:highlight w:val="none"/>
                <w:lang w:val="en-US" w:eastAsia="zh-CN"/>
              </w:rPr>
            </w:pPr>
            <w:r>
              <w:rPr>
                <w:rFonts w:hint="eastAsia"/>
                <w:color w:val="auto"/>
                <w:sz w:val="24"/>
                <w:highlight w:val="none"/>
              </w:rPr>
              <w:t>陕西省西咸新区沣东新城</w:t>
            </w:r>
            <w:r>
              <w:rPr>
                <w:rFonts w:hint="eastAsia"/>
                <w:color w:val="auto"/>
                <w:sz w:val="24"/>
                <w:highlight w:val="none"/>
                <w:lang w:val="en-US" w:eastAsia="zh-CN"/>
              </w:rPr>
              <w:t>科源三路869号核工业二0三研究所科技综合楼B座</w:t>
            </w:r>
          </w:p>
        </w:tc>
      </w:tr>
      <w:tr w14:paraId="2DCB8B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noWrap w:val="0"/>
            <w:tcMar>
              <w:top w:w="16" w:type="dxa"/>
              <w:left w:w="16" w:type="dxa"/>
              <w:right w:w="16" w:type="dxa"/>
            </w:tcMar>
            <w:vAlign w:val="center"/>
          </w:tcPr>
          <w:p w14:paraId="54705AFC">
            <w:pPr>
              <w:adjustRightInd w:val="0"/>
              <w:snapToGrid w:val="0"/>
              <w:jc w:val="center"/>
              <w:rPr>
                <w:color w:val="auto"/>
                <w:sz w:val="24"/>
                <w:highlight w:val="none"/>
              </w:rPr>
            </w:pPr>
            <w:r>
              <w:rPr>
                <w:color w:val="auto"/>
                <w:sz w:val="24"/>
                <w:highlight w:val="none"/>
              </w:rPr>
              <w:t>地理坐标</w:t>
            </w:r>
          </w:p>
        </w:tc>
        <w:tc>
          <w:tcPr>
            <w:tcW w:w="7014" w:type="dxa"/>
            <w:gridSpan w:val="3"/>
            <w:noWrap w:val="0"/>
            <w:vAlign w:val="center"/>
          </w:tcPr>
          <w:p w14:paraId="24C876B9">
            <w:pPr>
              <w:jc w:val="center"/>
              <w:rPr>
                <w:color w:val="auto"/>
                <w:sz w:val="24"/>
                <w:highlight w:val="none"/>
              </w:rPr>
            </w:pPr>
            <w:r>
              <w:rPr>
                <w:color w:val="auto"/>
                <w:sz w:val="24"/>
                <w:highlight w:val="none"/>
              </w:rPr>
              <w:t>东经108°</w:t>
            </w:r>
            <w:r>
              <w:rPr>
                <w:rFonts w:hint="eastAsia"/>
                <w:color w:val="auto"/>
                <w:sz w:val="24"/>
                <w:highlight w:val="none"/>
                <w:lang w:val="en-US" w:eastAsia="zh-CN"/>
              </w:rPr>
              <w:t>46</w:t>
            </w:r>
            <w:r>
              <w:rPr>
                <w:color w:val="auto"/>
                <w:sz w:val="24"/>
                <w:highlight w:val="none"/>
              </w:rPr>
              <w:t>′</w:t>
            </w:r>
            <w:r>
              <w:rPr>
                <w:rFonts w:hint="eastAsia"/>
                <w:color w:val="auto"/>
                <w:sz w:val="24"/>
                <w:highlight w:val="none"/>
                <w:lang w:val="en-US" w:eastAsia="zh-CN"/>
              </w:rPr>
              <w:t>1.823</w:t>
            </w:r>
            <w:r>
              <w:rPr>
                <w:color w:val="auto"/>
                <w:sz w:val="24"/>
                <w:highlight w:val="none"/>
              </w:rPr>
              <w:t>″，北纬34°1</w:t>
            </w:r>
            <w:r>
              <w:rPr>
                <w:rFonts w:hint="eastAsia"/>
                <w:color w:val="auto"/>
                <w:sz w:val="24"/>
                <w:highlight w:val="none"/>
                <w:lang w:val="en-US" w:eastAsia="zh-CN"/>
              </w:rPr>
              <w:t>5</w:t>
            </w:r>
            <w:r>
              <w:rPr>
                <w:color w:val="auto"/>
                <w:sz w:val="24"/>
                <w:highlight w:val="none"/>
              </w:rPr>
              <w:t>′</w:t>
            </w:r>
            <w:r>
              <w:rPr>
                <w:rFonts w:hint="eastAsia"/>
                <w:color w:val="auto"/>
                <w:sz w:val="24"/>
                <w:highlight w:val="none"/>
                <w:lang w:val="en-US" w:eastAsia="zh-CN"/>
              </w:rPr>
              <w:t>45.815</w:t>
            </w:r>
            <w:r>
              <w:rPr>
                <w:color w:val="auto"/>
                <w:sz w:val="24"/>
                <w:highlight w:val="none"/>
              </w:rPr>
              <w:t>″</w:t>
            </w:r>
          </w:p>
        </w:tc>
      </w:tr>
      <w:tr w14:paraId="15618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856" w:type="dxa"/>
            <w:noWrap w:val="0"/>
            <w:tcMar>
              <w:top w:w="16" w:type="dxa"/>
              <w:left w:w="16" w:type="dxa"/>
              <w:right w:w="16" w:type="dxa"/>
            </w:tcMar>
            <w:vAlign w:val="center"/>
          </w:tcPr>
          <w:p w14:paraId="0184590C">
            <w:pPr>
              <w:adjustRightInd w:val="0"/>
              <w:snapToGrid w:val="0"/>
              <w:jc w:val="center"/>
              <w:rPr>
                <w:color w:val="auto"/>
                <w:sz w:val="24"/>
                <w:highlight w:val="none"/>
              </w:rPr>
            </w:pPr>
            <w:r>
              <w:rPr>
                <w:color w:val="auto"/>
                <w:sz w:val="24"/>
                <w:highlight w:val="none"/>
              </w:rPr>
              <w:t>国民经济</w:t>
            </w:r>
          </w:p>
          <w:p w14:paraId="510F5B99">
            <w:pPr>
              <w:adjustRightInd w:val="0"/>
              <w:snapToGrid w:val="0"/>
              <w:jc w:val="center"/>
              <w:rPr>
                <w:color w:val="auto"/>
                <w:sz w:val="24"/>
                <w:highlight w:val="none"/>
              </w:rPr>
            </w:pPr>
            <w:r>
              <w:rPr>
                <w:color w:val="auto"/>
                <w:sz w:val="24"/>
                <w:highlight w:val="none"/>
              </w:rPr>
              <w:t>行业类别</w:t>
            </w:r>
          </w:p>
        </w:tc>
        <w:tc>
          <w:tcPr>
            <w:tcW w:w="2126" w:type="dxa"/>
            <w:noWrap w:val="0"/>
            <w:vAlign w:val="center"/>
          </w:tcPr>
          <w:p w14:paraId="353D5417">
            <w:pPr>
              <w:adjustRightInd w:val="0"/>
              <w:snapToGrid w:val="0"/>
              <w:jc w:val="center"/>
              <w:rPr>
                <w:rFonts w:hint="eastAsia" w:eastAsia="宋体"/>
                <w:color w:val="auto"/>
                <w:sz w:val="24"/>
                <w:highlight w:val="none"/>
                <w:lang w:eastAsia="zh-CN"/>
              </w:rPr>
            </w:pPr>
            <w:r>
              <w:rPr>
                <w:rFonts w:hint="eastAsia"/>
                <w:color w:val="auto"/>
                <w:sz w:val="24"/>
                <w:highlight w:val="none"/>
                <w:lang w:val="en-US" w:eastAsia="zh-CN"/>
              </w:rPr>
              <w:t>环境与生态监测检测</w:t>
            </w:r>
            <w:r>
              <w:rPr>
                <w:rFonts w:hint="eastAsia"/>
                <w:color w:val="auto"/>
                <w:sz w:val="24"/>
                <w:highlight w:val="none"/>
              </w:rPr>
              <w:t>服务M74</w:t>
            </w:r>
            <w:r>
              <w:rPr>
                <w:rFonts w:hint="eastAsia"/>
                <w:color w:val="auto"/>
                <w:sz w:val="24"/>
                <w:highlight w:val="none"/>
                <w:lang w:val="en-US" w:eastAsia="zh-CN"/>
              </w:rPr>
              <w:t>6</w:t>
            </w:r>
          </w:p>
        </w:tc>
        <w:tc>
          <w:tcPr>
            <w:tcW w:w="1985" w:type="dxa"/>
            <w:noWrap w:val="0"/>
            <w:vAlign w:val="center"/>
          </w:tcPr>
          <w:p w14:paraId="36F11798">
            <w:pPr>
              <w:adjustRightInd w:val="0"/>
              <w:snapToGrid w:val="0"/>
              <w:jc w:val="center"/>
              <w:rPr>
                <w:color w:val="auto"/>
                <w:sz w:val="24"/>
                <w:highlight w:val="none"/>
              </w:rPr>
            </w:pPr>
            <w:r>
              <w:rPr>
                <w:color w:val="auto"/>
                <w:sz w:val="24"/>
                <w:highlight w:val="none"/>
              </w:rPr>
              <w:t>建设项目</w:t>
            </w:r>
          </w:p>
          <w:p w14:paraId="6412E002">
            <w:pPr>
              <w:adjustRightInd w:val="0"/>
              <w:snapToGrid w:val="0"/>
              <w:jc w:val="center"/>
              <w:rPr>
                <w:color w:val="auto"/>
                <w:sz w:val="24"/>
                <w:highlight w:val="none"/>
              </w:rPr>
            </w:pPr>
            <w:r>
              <w:rPr>
                <w:color w:val="auto"/>
                <w:sz w:val="24"/>
                <w:highlight w:val="none"/>
              </w:rPr>
              <w:t>行业类别</w:t>
            </w:r>
          </w:p>
        </w:tc>
        <w:tc>
          <w:tcPr>
            <w:tcW w:w="2903" w:type="dxa"/>
            <w:noWrap w:val="0"/>
            <w:vAlign w:val="center"/>
          </w:tcPr>
          <w:p w14:paraId="3D95CC1F">
            <w:pPr>
              <w:adjustRightInd w:val="0"/>
              <w:snapToGrid w:val="0"/>
              <w:ind w:left="42" w:leftChars="20" w:right="42" w:rightChars="20"/>
              <w:jc w:val="center"/>
              <w:rPr>
                <w:color w:val="auto"/>
                <w:sz w:val="24"/>
                <w:highlight w:val="none"/>
              </w:rPr>
            </w:pPr>
            <w:r>
              <w:rPr>
                <w:rFonts w:hint="eastAsia"/>
                <w:color w:val="auto"/>
                <w:sz w:val="24"/>
                <w:highlight w:val="none"/>
              </w:rPr>
              <w:t>四十五、研究和试验发展”中“98专业实验室、研发（试验）基地”项中的“其他（不产生实验废气、废水、危险废物的除外）</w:t>
            </w:r>
          </w:p>
        </w:tc>
      </w:tr>
      <w:tr w14:paraId="6473B7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56" w:type="dxa"/>
            <w:noWrap w:val="0"/>
            <w:tcMar>
              <w:top w:w="16" w:type="dxa"/>
              <w:left w:w="16" w:type="dxa"/>
              <w:right w:w="16" w:type="dxa"/>
            </w:tcMar>
            <w:vAlign w:val="center"/>
          </w:tcPr>
          <w:p w14:paraId="4D4D2AAF">
            <w:pPr>
              <w:adjustRightInd w:val="0"/>
              <w:snapToGrid w:val="0"/>
              <w:jc w:val="center"/>
              <w:rPr>
                <w:color w:val="auto"/>
                <w:sz w:val="24"/>
                <w:highlight w:val="none"/>
              </w:rPr>
            </w:pPr>
            <w:r>
              <w:rPr>
                <w:color w:val="auto"/>
                <w:sz w:val="24"/>
                <w:highlight w:val="none"/>
              </w:rPr>
              <w:t>建设性质</w:t>
            </w:r>
          </w:p>
        </w:tc>
        <w:tc>
          <w:tcPr>
            <w:tcW w:w="2126" w:type="dxa"/>
            <w:noWrap w:val="0"/>
            <w:vAlign w:val="center"/>
          </w:tcPr>
          <w:p w14:paraId="7FC9B1CE">
            <w:pPr>
              <w:jc w:val="left"/>
              <w:rPr>
                <w:color w:val="auto"/>
                <w:sz w:val="24"/>
                <w:highlight w:val="none"/>
              </w:rPr>
            </w:pPr>
            <w:r>
              <w:rPr>
                <w:color w:val="auto"/>
                <w:sz w:val="24"/>
                <w:highlight w:val="none"/>
              </w:rPr>
              <w:sym w:font="Wingdings 2" w:char="00A3"/>
            </w:r>
            <w:r>
              <w:rPr>
                <w:color w:val="auto"/>
                <w:sz w:val="24"/>
                <w:highlight w:val="none"/>
              </w:rPr>
              <w:t>新建（迁建）</w:t>
            </w:r>
          </w:p>
          <w:p w14:paraId="2C4241B0">
            <w:pPr>
              <w:jc w:val="left"/>
              <w:rPr>
                <w:color w:val="auto"/>
                <w:sz w:val="24"/>
                <w:highlight w:val="none"/>
              </w:rPr>
            </w:pPr>
            <w:r>
              <w:rPr>
                <w:color w:val="auto"/>
                <w:sz w:val="24"/>
                <w:highlight w:val="none"/>
              </w:rPr>
              <w:sym w:font="Wingdings 2" w:char="00A3"/>
            </w:r>
            <w:r>
              <w:rPr>
                <w:color w:val="auto"/>
                <w:sz w:val="24"/>
                <w:highlight w:val="none"/>
              </w:rPr>
              <w:t>改建</w:t>
            </w:r>
          </w:p>
          <w:p w14:paraId="55F96F5A">
            <w:pPr>
              <w:jc w:val="left"/>
              <w:rPr>
                <w:color w:val="auto"/>
                <w:sz w:val="24"/>
                <w:highlight w:val="none"/>
              </w:rPr>
            </w:pPr>
            <w:r>
              <w:rPr>
                <w:color w:val="auto"/>
                <w:sz w:val="24"/>
                <w:highlight w:val="none"/>
              </w:rPr>
              <w:sym w:font="Wingdings 2" w:char="0052"/>
            </w:r>
            <w:r>
              <w:rPr>
                <w:color w:val="auto"/>
                <w:sz w:val="24"/>
                <w:highlight w:val="none"/>
              </w:rPr>
              <w:t>扩建</w:t>
            </w:r>
          </w:p>
          <w:p w14:paraId="7F31ACB6">
            <w:pPr>
              <w:jc w:val="left"/>
              <w:rPr>
                <w:color w:val="auto"/>
                <w:sz w:val="24"/>
                <w:highlight w:val="none"/>
              </w:rPr>
            </w:pPr>
            <w:r>
              <w:rPr>
                <w:color w:val="auto"/>
                <w:sz w:val="24"/>
                <w:highlight w:val="none"/>
              </w:rPr>
              <w:sym w:font="Wingdings 2" w:char="00A3"/>
            </w:r>
            <w:r>
              <w:rPr>
                <w:color w:val="auto"/>
                <w:sz w:val="24"/>
                <w:highlight w:val="none"/>
              </w:rPr>
              <w:t>技术改造</w:t>
            </w:r>
          </w:p>
        </w:tc>
        <w:tc>
          <w:tcPr>
            <w:tcW w:w="1985" w:type="dxa"/>
            <w:noWrap w:val="0"/>
            <w:vAlign w:val="center"/>
          </w:tcPr>
          <w:p w14:paraId="093043C5">
            <w:pPr>
              <w:adjustRightInd w:val="0"/>
              <w:snapToGrid w:val="0"/>
              <w:jc w:val="center"/>
              <w:rPr>
                <w:color w:val="auto"/>
                <w:sz w:val="24"/>
                <w:highlight w:val="none"/>
              </w:rPr>
            </w:pPr>
            <w:r>
              <w:rPr>
                <w:color w:val="auto"/>
                <w:sz w:val="24"/>
                <w:highlight w:val="none"/>
              </w:rPr>
              <w:t>建设项目</w:t>
            </w:r>
          </w:p>
          <w:p w14:paraId="7B6D7817">
            <w:pPr>
              <w:adjustRightInd w:val="0"/>
              <w:snapToGrid w:val="0"/>
              <w:jc w:val="center"/>
              <w:rPr>
                <w:color w:val="auto"/>
                <w:sz w:val="24"/>
                <w:highlight w:val="none"/>
              </w:rPr>
            </w:pPr>
            <w:r>
              <w:rPr>
                <w:color w:val="auto"/>
                <w:sz w:val="24"/>
                <w:highlight w:val="none"/>
              </w:rPr>
              <w:t>申报情形</w:t>
            </w:r>
          </w:p>
        </w:tc>
        <w:tc>
          <w:tcPr>
            <w:tcW w:w="2903" w:type="dxa"/>
            <w:noWrap w:val="0"/>
            <w:vAlign w:val="center"/>
          </w:tcPr>
          <w:p w14:paraId="35975388">
            <w:pPr>
              <w:jc w:val="left"/>
              <w:rPr>
                <w:color w:val="auto"/>
                <w:sz w:val="24"/>
                <w:highlight w:val="none"/>
              </w:rPr>
            </w:pPr>
            <w:r>
              <w:rPr>
                <w:rFonts w:hint="eastAsia" w:eastAsia="方正仿宋简体"/>
                <w:color w:val="auto"/>
                <w:sz w:val="24"/>
                <w:highlight w:val="none"/>
                <w:lang w:eastAsia="zh-CN"/>
              </w:rPr>
              <w:t>☑</w:t>
            </w:r>
            <w:r>
              <w:rPr>
                <w:color w:val="auto"/>
                <w:sz w:val="24"/>
                <w:highlight w:val="none"/>
              </w:rPr>
              <w:t xml:space="preserve">首次申报项目             </w:t>
            </w:r>
          </w:p>
          <w:p w14:paraId="763EC5D6">
            <w:pPr>
              <w:jc w:val="left"/>
              <w:rPr>
                <w:color w:val="auto"/>
                <w:sz w:val="24"/>
                <w:highlight w:val="none"/>
              </w:rPr>
            </w:pPr>
            <w:r>
              <w:rPr>
                <w:color w:val="auto"/>
                <w:sz w:val="24"/>
                <w:highlight w:val="none"/>
              </w:rPr>
              <w:sym w:font="Wingdings 2" w:char="00A3"/>
            </w:r>
            <w:r>
              <w:rPr>
                <w:color w:val="auto"/>
                <w:sz w:val="24"/>
                <w:highlight w:val="none"/>
              </w:rPr>
              <w:t>不予批准后再次申报项目</w:t>
            </w:r>
          </w:p>
          <w:p w14:paraId="1E17CEE2">
            <w:pPr>
              <w:jc w:val="left"/>
              <w:rPr>
                <w:color w:val="auto"/>
                <w:sz w:val="24"/>
                <w:highlight w:val="none"/>
              </w:rPr>
            </w:pPr>
            <w:r>
              <w:rPr>
                <w:color w:val="auto"/>
                <w:sz w:val="24"/>
                <w:highlight w:val="none"/>
              </w:rPr>
              <w:sym w:font="Wingdings 2" w:char="00A3"/>
            </w:r>
            <w:r>
              <w:rPr>
                <w:color w:val="auto"/>
                <w:sz w:val="24"/>
                <w:highlight w:val="none"/>
              </w:rPr>
              <w:t xml:space="preserve">超五年重新审核项目     </w:t>
            </w:r>
          </w:p>
          <w:p w14:paraId="669D004D">
            <w:pPr>
              <w:jc w:val="left"/>
              <w:rPr>
                <w:color w:val="auto"/>
                <w:sz w:val="24"/>
                <w:highlight w:val="none"/>
              </w:rPr>
            </w:pPr>
            <w:r>
              <w:rPr>
                <w:color w:val="auto"/>
                <w:sz w:val="24"/>
                <w:highlight w:val="none"/>
              </w:rPr>
              <w:sym w:font="Wingdings 2" w:char="00A3"/>
            </w:r>
            <w:r>
              <w:rPr>
                <w:color w:val="auto"/>
                <w:sz w:val="24"/>
                <w:highlight w:val="none"/>
              </w:rPr>
              <w:t>重大变动重新报批项目</w:t>
            </w:r>
          </w:p>
        </w:tc>
      </w:tr>
      <w:tr w14:paraId="241FE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856" w:type="dxa"/>
            <w:noWrap w:val="0"/>
            <w:tcMar>
              <w:top w:w="16" w:type="dxa"/>
              <w:left w:w="16" w:type="dxa"/>
              <w:right w:w="16" w:type="dxa"/>
            </w:tcMar>
            <w:vAlign w:val="center"/>
          </w:tcPr>
          <w:p w14:paraId="562289DA">
            <w:pPr>
              <w:adjustRightInd w:val="0"/>
              <w:snapToGrid w:val="0"/>
              <w:jc w:val="center"/>
              <w:rPr>
                <w:color w:val="auto"/>
                <w:sz w:val="24"/>
                <w:highlight w:val="none"/>
              </w:rPr>
            </w:pPr>
            <w:r>
              <w:rPr>
                <w:color w:val="auto"/>
                <w:sz w:val="24"/>
                <w:highlight w:val="none"/>
              </w:rPr>
              <w:t>项目审批（核准/</w:t>
            </w:r>
          </w:p>
          <w:p w14:paraId="7DD56905">
            <w:pPr>
              <w:adjustRightInd w:val="0"/>
              <w:snapToGrid w:val="0"/>
              <w:jc w:val="center"/>
              <w:rPr>
                <w:color w:val="auto"/>
                <w:sz w:val="24"/>
                <w:highlight w:val="none"/>
              </w:rPr>
            </w:pPr>
            <w:r>
              <w:rPr>
                <w:color w:val="auto"/>
                <w:sz w:val="24"/>
                <w:highlight w:val="none"/>
              </w:rPr>
              <w:t>备案）部门（选填）</w:t>
            </w:r>
          </w:p>
        </w:tc>
        <w:tc>
          <w:tcPr>
            <w:tcW w:w="2126" w:type="dxa"/>
            <w:noWrap w:val="0"/>
            <w:vAlign w:val="center"/>
          </w:tcPr>
          <w:p w14:paraId="423DA010">
            <w:pPr>
              <w:adjustRightInd w:val="0"/>
              <w:snapToGrid w:val="0"/>
              <w:jc w:val="center"/>
              <w:rPr>
                <w:rFonts w:hint="eastAsia" w:eastAsia="宋体"/>
                <w:color w:val="auto"/>
                <w:sz w:val="24"/>
                <w:highlight w:val="none"/>
                <w:lang w:val="en-US" w:eastAsia="zh-CN"/>
              </w:rPr>
            </w:pPr>
            <w:r>
              <w:rPr>
                <w:rFonts w:hint="eastAsia"/>
                <w:color w:val="auto"/>
                <w:sz w:val="24"/>
                <w:highlight w:val="none"/>
                <w:lang w:val="en-US" w:eastAsia="zh-CN"/>
              </w:rPr>
              <w:t>/</w:t>
            </w:r>
          </w:p>
        </w:tc>
        <w:tc>
          <w:tcPr>
            <w:tcW w:w="1985" w:type="dxa"/>
            <w:noWrap w:val="0"/>
            <w:vAlign w:val="center"/>
          </w:tcPr>
          <w:p w14:paraId="10AE00A0">
            <w:pPr>
              <w:adjustRightInd w:val="0"/>
              <w:snapToGrid w:val="0"/>
              <w:jc w:val="center"/>
              <w:rPr>
                <w:color w:val="auto"/>
                <w:sz w:val="24"/>
                <w:highlight w:val="none"/>
              </w:rPr>
            </w:pPr>
            <w:r>
              <w:rPr>
                <w:color w:val="auto"/>
                <w:sz w:val="24"/>
                <w:highlight w:val="none"/>
              </w:rPr>
              <w:t>项目审批（核准/备案）文号（选填）</w:t>
            </w:r>
          </w:p>
        </w:tc>
        <w:tc>
          <w:tcPr>
            <w:tcW w:w="2903" w:type="dxa"/>
            <w:noWrap w:val="0"/>
            <w:vAlign w:val="center"/>
          </w:tcPr>
          <w:p w14:paraId="25CCAFAD">
            <w:pPr>
              <w:adjustRightInd w:val="0"/>
              <w:snapToGrid w:val="0"/>
              <w:jc w:val="center"/>
              <w:rPr>
                <w:rFonts w:hint="eastAsia" w:eastAsia="宋体"/>
                <w:color w:val="auto"/>
                <w:sz w:val="24"/>
                <w:highlight w:val="none"/>
                <w:lang w:val="en-US" w:eastAsia="zh-CN"/>
              </w:rPr>
            </w:pPr>
            <w:r>
              <w:rPr>
                <w:rFonts w:hint="eastAsia"/>
                <w:color w:val="auto"/>
                <w:sz w:val="24"/>
                <w:highlight w:val="none"/>
                <w:lang w:val="en-US" w:eastAsia="zh-CN"/>
              </w:rPr>
              <w:t>/</w:t>
            </w:r>
          </w:p>
        </w:tc>
      </w:tr>
      <w:tr w14:paraId="4B925A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856" w:type="dxa"/>
            <w:noWrap w:val="0"/>
            <w:tcMar>
              <w:top w:w="16" w:type="dxa"/>
              <w:left w:w="16" w:type="dxa"/>
              <w:right w:w="16" w:type="dxa"/>
            </w:tcMar>
            <w:vAlign w:val="center"/>
          </w:tcPr>
          <w:p w14:paraId="546F4DFA">
            <w:pPr>
              <w:adjustRightInd w:val="0"/>
              <w:snapToGrid w:val="0"/>
              <w:jc w:val="center"/>
              <w:rPr>
                <w:color w:val="auto"/>
                <w:sz w:val="24"/>
                <w:highlight w:val="none"/>
              </w:rPr>
            </w:pPr>
            <w:r>
              <w:rPr>
                <w:color w:val="auto"/>
                <w:sz w:val="24"/>
                <w:highlight w:val="none"/>
              </w:rPr>
              <w:t>总投资（万元）</w:t>
            </w:r>
          </w:p>
        </w:tc>
        <w:tc>
          <w:tcPr>
            <w:tcW w:w="2126" w:type="dxa"/>
            <w:noWrap w:val="0"/>
            <w:vAlign w:val="center"/>
          </w:tcPr>
          <w:p w14:paraId="60E94EED">
            <w:pPr>
              <w:adjustRightInd w:val="0"/>
              <w:snapToGrid w:val="0"/>
              <w:jc w:val="center"/>
              <w:rPr>
                <w:rFonts w:hint="default" w:eastAsia="宋体"/>
                <w:color w:val="auto"/>
                <w:sz w:val="24"/>
                <w:highlight w:val="none"/>
                <w:lang w:val="en-US" w:eastAsia="zh-CN"/>
              </w:rPr>
            </w:pPr>
            <w:r>
              <w:rPr>
                <w:rFonts w:hint="eastAsia" w:eastAsia="楷体_GB2312"/>
                <w:color w:val="auto"/>
                <w:spacing w:val="-20"/>
                <w:sz w:val="24"/>
                <w:highlight w:val="none"/>
                <w:lang w:val="en-US" w:eastAsia="zh-CN"/>
              </w:rPr>
              <w:t>2000</w:t>
            </w:r>
          </w:p>
        </w:tc>
        <w:tc>
          <w:tcPr>
            <w:tcW w:w="1985" w:type="dxa"/>
            <w:noWrap w:val="0"/>
            <w:tcMar>
              <w:top w:w="16" w:type="dxa"/>
              <w:left w:w="16" w:type="dxa"/>
              <w:right w:w="16" w:type="dxa"/>
            </w:tcMar>
            <w:vAlign w:val="center"/>
          </w:tcPr>
          <w:p w14:paraId="5D0F3F6C">
            <w:pPr>
              <w:adjustRightInd w:val="0"/>
              <w:snapToGrid w:val="0"/>
              <w:jc w:val="center"/>
              <w:rPr>
                <w:color w:val="auto"/>
                <w:sz w:val="24"/>
                <w:highlight w:val="none"/>
              </w:rPr>
            </w:pPr>
            <w:r>
              <w:rPr>
                <w:color w:val="auto"/>
                <w:sz w:val="24"/>
                <w:highlight w:val="none"/>
              </w:rPr>
              <w:t>环保投资（万元）</w:t>
            </w:r>
          </w:p>
        </w:tc>
        <w:tc>
          <w:tcPr>
            <w:tcW w:w="2903" w:type="dxa"/>
            <w:noWrap w:val="0"/>
            <w:vAlign w:val="center"/>
          </w:tcPr>
          <w:p w14:paraId="745D3DF7">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57</w:t>
            </w:r>
          </w:p>
        </w:tc>
      </w:tr>
      <w:tr w14:paraId="0EDE1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856" w:type="dxa"/>
            <w:noWrap w:val="0"/>
            <w:tcMar>
              <w:top w:w="16" w:type="dxa"/>
              <w:left w:w="16" w:type="dxa"/>
              <w:right w:w="16" w:type="dxa"/>
            </w:tcMar>
            <w:vAlign w:val="center"/>
          </w:tcPr>
          <w:p w14:paraId="784D6353">
            <w:pPr>
              <w:adjustRightInd w:val="0"/>
              <w:snapToGrid w:val="0"/>
              <w:jc w:val="center"/>
              <w:rPr>
                <w:color w:val="auto"/>
                <w:sz w:val="24"/>
                <w:highlight w:val="none"/>
              </w:rPr>
            </w:pPr>
            <w:r>
              <w:rPr>
                <w:color w:val="auto"/>
                <w:sz w:val="24"/>
                <w:highlight w:val="none"/>
              </w:rPr>
              <w:t>环保投资占</w:t>
            </w:r>
            <w:r>
              <w:rPr>
                <w:rFonts w:hint="eastAsia"/>
                <w:color w:val="auto"/>
                <w:sz w:val="24"/>
                <w:highlight w:val="none"/>
              </w:rPr>
              <w:t>比</w:t>
            </w:r>
            <w:r>
              <w:rPr>
                <w:color w:val="auto"/>
                <w:sz w:val="24"/>
                <w:highlight w:val="none"/>
              </w:rPr>
              <w:t>（%）</w:t>
            </w:r>
          </w:p>
        </w:tc>
        <w:tc>
          <w:tcPr>
            <w:tcW w:w="2126" w:type="dxa"/>
            <w:noWrap w:val="0"/>
            <w:vAlign w:val="center"/>
          </w:tcPr>
          <w:p w14:paraId="64A654A0">
            <w:pPr>
              <w:adjustRightInd w:val="0"/>
              <w:snapToGrid w:val="0"/>
              <w:jc w:val="center"/>
              <w:rPr>
                <w:rFonts w:hint="default" w:eastAsia="宋体"/>
                <w:color w:val="auto"/>
                <w:sz w:val="24"/>
                <w:highlight w:val="none"/>
                <w:lang w:val="en-US" w:eastAsia="zh-CN"/>
              </w:rPr>
            </w:pPr>
            <w:r>
              <w:rPr>
                <w:rFonts w:hint="eastAsia" w:eastAsia="楷体_GB2312"/>
                <w:color w:val="auto"/>
                <w:sz w:val="24"/>
                <w:highlight w:val="none"/>
                <w:lang w:val="en-US" w:eastAsia="zh-CN"/>
              </w:rPr>
              <w:t>2.85</w:t>
            </w:r>
          </w:p>
        </w:tc>
        <w:tc>
          <w:tcPr>
            <w:tcW w:w="1985" w:type="dxa"/>
            <w:noWrap w:val="0"/>
            <w:tcMar>
              <w:top w:w="16" w:type="dxa"/>
              <w:left w:w="16" w:type="dxa"/>
              <w:right w:w="16" w:type="dxa"/>
            </w:tcMar>
            <w:vAlign w:val="center"/>
          </w:tcPr>
          <w:p w14:paraId="0F1F394A">
            <w:pPr>
              <w:adjustRightInd w:val="0"/>
              <w:snapToGrid w:val="0"/>
              <w:jc w:val="center"/>
              <w:rPr>
                <w:color w:val="auto"/>
                <w:sz w:val="24"/>
                <w:highlight w:val="none"/>
              </w:rPr>
            </w:pPr>
            <w:r>
              <w:rPr>
                <w:color w:val="auto"/>
                <w:sz w:val="24"/>
                <w:highlight w:val="none"/>
              </w:rPr>
              <w:t>施工工期</w:t>
            </w:r>
          </w:p>
        </w:tc>
        <w:tc>
          <w:tcPr>
            <w:tcW w:w="2903" w:type="dxa"/>
            <w:noWrap w:val="0"/>
            <w:vAlign w:val="center"/>
          </w:tcPr>
          <w:p w14:paraId="2B0EAEB9">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2个月</w:t>
            </w:r>
          </w:p>
        </w:tc>
      </w:tr>
      <w:tr w14:paraId="77D9AC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noWrap w:val="0"/>
            <w:tcMar>
              <w:top w:w="16" w:type="dxa"/>
              <w:left w:w="16" w:type="dxa"/>
              <w:right w:w="16" w:type="dxa"/>
            </w:tcMar>
            <w:vAlign w:val="center"/>
          </w:tcPr>
          <w:p w14:paraId="11959111">
            <w:pPr>
              <w:adjustRightInd w:val="0"/>
              <w:snapToGrid w:val="0"/>
              <w:jc w:val="center"/>
              <w:rPr>
                <w:color w:val="auto"/>
                <w:sz w:val="24"/>
                <w:highlight w:val="none"/>
              </w:rPr>
            </w:pPr>
            <w:r>
              <w:rPr>
                <w:color w:val="auto"/>
                <w:sz w:val="24"/>
                <w:highlight w:val="none"/>
              </w:rPr>
              <w:t>是否开工建设</w:t>
            </w:r>
          </w:p>
        </w:tc>
        <w:tc>
          <w:tcPr>
            <w:tcW w:w="2126" w:type="dxa"/>
            <w:noWrap w:val="0"/>
            <w:vAlign w:val="center"/>
          </w:tcPr>
          <w:p w14:paraId="6CBBDC17">
            <w:pPr>
              <w:adjustRightInd w:val="0"/>
              <w:snapToGrid w:val="0"/>
              <w:rPr>
                <w:color w:val="auto"/>
                <w:sz w:val="24"/>
                <w:highlight w:val="none"/>
              </w:rPr>
            </w:pPr>
            <w:r>
              <w:rPr>
                <w:rFonts w:eastAsia="方正仿宋简体"/>
                <w:color w:val="auto"/>
                <w:sz w:val="24"/>
                <w:highlight w:val="none"/>
              </w:rPr>
              <w:t>☑</w:t>
            </w:r>
            <w:r>
              <w:rPr>
                <w:color w:val="auto"/>
                <w:sz w:val="24"/>
                <w:highlight w:val="none"/>
              </w:rPr>
              <w:t>否</w:t>
            </w:r>
          </w:p>
          <w:p w14:paraId="370A654C">
            <w:pPr>
              <w:adjustRightInd w:val="0"/>
              <w:snapToGrid w:val="0"/>
              <w:rPr>
                <w:color w:val="auto"/>
                <w:sz w:val="24"/>
                <w:highlight w:val="none"/>
              </w:rPr>
            </w:pPr>
            <w:r>
              <w:rPr>
                <w:color w:val="auto"/>
                <w:sz w:val="24"/>
                <w:highlight w:val="none"/>
              </w:rPr>
              <w:sym w:font="Wingdings 2" w:char="00A3"/>
            </w:r>
            <w:r>
              <w:rPr>
                <w:color w:val="auto"/>
                <w:sz w:val="24"/>
                <w:highlight w:val="none"/>
              </w:rPr>
              <w:t>是：</w:t>
            </w:r>
            <w:r>
              <w:rPr>
                <w:color w:val="auto"/>
                <w:sz w:val="24"/>
                <w:highlight w:val="none"/>
                <w:u w:val="single"/>
              </w:rPr>
              <w:t xml:space="preserve">             </w:t>
            </w:r>
          </w:p>
        </w:tc>
        <w:tc>
          <w:tcPr>
            <w:tcW w:w="1985" w:type="dxa"/>
            <w:noWrap w:val="0"/>
            <w:tcMar>
              <w:top w:w="16" w:type="dxa"/>
              <w:left w:w="16" w:type="dxa"/>
              <w:right w:w="16" w:type="dxa"/>
            </w:tcMar>
            <w:vAlign w:val="center"/>
          </w:tcPr>
          <w:p w14:paraId="75C8C14B">
            <w:pPr>
              <w:adjustRightInd w:val="0"/>
              <w:snapToGrid w:val="0"/>
              <w:jc w:val="center"/>
              <w:rPr>
                <w:color w:val="auto"/>
                <w:spacing w:val="-6"/>
                <w:sz w:val="24"/>
                <w:highlight w:val="none"/>
              </w:rPr>
            </w:pPr>
            <w:r>
              <w:rPr>
                <w:color w:val="auto"/>
                <w:spacing w:val="-6"/>
                <w:sz w:val="24"/>
                <w:highlight w:val="none"/>
              </w:rPr>
              <w:t>用地（用海）</w:t>
            </w:r>
          </w:p>
          <w:p w14:paraId="634DFC3A">
            <w:pPr>
              <w:adjustRightInd w:val="0"/>
              <w:snapToGrid w:val="0"/>
              <w:jc w:val="center"/>
              <w:rPr>
                <w:color w:val="auto"/>
                <w:sz w:val="24"/>
                <w:highlight w:val="none"/>
              </w:rPr>
            </w:pPr>
            <w:r>
              <w:rPr>
                <w:color w:val="auto"/>
                <w:spacing w:val="-6"/>
                <w:sz w:val="24"/>
                <w:highlight w:val="none"/>
              </w:rPr>
              <w:t>面积（m</w:t>
            </w:r>
            <w:r>
              <w:rPr>
                <w:color w:val="auto"/>
                <w:spacing w:val="-6"/>
                <w:sz w:val="24"/>
                <w:highlight w:val="none"/>
                <w:vertAlign w:val="superscript"/>
              </w:rPr>
              <w:t>2</w:t>
            </w:r>
            <w:r>
              <w:rPr>
                <w:color w:val="auto"/>
                <w:spacing w:val="-6"/>
                <w:sz w:val="24"/>
                <w:highlight w:val="none"/>
              </w:rPr>
              <w:t>）</w:t>
            </w:r>
          </w:p>
        </w:tc>
        <w:tc>
          <w:tcPr>
            <w:tcW w:w="2903" w:type="dxa"/>
            <w:noWrap w:val="0"/>
            <w:vAlign w:val="center"/>
          </w:tcPr>
          <w:p w14:paraId="6E214A65">
            <w:pPr>
              <w:adjustRightInd w:val="0"/>
              <w:snapToGrid w:val="0"/>
              <w:jc w:val="center"/>
              <w:rPr>
                <w:rFonts w:hint="eastAsia" w:eastAsia="宋体"/>
                <w:color w:val="auto"/>
                <w:sz w:val="24"/>
                <w:highlight w:val="none"/>
                <w:lang w:eastAsia="zh-CN"/>
              </w:rPr>
            </w:pPr>
            <w:r>
              <w:rPr>
                <w:rFonts w:hint="eastAsia"/>
                <w:color w:val="auto"/>
                <w:sz w:val="24"/>
                <w:highlight w:val="none"/>
                <w:lang w:val="en-US" w:eastAsia="zh-CN"/>
              </w:rPr>
              <w:t>0</w:t>
            </w:r>
          </w:p>
        </w:tc>
      </w:tr>
      <w:tr w14:paraId="6257B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56" w:type="dxa"/>
            <w:noWrap w:val="0"/>
            <w:vAlign w:val="center"/>
          </w:tcPr>
          <w:p w14:paraId="43E4FD7B">
            <w:pPr>
              <w:autoSpaceDE w:val="0"/>
              <w:autoSpaceDN w:val="0"/>
              <w:adjustRightInd w:val="0"/>
              <w:snapToGrid w:val="0"/>
              <w:jc w:val="center"/>
              <w:rPr>
                <w:color w:val="auto"/>
                <w:kern w:val="0"/>
                <w:sz w:val="24"/>
                <w:highlight w:val="none"/>
              </w:rPr>
            </w:pPr>
            <w:r>
              <w:rPr>
                <w:color w:val="auto"/>
                <w:kern w:val="0"/>
                <w:sz w:val="24"/>
                <w:highlight w:val="none"/>
              </w:rPr>
              <w:t>专项评价设置情况</w:t>
            </w:r>
          </w:p>
        </w:tc>
        <w:tc>
          <w:tcPr>
            <w:tcW w:w="7014" w:type="dxa"/>
            <w:gridSpan w:val="3"/>
            <w:noWrap w:val="0"/>
            <w:vAlign w:val="center"/>
          </w:tcPr>
          <w:p w14:paraId="1354528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根据《建设项目环境影响报告表编制技术指南（污染影响类）（试行）》表1设置原则，本项目设置环境风险专项评价具体判定情况见下表1-1。</w:t>
            </w:r>
          </w:p>
          <w:p w14:paraId="1671CFB1">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highlight w:val="none"/>
                <w:lang w:val="en-US" w:eastAsia="zh-CN"/>
              </w:rPr>
            </w:pPr>
            <w:r>
              <w:rPr>
                <w:rFonts w:hint="eastAsia"/>
                <w:color w:val="auto"/>
                <w:highlight w:val="none"/>
                <w:lang w:val="en-US" w:eastAsia="zh-CN"/>
              </w:rPr>
              <w:t>表1-1 专项评价判定情况表</w:t>
            </w:r>
          </w:p>
          <w:tbl>
            <w:tblPr>
              <w:tblStyle w:val="28"/>
              <w:tblW w:w="669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2"/>
              <w:gridCol w:w="2779"/>
              <w:gridCol w:w="2229"/>
              <w:gridCol w:w="888"/>
            </w:tblGrid>
            <w:tr w14:paraId="45109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02" w:type="dxa"/>
                  <w:noWrap w:val="0"/>
                  <w:vAlign w:val="center"/>
                </w:tcPr>
                <w:p w14:paraId="34363BB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b/>
                      <w:bCs/>
                      <w:color w:val="auto"/>
                      <w:highlight w:val="none"/>
                      <w:lang w:val="en-US" w:eastAsia="zh-CN"/>
                    </w:rPr>
                  </w:pPr>
                  <w:r>
                    <w:rPr>
                      <w:rFonts w:hint="eastAsia"/>
                      <w:b/>
                      <w:bCs/>
                      <w:color w:val="auto"/>
                      <w:highlight w:val="none"/>
                      <w:lang w:val="en-US" w:eastAsia="zh-CN"/>
                    </w:rPr>
                    <w:t>专项评价类别</w:t>
                  </w:r>
                </w:p>
              </w:tc>
              <w:tc>
                <w:tcPr>
                  <w:tcW w:w="2779" w:type="dxa"/>
                  <w:noWrap w:val="0"/>
                  <w:vAlign w:val="center"/>
                </w:tcPr>
                <w:p w14:paraId="1F35824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编制技术指南中要求</w:t>
                  </w:r>
                </w:p>
              </w:tc>
              <w:tc>
                <w:tcPr>
                  <w:tcW w:w="2229" w:type="dxa"/>
                  <w:noWrap w:val="0"/>
                  <w:vAlign w:val="center"/>
                </w:tcPr>
                <w:p w14:paraId="602CEE6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本项目情况</w:t>
                  </w:r>
                </w:p>
              </w:tc>
              <w:tc>
                <w:tcPr>
                  <w:tcW w:w="888" w:type="dxa"/>
                  <w:noWrap w:val="0"/>
                  <w:vAlign w:val="center"/>
                </w:tcPr>
                <w:p w14:paraId="447BE92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是否设置专项评价</w:t>
                  </w:r>
                </w:p>
              </w:tc>
            </w:tr>
            <w:tr w14:paraId="0E2FC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802" w:type="dxa"/>
                  <w:noWrap w:val="0"/>
                  <w:vAlign w:val="center"/>
                </w:tcPr>
                <w:p w14:paraId="32C9FEF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大气</w:t>
                  </w:r>
                </w:p>
              </w:tc>
              <w:tc>
                <w:tcPr>
                  <w:tcW w:w="2779" w:type="dxa"/>
                  <w:noWrap w:val="0"/>
                  <w:vAlign w:val="center"/>
                </w:tcPr>
                <w:p w14:paraId="7BC1C21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排放废气含有毒有害污染物、二噁英、苯并[a]芘、氰化物、氯气且厂界外500米范围内有环境空气保护目标的建设项目</w:t>
                  </w:r>
                </w:p>
              </w:tc>
              <w:tc>
                <w:tcPr>
                  <w:tcW w:w="2229" w:type="dxa"/>
                  <w:noWrap w:val="0"/>
                  <w:vAlign w:val="center"/>
                </w:tcPr>
                <w:p w14:paraId="0E353CD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w:t>
                  </w:r>
                  <w:r>
                    <w:rPr>
                      <w:rFonts w:hint="eastAsia" w:cs="Times New Roman"/>
                      <w:color w:val="auto"/>
                      <w:highlight w:val="none"/>
                      <w:lang w:val="en-US" w:eastAsia="zh-CN"/>
                    </w:rPr>
                    <w:t>运营期</w:t>
                  </w:r>
                  <w:r>
                    <w:rPr>
                      <w:rFonts w:hint="eastAsia" w:ascii="Times New Roman" w:hAnsi="Times New Roman" w:eastAsia="宋体" w:cs="Times New Roman"/>
                      <w:color w:val="auto"/>
                      <w:highlight w:val="none"/>
                      <w:lang w:val="en-US" w:eastAsia="zh-CN"/>
                    </w:rPr>
                    <w:t>的废气中不含有毒有害污染物、二噁英、苯并芘、氰化物、氯气</w:t>
                  </w:r>
                  <w:r>
                    <w:rPr>
                      <w:rFonts w:hint="eastAsia" w:cs="Times New Roman"/>
                      <w:color w:val="auto"/>
                      <w:highlight w:val="none"/>
                      <w:lang w:val="en-US" w:eastAsia="zh-CN"/>
                    </w:rPr>
                    <w:t>。本项目排放废气含有三氯甲烷、二氯甲烷，属于《有毒有害大气污染物名录》中污染物，但该两种污染物无排放标准，且项目500m范围内范围内无环境空气保护目标，故无需开展大气专项评价</w:t>
                  </w:r>
                </w:p>
              </w:tc>
              <w:tc>
                <w:tcPr>
                  <w:tcW w:w="888" w:type="dxa"/>
                  <w:noWrap w:val="0"/>
                  <w:vAlign w:val="center"/>
                </w:tcPr>
                <w:p w14:paraId="754EA52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4EB712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802" w:type="dxa"/>
                  <w:noWrap w:val="0"/>
                  <w:vAlign w:val="center"/>
                </w:tcPr>
                <w:p w14:paraId="630C659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地表水</w:t>
                  </w:r>
                </w:p>
              </w:tc>
              <w:tc>
                <w:tcPr>
                  <w:tcW w:w="2779" w:type="dxa"/>
                  <w:noWrap w:val="0"/>
                  <w:vAlign w:val="center"/>
                </w:tcPr>
                <w:p w14:paraId="1015CD1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新增工业废水直排建设项目（槽罐车外送污水处理厂的除外）；新增废水直排的污水集中处理厂</w:t>
                  </w:r>
                </w:p>
              </w:tc>
              <w:tc>
                <w:tcPr>
                  <w:tcW w:w="2229" w:type="dxa"/>
                  <w:noWrap w:val="0"/>
                  <w:vAlign w:val="center"/>
                </w:tcPr>
                <w:p w14:paraId="63BED0D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b w:val="0"/>
                      <w:bCs/>
                      <w:color w:val="auto"/>
                      <w:sz w:val="21"/>
                      <w:szCs w:val="21"/>
                      <w:highlight w:val="none"/>
                      <w:lang w:eastAsia="zh-CN"/>
                    </w:rPr>
                    <w:t>本项目</w:t>
                  </w:r>
                  <w:r>
                    <w:rPr>
                      <w:rFonts w:hint="eastAsia" w:ascii="Times New Roman" w:hAnsi="Times New Roman" w:cs="Times New Roman"/>
                      <w:b w:val="0"/>
                      <w:bCs/>
                      <w:color w:val="auto"/>
                      <w:sz w:val="21"/>
                      <w:szCs w:val="21"/>
                      <w:highlight w:val="none"/>
                      <w:lang w:val="en-US" w:eastAsia="zh-CN"/>
                    </w:rPr>
                    <w:t>为分析测试实验室建设</w:t>
                  </w:r>
                  <w:r>
                    <w:rPr>
                      <w:rFonts w:hint="eastAsia" w:cs="Times New Roman"/>
                      <w:b w:val="0"/>
                      <w:bCs/>
                      <w:color w:val="auto"/>
                      <w:sz w:val="21"/>
                      <w:szCs w:val="21"/>
                      <w:highlight w:val="none"/>
                      <w:lang w:val="en-US" w:eastAsia="zh-CN"/>
                    </w:rPr>
                    <w:t>项目，废水经预处理后通过管网排入沣东南污水处理厂</w:t>
                  </w:r>
                </w:p>
              </w:tc>
              <w:tc>
                <w:tcPr>
                  <w:tcW w:w="888" w:type="dxa"/>
                  <w:noWrap w:val="0"/>
                  <w:vAlign w:val="center"/>
                </w:tcPr>
                <w:p w14:paraId="047DB27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02FAB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802" w:type="dxa"/>
                  <w:noWrap w:val="0"/>
                  <w:vAlign w:val="center"/>
                </w:tcPr>
                <w:p w14:paraId="55E266E2">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环境风险</w:t>
                  </w:r>
                </w:p>
              </w:tc>
              <w:tc>
                <w:tcPr>
                  <w:tcW w:w="2779" w:type="dxa"/>
                  <w:noWrap w:val="0"/>
                  <w:vAlign w:val="center"/>
                </w:tcPr>
                <w:p w14:paraId="55572D52">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有毒有害和易燃易爆危险物质存储量超过临界量的建设项目</w:t>
                  </w:r>
                </w:p>
              </w:tc>
              <w:tc>
                <w:tcPr>
                  <w:tcW w:w="2229" w:type="dxa"/>
                  <w:noWrap w:val="0"/>
                  <w:vAlign w:val="center"/>
                </w:tcPr>
                <w:p w14:paraId="4F42135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rPr>
                    <w:t>项目涉及的有毒有害和易燃易爆危险物质主要为各类实验试剂，存储量较小，未超过临界量</w:t>
                  </w:r>
                </w:p>
              </w:tc>
              <w:tc>
                <w:tcPr>
                  <w:tcW w:w="888" w:type="dxa"/>
                  <w:noWrap w:val="0"/>
                  <w:vAlign w:val="center"/>
                </w:tcPr>
                <w:p w14:paraId="50BC737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5E85E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802" w:type="dxa"/>
                  <w:noWrap w:val="0"/>
                  <w:vAlign w:val="center"/>
                </w:tcPr>
                <w:p w14:paraId="2D5092C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生态</w:t>
                  </w:r>
                </w:p>
              </w:tc>
              <w:tc>
                <w:tcPr>
                  <w:tcW w:w="2779" w:type="dxa"/>
                  <w:noWrap w:val="0"/>
                  <w:vAlign w:val="center"/>
                </w:tcPr>
                <w:p w14:paraId="4C5EB96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取水口下游500米范围内有重要水生生物的自然产卵场、索饵场、越冬场和洄游通道的新增河道取水的污染类建设项目</w:t>
                  </w:r>
                </w:p>
              </w:tc>
              <w:tc>
                <w:tcPr>
                  <w:tcW w:w="2229" w:type="dxa"/>
                  <w:noWrap w:val="0"/>
                  <w:vAlign w:val="center"/>
                </w:tcPr>
                <w:p w14:paraId="7EEFC9D0">
                  <w:pPr>
                    <w:pStyle w:val="8"/>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本项目为</w:t>
                  </w:r>
                  <w:r>
                    <w:rPr>
                      <w:rFonts w:hint="eastAsia" w:ascii="Times New Roman" w:hAnsi="Times New Roman" w:cs="Times New Roman"/>
                      <w:b w:val="0"/>
                      <w:bCs/>
                      <w:color w:val="auto"/>
                      <w:sz w:val="21"/>
                      <w:szCs w:val="21"/>
                      <w:highlight w:val="none"/>
                      <w:lang w:val="en-US" w:eastAsia="zh-CN"/>
                    </w:rPr>
                    <w:t>分析测试实验室</w:t>
                  </w:r>
                  <w:r>
                    <w:rPr>
                      <w:rFonts w:hint="eastAsia" w:ascii="Times New Roman" w:hAnsi="Times New Roman" w:eastAsia="宋体" w:cs="Times New Roman"/>
                      <w:color w:val="auto"/>
                      <w:kern w:val="2"/>
                      <w:sz w:val="21"/>
                      <w:szCs w:val="24"/>
                      <w:highlight w:val="none"/>
                      <w:lang w:val="en-US" w:eastAsia="zh-CN" w:bidi="ar-SA"/>
                    </w:rPr>
                    <w:t>建设项目，用水为市政自来水，不涉及取水</w:t>
                  </w:r>
                </w:p>
              </w:tc>
              <w:tc>
                <w:tcPr>
                  <w:tcW w:w="888" w:type="dxa"/>
                  <w:noWrap w:val="0"/>
                  <w:vAlign w:val="center"/>
                </w:tcPr>
                <w:p w14:paraId="2A88A0A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6DF24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02" w:type="dxa"/>
                  <w:noWrap w:val="0"/>
                  <w:vAlign w:val="center"/>
                </w:tcPr>
                <w:p w14:paraId="661401F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海洋</w:t>
                  </w:r>
                </w:p>
              </w:tc>
              <w:tc>
                <w:tcPr>
                  <w:tcW w:w="2779" w:type="dxa"/>
                  <w:noWrap w:val="0"/>
                  <w:vAlign w:val="center"/>
                </w:tcPr>
                <w:p w14:paraId="241366C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直接向海排放污染物的海洋工程建设项目</w:t>
                  </w:r>
                </w:p>
              </w:tc>
              <w:tc>
                <w:tcPr>
                  <w:tcW w:w="2229" w:type="dxa"/>
                  <w:noWrap w:val="0"/>
                  <w:vAlign w:val="center"/>
                </w:tcPr>
                <w:p w14:paraId="68BF7E5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rPr>
                    <w:t>项目不属于海洋工程</w:t>
                  </w:r>
                </w:p>
              </w:tc>
              <w:tc>
                <w:tcPr>
                  <w:tcW w:w="888" w:type="dxa"/>
                  <w:noWrap w:val="0"/>
                  <w:vAlign w:val="center"/>
                </w:tcPr>
                <w:p w14:paraId="6E0CF29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bl>
          <w:p w14:paraId="5023F491">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0" w:firstLineChars="200"/>
              <w:jc w:val="left"/>
              <w:textAlignment w:val="auto"/>
              <w:rPr>
                <w:rFonts w:hint="eastAsia" w:eastAsia="宋体"/>
                <w:color w:val="auto"/>
                <w:kern w:val="0"/>
                <w:sz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综上，本项目不设置专项评价。</w:t>
            </w:r>
          </w:p>
        </w:tc>
      </w:tr>
      <w:tr w14:paraId="75676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856" w:type="dxa"/>
            <w:noWrap w:val="0"/>
            <w:vAlign w:val="center"/>
          </w:tcPr>
          <w:p w14:paraId="3D58F9DE">
            <w:pPr>
              <w:autoSpaceDE w:val="0"/>
              <w:autoSpaceDN w:val="0"/>
              <w:adjustRightInd w:val="0"/>
              <w:snapToGrid w:val="0"/>
              <w:jc w:val="center"/>
              <w:rPr>
                <w:color w:val="auto"/>
                <w:kern w:val="0"/>
                <w:sz w:val="24"/>
                <w:highlight w:val="none"/>
              </w:rPr>
            </w:pPr>
            <w:r>
              <w:rPr>
                <w:color w:val="auto"/>
                <w:sz w:val="24"/>
                <w:highlight w:val="none"/>
              </w:rPr>
              <w:t>规划情况</w:t>
            </w:r>
          </w:p>
        </w:tc>
        <w:tc>
          <w:tcPr>
            <w:tcW w:w="7014" w:type="dxa"/>
            <w:gridSpan w:val="3"/>
            <w:noWrap w:val="0"/>
            <w:vAlign w:val="center"/>
          </w:tcPr>
          <w:p w14:paraId="7202DB64">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本项目涉及的规划情况详见表1-2。</w:t>
            </w:r>
          </w:p>
          <w:p w14:paraId="1865E360">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表1-2    项目所在区域涉及规划情况一览表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680"/>
              <w:gridCol w:w="1127"/>
              <w:gridCol w:w="3302"/>
            </w:tblGrid>
            <w:tr w14:paraId="540542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0" w:type="dxa"/>
                  <w:noWrap w:val="0"/>
                  <w:vAlign w:val="center"/>
                </w:tcPr>
                <w:p w14:paraId="64BA067F">
                  <w:pPr>
                    <w:adjustRightInd w:val="0"/>
                    <w:jc w:val="center"/>
                    <w:rPr>
                      <w:b/>
                      <w:bCs/>
                      <w:color w:val="auto"/>
                      <w:kern w:val="21"/>
                      <w:szCs w:val="21"/>
                      <w:highlight w:val="none"/>
                    </w:rPr>
                  </w:pPr>
                  <w:r>
                    <w:rPr>
                      <w:b/>
                      <w:bCs/>
                      <w:color w:val="auto"/>
                      <w:kern w:val="21"/>
                      <w:szCs w:val="21"/>
                      <w:highlight w:val="none"/>
                    </w:rPr>
                    <w:t>序号</w:t>
                  </w:r>
                </w:p>
              </w:tc>
              <w:tc>
                <w:tcPr>
                  <w:tcW w:w="1611" w:type="dxa"/>
                  <w:noWrap w:val="0"/>
                  <w:vAlign w:val="center"/>
                </w:tcPr>
                <w:p w14:paraId="672E3803">
                  <w:pPr>
                    <w:adjustRightInd w:val="0"/>
                    <w:jc w:val="center"/>
                    <w:rPr>
                      <w:b/>
                      <w:bCs/>
                      <w:color w:val="auto"/>
                      <w:kern w:val="21"/>
                      <w:szCs w:val="21"/>
                      <w:highlight w:val="none"/>
                    </w:rPr>
                  </w:pPr>
                  <w:r>
                    <w:rPr>
                      <w:b/>
                      <w:bCs/>
                      <w:color w:val="auto"/>
                      <w:kern w:val="21"/>
                      <w:szCs w:val="21"/>
                      <w:highlight w:val="none"/>
                    </w:rPr>
                    <w:t>规划名称</w:t>
                  </w:r>
                </w:p>
              </w:tc>
              <w:tc>
                <w:tcPr>
                  <w:tcW w:w="1080" w:type="dxa"/>
                  <w:noWrap w:val="0"/>
                  <w:vAlign w:val="center"/>
                </w:tcPr>
                <w:p w14:paraId="4FCC0881">
                  <w:pPr>
                    <w:adjustRightInd w:val="0"/>
                    <w:jc w:val="center"/>
                    <w:rPr>
                      <w:b/>
                      <w:bCs/>
                      <w:color w:val="auto"/>
                      <w:kern w:val="21"/>
                      <w:szCs w:val="21"/>
                      <w:highlight w:val="none"/>
                    </w:rPr>
                  </w:pPr>
                  <w:r>
                    <w:rPr>
                      <w:b/>
                      <w:bCs/>
                      <w:color w:val="auto"/>
                      <w:kern w:val="21"/>
                      <w:szCs w:val="21"/>
                      <w:highlight w:val="none"/>
                    </w:rPr>
                    <w:t>审批机关</w:t>
                  </w:r>
                </w:p>
              </w:tc>
              <w:tc>
                <w:tcPr>
                  <w:tcW w:w="3165" w:type="dxa"/>
                  <w:noWrap w:val="0"/>
                  <w:vAlign w:val="center"/>
                </w:tcPr>
                <w:p w14:paraId="1A976BC9">
                  <w:pPr>
                    <w:adjustRightInd w:val="0"/>
                    <w:jc w:val="center"/>
                    <w:rPr>
                      <w:b/>
                      <w:bCs/>
                      <w:color w:val="auto"/>
                      <w:kern w:val="21"/>
                      <w:szCs w:val="21"/>
                      <w:highlight w:val="none"/>
                    </w:rPr>
                  </w:pPr>
                  <w:r>
                    <w:rPr>
                      <w:b/>
                      <w:bCs/>
                      <w:color w:val="auto"/>
                      <w:kern w:val="21"/>
                      <w:szCs w:val="21"/>
                      <w:highlight w:val="none"/>
                    </w:rPr>
                    <w:t>审批文件名称及文号</w:t>
                  </w:r>
                </w:p>
              </w:tc>
            </w:tr>
            <w:tr w14:paraId="4106F8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0" w:type="dxa"/>
                  <w:noWrap w:val="0"/>
                  <w:vAlign w:val="center"/>
                </w:tcPr>
                <w:p w14:paraId="3F3F8B23">
                  <w:pPr>
                    <w:adjustRightInd w:val="0"/>
                    <w:jc w:val="center"/>
                    <w:rPr>
                      <w:b w:val="0"/>
                      <w:bCs w:val="0"/>
                      <w:color w:val="auto"/>
                      <w:kern w:val="21"/>
                      <w:szCs w:val="21"/>
                      <w:highlight w:val="none"/>
                    </w:rPr>
                  </w:pPr>
                  <w:r>
                    <w:rPr>
                      <w:b w:val="0"/>
                      <w:bCs w:val="0"/>
                      <w:color w:val="auto"/>
                      <w:kern w:val="21"/>
                      <w:szCs w:val="21"/>
                      <w:highlight w:val="none"/>
                    </w:rPr>
                    <w:t>1</w:t>
                  </w:r>
                </w:p>
              </w:tc>
              <w:tc>
                <w:tcPr>
                  <w:tcW w:w="1611" w:type="dxa"/>
                  <w:noWrap w:val="0"/>
                  <w:vAlign w:val="center"/>
                </w:tcPr>
                <w:p w14:paraId="223D9D67">
                  <w:pPr>
                    <w:adjustRightInd w:val="0"/>
                    <w:jc w:val="center"/>
                    <w:rPr>
                      <w:b w:val="0"/>
                      <w:bCs w:val="0"/>
                      <w:color w:val="auto"/>
                      <w:kern w:val="21"/>
                      <w:szCs w:val="21"/>
                      <w:highlight w:val="none"/>
                    </w:rPr>
                  </w:pPr>
                  <w:r>
                    <w:rPr>
                      <w:b w:val="0"/>
                      <w:bCs w:val="0"/>
                      <w:color w:val="auto"/>
                      <w:szCs w:val="21"/>
                      <w:highlight w:val="none"/>
                    </w:rPr>
                    <w:t>《西咸新区</w:t>
                  </w:r>
                  <w:r>
                    <w:rPr>
                      <w:rFonts w:hint="eastAsia"/>
                      <w:b w:val="0"/>
                      <w:bCs w:val="0"/>
                      <w:color w:val="auto"/>
                      <w:szCs w:val="21"/>
                      <w:highlight w:val="none"/>
                    </w:rPr>
                    <w:t>总体</w:t>
                  </w:r>
                  <w:r>
                    <w:rPr>
                      <w:b w:val="0"/>
                      <w:bCs w:val="0"/>
                      <w:color w:val="auto"/>
                      <w:szCs w:val="21"/>
                      <w:highlight w:val="none"/>
                    </w:rPr>
                    <w:t>规划（2010-2020））》</w:t>
                  </w:r>
                </w:p>
              </w:tc>
              <w:tc>
                <w:tcPr>
                  <w:tcW w:w="1080" w:type="dxa"/>
                  <w:noWrap w:val="0"/>
                  <w:vAlign w:val="center"/>
                </w:tcPr>
                <w:p w14:paraId="612EBD0E">
                  <w:pPr>
                    <w:adjustRightInd w:val="0"/>
                    <w:jc w:val="center"/>
                    <w:rPr>
                      <w:b w:val="0"/>
                      <w:bCs w:val="0"/>
                      <w:color w:val="auto"/>
                      <w:kern w:val="21"/>
                      <w:szCs w:val="21"/>
                      <w:highlight w:val="none"/>
                    </w:rPr>
                  </w:pPr>
                  <w:r>
                    <w:rPr>
                      <w:b w:val="0"/>
                      <w:bCs w:val="0"/>
                      <w:color w:val="auto"/>
                      <w:szCs w:val="21"/>
                      <w:highlight w:val="none"/>
                    </w:rPr>
                    <w:t>陕西省人民政府</w:t>
                  </w:r>
                </w:p>
              </w:tc>
              <w:tc>
                <w:tcPr>
                  <w:tcW w:w="3165" w:type="dxa"/>
                  <w:noWrap w:val="0"/>
                  <w:vAlign w:val="center"/>
                </w:tcPr>
                <w:p w14:paraId="611DD8DD">
                  <w:pPr>
                    <w:adjustRightInd w:val="0"/>
                    <w:jc w:val="center"/>
                    <w:rPr>
                      <w:b w:val="0"/>
                      <w:bCs w:val="0"/>
                      <w:color w:val="auto"/>
                      <w:kern w:val="21"/>
                      <w:szCs w:val="21"/>
                      <w:highlight w:val="none"/>
                    </w:rPr>
                  </w:pPr>
                  <w:r>
                    <w:rPr>
                      <w:b w:val="0"/>
                      <w:bCs w:val="0"/>
                      <w:color w:val="auto"/>
                      <w:szCs w:val="21"/>
                      <w:highlight w:val="none"/>
                    </w:rPr>
                    <w:t>陕西省人民政府关于《西咸新区总体规划（2010年</w:t>
                  </w:r>
                  <w:r>
                    <w:rPr>
                      <w:rFonts w:hint="eastAsia"/>
                      <w:b w:val="0"/>
                      <w:bCs w:val="0"/>
                      <w:color w:val="auto"/>
                      <w:szCs w:val="21"/>
                      <w:highlight w:val="none"/>
                      <w:lang w:val="en-US" w:eastAsia="zh-CN"/>
                    </w:rPr>
                    <w:t>-</w:t>
                  </w:r>
                  <w:r>
                    <w:rPr>
                      <w:b w:val="0"/>
                      <w:bCs w:val="0"/>
                      <w:color w:val="auto"/>
                      <w:szCs w:val="21"/>
                      <w:highlight w:val="none"/>
                    </w:rPr>
                    <w:t>2020年）》的批复</w:t>
                  </w:r>
                  <w:r>
                    <w:rPr>
                      <w:rFonts w:hint="eastAsia"/>
                      <w:b w:val="0"/>
                      <w:bCs w:val="0"/>
                      <w:color w:val="auto"/>
                      <w:szCs w:val="21"/>
                      <w:highlight w:val="none"/>
                      <w:lang w:eastAsia="zh-CN"/>
                    </w:rPr>
                    <w:t>，</w:t>
                  </w:r>
                  <w:r>
                    <w:rPr>
                      <w:b w:val="0"/>
                      <w:bCs w:val="0"/>
                      <w:color w:val="auto"/>
                      <w:szCs w:val="21"/>
                      <w:highlight w:val="none"/>
                    </w:rPr>
                    <w:t>陕政函</w:t>
                  </w:r>
                  <w:r>
                    <w:rPr>
                      <w:rFonts w:hint="default" w:ascii="Times New Roman" w:hAnsi="Times New Roman" w:eastAsia="微软雅黑" w:cs="Times New Roman"/>
                      <w:b w:val="0"/>
                      <w:bCs w:val="0"/>
                      <w:color w:val="auto"/>
                      <w:szCs w:val="21"/>
                      <w:highlight w:val="none"/>
                      <w:lang w:val="en-US" w:eastAsia="zh-CN"/>
                    </w:rPr>
                    <w:t>〔</w:t>
                  </w:r>
                  <w:r>
                    <w:rPr>
                      <w:rFonts w:hint="default" w:ascii="Times New Roman" w:hAnsi="Times New Roman" w:cs="Times New Roman"/>
                      <w:b w:val="0"/>
                      <w:bCs w:val="0"/>
                      <w:color w:val="auto"/>
                      <w:szCs w:val="21"/>
                      <w:highlight w:val="none"/>
                    </w:rPr>
                    <w:t>2011</w:t>
                  </w:r>
                  <w:r>
                    <w:rPr>
                      <w:rFonts w:hint="default" w:ascii="Times New Roman" w:hAnsi="Times New Roman" w:eastAsia="微软雅黑" w:cs="Times New Roman"/>
                      <w:b w:val="0"/>
                      <w:bCs w:val="0"/>
                      <w:color w:val="auto"/>
                      <w:szCs w:val="21"/>
                      <w:highlight w:val="none"/>
                      <w:lang w:val="en-US" w:eastAsia="zh-CN"/>
                    </w:rPr>
                    <w:t>〕</w:t>
                  </w:r>
                  <w:r>
                    <w:rPr>
                      <w:b w:val="0"/>
                      <w:bCs w:val="0"/>
                      <w:color w:val="auto"/>
                      <w:szCs w:val="21"/>
                      <w:highlight w:val="none"/>
                    </w:rPr>
                    <w:t>110号</w:t>
                  </w:r>
                </w:p>
              </w:tc>
            </w:tr>
          </w:tbl>
          <w:p w14:paraId="0ADC21D4">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322E9520">
            <w:pPr>
              <w:autoSpaceDE w:val="0"/>
              <w:autoSpaceDN w:val="0"/>
              <w:adjustRightInd w:val="0"/>
              <w:snapToGrid w:val="0"/>
              <w:jc w:val="center"/>
              <w:rPr>
                <w:rFonts w:hint="eastAsia" w:eastAsia="宋体"/>
                <w:color w:val="auto"/>
                <w:kern w:val="0"/>
                <w:sz w:val="24"/>
                <w:highlight w:val="none"/>
                <w:lang w:val="en-US" w:eastAsia="zh-CN"/>
              </w:rPr>
            </w:pPr>
          </w:p>
        </w:tc>
      </w:tr>
      <w:tr w14:paraId="227D35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856" w:type="dxa"/>
            <w:noWrap w:val="0"/>
            <w:vAlign w:val="center"/>
          </w:tcPr>
          <w:p w14:paraId="3CD8DFFB">
            <w:pPr>
              <w:adjustRightInd w:val="0"/>
              <w:snapToGrid w:val="0"/>
              <w:jc w:val="center"/>
              <w:rPr>
                <w:color w:val="auto"/>
                <w:sz w:val="24"/>
                <w:highlight w:val="none"/>
              </w:rPr>
            </w:pPr>
            <w:r>
              <w:rPr>
                <w:color w:val="auto"/>
                <w:sz w:val="24"/>
                <w:highlight w:val="none"/>
              </w:rPr>
              <w:t>规划环境影响</w:t>
            </w:r>
          </w:p>
          <w:p w14:paraId="7FF1F7FE">
            <w:pPr>
              <w:adjustRightInd w:val="0"/>
              <w:snapToGrid w:val="0"/>
              <w:jc w:val="center"/>
              <w:rPr>
                <w:color w:val="auto"/>
                <w:kern w:val="0"/>
                <w:sz w:val="24"/>
                <w:highlight w:val="none"/>
              </w:rPr>
            </w:pPr>
            <w:r>
              <w:rPr>
                <w:color w:val="auto"/>
                <w:sz w:val="24"/>
                <w:highlight w:val="none"/>
              </w:rPr>
              <w:t>评价情况</w:t>
            </w:r>
          </w:p>
        </w:tc>
        <w:tc>
          <w:tcPr>
            <w:tcW w:w="7014" w:type="dxa"/>
            <w:gridSpan w:val="3"/>
            <w:noWrap w:val="0"/>
            <w:vAlign w:val="center"/>
          </w:tcPr>
          <w:p w14:paraId="7DB27A5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本项目涉及的规划环境影响评价情况详见表1-3。</w:t>
            </w:r>
          </w:p>
          <w:p w14:paraId="7F8C24F6">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表1-3    项目涉及规划环境影响评价情况一览表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837"/>
              <w:gridCol w:w="1331"/>
              <w:gridCol w:w="2942"/>
            </w:tblGrid>
            <w:tr w14:paraId="2AA37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noWrap w:val="0"/>
                  <w:vAlign w:val="center"/>
                </w:tcPr>
                <w:p w14:paraId="7C65C36D">
                  <w:pPr>
                    <w:adjustRightInd w:val="0"/>
                    <w:jc w:val="center"/>
                    <w:rPr>
                      <w:b/>
                      <w:bCs/>
                      <w:color w:val="auto"/>
                      <w:kern w:val="21"/>
                      <w:szCs w:val="21"/>
                      <w:highlight w:val="none"/>
                    </w:rPr>
                  </w:pPr>
                  <w:r>
                    <w:rPr>
                      <w:b/>
                      <w:bCs/>
                      <w:color w:val="auto"/>
                      <w:kern w:val="21"/>
                      <w:szCs w:val="21"/>
                      <w:highlight w:val="none"/>
                    </w:rPr>
                    <w:t>序号</w:t>
                  </w:r>
                </w:p>
              </w:tc>
              <w:tc>
                <w:tcPr>
                  <w:tcW w:w="1829" w:type="dxa"/>
                  <w:noWrap w:val="0"/>
                  <w:vAlign w:val="center"/>
                </w:tcPr>
                <w:p w14:paraId="4F4C19E6">
                  <w:pPr>
                    <w:adjustRightInd w:val="0"/>
                    <w:jc w:val="center"/>
                    <w:rPr>
                      <w:b/>
                      <w:bCs/>
                      <w:color w:val="auto"/>
                      <w:kern w:val="21"/>
                      <w:szCs w:val="21"/>
                      <w:highlight w:val="none"/>
                    </w:rPr>
                  </w:pPr>
                  <w:r>
                    <w:rPr>
                      <w:b/>
                      <w:bCs/>
                      <w:color w:val="auto"/>
                      <w:kern w:val="21"/>
                      <w:szCs w:val="21"/>
                      <w:highlight w:val="none"/>
                    </w:rPr>
                    <w:t>规划名称</w:t>
                  </w:r>
                </w:p>
              </w:tc>
              <w:tc>
                <w:tcPr>
                  <w:tcW w:w="1325" w:type="dxa"/>
                  <w:noWrap w:val="0"/>
                  <w:vAlign w:val="center"/>
                </w:tcPr>
                <w:p w14:paraId="181AAC77">
                  <w:pPr>
                    <w:adjustRightInd w:val="0"/>
                    <w:jc w:val="center"/>
                    <w:rPr>
                      <w:b/>
                      <w:bCs/>
                      <w:color w:val="auto"/>
                      <w:kern w:val="21"/>
                      <w:szCs w:val="21"/>
                      <w:highlight w:val="none"/>
                    </w:rPr>
                  </w:pPr>
                  <w:r>
                    <w:rPr>
                      <w:b/>
                      <w:bCs/>
                      <w:color w:val="auto"/>
                      <w:kern w:val="21"/>
                      <w:szCs w:val="21"/>
                      <w:highlight w:val="none"/>
                    </w:rPr>
                    <w:t>审批机关</w:t>
                  </w:r>
                </w:p>
              </w:tc>
              <w:tc>
                <w:tcPr>
                  <w:tcW w:w="2929" w:type="dxa"/>
                  <w:noWrap w:val="0"/>
                  <w:vAlign w:val="center"/>
                </w:tcPr>
                <w:p w14:paraId="3B1D8588">
                  <w:pPr>
                    <w:adjustRightInd w:val="0"/>
                    <w:jc w:val="center"/>
                    <w:rPr>
                      <w:b/>
                      <w:bCs/>
                      <w:color w:val="auto"/>
                      <w:kern w:val="21"/>
                      <w:szCs w:val="21"/>
                      <w:highlight w:val="none"/>
                    </w:rPr>
                  </w:pPr>
                  <w:r>
                    <w:rPr>
                      <w:b/>
                      <w:bCs/>
                      <w:color w:val="auto"/>
                      <w:kern w:val="21"/>
                      <w:szCs w:val="21"/>
                      <w:highlight w:val="none"/>
                    </w:rPr>
                    <w:t>审批文件名称及文号</w:t>
                  </w:r>
                </w:p>
              </w:tc>
            </w:tr>
            <w:tr w14:paraId="283300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noWrap w:val="0"/>
                  <w:vAlign w:val="center"/>
                </w:tcPr>
                <w:p w14:paraId="11914A16">
                  <w:pPr>
                    <w:adjustRightInd w:val="0"/>
                    <w:jc w:val="center"/>
                    <w:rPr>
                      <w:b w:val="0"/>
                      <w:bCs w:val="0"/>
                      <w:color w:val="auto"/>
                      <w:kern w:val="21"/>
                      <w:szCs w:val="21"/>
                      <w:highlight w:val="none"/>
                    </w:rPr>
                  </w:pPr>
                  <w:r>
                    <w:rPr>
                      <w:b w:val="0"/>
                      <w:bCs w:val="0"/>
                      <w:color w:val="auto"/>
                      <w:kern w:val="21"/>
                      <w:szCs w:val="21"/>
                      <w:highlight w:val="none"/>
                    </w:rPr>
                    <w:t>1</w:t>
                  </w:r>
                </w:p>
              </w:tc>
              <w:tc>
                <w:tcPr>
                  <w:tcW w:w="1829" w:type="dxa"/>
                  <w:noWrap w:val="0"/>
                  <w:vAlign w:val="center"/>
                </w:tcPr>
                <w:p w14:paraId="38ABA6BE">
                  <w:pPr>
                    <w:adjustRightInd w:val="0"/>
                    <w:jc w:val="center"/>
                    <w:rPr>
                      <w:b w:val="0"/>
                      <w:bCs w:val="0"/>
                      <w:color w:val="auto"/>
                      <w:kern w:val="21"/>
                      <w:szCs w:val="21"/>
                      <w:highlight w:val="none"/>
                    </w:rPr>
                  </w:pPr>
                  <w:r>
                    <w:rPr>
                      <w:b w:val="0"/>
                      <w:bCs w:val="0"/>
                      <w:color w:val="auto"/>
                      <w:szCs w:val="21"/>
                      <w:highlight w:val="none"/>
                    </w:rPr>
                    <w:t>《西咸新区</w:t>
                  </w:r>
                  <w:r>
                    <w:rPr>
                      <w:rFonts w:hint="eastAsia"/>
                      <w:b w:val="0"/>
                      <w:bCs w:val="0"/>
                      <w:color w:val="auto"/>
                      <w:szCs w:val="21"/>
                      <w:highlight w:val="none"/>
                      <w:lang w:val="en-US" w:eastAsia="zh-CN"/>
                    </w:rPr>
                    <w:t>-</w:t>
                  </w:r>
                  <w:r>
                    <w:rPr>
                      <w:b w:val="0"/>
                      <w:bCs w:val="0"/>
                      <w:color w:val="auto"/>
                      <w:szCs w:val="21"/>
                      <w:highlight w:val="none"/>
                    </w:rPr>
                    <w:t>沣东新城分区规划（2010-2020）环境影响报告书》</w:t>
                  </w:r>
                </w:p>
              </w:tc>
              <w:tc>
                <w:tcPr>
                  <w:tcW w:w="1325" w:type="dxa"/>
                  <w:noWrap w:val="0"/>
                  <w:vAlign w:val="center"/>
                </w:tcPr>
                <w:p w14:paraId="29573CD4">
                  <w:pPr>
                    <w:adjustRightInd w:val="0"/>
                    <w:jc w:val="center"/>
                    <w:rPr>
                      <w:b w:val="0"/>
                      <w:bCs w:val="0"/>
                      <w:color w:val="auto"/>
                      <w:kern w:val="21"/>
                      <w:szCs w:val="21"/>
                      <w:highlight w:val="none"/>
                    </w:rPr>
                  </w:pPr>
                  <w:r>
                    <w:rPr>
                      <w:b w:val="0"/>
                      <w:bCs w:val="0"/>
                      <w:color w:val="auto"/>
                      <w:szCs w:val="21"/>
                      <w:highlight w:val="none"/>
                    </w:rPr>
                    <w:t>西安市生态环境局</w:t>
                  </w:r>
                </w:p>
              </w:tc>
              <w:tc>
                <w:tcPr>
                  <w:tcW w:w="2929" w:type="dxa"/>
                  <w:noWrap w:val="0"/>
                  <w:vAlign w:val="center"/>
                </w:tcPr>
                <w:p w14:paraId="37F3A94E">
                  <w:pPr>
                    <w:adjustRightInd w:val="0"/>
                    <w:rPr>
                      <w:b w:val="0"/>
                      <w:bCs w:val="0"/>
                      <w:color w:val="auto"/>
                      <w:kern w:val="21"/>
                      <w:szCs w:val="21"/>
                      <w:highlight w:val="none"/>
                    </w:rPr>
                  </w:pPr>
                  <w:r>
                    <w:rPr>
                      <w:b w:val="0"/>
                      <w:bCs w:val="0"/>
                      <w:color w:val="auto"/>
                      <w:szCs w:val="21"/>
                      <w:highlight w:val="none"/>
                    </w:rPr>
                    <w:t>西安市生态环境局关于《西咸新区</w:t>
                  </w:r>
                  <w:r>
                    <w:rPr>
                      <w:rFonts w:hint="eastAsia"/>
                      <w:b w:val="0"/>
                      <w:bCs w:val="0"/>
                      <w:color w:val="auto"/>
                      <w:szCs w:val="21"/>
                      <w:highlight w:val="none"/>
                      <w:lang w:val="en-US" w:eastAsia="zh-CN"/>
                    </w:rPr>
                    <w:t>-</w:t>
                  </w:r>
                  <w:r>
                    <w:rPr>
                      <w:b w:val="0"/>
                      <w:bCs w:val="0"/>
                      <w:color w:val="auto"/>
                      <w:szCs w:val="21"/>
                      <w:highlight w:val="none"/>
                    </w:rPr>
                    <w:t>沣东新城分区规划（2010-2020）环境影响报告书》的审查意见，市环函</w:t>
                  </w:r>
                  <w:r>
                    <w:rPr>
                      <w:rFonts w:hint="eastAsia" w:ascii="微软雅黑" w:hAnsi="微软雅黑" w:eastAsia="微软雅黑" w:cs="微软雅黑"/>
                      <w:b w:val="0"/>
                      <w:bCs w:val="0"/>
                      <w:color w:val="auto"/>
                      <w:szCs w:val="21"/>
                      <w:highlight w:val="none"/>
                      <w:lang w:val="en-US" w:eastAsia="zh-CN"/>
                    </w:rPr>
                    <w:t>〔</w:t>
                  </w:r>
                  <w:r>
                    <w:rPr>
                      <w:b w:val="0"/>
                      <w:bCs w:val="0"/>
                      <w:color w:val="auto"/>
                      <w:szCs w:val="21"/>
                      <w:highlight w:val="none"/>
                    </w:rPr>
                    <w:t>2014</w:t>
                  </w:r>
                  <w:r>
                    <w:rPr>
                      <w:rFonts w:hint="eastAsia" w:ascii="微软雅黑" w:hAnsi="微软雅黑" w:eastAsia="微软雅黑" w:cs="微软雅黑"/>
                      <w:b w:val="0"/>
                      <w:bCs w:val="0"/>
                      <w:color w:val="auto"/>
                      <w:szCs w:val="21"/>
                      <w:highlight w:val="none"/>
                      <w:lang w:val="en-US" w:eastAsia="zh-CN"/>
                    </w:rPr>
                    <w:t>〕</w:t>
                  </w:r>
                  <w:r>
                    <w:rPr>
                      <w:b w:val="0"/>
                      <w:bCs w:val="0"/>
                      <w:color w:val="auto"/>
                      <w:szCs w:val="21"/>
                      <w:highlight w:val="none"/>
                    </w:rPr>
                    <w:t>20号</w:t>
                  </w:r>
                </w:p>
              </w:tc>
            </w:tr>
          </w:tbl>
          <w:p w14:paraId="2BF7EF35">
            <w:pPr>
              <w:autoSpaceDE w:val="0"/>
              <w:autoSpaceDN w:val="0"/>
              <w:adjustRightInd w:val="0"/>
              <w:snapToGrid w:val="0"/>
              <w:jc w:val="both"/>
              <w:rPr>
                <w:rFonts w:hint="eastAsia" w:eastAsia="宋体"/>
                <w:color w:val="auto"/>
                <w:kern w:val="0"/>
                <w:sz w:val="24"/>
                <w:highlight w:val="none"/>
                <w:lang w:val="en-US" w:eastAsia="zh-CN"/>
              </w:rPr>
            </w:pPr>
          </w:p>
        </w:tc>
      </w:tr>
      <w:tr w14:paraId="076990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40" w:hRule="atLeast"/>
          <w:jc w:val="center"/>
        </w:trPr>
        <w:tc>
          <w:tcPr>
            <w:tcW w:w="1856" w:type="dxa"/>
            <w:noWrap w:val="0"/>
            <w:vAlign w:val="center"/>
          </w:tcPr>
          <w:p w14:paraId="2157BFDF">
            <w:pPr>
              <w:autoSpaceDE w:val="0"/>
              <w:autoSpaceDN w:val="0"/>
              <w:adjustRightInd w:val="0"/>
              <w:snapToGrid w:val="0"/>
              <w:jc w:val="center"/>
              <w:rPr>
                <w:color w:val="auto"/>
                <w:kern w:val="0"/>
                <w:sz w:val="24"/>
                <w:highlight w:val="none"/>
              </w:rPr>
            </w:pPr>
            <w:r>
              <w:rPr>
                <w:color w:val="auto"/>
                <w:kern w:val="0"/>
                <w:sz w:val="24"/>
                <w:highlight w:val="none"/>
              </w:rPr>
              <w:t>规划及规划环境影响评价符合性分析</w:t>
            </w:r>
          </w:p>
        </w:tc>
        <w:tc>
          <w:tcPr>
            <w:tcW w:w="7014" w:type="dxa"/>
            <w:gridSpan w:val="3"/>
            <w:noWrap w:val="0"/>
            <w:vAlign w:val="center"/>
          </w:tcPr>
          <w:p w14:paraId="157237D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建设项目与规划、规划环境影响评价结论及审查意见的符合性见表1-4。</w:t>
            </w:r>
          </w:p>
          <w:p w14:paraId="2CCFEF45">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表1-4    项目与规划、规划环境影响评价结论及审查意见的符合性一览表</w:t>
            </w:r>
          </w:p>
          <w:tbl>
            <w:tblPr>
              <w:tblStyle w:val="27"/>
              <w:tblW w:w="68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7"/>
              <w:gridCol w:w="900"/>
              <w:gridCol w:w="2568"/>
              <w:gridCol w:w="2402"/>
              <w:gridCol w:w="490"/>
            </w:tblGrid>
            <w:tr w14:paraId="1AFAF9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57" w:type="dxa"/>
                  <w:noWrap w:val="0"/>
                  <w:vAlign w:val="center"/>
                </w:tcPr>
                <w:p w14:paraId="682C161E">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900" w:type="dxa"/>
                  <w:noWrap w:val="0"/>
                  <w:vAlign w:val="center"/>
                </w:tcPr>
                <w:p w14:paraId="6BFCE004">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相关政</w:t>
                  </w:r>
                </w:p>
                <w:p w14:paraId="1A338D9D">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策文件</w:t>
                  </w:r>
                </w:p>
              </w:tc>
              <w:tc>
                <w:tcPr>
                  <w:tcW w:w="2568" w:type="dxa"/>
                  <w:noWrap w:val="0"/>
                  <w:vAlign w:val="center"/>
                </w:tcPr>
                <w:p w14:paraId="52E4EDD1">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要求</w:t>
                  </w:r>
                </w:p>
              </w:tc>
              <w:tc>
                <w:tcPr>
                  <w:tcW w:w="2402" w:type="dxa"/>
                  <w:noWrap w:val="0"/>
                  <w:vAlign w:val="center"/>
                </w:tcPr>
                <w:p w14:paraId="64DBD786">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90" w:type="dxa"/>
                  <w:noWrap w:val="0"/>
                  <w:vAlign w:val="center"/>
                </w:tcPr>
                <w:p w14:paraId="4C6A9E27">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结论</w:t>
                  </w:r>
                </w:p>
              </w:tc>
            </w:tr>
            <w:tr w14:paraId="607AB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68" w:hRule="atLeast"/>
                <w:jc w:val="center"/>
              </w:trPr>
              <w:tc>
                <w:tcPr>
                  <w:tcW w:w="457" w:type="dxa"/>
                  <w:noWrap w:val="0"/>
                  <w:vAlign w:val="center"/>
                </w:tcPr>
                <w:p w14:paraId="6A2398AA">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00" w:type="dxa"/>
                  <w:noWrap w:val="0"/>
                  <w:vAlign w:val="center"/>
                </w:tcPr>
                <w:p w14:paraId="125D596F">
                  <w:pPr>
                    <w:pStyle w:val="10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西咸新区总体规划（2010-2020）</w:t>
                  </w:r>
                </w:p>
              </w:tc>
              <w:tc>
                <w:tcPr>
                  <w:tcW w:w="2568" w:type="dxa"/>
                  <w:noWrap w:val="0"/>
                  <w:vAlign w:val="center"/>
                </w:tcPr>
                <w:p w14:paraId="1C74B56F">
                  <w:pPr>
                    <w:pStyle w:val="109"/>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规划确定沣东新城定位为：</w:t>
                  </w:r>
                  <w:r>
                    <w:rPr>
                      <w:rFonts w:hint="eastAsia" w:ascii="Times New Roman" w:hAnsi="Times New Roman" w:eastAsia="宋体" w:cs="Times New Roman"/>
                      <w:color w:val="auto"/>
                      <w:sz w:val="21"/>
                      <w:szCs w:val="21"/>
                      <w:highlight w:val="none"/>
                      <w:lang w:val="en-US" w:eastAsia="zh-CN"/>
                    </w:rPr>
                    <w:t>国家</w:t>
                  </w:r>
                  <w:r>
                    <w:rPr>
                      <w:rFonts w:hint="default" w:ascii="Times New Roman" w:hAnsi="Times New Roman" w:eastAsia="宋体" w:cs="Times New Roman"/>
                      <w:color w:val="auto"/>
                      <w:sz w:val="21"/>
                      <w:szCs w:val="21"/>
                      <w:highlight w:val="none"/>
                    </w:rPr>
                    <w:t>统筹科技资源示范基地，</w:t>
                  </w:r>
                  <w:r>
                    <w:rPr>
                      <w:rFonts w:hint="eastAsia" w:ascii="Times New Roman" w:hAnsi="Times New Roman" w:eastAsia="宋体" w:cs="Times New Roman"/>
                      <w:color w:val="auto"/>
                      <w:sz w:val="21"/>
                      <w:szCs w:val="21"/>
                      <w:highlight w:val="none"/>
                      <w:lang w:val="en-US" w:eastAsia="zh-CN"/>
                    </w:rPr>
                    <w:t>西部地区能源中心和体育会展中心，</w:t>
                  </w:r>
                  <w:r>
                    <w:rPr>
                      <w:rFonts w:hint="default" w:ascii="Times New Roman" w:hAnsi="Times New Roman" w:eastAsia="宋体" w:cs="Times New Roman"/>
                      <w:color w:val="auto"/>
                      <w:sz w:val="21"/>
                      <w:szCs w:val="21"/>
                      <w:highlight w:val="none"/>
                    </w:rPr>
                    <w:t>高新技术研发和会展中心，大西安建设国际化大都市引领区，未来将建设成为具有东方人文特色的生态化国际新城。主导产业：以高新技术和会展业为主，重点发展高新技术研发和孵化、体育、会展商务，文化旅游、现代农业、房地产开发等产业。总体规划空间结构布局：</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两带、七板块</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，周秦汉历史文化景观带、沣河景观风貌带、沣河田园都市板块、六村堡现代产业板块、三桥商贸综合产业板块、科技统筹示范板块、阿房宫人文旅游板块、昆明池生态休闲板块、镐京田园都市板块。</w:t>
                  </w:r>
                </w:p>
              </w:tc>
              <w:tc>
                <w:tcPr>
                  <w:tcW w:w="2402" w:type="dxa"/>
                  <w:noWrap w:val="0"/>
                  <w:vAlign w:val="center"/>
                </w:tcPr>
                <w:p w14:paraId="5FEC52D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val="en-US" w:eastAsia="zh-CN"/>
                    </w:rPr>
                    <w:t>位于</w:t>
                  </w:r>
                  <w:r>
                    <w:rPr>
                      <w:rFonts w:hint="default" w:ascii="Times New Roman" w:hAnsi="Times New Roman" w:eastAsia="宋体" w:cs="Times New Roman"/>
                      <w:color w:val="auto"/>
                      <w:sz w:val="21"/>
                      <w:szCs w:val="21"/>
                      <w:highlight w:val="none"/>
                    </w:rPr>
                    <w:t>陕西省西咸新区沣东新城科源三路869号</w:t>
                  </w:r>
                  <w:r>
                    <w:rPr>
                      <w:rFonts w:hint="eastAsia" w:cs="Times New Roman"/>
                      <w:color w:val="auto"/>
                      <w:sz w:val="21"/>
                      <w:szCs w:val="21"/>
                      <w:highlight w:val="none"/>
                      <w:lang w:eastAsia="zh-CN"/>
                    </w:rPr>
                    <w:t>科技综合楼</w:t>
                  </w:r>
                  <w:r>
                    <w:rPr>
                      <w:rFonts w:hint="default" w:ascii="Times New Roman" w:hAnsi="Times New Roman" w:eastAsia="宋体" w:cs="Times New Roman"/>
                      <w:color w:val="auto"/>
                      <w:sz w:val="21"/>
                      <w:szCs w:val="21"/>
                      <w:highlight w:val="none"/>
                    </w:rPr>
                    <w:t>B座</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为</w:t>
                  </w:r>
                  <w:r>
                    <w:rPr>
                      <w:rFonts w:hint="eastAsia" w:ascii="Times New Roman" w:hAnsi="Times New Roman" w:eastAsia="宋体" w:cs="Times New Roman"/>
                      <w:color w:val="auto"/>
                      <w:sz w:val="21"/>
                      <w:szCs w:val="21"/>
                      <w:highlight w:val="none"/>
                      <w:lang w:val="en-US" w:eastAsia="zh-CN"/>
                    </w:rPr>
                    <w:t>核工业二0三研究所分析测试中心</w:t>
                  </w:r>
                  <w:r>
                    <w:rPr>
                      <w:rFonts w:hint="default" w:ascii="Times New Roman" w:hAnsi="Times New Roman" w:eastAsia="宋体" w:cs="Times New Roman"/>
                      <w:color w:val="auto"/>
                      <w:sz w:val="21"/>
                      <w:szCs w:val="21"/>
                      <w:highlight w:val="none"/>
                    </w:rPr>
                    <w:t>项目，属于科学研究和技术服务业，为高新技术研发产业。</w:t>
                  </w:r>
                </w:p>
              </w:tc>
              <w:tc>
                <w:tcPr>
                  <w:tcW w:w="490" w:type="dxa"/>
                  <w:noWrap w:val="0"/>
                  <w:vAlign w:val="center"/>
                </w:tcPr>
                <w:p w14:paraId="716BEA92">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DBE6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457" w:type="dxa"/>
                  <w:vMerge w:val="restart"/>
                  <w:noWrap w:val="0"/>
                  <w:vAlign w:val="center"/>
                </w:tcPr>
                <w:p w14:paraId="72485EAA">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900" w:type="dxa"/>
                  <w:vMerge w:val="restart"/>
                  <w:noWrap w:val="0"/>
                  <w:vAlign w:val="center"/>
                </w:tcPr>
                <w:p w14:paraId="42ADB754">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西咸新区-沣东新城分区规划（2010-2020）环境影响报告书及审查意见</w:t>
                  </w:r>
                </w:p>
              </w:tc>
              <w:tc>
                <w:tcPr>
                  <w:tcW w:w="2568" w:type="dxa"/>
                  <w:noWrap w:val="0"/>
                  <w:vAlign w:val="center"/>
                </w:tcPr>
                <w:p w14:paraId="5AB77C6E">
                  <w:pPr>
                    <w:pStyle w:val="109"/>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入区企业清洁生产必须达到国内先进水平，严禁</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三高一低</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企业入区、由总量指标限值企业类型和规模、污染物排放指标等工业企业的准入条件。</w:t>
                  </w:r>
                </w:p>
              </w:tc>
              <w:tc>
                <w:tcPr>
                  <w:tcW w:w="2402" w:type="dxa"/>
                  <w:noWrap w:val="0"/>
                  <w:vAlign w:val="center"/>
                </w:tcPr>
                <w:p w14:paraId="7B309153">
                  <w:pPr>
                    <w:pStyle w:val="10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本项目属于科学研究和技术服务业，不属于</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三高一低</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企业。</w:t>
                  </w:r>
                </w:p>
              </w:tc>
              <w:tc>
                <w:tcPr>
                  <w:tcW w:w="490" w:type="dxa"/>
                  <w:vMerge w:val="restart"/>
                  <w:noWrap w:val="0"/>
                  <w:vAlign w:val="center"/>
                </w:tcPr>
                <w:p w14:paraId="05E03EDC">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83B3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6" w:hRule="atLeast"/>
                <w:jc w:val="center"/>
              </w:trPr>
              <w:tc>
                <w:tcPr>
                  <w:tcW w:w="457" w:type="dxa"/>
                  <w:vMerge w:val="continue"/>
                  <w:noWrap w:val="0"/>
                  <w:vAlign w:val="center"/>
                </w:tcPr>
                <w:p w14:paraId="38762B61">
                  <w:pPr>
                    <w:autoSpaceDE w:val="0"/>
                    <w:autoSpaceDN w:val="0"/>
                    <w:jc w:val="center"/>
                    <w:rPr>
                      <w:rFonts w:hint="default" w:ascii="Times New Roman" w:hAnsi="Times New Roman" w:eastAsia="宋体" w:cs="Times New Roman"/>
                      <w:color w:val="auto"/>
                      <w:sz w:val="21"/>
                      <w:szCs w:val="21"/>
                      <w:highlight w:val="none"/>
                    </w:rPr>
                  </w:pPr>
                </w:p>
              </w:tc>
              <w:tc>
                <w:tcPr>
                  <w:tcW w:w="900" w:type="dxa"/>
                  <w:vMerge w:val="continue"/>
                  <w:noWrap w:val="0"/>
                  <w:vAlign w:val="center"/>
                </w:tcPr>
                <w:p w14:paraId="2C451F56">
                  <w:pPr>
                    <w:autoSpaceDE w:val="0"/>
                    <w:autoSpaceDN w:val="0"/>
                    <w:jc w:val="center"/>
                    <w:rPr>
                      <w:rFonts w:hint="default" w:ascii="Times New Roman" w:hAnsi="Times New Roman" w:eastAsia="宋体" w:cs="Times New Roman"/>
                      <w:color w:val="auto"/>
                      <w:sz w:val="21"/>
                      <w:szCs w:val="21"/>
                      <w:highlight w:val="none"/>
                    </w:rPr>
                  </w:pPr>
                </w:p>
              </w:tc>
              <w:tc>
                <w:tcPr>
                  <w:tcW w:w="2568" w:type="dxa"/>
                  <w:noWrap w:val="0"/>
                  <w:vAlign w:val="center"/>
                </w:tcPr>
                <w:p w14:paraId="4EFD3269">
                  <w:pPr>
                    <w:pStyle w:val="109"/>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做好规划区项目的环境保护准入工作，限制规划定位的产业以外项目进入，并依法对具体建设项目进行环境影响评价，规划区内不得建设电镀生产线及涉重金属排放企业。</w:t>
                  </w:r>
                </w:p>
              </w:tc>
              <w:tc>
                <w:tcPr>
                  <w:tcW w:w="2402" w:type="dxa"/>
                  <w:noWrap w:val="0"/>
                  <w:vAlign w:val="center"/>
                </w:tcPr>
                <w:p w14:paraId="25CFEA0C">
                  <w:pPr>
                    <w:pStyle w:val="10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本项目正在办理</w:t>
                  </w:r>
                  <w:r>
                    <w:rPr>
                      <w:rFonts w:hint="eastAsia" w:ascii="Times New Roman" w:hAnsi="Times New Roman" w:eastAsia="宋体" w:cs="Times New Roman"/>
                      <w:color w:val="auto"/>
                      <w:sz w:val="21"/>
                      <w:szCs w:val="21"/>
                      <w:highlight w:val="none"/>
                      <w:lang w:val="en-US" w:eastAsia="zh-CN"/>
                    </w:rPr>
                    <w:t>扩建项目</w:t>
                  </w:r>
                  <w:r>
                    <w:rPr>
                      <w:rFonts w:hint="default" w:ascii="Times New Roman" w:hAnsi="Times New Roman" w:eastAsia="宋体" w:cs="Times New Roman"/>
                      <w:color w:val="auto"/>
                      <w:sz w:val="21"/>
                      <w:szCs w:val="21"/>
                      <w:highlight w:val="none"/>
                    </w:rPr>
                    <w:t>环评手续，本项目属于科学研究和技术服务业，不属于电镀生产线及涉重金属排放企业。</w:t>
                  </w:r>
                </w:p>
              </w:tc>
              <w:tc>
                <w:tcPr>
                  <w:tcW w:w="490" w:type="dxa"/>
                  <w:vMerge w:val="continue"/>
                  <w:noWrap w:val="0"/>
                  <w:vAlign w:val="center"/>
                </w:tcPr>
                <w:p w14:paraId="392F36F7">
                  <w:pPr>
                    <w:pStyle w:val="8"/>
                    <w:jc w:val="center"/>
                    <w:rPr>
                      <w:rFonts w:hint="default" w:ascii="Times New Roman" w:hAnsi="Times New Roman" w:eastAsia="宋体" w:cs="Times New Roman"/>
                      <w:color w:val="auto"/>
                      <w:sz w:val="21"/>
                      <w:szCs w:val="21"/>
                      <w:highlight w:val="none"/>
                    </w:rPr>
                  </w:pPr>
                </w:p>
              </w:tc>
            </w:tr>
            <w:tr w14:paraId="116D4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57" w:type="dxa"/>
                  <w:vMerge w:val="continue"/>
                  <w:noWrap w:val="0"/>
                  <w:vAlign w:val="center"/>
                </w:tcPr>
                <w:p w14:paraId="00EB9FDE">
                  <w:pPr>
                    <w:autoSpaceDE w:val="0"/>
                    <w:autoSpaceDN w:val="0"/>
                    <w:jc w:val="center"/>
                    <w:rPr>
                      <w:rFonts w:hint="default" w:ascii="Times New Roman" w:hAnsi="Times New Roman" w:eastAsia="宋体" w:cs="Times New Roman"/>
                      <w:color w:val="auto"/>
                      <w:sz w:val="21"/>
                      <w:szCs w:val="21"/>
                      <w:highlight w:val="none"/>
                    </w:rPr>
                  </w:pPr>
                </w:p>
              </w:tc>
              <w:tc>
                <w:tcPr>
                  <w:tcW w:w="900" w:type="dxa"/>
                  <w:vMerge w:val="continue"/>
                  <w:noWrap w:val="0"/>
                  <w:vAlign w:val="center"/>
                </w:tcPr>
                <w:p w14:paraId="54267BFE">
                  <w:pPr>
                    <w:autoSpaceDE w:val="0"/>
                    <w:autoSpaceDN w:val="0"/>
                    <w:jc w:val="center"/>
                    <w:rPr>
                      <w:rFonts w:hint="default" w:ascii="Times New Roman" w:hAnsi="Times New Roman" w:eastAsia="宋体" w:cs="Times New Roman"/>
                      <w:color w:val="auto"/>
                      <w:sz w:val="21"/>
                      <w:szCs w:val="21"/>
                      <w:highlight w:val="none"/>
                    </w:rPr>
                  </w:pPr>
                </w:p>
              </w:tc>
              <w:tc>
                <w:tcPr>
                  <w:tcW w:w="2568" w:type="dxa"/>
                  <w:noWrap w:val="0"/>
                  <w:vAlign w:val="center"/>
                </w:tcPr>
                <w:p w14:paraId="679FAC73">
                  <w:pPr>
                    <w:autoSpaceDE w:val="0"/>
                    <w:autoSpaceDN w:val="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水环境保护对策和措施：严格环境准入制度，防治企业污染排放。</w:t>
                  </w:r>
                </w:p>
              </w:tc>
              <w:tc>
                <w:tcPr>
                  <w:tcW w:w="2402" w:type="dxa"/>
                  <w:noWrap w:val="0"/>
                  <w:vAlign w:val="center"/>
                </w:tcPr>
                <w:p w14:paraId="6839B327">
                  <w:pPr>
                    <w:jc w:val="center"/>
                    <w:rPr>
                      <w:color w:val="auto"/>
                      <w:spacing w:val="-6"/>
                      <w:szCs w:val="21"/>
                      <w:highlight w:val="none"/>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val="en-US" w:eastAsia="zh-CN"/>
                    </w:rPr>
                    <w:t>实验废水经预处理后与生活污水一并排入化粪池，经处理后通过</w:t>
                  </w:r>
                  <w:r>
                    <w:rPr>
                      <w:rFonts w:hint="default" w:ascii="Times New Roman" w:hAnsi="Times New Roman" w:eastAsia="宋体" w:cs="Times New Roman"/>
                      <w:color w:val="auto"/>
                      <w:sz w:val="21"/>
                      <w:szCs w:val="21"/>
                      <w:highlight w:val="none"/>
                    </w:rPr>
                    <w:t>南侧污水管网排入沣东南污水处理厂</w:t>
                  </w:r>
                  <w:r>
                    <w:rPr>
                      <w:color w:val="auto"/>
                      <w:szCs w:val="21"/>
                      <w:highlight w:val="none"/>
                    </w:rPr>
                    <w:t>。</w:t>
                  </w:r>
                </w:p>
              </w:tc>
              <w:tc>
                <w:tcPr>
                  <w:tcW w:w="490" w:type="dxa"/>
                  <w:vMerge w:val="continue"/>
                  <w:noWrap w:val="0"/>
                  <w:vAlign w:val="center"/>
                </w:tcPr>
                <w:p w14:paraId="49853A1D">
                  <w:pPr>
                    <w:pStyle w:val="8"/>
                    <w:jc w:val="center"/>
                    <w:rPr>
                      <w:rFonts w:hint="default" w:ascii="Times New Roman" w:hAnsi="Times New Roman" w:eastAsia="宋体" w:cs="Times New Roman"/>
                      <w:color w:val="auto"/>
                      <w:sz w:val="21"/>
                      <w:szCs w:val="21"/>
                      <w:highlight w:val="none"/>
                    </w:rPr>
                  </w:pPr>
                </w:p>
              </w:tc>
            </w:tr>
            <w:tr w14:paraId="11A59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8" w:hRule="atLeast"/>
                <w:jc w:val="center"/>
              </w:trPr>
              <w:tc>
                <w:tcPr>
                  <w:tcW w:w="457" w:type="dxa"/>
                  <w:vMerge w:val="continue"/>
                  <w:noWrap w:val="0"/>
                  <w:vAlign w:val="center"/>
                </w:tcPr>
                <w:p w14:paraId="413ED757">
                  <w:pPr>
                    <w:autoSpaceDE w:val="0"/>
                    <w:autoSpaceDN w:val="0"/>
                    <w:spacing w:line="240" w:lineRule="auto"/>
                    <w:jc w:val="center"/>
                    <w:rPr>
                      <w:rFonts w:hint="eastAsia" w:eastAsia="宋体"/>
                      <w:color w:val="auto"/>
                      <w:szCs w:val="21"/>
                      <w:highlight w:val="none"/>
                      <w:lang w:eastAsia="zh-CN"/>
                    </w:rPr>
                  </w:pPr>
                </w:p>
              </w:tc>
              <w:tc>
                <w:tcPr>
                  <w:tcW w:w="900" w:type="dxa"/>
                  <w:vMerge w:val="continue"/>
                  <w:noWrap w:val="0"/>
                  <w:vAlign w:val="center"/>
                </w:tcPr>
                <w:p w14:paraId="3FC2B28C">
                  <w:pPr>
                    <w:autoSpaceDE w:val="0"/>
                    <w:autoSpaceDN w:val="0"/>
                    <w:spacing w:line="240" w:lineRule="auto"/>
                    <w:jc w:val="center"/>
                    <w:rPr>
                      <w:color w:val="auto"/>
                      <w:szCs w:val="21"/>
                      <w:highlight w:val="none"/>
                    </w:rPr>
                  </w:pPr>
                </w:p>
              </w:tc>
              <w:tc>
                <w:tcPr>
                  <w:tcW w:w="2568" w:type="dxa"/>
                  <w:noWrap w:val="0"/>
                  <w:vAlign w:val="center"/>
                </w:tcPr>
                <w:p w14:paraId="312634D2">
                  <w:pPr>
                    <w:pStyle w:val="109"/>
                    <w:spacing w:line="240" w:lineRule="auto"/>
                    <w:jc w:val="both"/>
                    <w:rPr>
                      <w:color w:val="auto"/>
                      <w:szCs w:val="21"/>
                      <w:highlight w:val="none"/>
                    </w:rPr>
                  </w:pPr>
                  <w:r>
                    <w:rPr>
                      <w:color w:val="auto"/>
                      <w:szCs w:val="21"/>
                      <w:highlight w:val="none"/>
                    </w:rPr>
                    <w:t>大气环境保护对策和措施：严格产业准入制度，控制企业污染排放。设置新城产业准入大气环境标准，对排污量大的行业进行限制，防止对新城产生影响。</w:t>
                  </w:r>
                </w:p>
              </w:tc>
              <w:tc>
                <w:tcPr>
                  <w:tcW w:w="2402" w:type="dxa"/>
                  <w:noWrap w:val="0"/>
                  <w:vAlign w:val="center"/>
                </w:tcPr>
                <w:p w14:paraId="02BAD2A8">
                  <w:pPr>
                    <w:spacing w:line="240" w:lineRule="auto"/>
                    <w:jc w:val="center"/>
                    <w:rPr>
                      <w:color w:val="auto"/>
                      <w:szCs w:val="21"/>
                      <w:highlight w:val="none"/>
                    </w:rPr>
                  </w:pPr>
                  <w:r>
                    <w:rPr>
                      <w:color w:val="auto"/>
                      <w:szCs w:val="21"/>
                      <w:highlight w:val="none"/>
                    </w:rPr>
                    <w:t>本项目</w:t>
                  </w:r>
                  <w:r>
                    <w:rPr>
                      <w:rFonts w:hint="eastAsia"/>
                      <w:color w:val="auto"/>
                      <w:szCs w:val="21"/>
                      <w:highlight w:val="none"/>
                    </w:rPr>
                    <w:t>实验过程产生的挥发性有机废气和酸性废气（氯化氢</w:t>
                  </w:r>
                  <w:r>
                    <w:rPr>
                      <w:rFonts w:hint="eastAsia"/>
                      <w:color w:val="auto"/>
                      <w:szCs w:val="21"/>
                      <w:highlight w:val="none"/>
                      <w:lang w:eastAsia="zh-CN"/>
                    </w:rPr>
                    <w:t>、</w:t>
                  </w:r>
                  <w:r>
                    <w:rPr>
                      <w:rFonts w:hint="eastAsia"/>
                      <w:color w:val="auto"/>
                      <w:szCs w:val="21"/>
                      <w:highlight w:val="none"/>
                      <w:lang w:val="en-US" w:eastAsia="zh-CN"/>
                    </w:rPr>
                    <w:t>硫酸雾、NOx、氟化物</w:t>
                  </w:r>
                  <w:r>
                    <w:rPr>
                      <w:rFonts w:hint="eastAsia"/>
                      <w:color w:val="auto"/>
                      <w:szCs w:val="21"/>
                      <w:highlight w:val="none"/>
                    </w:rPr>
                    <w:t>）</w:t>
                  </w:r>
                  <w:r>
                    <w:rPr>
                      <w:rFonts w:hint="eastAsia"/>
                      <w:color w:val="auto"/>
                      <w:szCs w:val="21"/>
                      <w:highlight w:val="none"/>
                      <w:lang w:eastAsia="zh-CN"/>
                    </w:rPr>
                    <w:t>，</w:t>
                  </w:r>
                  <w:r>
                    <w:rPr>
                      <w:rFonts w:hint="eastAsia"/>
                      <w:color w:val="auto"/>
                      <w:szCs w:val="21"/>
                      <w:highlight w:val="none"/>
                      <w:lang w:val="en-US" w:eastAsia="zh-CN"/>
                    </w:rPr>
                    <w:t>其中挥发性有机废气经通风橱收集后通过二级活性炭处理后经23m高排气筒达标排放，酸性废气经通风橱收集后通过碱液洗涤塔处理后经23m高排气筒达标排放，碎样粉尘经三面集气罩收集后，通过</w:t>
                  </w:r>
                  <w:r>
                    <w:rPr>
                      <w:rFonts w:hint="eastAsia"/>
                      <w:color w:val="auto"/>
                      <w:szCs w:val="21"/>
                      <w:highlight w:val="none"/>
                    </w:rPr>
                    <w:t>布袋除尘器</w:t>
                  </w:r>
                  <w:r>
                    <w:rPr>
                      <w:rFonts w:hint="eastAsia"/>
                      <w:color w:val="auto"/>
                      <w:szCs w:val="21"/>
                      <w:highlight w:val="none"/>
                      <w:lang w:val="en-US" w:eastAsia="zh-CN"/>
                    </w:rPr>
                    <w:t>处理后经23m高排气筒达标排放</w:t>
                  </w:r>
                  <w:r>
                    <w:rPr>
                      <w:rFonts w:hint="eastAsia"/>
                      <w:color w:val="auto"/>
                      <w:szCs w:val="21"/>
                      <w:highlight w:val="none"/>
                    </w:rPr>
                    <w:t>。</w:t>
                  </w:r>
                  <w:r>
                    <w:rPr>
                      <w:color w:val="auto"/>
                      <w:szCs w:val="21"/>
                      <w:highlight w:val="none"/>
                    </w:rPr>
                    <w:t>项目不属于大气污染物排放量大的行业。</w:t>
                  </w:r>
                </w:p>
              </w:tc>
              <w:tc>
                <w:tcPr>
                  <w:tcW w:w="490" w:type="dxa"/>
                  <w:noWrap w:val="0"/>
                  <w:vAlign w:val="center"/>
                </w:tcPr>
                <w:p w14:paraId="38DF7E22">
                  <w:pPr>
                    <w:pStyle w:val="8"/>
                    <w:spacing w:line="240" w:lineRule="auto"/>
                    <w:jc w:val="center"/>
                    <w:rPr>
                      <w:color w:val="auto"/>
                      <w:sz w:val="21"/>
                      <w:szCs w:val="21"/>
                      <w:highlight w:val="none"/>
                    </w:rPr>
                  </w:pPr>
                  <w:r>
                    <w:rPr>
                      <w:color w:val="auto"/>
                      <w:sz w:val="21"/>
                      <w:szCs w:val="21"/>
                      <w:highlight w:val="none"/>
                    </w:rPr>
                    <w:t>符合</w:t>
                  </w:r>
                </w:p>
              </w:tc>
            </w:tr>
            <w:tr w14:paraId="5B6E80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9" w:hRule="atLeast"/>
                <w:jc w:val="center"/>
              </w:trPr>
              <w:tc>
                <w:tcPr>
                  <w:tcW w:w="457" w:type="dxa"/>
                  <w:vMerge w:val="continue"/>
                  <w:noWrap w:val="0"/>
                  <w:vAlign w:val="center"/>
                </w:tcPr>
                <w:p w14:paraId="5703B01C">
                  <w:pPr>
                    <w:autoSpaceDE w:val="0"/>
                    <w:autoSpaceDN w:val="0"/>
                    <w:spacing w:line="240" w:lineRule="auto"/>
                    <w:jc w:val="center"/>
                    <w:rPr>
                      <w:color w:val="auto"/>
                      <w:szCs w:val="21"/>
                      <w:highlight w:val="none"/>
                    </w:rPr>
                  </w:pPr>
                </w:p>
              </w:tc>
              <w:tc>
                <w:tcPr>
                  <w:tcW w:w="900" w:type="dxa"/>
                  <w:vMerge w:val="continue"/>
                  <w:noWrap w:val="0"/>
                  <w:vAlign w:val="center"/>
                </w:tcPr>
                <w:p w14:paraId="456AA09A">
                  <w:pPr>
                    <w:autoSpaceDE w:val="0"/>
                    <w:autoSpaceDN w:val="0"/>
                    <w:spacing w:line="240" w:lineRule="auto"/>
                    <w:jc w:val="center"/>
                    <w:rPr>
                      <w:color w:val="auto"/>
                      <w:szCs w:val="21"/>
                      <w:highlight w:val="none"/>
                    </w:rPr>
                  </w:pPr>
                </w:p>
              </w:tc>
              <w:tc>
                <w:tcPr>
                  <w:tcW w:w="2568" w:type="dxa"/>
                  <w:noWrap w:val="0"/>
                  <w:vAlign w:val="center"/>
                </w:tcPr>
                <w:p w14:paraId="58FAC919">
                  <w:pPr>
                    <w:pStyle w:val="109"/>
                    <w:spacing w:line="240" w:lineRule="auto"/>
                    <w:jc w:val="both"/>
                    <w:rPr>
                      <w:color w:val="auto"/>
                      <w:szCs w:val="21"/>
                      <w:highlight w:val="none"/>
                    </w:rPr>
                  </w:pPr>
                  <w:r>
                    <w:rPr>
                      <w:color w:val="auto"/>
                      <w:szCs w:val="21"/>
                      <w:highlight w:val="none"/>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2402" w:type="dxa"/>
                  <w:noWrap w:val="0"/>
                  <w:vAlign w:val="center"/>
                </w:tcPr>
                <w:p w14:paraId="541259CF">
                  <w:pPr>
                    <w:autoSpaceDE w:val="0"/>
                    <w:autoSpaceDN w:val="0"/>
                    <w:spacing w:line="240" w:lineRule="auto"/>
                    <w:jc w:val="center"/>
                    <w:rPr>
                      <w:color w:val="auto"/>
                      <w:szCs w:val="21"/>
                      <w:highlight w:val="none"/>
                    </w:rPr>
                  </w:pPr>
                  <w:r>
                    <w:rPr>
                      <w:color w:val="auto"/>
                      <w:szCs w:val="21"/>
                      <w:highlight w:val="none"/>
                    </w:rPr>
                    <w:t>本项目运营期设备均优先选用低噪声设备，并采取基础减振、隔声等措施，同时加强对设备的维修保养管理。</w:t>
                  </w:r>
                </w:p>
              </w:tc>
              <w:tc>
                <w:tcPr>
                  <w:tcW w:w="490" w:type="dxa"/>
                  <w:noWrap w:val="0"/>
                  <w:vAlign w:val="center"/>
                </w:tcPr>
                <w:p w14:paraId="0ADFC60A">
                  <w:pPr>
                    <w:pStyle w:val="8"/>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符合</w:t>
                  </w:r>
                </w:p>
              </w:tc>
            </w:tr>
            <w:tr w14:paraId="38BF3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6" w:hRule="atLeast"/>
                <w:jc w:val="center"/>
              </w:trPr>
              <w:tc>
                <w:tcPr>
                  <w:tcW w:w="457" w:type="dxa"/>
                  <w:vMerge w:val="continue"/>
                  <w:noWrap w:val="0"/>
                  <w:vAlign w:val="center"/>
                </w:tcPr>
                <w:p w14:paraId="0161017A">
                  <w:pPr>
                    <w:autoSpaceDE w:val="0"/>
                    <w:autoSpaceDN w:val="0"/>
                    <w:jc w:val="center"/>
                    <w:rPr>
                      <w:rFonts w:hint="eastAsia"/>
                      <w:color w:val="auto"/>
                      <w:szCs w:val="21"/>
                      <w:highlight w:val="none"/>
                    </w:rPr>
                  </w:pPr>
                </w:p>
              </w:tc>
              <w:tc>
                <w:tcPr>
                  <w:tcW w:w="900" w:type="dxa"/>
                  <w:vMerge w:val="continue"/>
                  <w:noWrap w:val="0"/>
                  <w:vAlign w:val="center"/>
                </w:tcPr>
                <w:p w14:paraId="7EFDE5B3">
                  <w:pPr>
                    <w:autoSpaceDE w:val="0"/>
                    <w:autoSpaceDN w:val="0"/>
                    <w:jc w:val="center"/>
                    <w:rPr>
                      <w:color w:val="auto"/>
                      <w:szCs w:val="21"/>
                      <w:highlight w:val="none"/>
                    </w:rPr>
                  </w:pPr>
                </w:p>
              </w:tc>
              <w:tc>
                <w:tcPr>
                  <w:tcW w:w="2568" w:type="dxa"/>
                  <w:noWrap w:val="0"/>
                  <w:vAlign w:val="center"/>
                </w:tcPr>
                <w:p w14:paraId="073FF8EF">
                  <w:pPr>
                    <w:autoSpaceDE w:val="0"/>
                    <w:autoSpaceDN w:val="0"/>
                    <w:jc w:val="both"/>
                    <w:rPr>
                      <w:color w:val="auto"/>
                      <w:szCs w:val="21"/>
                      <w:highlight w:val="none"/>
                    </w:rPr>
                  </w:pPr>
                  <w:r>
                    <w:rPr>
                      <w:color w:val="auto"/>
                      <w:szCs w:val="21"/>
                      <w:highlight w:val="none"/>
                    </w:rPr>
                    <w:t>固体废物综合整治对策：提高全民的环境意识，提倡节约，减少城市生活垃</w:t>
                  </w:r>
                </w:p>
                <w:p w14:paraId="13CC85A3">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分类收集，提高生活垃圾无害化处理率和固体废物的综合利用率。提高危险固废的安全处理、处置能</w:t>
                  </w:r>
                </w:p>
                <w:p w14:paraId="5DCC0EDB">
                  <w:pPr>
                    <w:autoSpaceDE w:val="0"/>
                    <w:autoSpaceDN w:val="0"/>
                    <w:jc w:val="both"/>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力。建立危险废物收集、运输、处置的全过程环境监督管理体系。</w:t>
                  </w:r>
                </w:p>
              </w:tc>
              <w:tc>
                <w:tcPr>
                  <w:tcW w:w="2402" w:type="dxa"/>
                  <w:noWrap w:val="0"/>
                  <w:vAlign w:val="center"/>
                </w:tcPr>
                <w:p w14:paraId="60529B04">
                  <w:pPr>
                    <w:pStyle w:val="109"/>
                    <w:jc w:val="center"/>
                    <w:rPr>
                      <w:rFonts w:hint="default" w:ascii="Times New Roman" w:hAnsi="Times New Roman" w:eastAsia="宋体" w:cs="Times New Roman"/>
                      <w:color w:val="auto"/>
                      <w:szCs w:val="21"/>
                      <w:highlight w:val="none"/>
                    </w:rPr>
                  </w:pPr>
                  <w:r>
                    <w:rPr>
                      <w:color w:val="auto"/>
                      <w:szCs w:val="21"/>
                      <w:highlight w:val="none"/>
                    </w:rPr>
                    <w:t>本项目</w:t>
                  </w:r>
                  <w:r>
                    <w:rPr>
                      <w:rFonts w:hint="eastAsia"/>
                      <w:color w:val="auto"/>
                      <w:szCs w:val="21"/>
                      <w:highlight w:val="none"/>
                    </w:rPr>
                    <w:t>废纸屑、废样品、</w:t>
                  </w:r>
                  <w:r>
                    <w:rPr>
                      <w:rFonts w:hint="eastAsia"/>
                      <w:color w:val="auto"/>
                      <w:szCs w:val="21"/>
                      <w:highlight w:val="none"/>
                      <w:lang w:val="en-US" w:eastAsia="zh-CN"/>
                    </w:rPr>
                    <w:t>未被污染的</w:t>
                  </w:r>
                  <w:r>
                    <w:rPr>
                      <w:rFonts w:hint="eastAsia"/>
                      <w:color w:val="auto"/>
                      <w:szCs w:val="21"/>
                      <w:highlight w:val="none"/>
                    </w:rPr>
                    <w:t>废包装材料、</w:t>
                  </w:r>
                  <w:r>
                    <w:rPr>
                      <w:rFonts w:hint="eastAsia"/>
                      <w:color w:val="auto"/>
                      <w:szCs w:val="21"/>
                      <w:highlight w:val="none"/>
                      <w:lang w:val="en-US" w:eastAsia="zh-CN"/>
                    </w:rPr>
                    <w:t>布袋</w:t>
                  </w:r>
                  <w:r>
                    <w:rPr>
                      <w:rFonts w:hint="eastAsia"/>
                      <w:color w:val="auto"/>
                      <w:szCs w:val="21"/>
                      <w:highlight w:val="none"/>
                    </w:rPr>
                    <w:t>除尘器收集的粉尘</w:t>
                  </w:r>
                  <w:r>
                    <w:rPr>
                      <w:rFonts w:hint="eastAsia"/>
                      <w:color w:val="auto"/>
                      <w:szCs w:val="21"/>
                      <w:highlight w:val="none"/>
                      <w:lang w:eastAsia="zh-CN"/>
                    </w:rPr>
                    <w:t>、</w:t>
                  </w:r>
                  <w:r>
                    <w:rPr>
                      <w:rFonts w:hint="eastAsia"/>
                      <w:color w:val="auto"/>
                      <w:szCs w:val="21"/>
                      <w:highlight w:val="none"/>
                      <w:lang w:val="en-US" w:eastAsia="zh-CN"/>
                    </w:rPr>
                    <w:t>废滤芯、灭菌后的废培养皿、污泥</w:t>
                  </w:r>
                  <w:r>
                    <w:rPr>
                      <w:rFonts w:hint="eastAsia" w:ascii="Times New Roman" w:hAnsi="Times New Roman" w:eastAsia="宋体" w:cs="Times New Roman"/>
                      <w:color w:val="auto"/>
                      <w:szCs w:val="21"/>
                      <w:highlight w:val="none"/>
                      <w:lang w:val="en-US" w:eastAsia="zh-CN"/>
                    </w:rPr>
                    <w:t>等</w:t>
                  </w:r>
                  <w:r>
                    <w:rPr>
                      <w:rFonts w:hint="default" w:ascii="Times New Roman" w:hAnsi="Times New Roman" w:eastAsia="宋体" w:cs="Times New Roman"/>
                      <w:color w:val="auto"/>
                      <w:szCs w:val="21"/>
                      <w:highlight w:val="none"/>
                    </w:rPr>
                    <w:t>分类收集后定期</w:t>
                  </w:r>
                  <w:r>
                    <w:rPr>
                      <w:rFonts w:hint="eastAsia" w:cs="Times New Roman"/>
                      <w:color w:val="auto"/>
                      <w:szCs w:val="21"/>
                      <w:highlight w:val="none"/>
                      <w:lang w:val="en-US" w:eastAsia="zh-CN"/>
                    </w:rPr>
                    <w:t>处理</w:t>
                  </w:r>
                  <w:r>
                    <w:rPr>
                      <w:rFonts w:hint="default" w:ascii="Times New Roman" w:hAnsi="Times New Roman" w:eastAsia="宋体" w:cs="Times New Roman"/>
                      <w:color w:val="auto"/>
                      <w:szCs w:val="21"/>
                      <w:highlight w:val="none"/>
                    </w:rPr>
                    <w:t>；</w:t>
                  </w:r>
                  <w:r>
                    <w:rPr>
                      <w:rFonts w:hint="eastAsia"/>
                      <w:color w:val="auto"/>
                      <w:szCs w:val="21"/>
                      <w:highlight w:val="none"/>
                      <w:lang w:val="en-US" w:eastAsia="zh-CN"/>
                    </w:rPr>
                    <w:t>实验室废液、废试剂包装物等沾染物、废活性炭、废试剂</w:t>
                  </w:r>
                  <w:r>
                    <w:rPr>
                      <w:rFonts w:hint="default" w:ascii="Times New Roman" w:hAnsi="Times New Roman" w:eastAsia="宋体" w:cs="Times New Roman"/>
                      <w:color w:val="auto"/>
                      <w:szCs w:val="21"/>
                      <w:highlight w:val="none"/>
                    </w:rPr>
                    <w:t>等危险废物</w:t>
                  </w:r>
                  <w:r>
                    <w:rPr>
                      <w:rFonts w:hint="eastAsia" w:ascii="Times New Roman" w:hAnsi="Times New Roman" w:eastAsia="宋体" w:cs="Times New Roman"/>
                      <w:color w:val="auto"/>
                      <w:szCs w:val="21"/>
                      <w:highlight w:val="none"/>
                      <w:lang w:val="en-US" w:eastAsia="zh-CN"/>
                    </w:rPr>
                    <w:t>经</w:t>
                  </w:r>
                  <w:r>
                    <w:rPr>
                      <w:rFonts w:hint="default" w:ascii="Times New Roman" w:hAnsi="Times New Roman" w:eastAsia="宋体" w:cs="Times New Roman"/>
                      <w:color w:val="auto"/>
                      <w:szCs w:val="21"/>
                      <w:highlight w:val="none"/>
                    </w:rPr>
                    <w:t>危废</w:t>
                  </w:r>
                  <w:r>
                    <w:rPr>
                      <w:rFonts w:hint="eastAsia" w:eastAsia="宋体" w:cs="Times New Roman"/>
                      <w:color w:val="auto"/>
                      <w:szCs w:val="21"/>
                      <w:highlight w:val="none"/>
                      <w:lang w:val="en-US" w:eastAsia="zh-CN"/>
                    </w:rPr>
                    <w:t>贮存库</w:t>
                  </w:r>
                  <w:r>
                    <w:rPr>
                      <w:rFonts w:hint="default" w:ascii="Times New Roman" w:hAnsi="Times New Roman" w:eastAsia="宋体" w:cs="Times New Roman"/>
                      <w:color w:val="auto"/>
                      <w:szCs w:val="21"/>
                      <w:highlight w:val="none"/>
                    </w:rPr>
                    <w:t>暂存</w:t>
                  </w:r>
                  <w:r>
                    <w:rPr>
                      <w:rFonts w:hint="eastAsia" w:ascii="Times New Roman" w:hAnsi="Times New Roman" w:eastAsia="宋体" w:cs="Times New Roman"/>
                      <w:color w:val="auto"/>
                      <w:szCs w:val="21"/>
                      <w:highlight w:val="none"/>
                      <w:lang w:val="en-US" w:eastAsia="zh-CN"/>
                    </w:rPr>
                    <w:t>后</w:t>
                  </w:r>
                  <w:r>
                    <w:rPr>
                      <w:rFonts w:hint="default" w:ascii="Times New Roman" w:hAnsi="Times New Roman" w:eastAsia="宋体" w:cs="Times New Roman"/>
                      <w:color w:val="auto"/>
                      <w:szCs w:val="21"/>
                      <w:highlight w:val="none"/>
                    </w:rPr>
                    <w:t>，定期交由有危废资质单位处置。</w:t>
                  </w:r>
                </w:p>
              </w:tc>
              <w:tc>
                <w:tcPr>
                  <w:tcW w:w="490" w:type="dxa"/>
                  <w:noWrap w:val="0"/>
                  <w:vAlign w:val="center"/>
                </w:tcPr>
                <w:p w14:paraId="69A0273F">
                  <w:pPr>
                    <w:pStyle w:val="8"/>
                    <w:jc w:val="center"/>
                    <w:rPr>
                      <w:rFonts w:hint="default" w:ascii="Times New Roman" w:hAnsi="Times New Roman" w:eastAsia="宋体" w:cs="Times New Roman"/>
                      <w:color w:val="auto"/>
                      <w:sz w:val="21"/>
                      <w:szCs w:val="21"/>
                      <w:highlight w:val="none"/>
                    </w:rPr>
                  </w:pPr>
                  <w:r>
                    <w:rPr>
                      <w:color w:val="auto"/>
                      <w:sz w:val="21"/>
                      <w:szCs w:val="21"/>
                      <w:highlight w:val="none"/>
                    </w:rPr>
                    <w:t>符合</w:t>
                  </w:r>
                </w:p>
              </w:tc>
            </w:tr>
          </w:tbl>
          <w:p w14:paraId="44C40CC2">
            <w:pPr>
              <w:pStyle w:val="34"/>
              <w:ind w:firstLine="0"/>
              <w:jc w:val="center"/>
              <w:rPr>
                <w:rFonts w:hint="eastAsia" w:eastAsia="宋体"/>
                <w:color w:val="auto"/>
                <w:highlight w:val="none"/>
                <w:lang w:val="en-US" w:eastAsia="zh-CN"/>
              </w:rPr>
            </w:pPr>
          </w:p>
        </w:tc>
      </w:tr>
      <w:tr w14:paraId="04D511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56" w:type="dxa"/>
            <w:noWrap w:val="0"/>
            <w:vAlign w:val="center"/>
          </w:tcPr>
          <w:p w14:paraId="4AA864B7">
            <w:pPr>
              <w:autoSpaceDE w:val="0"/>
              <w:autoSpaceDN w:val="0"/>
              <w:adjustRightInd w:val="0"/>
              <w:snapToGrid w:val="0"/>
              <w:jc w:val="center"/>
              <w:rPr>
                <w:color w:val="auto"/>
                <w:kern w:val="0"/>
                <w:sz w:val="24"/>
                <w:highlight w:val="none"/>
              </w:rPr>
            </w:pPr>
            <w:r>
              <w:rPr>
                <w:color w:val="auto"/>
                <w:kern w:val="0"/>
                <w:sz w:val="24"/>
                <w:highlight w:val="none"/>
              </w:rPr>
              <w:t>其他符合性分析</w:t>
            </w:r>
          </w:p>
        </w:tc>
        <w:tc>
          <w:tcPr>
            <w:tcW w:w="7014" w:type="dxa"/>
            <w:gridSpan w:val="3"/>
            <w:noWrap w:val="0"/>
            <w:vAlign w:val="center"/>
          </w:tcPr>
          <w:p w14:paraId="7F081250">
            <w:pPr>
              <w:pStyle w:val="15"/>
              <w:snapToGrid w:val="0"/>
              <w:spacing w:before="0" w:line="360" w:lineRule="auto"/>
              <w:ind w:firstLine="482" w:firstLineChars="200"/>
              <w:rPr>
                <w:rFonts w:ascii="Times New Roman" w:hAnsi="Times New Roman"/>
                <w:b/>
                <w:color w:val="auto"/>
                <w:sz w:val="24"/>
                <w:szCs w:val="24"/>
                <w:highlight w:val="none"/>
              </w:rPr>
            </w:pPr>
            <w:r>
              <w:rPr>
                <w:rFonts w:ascii="Times New Roman" w:hAnsi="Times New Roman"/>
                <w:b/>
                <w:color w:val="auto"/>
                <w:sz w:val="24"/>
                <w:szCs w:val="24"/>
                <w:highlight w:val="none"/>
              </w:rPr>
              <w:t>1、</w:t>
            </w:r>
            <w:r>
              <w:rPr>
                <w:rFonts w:hint="eastAsia" w:ascii="Times New Roman" w:hAnsi="Times New Roman"/>
                <w:b/>
                <w:color w:val="auto"/>
                <w:sz w:val="24"/>
                <w:szCs w:val="24"/>
                <w:highlight w:val="none"/>
                <w:lang w:eastAsia="zh-CN"/>
              </w:rPr>
              <w:t>“</w:t>
            </w:r>
            <w:r>
              <w:rPr>
                <w:rFonts w:ascii="Times New Roman" w:hAnsi="Times New Roman"/>
                <w:b/>
                <w:color w:val="auto"/>
                <w:sz w:val="24"/>
                <w:szCs w:val="24"/>
                <w:highlight w:val="none"/>
              </w:rPr>
              <w:t>三线一单</w:t>
            </w:r>
            <w:r>
              <w:rPr>
                <w:rFonts w:hint="eastAsia" w:ascii="Times New Roman" w:hAnsi="Times New Roman"/>
                <w:b/>
                <w:color w:val="auto"/>
                <w:sz w:val="24"/>
                <w:szCs w:val="24"/>
                <w:highlight w:val="none"/>
                <w:lang w:eastAsia="zh-CN"/>
              </w:rPr>
              <w:t>”</w:t>
            </w:r>
            <w:r>
              <w:rPr>
                <w:rFonts w:ascii="Times New Roman" w:hAnsi="Times New Roman"/>
                <w:b/>
                <w:color w:val="auto"/>
                <w:sz w:val="24"/>
                <w:szCs w:val="24"/>
                <w:highlight w:val="none"/>
              </w:rPr>
              <w:t>符合性分析</w:t>
            </w:r>
          </w:p>
          <w:p w14:paraId="1DA3A1A3">
            <w:pPr>
              <w:adjustRightInd w:val="0"/>
              <w:spacing w:line="360" w:lineRule="auto"/>
              <w:ind w:firstLine="480" w:firstLineChars="200"/>
              <w:rPr>
                <w:rFonts w:hint="eastAsia"/>
                <w:color w:val="auto"/>
                <w:sz w:val="24"/>
                <w:szCs w:val="24"/>
                <w:highlight w:val="none"/>
                <w:lang w:eastAsia="zh-CN"/>
              </w:rPr>
            </w:pPr>
            <w:r>
              <w:rPr>
                <w:color w:val="auto"/>
                <w:sz w:val="24"/>
                <w:szCs w:val="24"/>
                <w:highlight w:val="none"/>
              </w:rPr>
              <w:t>根据《关于以改善环境质量为核心加强环境影响评价管理的通知》（环评〔2016〕150号）以及</w:t>
            </w:r>
            <w:r>
              <w:rPr>
                <w:rFonts w:hint="eastAsia"/>
                <w:color w:val="auto"/>
                <w:sz w:val="24"/>
                <w:szCs w:val="24"/>
                <w:highlight w:val="none"/>
              </w:rPr>
              <w:t>西安市生态环境保护委员会办公室</w:t>
            </w:r>
            <w:r>
              <w:rPr>
                <w:rFonts w:hint="eastAsia"/>
                <w:color w:val="auto"/>
                <w:sz w:val="24"/>
                <w:szCs w:val="24"/>
                <w:highlight w:val="none"/>
                <w:lang w:val="en-US" w:eastAsia="zh-CN"/>
              </w:rPr>
              <w:t>2024年12月30日印发的《2023年西安市生态环境分区管控调整方案》</w:t>
            </w:r>
            <w:r>
              <w:rPr>
                <w:rFonts w:hint="eastAsia"/>
                <w:color w:val="auto"/>
                <w:sz w:val="24"/>
                <w:szCs w:val="24"/>
                <w:highlight w:val="none"/>
                <w:lang w:eastAsia="zh-CN"/>
              </w:rPr>
              <w:t>，建设项目环评文件与“三线一单”生态环境分区管控符合性分析如下：</w:t>
            </w:r>
          </w:p>
          <w:p w14:paraId="1E7C012E">
            <w:pPr>
              <w:adjustRightInd w:val="0"/>
              <w:spacing w:line="360" w:lineRule="auto"/>
              <w:ind w:firstLine="482" w:firstLineChars="200"/>
              <w:rPr>
                <w:rFonts w:hint="eastAsia"/>
                <w:color w:val="auto"/>
                <w:sz w:val="24"/>
                <w:szCs w:val="24"/>
                <w:highlight w:val="none"/>
                <w:lang w:eastAsia="zh-CN"/>
              </w:rPr>
            </w:pPr>
            <w:r>
              <w:rPr>
                <w:rFonts w:hint="eastAsia"/>
                <w:b/>
                <w:bCs/>
                <w:color w:val="auto"/>
                <w:sz w:val="24"/>
                <w:szCs w:val="24"/>
                <w:highlight w:val="none"/>
                <w:lang w:eastAsia="zh-CN"/>
              </w:rPr>
              <w:t>一图</w:t>
            </w:r>
            <w:r>
              <w:rPr>
                <w:rFonts w:hint="eastAsia"/>
                <w:color w:val="auto"/>
                <w:sz w:val="24"/>
                <w:szCs w:val="24"/>
                <w:highlight w:val="none"/>
                <w:lang w:eastAsia="zh-CN"/>
              </w:rPr>
              <w:t>：本项目与</w:t>
            </w:r>
            <w:r>
              <w:rPr>
                <w:rFonts w:hint="eastAsia"/>
                <w:color w:val="auto"/>
                <w:sz w:val="24"/>
                <w:highlight w:val="none"/>
              </w:rPr>
              <w:t>陕西省“三线一单”管控单元中空间冲突分析</w:t>
            </w:r>
            <w:r>
              <w:rPr>
                <w:rFonts w:hint="eastAsia"/>
                <w:color w:val="auto"/>
                <w:sz w:val="24"/>
                <w:szCs w:val="24"/>
                <w:highlight w:val="none"/>
                <w:lang w:eastAsia="zh-CN"/>
              </w:rPr>
              <w:t>详见图1-1。</w:t>
            </w:r>
          </w:p>
          <w:p w14:paraId="638834CB">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4340225" cy="6140450"/>
                  <wp:effectExtent l="0" t="0" r="3175" b="3175"/>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
                          <pic:cNvPicPr>
                            <a:picLocks noChangeAspect="1"/>
                          </pic:cNvPicPr>
                        </pic:nvPicPr>
                        <pic:blipFill>
                          <a:blip r:embed="rId8"/>
                          <a:stretch>
                            <a:fillRect/>
                          </a:stretch>
                        </pic:blipFill>
                        <pic:spPr>
                          <a:xfrm>
                            <a:off x="0" y="0"/>
                            <a:ext cx="4340225" cy="6140450"/>
                          </a:xfrm>
                          <a:prstGeom prst="rect">
                            <a:avLst/>
                          </a:prstGeom>
                        </pic:spPr>
                      </pic:pic>
                    </a:graphicData>
                  </a:graphic>
                </wp:inline>
              </w:drawing>
            </w:r>
          </w:p>
          <w:p w14:paraId="33E85111">
            <w:pPr>
              <w:jc w:val="center"/>
              <w:rPr>
                <w:rFonts w:hint="eastAsia" w:eastAsia="宋体"/>
                <w:color w:val="auto"/>
                <w:highlight w:val="none"/>
                <w:lang w:val="en-US" w:eastAsia="zh-CN"/>
              </w:rPr>
            </w:pPr>
            <w:r>
              <w:rPr>
                <w:b/>
                <w:bCs/>
                <w:color w:val="auto"/>
                <w:szCs w:val="21"/>
                <w:highlight w:val="none"/>
              </w:rPr>
              <w:t xml:space="preserve">图1-1  </w:t>
            </w:r>
            <w:r>
              <w:rPr>
                <w:rFonts w:hint="eastAsia"/>
                <w:b/>
                <w:bCs/>
                <w:color w:val="auto"/>
                <w:szCs w:val="21"/>
                <w:highlight w:val="none"/>
              </w:rPr>
              <w:t>陕西省“三线一单”管控单元中空间冲突分析图</w:t>
            </w:r>
          </w:p>
        </w:tc>
      </w:tr>
    </w:tbl>
    <w:p w14:paraId="0F0B9A89">
      <w:pPr>
        <w:pStyle w:val="22"/>
        <w:spacing w:before="0" w:beforeAutospacing="0" w:after="0" w:afterAutospacing="0"/>
        <w:jc w:val="center"/>
        <w:rPr>
          <w:rFonts w:hint="eastAsia" w:ascii="黑体" w:hAnsi="黑体" w:eastAsia="黑体"/>
          <w:snapToGrid w:val="0"/>
          <w:color w:val="auto"/>
          <w:sz w:val="30"/>
          <w:szCs w:val="30"/>
          <w:highlight w:val="none"/>
          <w:lang w:eastAsia="zh-CN"/>
        </w:rPr>
        <w:sectPr>
          <w:footerReference r:id="rId5" w:type="default"/>
          <w:pgSz w:w="11907" w:h="16840"/>
          <w:pgMar w:top="1701" w:right="1531" w:bottom="2127" w:left="1531" w:header="851" w:footer="851" w:gutter="0"/>
          <w:pgBorders>
            <w:top w:val="none" w:sz="0" w:space="0"/>
            <w:left w:val="none" w:sz="0" w:space="0"/>
            <w:bottom w:val="none" w:sz="0" w:space="0"/>
            <w:right w:val="none" w:sz="0" w:space="0"/>
          </w:pgBorders>
          <w:pgNumType w:start="1"/>
          <w:cols w:space="720" w:num="1"/>
          <w:docGrid w:linePitch="312" w:charSpace="0"/>
        </w:sectPr>
      </w:pP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98"/>
      </w:tblGrid>
      <w:tr w14:paraId="2410F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898" w:type="dxa"/>
            <w:vAlign w:val="center"/>
          </w:tcPr>
          <w:p w14:paraId="7D1EC071">
            <w:pPr>
              <w:adjustRightInd w:val="0"/>
              <w:spacing w:line="360" w:lineRule="auto"/>
              <w:ind w:firstLine="482" w:firstLineChars="200"/>
              <w:rPr>
                <w:rFonts w:hint="eastAsia"/>
                <w:color w:val="auto"/>
                <w:sz w:val="24"/>
                <w:szCs w:val="24"/>
                <w:highlight w:val="none"/>
                <w:lang w:eastAsia="zh-CN"/>
              </w:rPr>
            </w:pPr>
            <w:r>
              <w:rPr>
                <w:rFonts w:hint="eastAsia"/>
                <w:b/>
                <w:bCs/>
                <w:color w:val="auto"/>
                <w:sz w:val="24"/>
                <w:szCs w:val="24"/>
                <w:highlight w:val="none"/>
                <w:lang w:eastAsia="zh-CN"/>
              </w:rPr>
              <w:t>一表</w:t>
            </w:r>
            <w:r>
              <w:rPr>
                <w:rFonts w:hint="eastAsia"/>
                <w:color w:val="auto"/>
                <w:sz w:val="24"/>
                <w:szCs w:val="24"/>
                <w:highlight w:val="none"/>
                <w:lang w:eastAsia="zh-CN"/>
              </w:rPr>
              <w:t>：本项目与西安市“三线一单”生态环境分区管控符合性分析见表1-</w:t>
            </w:r>
            <w:r>
              <w:rPr>
                <w:rFonts w:hint="eastAsia"/>
                <w:color w:val="auto"/>
                <w:sz w:val="24"/>
                <w:szCs w:val="24"/>
                <w:highlight w:val="none"/>
                <w:lang w:val="en-US" w:eastAsia="zh-CN"/>
              </w:rPr>
              <w:t>5</w:t>
            </w:r>
            <w:r>
              <w:rPr>
                <w:rFonts w:hint="eastAsia"/>
                <w:color w:val="auto"/>
                <w:sz w:val="24"/>
                <w:szCs w:val="24"/>
                <w:highlight w:val="none"/>
                <w:lang w:eastAsia="zh-CN"/>
              </w:rPr>
              <w:t>，与陕西省“三线一单”生态环境管控单元对照分析详见表1-</w:t>
            </w:r>
            <w:r>
              <w:rPr>
                <w:rFonts w:hint="eastAsia"/>
                <w:color w:val="auto"/>
                <w:sz w:val="24"/>
                <w:szCs w:val="24"/>
                <w:highlight w:val="none"/>
                <w:lang w:val="en-US" w:eastAsia="zh-CN"/>
              </w:rPr>
              <w:t>6</w:t>
            </w:r>
            <w:r>
              <w:rPr>
                <w:rFonts w:hint="eastAsia"/>
                <w:color w:val="auto"/>
                <w:sz w:val="24"/>
                <w:szCs w:val="24"/>
                <w:highlight w:val="none"/>
                <w:lang w:eastAsia="zh-CN"/>
              </w:rPr>
              <w:t>。</w:t>
            </w:r>
          </w:p>
          <w:p w14:paraId="309E6E2B">
            <w:pPr>
              <w:adjustRightInd w:val="0"/>
              <w:spacing w:line="360" w:lineRule="auto"/>
              <w:ind w:firstLine="482" w:firstLineChars="200"/>
              <w:rPr>
                <w:rFonts w:hint="eastAsia"/>
                <w:color w:val="auto"/>
                <w:sz w:val="24"/>
                <w:szCs w:val="24"/>
                <w:highlight w:val="none"/>
                <w:lang w:eastAsia="zh-CN"/>
              </w:rPr>
            </w:pPr>
            <w:r>
              <w:rPr>
                <w:rFonts w:hint="eastAsia"/>
                <w:b/>
                <w:bCs/>
                <w:color w:val="auto"/>
                <w:sz w:val="24"/>
                <w:szCs w:val="24"/>
                <w:highlight w:val="none"/>
                <w:lang w:eastAsia="zh-CN"/>
              </w:rPr>
              <w:t>一说明：</w:t>
            </w:r>
            <w:r>
              <w:rPr>
                <w:rFonts w:hint="eastAsia"/>
                <w:color w:val="auto"/>
                <w:sz w:val="24"/>
                <w:szCs w:val="24"/>
                <w:highlight w:val="none"/>
                <w:lang w:eastAsia="zh-CN"/>
              </w:rPr>
              <w:t>对照“西安市生态环境分区管控准入清单”及“陕西省生态环境分区管控准入清单”中的重点管控单元要求，本项目满足各单元在空间布局约束、污染物排放管控等管控要求，因此，本项目的建设符合西安市及陕西省“三线一单”生态环境分区管控要求。</w:t>
            </w:r>
          </w:p>
          <w:p w14:paraId="0CDDE3F4">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表1-5    与西安市“三线一单”环境管控单元管控要求对照表</w:t>
            </w:r>
          </w:p>
          <w:tbl>
            <w:tblPr>
              <w:tblStyle w:val="27"/>
              <w:tblW w:w="1266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78"/>
              <w:gridCol w:w="624"/>
              <w:gridCol w:w="900"/>
              <w:gridCol w:w="1650"/>
              <w:gridCol w:w="905"/>
              <w:gridCol w:w="4735"/>
              <w:gridCol w:w="1004"/>
              <w:gridCol w:w="1851"/>
              <w:gridCol w:w="515"/>
            </w:tblGrid>
            <w:tr w14:paraId="48B63A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89" w:type="pct"/>
                  <w:tcBorders>
                    <w:bottom w:val="single" w:color="000000" w:sz="4" w:space="0"/>
                    <w:right w:val="single" w:color="000000" w:sz="4" w:space="0"/>
                    <w:tl2br w:val="nil"/>
                  </w:tcBorders>
                  <w:shd w:val="clear" w:color="auto" w:fill="auto"/>
                  <w:vAlign w:val="center"/>
                </w:tcPr>
                <w:p w14:paraId="11BA0E76">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市</w:t>
                  </w:r>
                </w:p>
              </w:tc>
              <w:tc>
                <w:tcPr>
                  <w:tcW w:w="246" w:type="pct"/>
                  <w:tcBorders>
                    <w:left w:val="single" w:color="000000" w:sz="4" w:space="0"/>
                    <w:bottom w:val="single" w:color="000000" w:sz="4" w:space="0"/>
                    <w:right w:val="single" w:color="000000" w:sz="4" w:space="0"/>
                  </w:tcBorders>
                  <w:shd w:val="clear" w:color="auto" w:fill="auto"/>
                  <w:vAlign w:val="center"/>
                </w:tcPr>
                <w:p w14:paraId="015D4C9F">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区县</w:t>
                  </w:r>
                </w:p>
              </w:tc>
              <w:tc>
                <w:tcPr>
                  <w:tcW w:w="355" w:type="pct"/>
                  <w:tcBorders>
                    <w:left w:val="single" w:color="000000" w:sz="4" w:space="0"/>
                    <w:bottom w:val="single" w:color="000000" w:sz="4" w:space="0"/>
                    <w:right w:val="single" w:color="000000" w:sz="4" w:space="0"/>
                  </w:tcBorders>
                  <w:shd w:val="clear" w:color="auto" w:fill="auto"/>
                  <w:vAlign w:val="center"/>
                </w:tcPr>
                <w:p w14:paraId="5FB64BF1">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环境管控单元名称</w:t>
                  </w:r>
                </w:p>
              </w:tc>
              <w:tc>
                <w:tcPr>
                  <w:tcW w:w="651" w:type="pct"/>
                  <w:tcBorders>
                    <w:left w:val="single" w:color="000000" w:sz="4" w:space="0"/>
                    <w:bottom w:val="single" w:color="000000" w:sz="4" w:space="0"/>
                    <w:right w:val="single" w:color="000000" w:sz="4" w:space="0"/>
                  </w:tcBorders>
                  <w:shd w:val="clear" w:color="auto" w:fill="auto"/>
                  <w:vAlign w:val="center"/>
                </w:tcPr>
                <w:p w14:paraId="1FC51A0C">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单元要素属性</w:t>
                  </w:r>
                </w:p>
              </w:tc>
              <w:tc>
                <w:tcPr>
                  <w:tcW w:w="357" w:type="pct"/>
                  <w:tcBorders>
                    <w:left w:val="single" w:color="000000" w:sz="4" w:space="0"/>
                    <w:bottom w:val="single" w:color="000000" w:sz="4" w:space="0"/>
                    <w:right w:val="single" w:color="000000" w:sz="4" w:space="0"/>
                  </w:tcBorders>
                  <w:shd w:val="clear" w:color="auto" w:fill="auto"/>
                  <w:vAlign w:val="center"/>
                </w:tcPr>
                <w:p w14:paraId="0945A0BF">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管控单元分类</w:t>
                  </w:r>
                </w:p>
              </w:tc>
              <w:tc>
                <w:tcPr>
                  <w:tcW w:w="1868" w:type="pct"/>
                  <w:tcBorders>
                    <w:left w:val="single" w:color="000000" w:sz="4" w:space="0"/>
                    <w:bottom w:val="single" w:color="000000" w:sz="4" w:space="0"/>
                    <w:right w:val="single" w:color="000000" w:sz="4" w:space="0"/>
                  </w:tcBorders>
                  <w:shd w:val="clear" w:color="auto" w:fill="auto"/>
                  <w:vAlign w:val="center"/>
                </w:tcPr>
                <w:p w14:paraId="76444487">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管控要求</w:t>
                  </w:r>
                </w:p>
              </w:tc>
              <w:tc>
                <w:tcPr>
                  <w:tcW w:w="396" w:type="pct"/>
                  <w:tcBorders>
                    <w:left w:val="single" w:color="000000" w:sz="4" w:space="0"/>
                    <w:bottom w:val="single" w:color="000000" w:sz="4" w:space="0"/>
                    <w:right w:val="single" w:color="000000" w:sz="4" w:space="0"/>
                  </w:tcBorders>
                  <w:shd w:val="clear" w:color="auto" w:fill="auto"/>
                  <w:vAlign w:val="center"/>
                </w:tcPr>
                <w:p w14:paraId="32BF08BB">
                  <w:pPr>
                    <w:autoSpaceDE w:val="0"/>
                    <w:autoSpaceDN w:val="0"/>
                    <w:adjustRightInd w:val="0"/>
                    <w:snapToGrid w:val="0"/>
                    <w:jc w:val="center"/>
                    <w:rPr>
                      <w:b/>
                      <w:bCs w:val="0"/>
                      <w:color w:val="auto"/>
                      <w:kern w:val="0"/>
                      <w:szCs w:val="21"/>
                      <w:highlight w:val="none"/>
                    </w:rPr>
                  </w:pPr>
                  <w:r>
                    <w:rPr>
                      <w:b/>
                      <w:bCs w:val="0"/>
                      <w:color w:val="auto"/>
                      <w:kern w:val="0"/>
                      <w:szCs w:val="21"/>
                      <w:highlight w:val="none"/>
                    </w:rPr>
                    <w:t>面积（m</w:t>
                  </w:r>
                  <w:r>
                    <w:rPr>
                      <w:b/>
                      <w:bCs w:val="0"/>
                      <w:color w:val="auto"/>
                      <w:kern w:val="0"/>
                      <w:szCs w:val="21"/>
                      <w:highlight w:val="none"/>
                      <w:vertAlign w:val="superscript"/>
                    </w:rPr>
                    <w:t>2</w:t>
                  </w:r>
                  <w:r>
                    <w:rPr>
                      <w:b/>
                      <w:bCs w:val="0"/>
                      <w:color w:val="auto"/>
                      <w:kern w:val="0"/>
                      <w:szCs w:val="21"/>
                      <w:highlight w:val="none"/>
                    </w:rPr>
                    <w:t>）</w:t>
                  </w:r>
                </w:p>
              </w:tc>
              <w:tc>
                <w:tcPr>
                  <w:tcW w:w="730" w:type="pct"/>
                  <w:tcBorders>
                    <w:left w:val="single" w:color="000000" w:sz="4" w:space="0"/>
                    <w:bottom w:val="single" w:color="000000" w:sz="4" w:space="0"/>
                    <w:right w:val="single" w:color="000000" w:sz="4" w:space="0"/>
                  </w:tcBorders>
                  <w:shd w:val="clear" w:color="auto" w:fill="auto"/>
                  <w:vAlign w:val="center"/>
                </w:tcPr>
                <w:p w14:paraId="68EEF863">
                  <w:pPr>
                    <w:autoSpaceDE w:val="0"/>
                    <w:autoSpaceDN w:val="0"/>
                    <w:adjustRightInd w:val="0"/>
                    <w:snapToGrid w:val="0"/>
                    <w:jc w:val="center"/>
                    <w:rPr>
                      <w:b/>
                      <w:bCs w:val="0"/>
                      <w:color w:val="auto"/>
                      <w:kern w:val="0"/>
                      <w:sz w:val="21"/>
                      <w:szCs w:val="21"/>
                      <w:highlight w:val="none"/>
                    </w:rPr>
                  </w:pPr>
                  <w:r>
                    <w:rPr>
                      <w:b/>
                      <w:bCs w:val="0"/>
                      <w:color w:val="auto"/>
                      <w:kern w:val="0"/>
                      <w:sz w:val="21"/>
                      <w:szCs w:val="21"/>
                      <w:highlight w:val="none"/>
                    </w:rPr>
                    <w:t>项目情况</w:t>
                  </w:r>
                </w:p>
              </w:tc>
              <w:tc>
                <w:tcPr>
                  <w:tcW w:w="203" w:type="pct"/>
                  <w:tcBorders>
                    <w:left w:val="single" w:color="000000" w:sz="4" w:space="0"/>
                    <w:bottom w:val="single" w:color="000000" w:sz="4" w:space="0"/>
                  </w:tcBorders>
                  <w:shd w:val="clear" w:color="auto" w:fill="auto"/>
                  <w:vAlign w:val="center"/>
                </w:tcPr>
                <w:p w14:paraId="6113E7BA">
                  <w:pPr>
                    <w:autoSpaceDE w:val="0"/>
                    <w:autoSpaceDN w:val="0"/>
                    <w:adjustRightInd w:val="0"/>
                    <w:snapToGrid w:val="0"/>
                    <w:jc w:val="center"/>
                    <w:rPr>
                      <w:b/>
                      <w:bCs w:val="0"/>
                      <w:color w:val="auto"/>
                      <w:kern w:val="0"/>
                      <w:sz w:val="21"/>
                      <w:szCs w:val="21"/>
                      <w:highlight w:val="none"/>
                    </w:rPr>
                  </w:pPr>
                  <w:r>
                    <w:rPr>
                      <w:b/>
                      <w:bCs w:val="0"/>
                      <w:color w:val="auto"/>
                      <w:kern w:val="0"/>
                      <w:sz w:val="21"/>
                      <w:szCs w:val="21"/>
                      <w:highlight w:val="none"/>
                    </w:rPr>
                    <w:t>符合性</w:t>
                  </w:r>
                </w:p>
              </w:tc>
            </w:tr>
            <w:tr w14:paraId="17AEA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21" w:hRule="atLeast"/>
                <w:jc w:val="center"/>
              </w:trPr>
              <w:tc>
                <w:tcPr>
                  <w:tcW w:w="189" w:type="pct"/>
                  <w:vMerge w:val="restart"/>
                  <w:tcBorders>
                    <w:top w:val="single" w:color="000000" w:sz="4" w:space="0"/>
                    <w:right w:val="single" w:color="000000" w:sz="4" w:space="0"/>
                  </w:tcBorders>
                  <w:shd w:val="clear" w:color="auto" w:fill="auto"/>
                  <w:vAlign w:val="center"/>
                </w:tcPr>
                <w:p w14:paraId="2EC70D4D">
                  <w:pPr>
                    <w:autoSpaceDE w:val="0"/>
                    <w:autoSpaceDN w:val="0"/>
                    <w:adjustRightInd w:val="0"/>
                    <w:snapToGrid w:val="0"/>
                    <w:jc w:val="center"/>
                    <w:rPr>
                      <w:color w:val="auto"/>
                      <w:kern w:val="0"/>
                      <w:szCs w:val="21"/>
                      <w:highlight w:val="none"/>
                    </w:rPr>
                  </w:pPr>
                  <w:r>
                    <w:rPr>
                      <w:color w:val="auto"/>
                      <w:kern w:val="0"/>
                      <w:szCs w:val="21"/>
                      <w:highlight w:val="none"/>
                    </w:rPr>
                    <w:t>西安市</w:t>
                  </w:r>
                </w:p>
              </w:tc>
              <w:tc>
                <w:tcPr>
                  <w:tcW w:w="246" w:type="pct"/>
                  <w:vMerge w:val="restart"/>
                  <w:tcBorders>
                    <w:top w:val="single" w:color="000000" w:sz="4" w:space="0"/>
                    <w:left w:val="single" w:color="000000" w:sz="4" w:space="0"/>
                    <w:right w:val="single" w:color="000000" w:sz="4" w:space="0"/>
                  </w:tcBorders>
                  <w:shd w:val="clear" w:color="auto" w:fill="auto"/>
                  <w:vAlign w:val="center"/>
                </w:tcPr>
                <w:p w14:paraId="6D6F043A">
                  <w:pPr>
                    <w:autoSpaceDE w:val="0"/>
                    <w:autoSpaceDN w:val="0"/>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val="en-US" w:eastAsia="zh-CN"/>
                    </w:rPr>
                    <w:t>长安区</w:t>
                  </w:r>
                </w:p>
              </w:tc>
              <w:tc>
                <w:tcPr>
                  <w:tcW w:w="355" w:type="pct"/>
                  <w:vMerge w:val="restart"/>
                  <w:tcBorders>
                    <w:top w:val="single" w:color="000000" w:sz="4" w:space="0"/>
                    <w:left w:val="single" w:color="000000" w:sz="4" w:space="0"/>
                    <w:right w:val="single" w:color="000000" w:sz="4" w:space="0"/>
                  </w:tcBorders>
                  <w:shd w:val="clear" w:color="auto" w:fill="auto"/>
                  <w:vAlign w:val="center"/>
                </w:tcPr>
                <w:p w14:paraId="69C9F5A0">
                  <w:pPr>
                    <w:autoSpaceDE w:val="0"/>
                    <w:autoSpaceDN w:val="0"/>
                    <w:adjustRightInd w:val="0"/>
                    <w:snapToGrid w:val="0"/>
                    <w:jc w:val="center"/>
                    <w:rPr>
                      <w:color w:val="auto"/>
                      <w:kern w:val="0"/>
                      <w:szCs w:val="21"/>
                      <w:highlight w:val="none"/>
                    </w:rPr>
                  </w:pPr>
                  <w:r>
                    <w:rPr>
                      <w:rFonts w:hint="eastAsia"/>
                      <w:color w:val="auto"/>
                      <w:kern w:val="0"/>
                      <w:szCs w:val="21"/>
                      <w:highlight w:val="none"/>
                    </w:rPr>
                    <w:t>陕西省西安市长安区重点管控单元4</w:t>
                  </w:r>
                </w:p>
              </w:tc>
              <w:tc>
                <w:tcPr>
                  <w:tcW w:w="651" w:type="pct"/>
                  <w:vMerge w:val="restart"/>
                  <w:tcBorders>
                    <w:top w:val="single" w:color="000000" w:sz="4" w:space="0"/>
                    <w:left w:val="single" w:color="000000" w:sz="4" w:space="0"/>
                    <w:right w:val="single" w:color="000000" w:sz="4" w:space="0"/>
                  </w:tcBorders>
                  <w:shd w:val="clear" w:color="auto" w:fill="auto"/>
                  <w:vAlign w:val="center"/>
                </w:tcPr>
                <w:p w14:paraId="151C78E6">
                  <w:pPr>
                    <w:autoSpaceDE w:val="0"/>
                    <w:autoSpaceDN w:val="0"/>
                    <w:adjustRightInd w:val="0"/>
                    <w:snapToGrid w:val="0"/>
                    <w:jc w:val="center"/>
                    <w:rPr>
                      <w:color w:val="auto"/>
                      <w:szCs w:val="21"/>
                      <w:highlight w:val="none"/>
                    </w:rPr>
                  </w:pPr>
                  <w:r>
                    <w:rPr>
                      <w:rFonts w:hint="eastAsia"/>
                      <w:color w:val="auto"/>
                      <w:kern w:val="0"/>
                      <w:szCs w:val="21"/>
                      <w:highlight w:val="none"/>
                    </w:rPr>
                    <w:t>大气环境布局敏感重点管控区、水环境城镇生活污染重点管控区、高污染燃料禁燃区</w:t>
                  </w:r>
                </w:p>
              </w:tc>
              <w:tc>
                <w:tcPr>
                  <w:tcW w:w="357" w:type="pct"/>
                  <w:vMerge w:val="restart"/>
                  <w:tcBorders>
                    <w:top w:val="single" w:color="000000" w:sz="4" w:space="0"/>
                    <w:left w:val="single" w:color="000000" w:sz="4" w:space="0"/>
                    <w:right w:val="single" w:color="000000" w:sz="4" w:space="0"/>
                  </w:tcBorders>
                  <w:shd w:val="clear" w:color="auto" w:fill="auto"/>
                  <w:vAlign w:val="center"/>
                </w:tcPr>
                <w:p w14:paraId="45856236">
                  <w:pPr>
                    <w:autoSpaceDE w:val="0"/>
                    <w:autoSpaceDN w:val="0"/>
                    <w:adjustRightInd w:val="0"/>
                    <w:snapToGrid w:val="0"/>
                    <w:jc w:val="center"/>
                    <w:rPr>
                      <w:color w:val="auto"/>
                      <w:kern w:val="0"/>
                      <w:szCs w:val="21"/>
                      <w:highlight w:val="none"/>
                    </w:rPr>
                  </w:pPr>
                  <w:r>
                    <w:rPr>
                      <w:color w:val="auto"/>
                      <w:kern w:val="0"/>
                      <w:szCs w:val="21"/>
                      <w:highlight w:val="none"/>
                    </w:rPr>
                    <w:t>空间布局约束</w:t>
                  </w:r>
                </w:p>
              </w:tc>
              <w:tc>
                <w:tcPr>
                  <w:tcW w:w="1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03AB2">
                  <w:pPr>
                    <w:autoSpaceDE w:val="0"/>
                    <w:autoSpaceDN w:val="0"/>
                    <w:adjustRightInd w:val="0"/>
                    <w:snapToGrid w:val="0"/>
                    <w:jc w:val="left"/>
                    <w:rPr>
                      <w:rFonts w:hint="eastAsia"/>
                      <w:color w:val="auto"/>
                      <w:kern w:val="0"/>
                      <w:szCs w:val="21"/>
                      <w:highlight w:val="none"/>
                    </w:rPr>
                  </w:pPr>
                  <w:r>
                    <w:rPr>
                      <w:rFonts w:hint="eastAsia"/>
                      <w:color w:val="auto"/>
                      <w:kern w:val="0"/>
                      <w:szCs w:val="21"/>
                      <w:highlight w:val="none"/>
                    </w:rPr>
                    <w:t>1.严格控制新增《陕西省“两高”项目管理暂行目录》行业项目（民生等项目除外，后续对“两高”范围国家如有新规定的，从其规定）。</w:t>
                  </w:r>
                </w:p>
                <w:p w14:paraId="7C125579">
                  <w:pPr>
                    <w:autoSpaceDE w:val="0"/>
                    <w:autoSpaceDN w:val="0"/>
                    <w:adjustRightInd w:val="0"/>
                    <w:snapToGrid w:val="0"/>
                    <w:jc w:val="left"/>
                    <w:rPr>
                      <w:rFonts w:hint="eastAsia"/>
                      <w:color w:val="auto"/>
                      <w:kern w:val="0"/>
                      <w:szCs w:val="21"/>
                      <w:highlight w:val="none"/>
                    </w:rPr>
                  </w:pPr>
                  <w:r>
                    <w:rPr>
                      <w:rFonts w:hint="eastAsia"/>
                      <w:color w:val="auto"/>
                      <w:kern w:val="0"/>
                      <w:szCs w:val="21"/>
                      <w:highlight w:val="none"/>
                    </w:rPr>
                    <w:t>2.严禁新增钢铁、焦化、水泥熟料、平板玻璃、电解铝、氧化铝、煤化工产能。</w:t>
                  </w:r>
                </w:p>
                <w:p w14:paraId="05A56F80">
                  <w:pPr>
                    <w:autoSpaceDE w:val="0"/>
                    <w:autoSpaceDN w:val="0"/>
                    <w:adjustRightInd w:val="0"/>
                    <w:snapToGrid w:val="0"/>
                    <w:jc w:val="left"/>
                    <w:rPr>
                      <w:color w:val="auto"/>
                      <w:kern w:val="0"/>
                      <w:szCs w:val="21"/>
                      <w:highlight w:val="none"/>
                    </w:rPr>
                  </w:pPr>
                  <w:r>
                    <w:rPr>
                      <w:rFonts w:hint="eastAsia"/>
                      <w:color w:val="auto"/>
                      <w:kern w:val="0"/>
                      <w:szCs w:val="21"/>
                      <w:highlight w:val="none"/>
                    </w:rPr>
                    <w:t>3.推动重污染企业搬迁入园或依法关闭。</w:t>
                  </w:r>
                </w:p>
              </w:tc>
              <w:tc>
                <w:tcPr>
                  <w:tcW w:w="396" w:type="pct"/>
                  <w:vMerge w:val="restart"/>
                  <w:tcBorders>
                    <w:top w:val="single" w:color="000000" w:sz="4" w:space="0"/>
                    <w:left w:val="single" w:color="000000" w:sz="4" w:space="0"/>
                    <w:right w:val="single" w:color="000000" w:sz="4" w:space="0"/>
                  </w:tcBorders>
                  <w:shd w:val="clear" w:color="auto" w:fill="auto"/>
                  <w:vAlign w:val="center"/>
                </w:tcPr>
                <w:p w14:paraId="4F17B5C3">
                  <w:pPr>
                    <w:autoSpaceDE w:val="0"/>
                    <w:autoSpaceDN w:val="0"/>
                    <w:adjustRightInd w:val="0"/>
                    <w:snapToGrid w:val="0"/>
                    <w:jc w:val="center"/>
                    <w:rPr>
                      <w:rFonts w:hint="default" w:eastAsia="宋体"/>
                      <w:color w:val="auto"/>
                      <w:kern w:val="0"/>
                      <w:szCs w:val="21"/>
                      <w:highlight w:val="none"/>
                      <w:lang w:val="en-US" w:eastAsia="zh-CN"/>
                    </w:rPr>
                  </w:pPr>
                  <w:r>
                    <w:rPr>
                      <w:color w:val="auto"/>
                      <w:kern w:val="0"/>
                      <w:szCs w:val="21"/>
                      <w:highlight w:val="none"/>
                    </w:rPr>
                    <w:t>1</w:t>
                  </w:r>
                  <w:r>
                    <w:rPr>
                      <w:rFonts w:hint="eastAsia"/>
                      <w:color w:val="auto"/>
                      <w:kern w:val="0"/>
                      <w:szCs w:val="21"/>
                      <w:highlight w:val="none"/>
                      <w:lang w:val="en-US" w:eastAsia="zh-CN"/>
                    </w:rPr>
                    <w:t>207.22</w:t>
                  </w:r>
                </w:p>
              </w:tc>
              <w:tc>
                <w:tcPr>
                  <w:tcW w:w="730" w:type="pct"/>
                  <w:vMerge w:val="restart"/>
                  <w:tcBorders>
                    <w:top w:val="single" w:color="000000" w:sz="4" w:space="0"/>
                    <w:left w:val="single" w:color="000000" w:sz="4" w:space="0"/>
                    <w:right w:val="single" w:color="000000" w:sz="4" w:space="0"/>
                  </w:tcBorders>
                  <w:shd w:val="clear" w:color="auto" w:fill="auto"/>
                  <w:vAlign w:val="center"/>
                </w:tcPr>
                <w:p w14:paraId="392DF444">
                  <w:pPr>
                    <w:autoSpaceDE w:val="0"/>
                    <w:autoSpaceDN w:val="0"/>
                    <w:adjustRightInd w:val="0"/>
                    <w:snapToGrid w:val="0"/>
                    <w:jc w:val="center"/>
                    <w:rPr>
                      <w:color w:val="auto"/>
                      <w:kern w:val="0"/>
                      <w:sz w:val="21"/>
                      <w:szCs w:val="21"/>
                      <w:highlight w:val="none"/>
                    </w:rPr>
                  </w:pPr>
                  <w:r>
                    <w:rPr>
                      <w:color w:val="auto"/>
                      <w:kern w:val="0"/>
                      <w:sz w:val="21"/>
                      <w:szCs w:val="21"/>
                      <w:highlight w:val="none"/>
                    </w:rPr>
                    <w:t>本项目为</w:t>
                  </w:r>
                  <w:r>
                    <w:rPr>
                      <w:rFonts w:hint="eastAsia"/>
                      <w:color w:val="auto"/>
                      <w:kern w:val="0"/>
                      <w:sz w:val="21"/>
                      <w:szCs w:val="21"/>
                      <w:highlight w:val="none"/>
                      <w:lang w:val="en-US" w:eastAsia="zh-CN"/>
                    </w:rPr>
                    <w:t>分析测试</w:t>
                  </w:r>
                  <w:r>
                    <w:rPr>
                      <w:color w:val="auto"/>
                      <w:kern w:val="0"/>
                      <w:sz w:val="21"/>
                      <w:szCs w:val="21"/>
                      <w:highlight w:val="none"/>
                    </w:rPr>
                    <w:t>实验室项目，</w:t>
                  </w:r>
                  <w:r>
                    <w:rPr>
                      <w:rFonts w:hint="eastAsia"/>
                      <w:color w:val="auto"/>
                      <w:kern w:val="0"/>
                      <w:sz w:val="21"/>
                      <w:szCs w:val="21"/>
                      <w:highlight w:val="none"/>
                      <w:lang w:val="en-US" w:eastAsia="zh-CN"/>
                    </w:rPr>
                    <w:t>不属于“两高”项目，不属于</w:t>
                  </w:r>
                  <w:r>
                    <w:rPr>
                      <w:rFonts w:hint="eastAsia"/>
                      <w:color w:val="auto"/>
                      <w:kern w:val="0"/>
                      <w:szCs w:val="21"/>
                      <w:highlight w:val="none"/>
                    </w:rPr>
                    <w:t>重污染企业</w:t>
                  </w:r>
                  <w:r>
                    <w:rPr>
                      <w:color w:val="auto"/>
                      <w:kern w:val="0"/>
                      <w:sz w:val="21"/>
                      <w:szCs w:val="21"/>
                      <w:highlight w:val="none"/>
                    </w:rPr>
                    <w:t>。</w:t>
                  </w:r>
                </w:p>
              </w:tc>
              <w:tc>
                <w:tcPr>
                  <w:tcW w:w="203" w:type="pct"/>
                  <w:vMerge w:val="restart"/>
                  <w:tcBorders>
                    <w:top w:val="single" w:color="000000" w:sz="4" w:space="0"/>
                    <w:left w:val="single" w:color="000000" w:sz="4" w:space="0"/>
                  </w:tcBorders>
                  <w:shd w:val="clear" w:color="auto" w:fill="auto"/>
                  <w:vAlign w:val="center"/>
                </w:tcPr>
                <w:p w14:paraId="55CDC299">
                  <w:pPr>
                    <w:autoSpaceDE w:val="0"/>
                    <w:autoSpaceDN w:val="0"/>
                    <w:adjustRightInd w:val="0"/>
                    <w:snapToGrid w:val="0"/>
                    <w:jc w:val="center"/>
                    <w:rPr>
                      <w:color w:val="auto"/>
                      <w:kern w:val="0"/>
                      <w:sz w:val="21"/>
                      <w:szCs w:val="21"/>
                      <w:highlight w:val="none"/>
                    </w:rPr>
                  </w:pPr>
                  <w:r>
                    <w:rPr>
                      <w:color w:val="auto"/>
                      <w:kern w:val="0"/>
                      <w:sz w:val="21"/>
                      <w:szCs w:val="21"/>
                      <w:highlight w:val="none"/>
                    </w:rPr>
                    <w:t>符合</w:t>
                  </w:r>
                </w:p>
              </w:tc>
            </w:tr>
            <w:tr w14:paraId="5AD5C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89" w:type="pct"/>
                  <w:vMerge w:val="continue"/>
                  <w:tcBorders>
                    <w:bottom w:val="single" w:color="000000" w:sz="4" w:space="0"/>
                    <w:right w:val="single" w:color="000000" w:sz="4" w:space="0"/>
                  </w:tcBorders>
                  <w:shd w:val="clear" w:color="auto" w:fill="auto"/>
                  <w:vAlign w:val="center"/>
                </w:tcPr>
                <w:p w14:paraId="14855A07">
                  <w:pPr>
                    <w:autoSpaceDE w:val="0"/>
                    <w:autoSpaceDN w:val="0"/>
                    <w:adjustRightInd w:val="0"/>
                    <w:snapToGrid w:val="0"/>
                    <w:rPr>
                      <w:color w:val="auto"/>
                      <w:highlight w:val="none"/>
                    </w:rPr>
                  </w:pPr>
                </w:p>
              </w:tc>
              <w:tc>
                <w:tcPr>
                  <w:tcW w:w="246" w:type="pct"/>
                  <w:vMerge w:val="continue"/>
                  <w:tcBorders>
                    <w:left w:val="single" w:color="000000" w:sz="4" w:space="0"/>
                    <w:bottom w:val="single" w:color="000000" w:sz="4" w:space="0"/>
                    <w:right w:val="single" w:color="000000" w:sz="4" w:space="0"/>
                  </w:tcBorders>
                  <w:shd w:val="clear" w:color="auto" w:fill="auto"/>
                  <w:vAlign w:val="center"/>
                </w:tcPr>
                <w:p w14:paraId="7BA73144">
                  <w:pPr>
                    <w:autoSpaceDE w:val="0"/>
                    <w:autoSpaceDN w:val="0"/>
                    <w:adjustRightInd w:val="0"/>
                    <w:snapToGrid w:val="0"/>
                    <w:rPr>
                      <w:color w:val="auto"/>
                      <w:highlight w:val="none"/>
                    </w:rPr>
                  </w:pPr>
                </w:p>
              </w:tc>
              <w:tc>
                <w:tcPr>
                  <w:tcW w:w="355" w:type="pct"/>
                  <w:vMerge w:val="continue"/>
                  <w:tcBorders>
                    <w:left w:val="single" w:color="000000" w:sz="4" w:space="0"/>
                    <w:bottom w:val="single" w:color="000000" w:sz="4" w:space="0"/>
                    <w:right w:val="single" w:color="000000" w:sz="4" w:space="0"/>
                  </w:tcBorders>
                  <w:shd w:val="clear" w:color="auto" w:fill="auto"/>
                  <w:vAlign w:val="center"/>
                </w:tcPr>
                <w:p w14:paraId="17B1177F">
                  <w:pPr>
                    <w:autoSpaceDE w:val="0"/>
                    <w:autoSpaceDN w:val="0"/>
                    <w:adjustRightInd w:val="0"/>
                    <w:snapToGrid w:val="0"/>
                    <w:rPr>
                      <w:color w:val="auto"/>
                      <w:highlight w:val="none"/>
                    </w:rPr>
                  </w:pPr>
                </w:p>
              </w:tc>
              <w:tc>
                <w:tcPr>
                  <w:tcW w:w="651" w:type="pct"/>
                  <w:vMerge w:val="continue"/>
                  <w:tcBorders>
                    <w:left w:val="single" w:color="000000" w:sz="4" w:space="0"/>
                    <w:right w:val="single" w:color="000000" w:sz="4" w:space="0"/>
                  </w:tcBorders>
                  <w:shd w:val="clear" w:color="auto" w:fill="auto"/>
                  <w:vAlign w:val="center"/>
                </w:tcPr>
                <w:p w14:paraId="185CB09C">
                  <w:pPr>
                    <w:autoSpaceDE w:val="0"/>
                    <w:autoSpaceDN w:val="0"/>
                    <w:adjustRightInd w:val="0"/>
                    <w:snapToGrid w:val="0"/>
                    <w:rPr>
                      <w:color w:val="auto"/>
                      <w:highlight w:val="none"/>
                    </w:rPr>
                  </w:pPr>
                </w:p>
              </w:tc>
              <w:tc>
                <w:tcPr>
                  <w:tcW w:w="357" w:type="pct"/>
                  <w:vMerge w:val="continue"/>
                  <w:tcBorders>
                    <w:left w:val="single" w:color="000000" w:sz="4" w:space="0"/>
                    <w:bottom w:val="single" w:color="000000" w:sz="4" w:space="0"/>
                    <w:right w:val="single" w:color="000000" w:sz="4" w:space="0"/>
                  </w:tcBorders>
                  <w:shd w:val="clear" w:color="auto" w:fill="auto"/>
                  <w:vAlign w:val="center"/>
                </w:tcPr>
                <w:p w14:paraId="64C8F7F5">
                  <w:pPr>
                    <w:autoSpaceDE w:val="0"/>
                    <w:autoSpaceDN w:val="0"/>
                    <w:adjustRightInd w:val="0"/>
                    <w:snapToGrid w:val="0"/>
                    <w:rPr>
                      <w:color w:val="auto"/>
                      <w:highlight w:val="none"/>
                    </w:rPr>
                  </w:pPr>
                </w:p>
              </w:tc>
              <w:tc>
                <w:tcPr>
                  <w:tcW w:w="1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F27D5">
                  <w:pPr>
                    <w:autoSpaceDE w:val="0"/>
                    <w:autoSpaceDN w:val="0"/>
                    <w:adjustRightInd w:val="0"/>
                    <w:snapToGrid w:val="0"/>
                    <w:jc w:val="left"/>
                    <w:rPr>
                      <w:rFonts w:hint="eastAsia"/>
                      <w:color w:val="auto"/>
                      <w:kern w:val="0"/>
                      <w:szCs w:val="21"/>
                      <w:highlight w:val="none"/>
                    </w:rPr>
                  </w:pPr>
                  <w:r>
                    <w:rPr>
                      <w:rFonts w:hint="eastAsia"/>
                      <w:color w:val="auto"/>
                      <w:kern w:val="0"/>
                      <w:szCs w:val="21"/>
                      <w:highlight w:val="none"/>
                    </w:rPr>
                    <w:t>1.持续推进城中村、老旧城区、城乡结合部污水截流、收集和城市雨污管道新建、改建。</w:t>
                  </w:r>
                </w:p>
              </w:tc>
              <w:tc>
                <w:tcPr>
                  <w:tcW w:w="396" w:type="pct"/>
                  <w:vMerge w:val="continue"/>
                  <w:tcBorders>
                    <w:left w:val="single" w:color="000000" w:sz="4" w:space="0"/>
                    <w:bottom w:val="single" w:color="000000" w:sz="4" w:space="0"/>
                    <w:right w:val="single" w:color="000000" w:sz="4" w:space="0"/>
                  </w:tcBorders>
                  <w:shd w:val="clear" w:color="auto" w:fill="auto"/>
                  <w:vAlign w:val="center"/>
                </w:tcPr>
                <w:p w14:paraId="67A000A7">
                  <w:pPr>
                    <w:autoSpaceDE w:val="0"/>
                    <w:autoSpaceDN w:val="0"/>
                    <w:adjustRightInd w:val="0"/>
                    <w:snapToGrid w:val="0"/>
                    <w:rPr>
                      <w:rFonts w:hint="eastAsia"/>
                      <w:color w:val="auto"/>
                      <w:kern w:val="0"/>
                      <w:szCs w:val="21"/>
                      <w:highlight w:val="none"/>
                    </w:rPr>
                  </w:pPr>
                </w:p>
              </w:tc>
              <w:tc>
                <w:tcPr>
                  <w:tcW w:w="730" w:type="pct"/>
                  <w:vMerge w:val="continue"/>
                  <w:tcBorders>
                    <w:left w:val="single" w:color="000000" w:sz="4" w:space="0"/>
                    <w:bottom w:val="single" w:color="000000" w:sz="4" w:space="0"/>
                    <w:right w:val="single" w:color="000000" w:sz="4" w:space="0"/>
                  </w:tcBorders>
                  <w:shd w:val="clear" w:color="auto" w:fill="auto"/>
                  <w:vAlign w:val="center"/>
                </w:tcPr>
                <w:p w14:paraId="52392FF9">
                  <w:pPr>
                    <w:autoSpaceDE w:val="0"/>
                    <w:autoSpaceDN w:val="0"/>
                    <w:adjustRightInd w:val="0"/>
                    <w:snapToGrid w:val="0"/>
                    <w:rPr>
                      <w:rFonts w:hint="eastAsia"/>
                      <w:color w:val="auto"/>
                      <w:kern w:val="0"/>
                      <w:szCs w:val="21"/>
                      <w:highlight w:val="none"/>
                    </w:rPr>
                  </w:pPr>
                </w:p>
              </w:tc>
              <w:tc>
                <w:tcPr>
                  <w:tcW w:w="203" w:type="pct"/>
                  <w:vMerge w:val="continue"/>
                  <w:tcBorders>
                    <w:left w:val="single" w:color="000000" w:sz="4" w:space="0"/>
                    <w:bottom w:val="single" w:color="000000" w:sz="4" w:space="0"/>
                  </w:tcBorders>
                  <w:shd w:val="clear" w:color="auto" w:fill="auto"/>
                  <w:vAlign w:val="center"/>
                </w:tcPr>
                <w:p w14:paraId="2CB01343">
                  <w:pPr>
                    <w:autoSpaceDE w:val="0"/>
                    <w:autoSpaceDN w:val="0"/>
                    <w:adjustRightInd w:val="0"/>
                    <w:snapToGrid w:val="0"/>
                    <w:rPr>
                      <w:rFonts w:hint="eastAsia"/>
                      <w:color w:val="auto"/>
                      <w:kern w:val="0"/>
                      <w:szCs w:val="21"/>
                      <w:highlight w:val="none"/>
                    </w:rPr>
                  </w:pPr>
                </w:p>
              </w:tc>
            </w:tr>
            <w:tr w14:paraId="3204B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9" w:hRule="atLeast"/>
                <w:jc w:val="center"/>
              </w:trPr>
              <w:tc>
                <w:tcPr>
                  <w:tcW w:w="189" w:type="pct"/>
                  <w:vMerge w:val="continue"/>
                  <w:tcBorders>
                    <w:top w:val="single" w:color="000000" w:sz="4" w:space="0"/>
                    <w:bottom w:val="single" w:color="000000" w:sz="4" w:space="0"/>
                    <w:right w:val="single" w:color="000000" w:sz="4" w:space="0"/>
                  </w:tcBorders>
                  <w:shd w:val="clear" w:color="auto" w:fill="auto"/>
                  <w:vAlign w:val="center"/>
                </w:tcPr>
                <w:p w14:paraId="3DA5E0D4">
                  <w:pPr>
                    <w:autoSpaceDE w:val="0"/>
                    <w:autoSpaceDN w:val="0"/>
                    <w:adjustRightInd w:val="0"/>
                    <w:snapToGrid w:val="0"/>
                    <w:jc w:val="center"/>
                    <w:rPr>
                      <w:color w:val="auto"/>
                      <w:szCs w:val="21"/>
                      <w:highlight w:val="none"/>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ABC60">
                  <w:pPr>
                    <w:autoSpaceDE w:val="0"/>
                    <w:autoSpaceDN w:val="0"/>
                    <w:adjustRightInd w:val="0"/>
                    <w:snapToGrid w:val="0"/>
                    <w:jc w:val="center"/>
                    <w:rPr>
                      <w:color w:val="auto"/>
                      <w:szCs w:val="21"/>
                      <w:highlight w:val="none"/>
                    </w:rPr>
                  </w:pPr>
                </w:p>
              </w:tc>
              <w:tc>
                <w:tcPr>
                  <w:tcW w:w="3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E58CA">
                  <w:pPr>
                    <w:autoSpaceDE w:val="0"/>
                    <w:autoSpaceDN w:val="0"/>
                    <w:adjustRightInd w:val="0"/>
                    <w:snapToGrid w:val="0"/>
                    <w:jc w:val="center"/>
                    <w:rPr>
                      <w:color w:val="auto"/>
                      <w:szCs w:val="21"/>
                      <w:highlight w:val="none"/>
                    </w:rPr>
                  </w:pPr>
                </w:p>
              </w:tc>
              <w:tc>
                <w:tcPr>
                  <w:tcW w:w="651" w:type="pct"/>
                  <w:vMerge w:val="continue"/>
                  <w:tcBorders>
                    <w:left w:val="single" w:color="000000" w:sz="4" w:space="0"/>
                    <w:right w:val="single" w:color="000000" w:sz="4" w:space="0"/>
                  </w:tcBorders>
                  <w:shd w:val="clear" w:color="auto" w:fill="auto"/>
                  <w:vAlign w:val="center"/>
                </w:tcPr>
                <w:p w14:paraId="5B5B94B7">
                  <w:pPr>
                    <w:autoSpaceDE w:val="0"/>
                    <w:autoSpaceDN w:val="0"/>
                    <w:adjustRightInd w:val="0"/>
                    <w:snapToGrid w:val="0"/>
                    <w:jc w:val="center"/>
                    <w:rPr>
                      <w:color w:val="auto"/>
                      <w:szCs w:val="21"/>
                      <w:highlight w:val="none"/>
                    </w:rPr>
                  </w:pPr>
                </w:p>
              </w:tc>
              <w:tc>
                <w:tcPr>
                  <w:tcW w:w="357" w:type="pct"/>
                  <w:vMerge w:val="restart"/>
                  <w:tcBorders>
                    <w:top w:val="single" w:color="000000" w:sz="4" w:space="0"/>
                    <w:left w:val="single" w:color="000000" w:sz="4" w:space="0"/>
                    <w:right w:val="single" w:color="000000" w:sz="4" w:space="0"/>
                  </w:tcBorders>
                  <w:shd w:val="clear" w:color="auto" w:fill="auto"/>
                  <w:vAlign w:val="center"/>
                </w:tcPr>
                <w:p w14:paraId="4C90774B">
                  <w:pPr>
                    <w:autoSpaceDE w:val="0"/>
                    <w:autoSpaceDN w:val="0"/>
                    <w:adjustRightInd w:val="0"/>
                    <w:snapToGrid w:val="0"/>
                    <w:jc w:val="center"/>
                    <w:rPr>
                      <w:color w:val="auto"/>
                      <w:kern w:val="0"/>
                      <w:szCs w:val="21"/>
                      <w:highlight w:val="none"/>
                    </w:rPr>
                  </w:pPr>
                  <w:r>
                    <w:rPr>
                      <w:color w:val="auto"/>
                      <w:kern w:val="0"/>
                      <w:szCs w:val="21"/>
                      <w:highlight w:val="none"/>
                    </w:rPr>
                    <w:t>污染物排放管控</w:t>
                  </w:r>
                </w:p>
              </w:tc>
              <w:tc>
                <w:tcPr>
                  <w:tcW w:w="1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C0959">
                  <w:pPr>
                    <w:autoSpaceDE w:val="0"/>
                    <w:autoSpaceDN w:val="0"/>
                    <w:adjustRightInd w:val="0"/>
                    <w:snapToGrid w:val="0"/>
                    <w:jc w:val="left"/>
                    <w:rPr>
                      <w:color w:val="auto"/>
                      <w:kern w:val="0"/>
                      <w:szCs w:val="21"/>
                      <w:highlight w:val="none"/>
                    </w:rPr>
                  </w:pPr>
                  <w:r>
                    <w:rPr>
                      <w:rFonts w:hint="eastAsia"/>
                      <w:color w:val="auto"/>
                      <w:kern w:val="0"/>
                      <w:szCs w:val="21"/>
                      <w:highlight w:val="none"/>
                    </w:rPr>
                    <w:t>1.鼓励将老旧车辆和非道路移动机械替换为清洁能源车辆。推进新能源或清洁能源汽车使用。</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BA519">
                  <w:pPr>
                    <w:autoSpaceDE w:val="0"/>
                    <w:autoSpaceDN w:val="0"/>
                    <w:adjustRightInd w:val="0"/>
                    <w:snapToGrid w:val="0"/>
                    <w:jc w:val="center"/>
                    <w:rPr>
                      <w:color w:val="auto"/>
                      <w:kern w:val="0"/>
                      <w:szCs w:val="21"/>
                      <w:highlight w:val="none"/>
                    </w:rPr>
                  </w:pPr>
                </w:p>
              </w:tc>
              <w:tc>
                <w:tcPr>
                  <w:tcW w:w="730" w:type="pct"/>
                  <w:vMerge w:val="restart"/>
                  <w:tcBorders>
                    <w:top w:val="single" w:color="000000" w:sz="4" w:space="0"/>
                    <w:left w:val="single" w:color="000000" w:sz="4" w:space="0"/>
                    <w:right w:val="single" w:color="000000" w:sz="4" w:space="0"/>
                  </w:tcBorders>
                  <w:shd w:val="clear" w:color="auto" w:fill="auto"/>
                  <w:vAlign w:val="center"/>
                </w:tcPr>
                <w:p w14:paraId="61189585">
                  <w:pPr>
                    <w:autoSpaceDE w:val="0"/>
                    <w:autoSpaceDN w:val="0"/>
                    <w:adjustRightInd w:val="0"/>
                    <w:snapToGrid w:val="0"/>
                    <w:jc w:val="center"/>
                    <w:rPr>
                      <w:rFonts w:hint="default" w:eastAsia="宋体"/>
                      <w:color w:val="auto"/>
                      <w:kern w:val="0"/>
                      <w:sz w:val="21"/>
                      <w:szCs w:val="21"/>
                      <w:highlight w:val="none"/>
                      <w:lang w:val="en-US" w:eastAsia="zh-CN"/>
                    </w:rPr>
                  </w:pPr>
                  <w:r>
                    <w:rPr>
                      <w:color w:val="auto"/>
                      <w:kern w:val="0"/>
                      <w:sz w:val="21"/>
                      <w:szCs w:val="21"/>
                      <w:highlight w:val="none"/>
                    </w:rPr>
                    <w:t>本项目为实验室项目，不涉及煤炭，本项目实验仪器等均使用电能，属于清洁能源。</w:t>
                  </w:r>
                  <w:r>
                    <w:rPr>
                      <w:rFonts w:hint="eastAsia"/>
                      <w:color w:val="auto"/>
                      <w:sz w:val="21"/>
                      <w:szCs w:val="21"/>
                      <w:highlight w:val="none"/>
                      <w:lang w:val="en-US" w:eastAsia="zh-CN"/>
                    </w:rPr>
                    <w:t>本项目</w:t>
                  </w:r>
                  <w:r>
                    <w:rPr>
                      <w:rFonts w:hint="eastAsia" w:ascii="Times New Roman" w:hAnsi="Times New Roman" w:eastAsia="宋体" w:cs="Times New Roman"/>
                      <w:color w:val="auto"/>
                      <w:sz w:val="21"/>
                      <w:szCs w:val="21"/>
                      <w:highlight w:val="none"/>
                      <w:lang w:val="en-US" w:eastAsia="zh-CN"/>
                    </w:rPr>
                    <w:t>实验废水经预处理后与生活污水一并排入化粪池，经处理后通过</w:t>
                  </w:r>
                  <w:r>
                    <w:rPr>
                      <w:rFonts w:hint="default" w:ascii="Times New Roman" w:hAnsi="Times New Roman" w:eastAsia="宋体" w:cs="Times New Roman"/>
                      <w:color w:val="auto"/>
                      <w:sz w:val="21"/>
                      <w:szCs w:val="21"/>
                      <w:highlight w:val="none"/>
                    </w:rPr>
                    <w:t>南侧污水管网排入沣东南污水处理厂</w:t>
                  </w:r>
                  <w:r>
                    <w:rPr>
                      <w:rFonts w:hint="eastAsia"/>
                      <w:color w:val="auto"/>
                      <w:sz w:val="21"/>
                      <w:szCs w:val="21"/>
                      <w:highlight w:val="none"/>
                      <w:lang w:val="en-US" w:eastAsia="zh-CN"/>
                    </w:rPr>
                    <w:t>。</w:t>
                  </w:r>
                </w:p>
              </w:tc>
              <w:tc>
                <w:tcPr>
                  <w:tcW w:w="203" w:type="pct"/>
                  <w:vMerge w:val="restart"/>
                  <w:tcBorders>
                    <w:top w:val="single" w:color="000000" w:sz="4" w:space="0"/>
                    <w:left w:val="single" w:color="000000" w:sz="4" w:space="0"/>
                  </w:tcBorders>
                  <w:shd w:val="clear" w:color="auto" w:fill="auto"/>
                  <w:vAlign w:val="center"/>
                </w:tcPr>
                <w:p w14:paraId="065205D6">
                  <w:pPr>
                    <w:autoSpaceDE w:val="0"/>
                    <w:autoSpaceDN w:val="0"/>
                    <w:adjustRightInd w:val="0"/>
                    <w:snapToGrid w:val="0"/>
                    <w:jc w:val="center"/>
                    <w:rPr>
                      <w:color w:val="auto"/>
                      <w:kern w:val="0"/>
                      <w:sz w:val="21"/>
                      <w:szCs w:val="21"/>
                      <w:highlight w:val="none"/>
                    </w:rPr>
                  </w:pPr>
                  <w:r>
                    <w:rPr>
                      <w:color w:val="auto"/>
                      <w:kern w:val="0"/>
                      <w:sz w:val="21"/>
                      <w:szCs w:val="21"/>
                      <w:highlight w:val="none"/>
                    </w:rPr>
                    <w:t>符合</w:t>
                  </w:r>
                </w:p>
              </w:tc>
            </w:tr>
            <w:tr w14:paraId="5783AF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84" w:hRule="atLeast"/>
                <w:jc w:val="center"/>
              </w:trPr>
              <w:tc>
                <w:tcPr>
                  <w:tcW w:w="189" w:type="pct"/>
                  <w:vMerge w:val="continue"/>
                  <w:tcBorders>
                    <w:bottom w:val="single" w:color="000000" w:sz="4" w:space="0"/>
                    <w:right w:val="single" w:color="000000" w:sz="4" w:space="0"/>
                  </w:tcBorders>
                  <w:shd w:val="clear" w:color="auto" w:fill="auto"/>
                  <w:vAlign w:val="center"/>
                </w:tcPr>
                <w:p w14:paraId="6DC7CADB">
                  <w:pPr>
                    <w:autoSpaceDE w:val="0"/>
                    <w:autoSpaceDN w:val="0"/>
                    <w:adjustRightInd w:val="0"/>
                    <w:snapToGrid w:val="0"/>
                    <w:jc w:val="center"/>
                    <w:rPr>
                      <w:color w:val="auto"/>
                      <w:highlight w:val="none"/>
                    </w:rPr>
                  </w:pPr>
                </w:p>
              </w:tc>
              <w:tc>
                <w:tcPr>
                  <w:tcW w:w="246" w:type="pct"/>
                  <w:vMerge w:val="continue"/>
                  <w:tcBorders>
                    <w:left w:val="single" w:color="000000" w:sz="4" w:space="0"/>
                    <w:bottom w:val="single" w:color="000000" w:sz="4" w:space="0"/>
                    <w:right w:val="single" w:color="000000" w:sz="4" w:space="0"/>
                  </w:tcBorders>
                  <w:shd w:val="clear" w:color="auto" w:fill="auto"/>
                  <w:vAlign w:val="center"/>
                </w:tcPr>
                <w:p w14:paraId="0270FBDF">
                  <w:pPr>
                    <w:autoSpaceDE w:val="0"/>
                    <w:autoSpaceDN w:val="0"/>
                    <w:adjustRightInd w:val="0"/>
                    <w:snapToGrid w:val="0"/>
                    <w:jc w:val="center"/>
                    <w:rPr>
                      <w:color w:val="auto"/>
                      <w:highlight w:val="none"/>
                    </w:rPr>
                  </w:pPr>
                </w:p>
              </w:tc>
              <w:tc>
                <w:tcPr>
                  <w:tcW w:w="355" w:type="pct"/>
                  <w:vMerge w:val="continue"/>
                  <w:tcBorders>
                    <w:left w:val="single" w:color="000000" w:sz="4" w:space="0"/>
                    <w:bottom w:val="single" w:color="000000" w:sz="4" w:space="0"/>
                    <w:right w:val="single" w:color="000000" w:sz="4" w:space="0"/>
                  </w:tcBorders>
                  <w:shd w:val="clear" w:color="auto" w:fill="auto"/>
                  <w:vAlign w:val="center"/>
                </w:tcPr>
                <w:p w14:paraId="763519D9">
                  <w:pPr>
                    <w:autoSpaceDE w:val="0"/>
                    <w:autoSpaceDN w:val="0"/>
                    <w:adjustRightInd w:val="0"/>
                    <w:snapToGrid w:val="0"/>
                    <w:jc w:val="center"/>
                    <w:rPr>
                      <w:color w:val="auto"/>
                      <w:highlight w:val="none"/>
                    </w:rPr>
                  </w:pPr>
                </w:p>
              </w:tc>
              <w:tc>
                <w:tcPr>
                  <w:tcW w:w="651" w:type="pct"/>
                  <w:vMerge w:val="continue"/>
                  <w:tcBorders>
                    <w:left w:val="single" w:color="000000" w:sz="4" w:space="0"/>
                    <w:right w:val="single" w:color="000000" w:sz="4" w:space="0"/>
                  </w:tcBorders>
                  <w:shd w:val="clear" w:color="auto" w:fill="auto"/>
                  <w:vAlign w:val="center"/>
                </w:tcPr>
                <w:p w14:paraId="73D5B866">
                  <w:pPr>
                    <w:autoSpaceDE w:val="0"/>
                    <w:autoSpaceDN w:val="0"/>
                    <w:adjustRightInd w:val="0"/>
                    <w:snapToGrid w:val="0"/>
                    <w:jc w:val="center"/>
                    <w:rPr>
                      <w:color w:val="auto"/>
                      <w:highlight w:val="none"/>
                    </w:rPr>
                  </w:pPr>
                </w:p>
              </w:tc>
              <w:tc>
                <w:tcPr>
                  <w:tcW w:w="357" w:type="pct"/>
                  <w:vMerge w:val="continue"/>
                  <w:tcBorders>
                    <w:left w:val="single" w:color="000000" w:sz="4" w:space="0"/>
                    <w:bottom w:val="single" w:color="000000" w:sz="4" w:space="0"/>
                    <w:right w:val="single" w:color="000000" w:sz="4" w:space="0"/>
                  </w:tcBorders>
                  <w:shd w:val="clear" w:color="auto" w:fill="auto"/>
                  <w:vAlign w:val="center"/>
                </w:tcPr>
                <w:p w14:paraId="0259EF72">
                  <w:pPr>
                    <w:autoSpaceDE w:val="0"/>
                    <w:autoSpaceDN w:val="0"/>
                    <w:adjustRightInd w:val="0"/>
                    <w:snapToGrid w:val="0"/>
                    <w:jc w:val="center"/>
                    <w:rPr>
                      <w:color w:val="auto"/>
                      <w:highlight w:val="none"/>
                    </w:rPr>
                  </w:pPr>
                </w:p>
              </w:tc>
              <w:tc>
                <w:tcPr>
                  <w:tcW w:w="1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C7A40">
                  <w:pPr>
                    <w:autoSpaceDE w:val="0"/>
                    <w:autoSpaceDN w:val="0"/>
                    <w:adjustRightInd w:val="0"/>
                    <w:snapToGrid w:val="0"/>
                    <w:jc w:val="left"/>
                    <w:rPr>
                      <w:rFonts w:hint="eastAsia"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1.</w:t>
                  </w:r>
                  <w:r>
                    <w:rPr>
                      <w:rFonts w:hint="eastAsia" w:ascii="Times New Roman" w:hAnsi="Times New Roman" w:eastAsia="宋体" w:cs="Times New Roman"/>
                      <w:color w:val="auto"/>
                      <w:kern w:val="0"/>
                      <w:szCs w:val="21"/>
                      <w:highlight w:val="none"/>
                      <w:lang w:val="en-US" w:eastAsia="zh-CN"/>
                    </w:rPr>
                    <w:t>加强城镇污水收集处理设施建设与提标改造。城镇生活污水处理达到《陕西省黄河流域污水综合排放标准》（</w:t>
                  </w:r>
                  <w:r>
                    <w:rPr>
                      <w:rFonts w:hint="default" w:ascii="Times New Roman" w:hAnsi="Times New Roman" w:eastAsia="宋体" w:cs="Times New Roman"/>
                      <w:color w:val="auto"/>
                      <w:kern w:val="0"/>
                      <w:szCs w:val="21"/>
                      <w:highlight w:val="none"/>
                      <w:lang w:val="en-US" w:eastAsia="zh-CN"/>
                    </w:rPr>
                    <w:t>DB61/224-2018</w:t>
                  </w:r>
                  <w:r>
                    <w:rPr>
                      <w:rFonts w:hint="eastAsia" w:ascii="Times New Roman" w:hAnsi="Times New Roman" w:eastAsia="宋体" w:cs="Times New Roman"/>
                      <w:color w:val="auto"/>
                      <w:kern w:val="0"/>
                      <w:szCs w:val="21"/>
                      <w:highlight w:val="none"/>
                      <w:lang w:val="en-US" w:eastAsia="zh-CN"/>
                    </w:rPr>
                    <w:t xml:space="preserve">）排放限值要求。 </w:t>
                  </w:r>
                </w:p>
                <w:p w14:paraId="15D1FBE0">
                  <w:pPr>
                    <w:autoSpaceDE w:val="0"/>
                    <w:autoSpaceDN w:val="0"/>
                    <w:adjustRightInd w:val="0"/>
                    <w:snapToGrid w:val="0"/>
                    <w:jc w:val="left"/>
                    <w:rPr>
                      <w:rFonts w:hint="eastAsia"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r>
                    <w:rPr>
                      <w:rFonts w:hint="eastAsia" w:ascii="Times New Roman" w:hAnsi="Times New Roman" w:eastAsia="宋体" w:cs="Times New Roman"/>
                      <w:color w:val="auto"/>
                      <w:kern w:val="0"/>
                      <w:szCs w:val="21"/>
                      <w:highlight w:val="none"/>
                      <w:lang w:val="en-US" w:eastAsia="zh-CN"/>
                    </w:rPr>
                    <w:t>.城镇新区管网建设及老旧城区管网升级改造中实行雨污分流，鼓励推进初期雨水收集、处理和资源化利用，建设人工湿地水质净化工程，对处理达标后的尾水进一步净化。</w:t>
                  </w:r>
                </w:p>
                <w:p w14:paraId="25BFE53F">
                  <w:pPr>
                    <w:autoSpaceDE w:val="0"/>
                    <w:autoSpaceDN w:val="0"/>
                    <w:adjustRightInd w:val="0"/>
                    <w:snapToGrid w:val="0"/>
                    <w:jc w:val="left"/>
                    <w:rPr>
                      <w:rFonts w:hint="eastAsia"/>
                      <w:color w:val="auto"/>
                      <w:kern w:val="0"/>
                      <w:szCs w:val="21"/>
                      <w:highlight w:val="none"/>
                    </w:rPr>
                  </w:pPr>
                  <w:r>
                    <w:rPr>
                      <w:rFonts w:hint="default" w:ascii="Times New Roman" w:hAnsi="Times New Roman" w:eastAsia="宋体" w:cs="Times New Roman"/>
                      <w:color w:val="auto"/>
                      <w:kern w:val="0"/>
                      <w:szCs w:val="21"/>
                      <w:highlight w:val="none"/>
                      <w:lang w:val="en-US" w:eastAsia="zh-CN"/>
                    </w:rPr>
                    <w:t>3</w:t>
                  </w:r>
                  <w:r>
                    <w:rPr>
                      <w:rFonts w:hint="eastAsia" w:ascii="Times New Roman" w:hAnsi="Times New Roman" w:eastAsia="宋体" w:cs="Times New Roman"/>
                      <w:color w:val="auto"/>
                      <w:kern w:val="0"/>
                      <w:szCs w:val="21"/>
                      <w:highlight w:val="none"/>
                      <w:lang w:val="en-US" w:eastAsia="zh-CN"/>
                    </w:rPr>
                    <w:t>.污水处理厂出水用于绿化、农灌等用途的，合理确定管控要求，确保达到相应污水再生利用标准。</w:t>
                  </w:r>
                </w:p>
              </w:tc>
              <w:tc>
                <w:tcPr>
                  <w:tcW w:w="396" w:type="pct"/>
                  <w:vMerge w:val="continue"/>
                  <w:tcBorders>
                    <w:left w:val="single" w:color="000000" w:sz="4" w:space="0"/>
                    <w:bottom w:val="single" w:color="000000" w:sz="4" w:space="0"/>
                    <w:right w:val="single" w:color="000000" w:sz="4" w:space="0"/>
                  </w:tcBorders>
                  <w:shd w:val="clear" w:color="auto" w:fill="auto"/>
                  <w:vAlign w:val="center"/>
                </w:tcPr>
                <w:p w14:paraId="253ED80A">
                  <w:pPr>
                    <w:autoSpaceDE w:val="0"/>
                    <w:autoSpaceDN w:val="0"/>
                    <w:adjustRightInd w:val="0"/>
                    <w:snapToGrid w:val="0"/>
                    <w:jc w:val="center"/>
                    <w:rPr>
                      <w:rFonts w:hint="eastAsia"/>
                      <w:color w:val="auto"/>
                      <w:kern w:val="0"/>
                      <w:szCs w:val="21"/>
                      <w:highlight w:val="none"/>
                    </w:rPr>
                  </w:pPr>
                </w:p>
              </w:tc>
              <w:tc>
                <w:tcPr>
                  <w:tcW w:w="730" w:type="pct"/>
                  <w:vMerge w:val="continue"/>
                  <w:tcBorders>
                    <w:left w:val="single" w:color="000000" w:sz="4" w:space="0"/>
                    <w:bottom w:val="single" w:color="000000" w:sz="4" w:space="0"/>
                    <w:right w:val="single" w:color="000000" w:sz="4" w:space="0"/>
                  </w:tcBorders>
                  <w:shd w:val="clear" w:color="auto" w:fill="auto"/>
                  <w:vAlign w:val="center"/>
                </w:tcPr>
                <w:p w14:paraId="3CEE648B">
                  <w:pPr>
                    <w:autoSpaceDE w:val="0"/>
                    <w:autoSpaceDN w:val="0"/>
                    <w:adjustRightInd w:val="0"/>
                    <w:snapToGrid w:val="0"/>
                    <w:jc w:val="center"/>
                    <w:rPr>
                      <w:rFonts w:hint="eastAsia"/>
                      <w:color w:val="auto"/>
                      <w:kern w:val="0"/>
                      <w:szCs w:val="21"/>
                      <w:highlight w:val="none"/>
                    </w:rPr>
                  </w:pPr>
                </w:p>
              </w:tc>
              <w:tc>
                <w:tcPr>
                  <w:tcW w:w="203" w:type="pct"/>
                  <w:vMerge w:val="continue"/>
                  <w:tcBorders>
                    <w:left w:val="single" w:color="000000" w:sz="4" w:space="0"/>
                    <w:bottom w:val="single" w:color="000000" w:sz="4" w:space="0"/>
                  </w:tcBorders>
                  <w:shd w:val="clear" w:color="auto" w:fill="auto"/>
                  <w:vAlign w:val="center"/>
                </w:tcPr>
                <w:p w14:paraId="04806508">
                  <w:pPr>
                    <w:autoSpaceDE w:val="0"/>
                    <w:autoSpaceDN w:val="0"/>
                    <w:adjustRightInd w:val="0"/>
                    <w:snapToGrid w:val="0"/>
                    <w:jc w:val="center"/>
                    <w:rPr>
                      <w:rFonts w:hint="eastAsia"/>
                      <w:color w:val="auto"/>
                      <w:kern w:val="0"/>
                      <w:szCs w:val="21"/>
                      <w:highlight w:val="none"/>
                    </w:rPr>
                  </w:pPr>
                </w:p>
              </w:tc>
            </w:tr>
            <w:tr w14:paraId="520AC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8" w:hRule="atLeast"/>
                <w:jc w:val="center"/>
              </w:trPr>
              <w:tc>
                <w:tcPr>
                  <w:tcW w:w="189" w:type="pct"/>
                  <w:vMerge w:val="continue"/>
                  <w:tcBorders>
                    <w:top w:val="single" w:color="000000" w:sz="4" w:space="0"/>
                    <w:bottom w:val="single" w:color="000000" w:sz="4" w:space="0"/>
                    <w:right w:val="single" w:color="000000" w:sz="4" w:space="0"/>
                  </w:tcBorders>
                  <w:shd w:val="clear" w:color="auto" w:fill="auto"/>
                  <w:vAlign w:val="center"/>
                </w:tcPr>
                <w:p w14:paraId="1E8FF105">
                  <w:pPr>
                    <w:autoSpaceDE w:val="0"/>
                    <w:autoSpaceDN w:val="0"/>
                    <w:adjustRightInd w:val="0"/>
                    <w:snapToGrid w:val="0"/>
                    <w:jc w:val="center"/>
                    <w:rPr>
                      <w:color w:val="auto"/>
                      <w:szCs w:val="21"/>
                      <w:highlight w:val="none"/>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1D317">
                  <w:pPr>
                    <w:autoSpaceDE w:val="0"/>
                    <w:autoSpaceDN w:val="0"/>
                    <w:adjustRightInd w:val="0"/>
                    <w:snapToGrid w:val="0"/>
                    <w:jc w:val="center"/>
                    <w:rPr>
                      <w:color w:val="auto"/>
                      <w:szCs w:val="21"/>
                      <w:highlight w:val="none"/>
                    </w:rPr>
                  </w:pPr>
                </w:p>
              </w:tc>
              <w:tc>
                <w:tcPr>
                  <w:tcW w:w="3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D0FD5A">
                  <w:pPr>
                    <w:autoSpaceDE w:val="0"/>
                    <w:autoSpaceDN w:val="0"/>
                    <w:adjustRightInd w:val="0"/>
                    <w:snapToGrid w:val="0"/>
                    <w:jc w:val="center"/>
                    <w:rPr>
                      <w:color w:val="auto"/>
                      <w:szCs w:val="21"/>
                      <w:highlight w:val="none"/>
                    </w:rPr>
                  </w:pPr>
                </w:p>
              </w:tc>
              <w:tc>
                <w:tcPr>
                  <w:tcW w:w="651" w:type="pct"/>
                  <w:vMerge w:val="continue"/>
                  <w:tcBorders>
                    <w:left w:val="single" w:color="000000" w:sz="4" w:space="0"/>
                    <w:right w:val="single" w:color="000000" w:sz="4" w:space="0"/>
                  </w:tcBorders>
                  <w:shd w:val="clear" w:color="auto" w:fill="auto"/>
                  <w:vAlign w:val="center"/>
                </w:tcPr>
                <w:p w14:paraId="507716CD">
                  <w:pPr>
                    <w:autoSpaceDE w:val="0"/>
                    <w:autoSpaceDN w:val="0"/>
                    <w:adjustRightInd w:val="0"/>
                    <w:snapToGrid w:val="0"/>
                    <w:jc w:val="center"/>
                    <w:rPr>
                      <w:color w:val="auto"/>
                      <w:szCs w:val="21"/>
                      <w:highlight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FD0F7">
                  <w:pPr>
                    <w:autoSpaceDE w:val="0"/>
                    <w:autoSpaceDN w:val="0"/>
                    <w:adjustRightInd w:val="0"/>
                    <w:snapToGrid w:val="0"/>
                    <w:jc w:val="center"/>
                    <w:rPr>
                      <w:color w:val="auto"/>
                      <w:kern w:val="0"/>
                      <w:szCs w:val="21"/>
                      <w:highlight w:val="none"/>
                    </w:rPr>
                  </w:pPr>
                  <w:r>
                    <w:rPr>
                      <w:rFonts w:hint="eastAsia"/>
                      <w:color w:val="auto"/>
                      <w:kern w:val="0"/>
                      <w:szCs w:val="21"/>
                      <w:highlight w:val="none"/>
                    </w:rPr>
                    <w:t>环境风险防控</w:t>
                  </w:r>
                </w:p>
              </w:tc>
              <w:tc>
                <w:tcPr>
                  <w:tcW w:w="1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F7237">
                  <w:pPr>
                    <w:autoSpaceDE w:val="0"/>
                    <w:autoSpaceDN w:val="0"/>
                    <w:adjustRightInd w:val="0"/>
                    <w:snapToGrid w:val="0"/>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F75C0">
                  <w:pPr>
                    <w:autoSpaceDE w:val="0"/>
                    <w:autoSpaceDN w:val="0"/>
                    <w:adjustRightInd w:val="0"/>
                    <w:snapToGrid w:val="0"/>
                    <w:jc w:val="center"/>
                    <w:rPr>
                      <w:color w:val="auto"/>
                      <w:kern w:val="0"/>
                      <w:szCs w:val="21"/>
                      <w:highlight w:val="none"/>
                    </w:rPr>
                  </w:pPr>
                  <w:r>
                    <w:rPr>
                      <w:rFonts w:hint="eastAsia"/>
                      <w:color w:val="auto"/>
                      <w:kern w:val="0"/>
                      <w:szCs w:val="21"/>
                      <w:highlight w:val="none"/>
                    </w:rPr>
                    <w:t>/</w:t>
                  </w:r>
                </w:p>
              </w:tc>
              <w:tc>
                <w:tcPr>
                  <w:tcW w:w="7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2219E">
                  <w:pPr>
                    <w:autoSpaceDE w:val="0"/>
                    <w:autoSpaceDN w:val="0"/>
                    <w:adjustRightInd w:val="0"/>
                    <w:snapToGrid w:val="0"/>
                    <w:jc w:val="center"/>
                    <w:rPr>
                      <w:color w:val="auto"/>
                      <w:kern w:val="0"/>
                      <w:sz w:val="21"/>
                      <w:szCs w:val="21"/>
                      <w:highlight w:val="none"/>
                    </w:rPr>
                  </w:pPr>
                  <w:r>
                    <w:rPr>
                      <w:rFonts w:hint="eastAsia"/>
                      <w:color w:val="auto"/>
                      <w:kern w:val="0"/>
                      <w:sz w:val="21"/>
                      <w:szCs w:val="21"/>
                      <w:highlight w:val="none"/>
                    </w:rPr>
                    <w:t>/</w:t>
                  </w:r>
                </w:p>
              </w:tc>
              <w:tc>
                <w:tcPr>
                  <w:tcW w:w="203" w:type="pct"/>
                  <w:tcBorders>
                    <w:top w:val="single" w:color="000000" w:sz="4" w:space="0"/>
                    <w:left w:val="single" w:color="000000" w:sz="4" w:space="0"/>
                    <w:bottom w:val="single" w:color="000000" w:sz="4" w:space="0"/>
                  </w:tcBorders>
                  <w:shd w:val="clear" w:color="auto" w:fill="auto"/>
                  <w:vAlign w:val="center"/>
                </w:tcPr>
                <w:p w14:paraId="26575208">
                  <w:pPr>
                    <w:autoSpaceDE w:val="0"/>
                    <w:autoSpaceDN w:val="0"/>
                    <w:adjustRightInd w:val="0"/>
                    <w:snapToGrid w:val="0"/>
                    <w:jc w:val="center"/>
                    <w:rPr>
                      <w:color w:val="auto"/>
                      <w:kern w:val="0"/>
                      <w:sz w:val="21"/>
                      <w:szCs w:val="21"/>
                      <w:highlight w:val="none"/>
                    </w:rPr>
                  </w:pPr>
                  <w:r>
                    <w:rPr>
                      <w:rFonts w:hint="eastAsia"/>
                      <w:color w:val="auto"/>
                      <w:kern w:val="0"/>
                      <w:sz w:val="21"/>
                      <w:szCs w:val="21"/>
                      <w:highlight w:val="none"/>
                    </w:rPr>
                    <w:t>/</w:t>
                  </w:r>
                </w:p>
              </w:tc>
            </w:tr>
            <w:tr w14:paraId="169CBA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38" w:hRule="atLeast"/>
                <w:jc w:val="center"/>
              </w:trPr>
              <w:tc>
                <w:tcPr>
                  <w:tcW w:w="189" w:type="pct"/>
                  <w:vMerge w:val="continue"/>
                  <w:tcBorders>
                    <w:top w:val="single" w:color="000000" w:sz="4" w:space="0"/>
                    <w:right w:val="single" w:color="000000" w:sz="4" w:space="0"/>
                  </w:tcBorders>
                  <w:shd w:val="clear" w:color="auto" w:fill="auto"/>
                  <w:vAlign w:val="center"/>
                </w:tcPr>
                <w:p w14:paraId="69BEFB12">
                  <w:pPr>
                    <w:autoSpaceDE w:val="0"/>
                    <w:autoSpaceDN w:val="0"/>
                    <w:adjustRightInd w:val="0"/>
                    <w:snapToGrid w:val="0"/>
                    <w:jc w:val="center"/>
                    <w:rPr>
                      <w:color w:val="auto"/>
                      <w:szCs w:val="21"/>
                      <w:highlight w:val="none"/>
                    </w:rPr>
                  </w:pPr>
                </w:p>
              </w:tc>
              <w:tc>
                <w:tcPr>
                  <w:tcW w:w="246" w:type="pct"/>
                  <w:vMerge w:val="continue"/>
                  <w:tcBorders>
                    <w:top w:val="single" w:color="000000" w:sz="4" w:space="0"/>
                    <w:left w:val="single" w:color="000000" w:sz="4" w:space="0"/>
                    <w:right w:val="single" w:color="000000" w:sz="4" w:space="0"/>
                  </w:tcBorders>
                  <w:shd w:val="clear" w:color="auto" w:fill="auto"/>
                  <w:vAlign w:val="center"/>
                </w:tcPr>
                <w:p w14:paraId="1F336F1E">
                  <w:pPr>
                    <w:autoSpaceDE w:val="0"/>
                    <w:autoSpaceDN w:val="0"/>
                    <w:adjustRightInd w:val="0"/>
                    <w:snapToGrid w:val="0"/>
                    <w:jc w:val="center"/>
                    <w:rPr>
                      <w:color w:val="auto"/>
                      <w:szCs w:val="21"/>
                      <w:highlight w:val="none"/>
                    </w:rPr>
                  </w:pPr>
                </w:p>
              </w:tc>
              <w:tc>
                <w:tcPr>
                  <w:tcW w:w="355" w:type="pct"/>
                  <w:vMerge w:val="continue"/>
                  <w:tcBorders>
                    <w:top w:val="single" w:color="000000" w:sz="4" w:space="0"/>
                    <w:left w:val="single" w:color="000000" w:sz="4" w:space="0"/>
                    <w:right w:val="single" w:color="000000" w:sz="4" w:space="0"/>
                  </w:tcBorders>
                  <w:shd w:val="clear" w:color="auto" w:fill="auto"/>
                  <w:vAlign w:val="center"/>
                </w:tcPr>
                <w:p w14:paraId="14B6D244">
                  <w:pPr>
                    <w:autoSpaceDE w:val="0"/>
                    <w:autoSpaceDN w:val="0"/>
                    <w:adjustRightInd w:val="0"/>
                    <w:snapToGrid w:val="0"/>
                    <w:jc w:val="center"/>
                    <w:rPr>
                      <w:color w:val="auto"/>
                      <w:szCs w:val="21"/>
                      <w:highlight w:val="none"/>
                    </w:rPr>
                  </w:pPr>
                </w:p>
              </w:tc>
              <w:tc>
                <w:tcPr>
                  <w:tcW w:w="651" w:type="pct"/>
                  <w:vMerge w:val="continue"/>
                  <w:tcBorders>
                    <w:left w:val="single" w:color="000000" w:sz="4" w:space="0"/>
                    <w:right w:val="single" w:color="000000" w:sz="4" w:space="0"/>
                  </w:tcBorders>
                  <w:shd w:val="clear" w:color="auto" w:fill="auto"/>
                  <w:vAlign w:val="center"/>
                </w:tcPr>
                <w:p w14:paraId="67FF7A8B">
                  <w:pPr>
                    <w:autoSpaceDE w:val="0"/>
                    <w:autoSpaceDN w:val="0"/>
                    <w:adjustRightInd w:val="0"/>
                    <w:snapToGrid w:val="0"/>
                    <w:jc w:val="center"/>
                    <w:rPr>
                      <w:color w:val="auto"/>
                      <w:szCs w:val="21"/>
                      <w:highlight w:val="none"/>
                    </w:rPr>
                  </w:pPr>
                </w:p>
              </w:tc>
              <w:tc>
                <w:tcPr>
                  <w:tcW w:w="357" w:type="pct"/>
                  <w:tcBorders>
                    <w:top w:val="single" w:color="000000" w:sz="4" w:space="0"/>
                    <w:left w:val="single" w:color="000000" w:sz="4" w:space="0"/>
                    <w:right w:val="single" w:color="000000" w:sz="4" w:space="0"/>
                  </w:tcBorders>
                  <w:shd w:val="clear" w:color="auto" w:fill="auto"/>
                  <w:vAlign w:val="center"/>
                </w:tcPr>
                <w:p w14:paraId="472C1DE8">
                  <w:pPr>
                    <w:autoSpaceDE w:val="0"/>
                    <w:autoSpaceDN w:val="0"/>
                    <w:adjustRightInd w:val="0"/>
                    <w:snapToGrid w:val="0"/>
                    <w:jc w:val="center"/>
                    <w:rPr>
                      <w:color w:val="auto"/>
                      <w:kern w:val="0"/>
                      <w:szCs w:val="21"/>
                      <w:highlight w:val="none"/>
                    </w:rPr>
                  </w:pPr>
                  <w:r>
                    <w:rPr>
                      <w:rFonts w:hint="eastAsia"/>
                      <w:color w:val="auto"/>
                      <w:kern w:val="0"/>
                      <w:szCs w:val="21"/>
                      <w:highlight w:val="none"/>
                    </w:rPr>
                    <w:t>资源开发效率要求</w:t>
                  </w:r>
                </w:p>
              </w:tc>
              <w:tc>
                <w:tcPr>
                  <w:tcW w:w="1868" w:type="pct"/>
                  <w:tcBorders>
                    <w:top w:val="single" w:color="000000" w:sz="4" w:space="0"/>
                    <w:left w:val="single" w:color="000000" w:sz="4" w:space="0"/>
                    <w:right w:val="single" w:color="000000" w:sz="4" w:space="0"/>
                  </w:tcBorders>
                  <w:shd w:val="clear" w:color="auto" w:fill="auto"/>
                  <w:vAlign w:val="center"/>
                </w:tcPr>
                <w:p w14:paraId="019B4A49">
                  <w:pPr>
                    <w:autoSpaceDE w:val="0"/>
                    <w:autoSpaceDN w:val="0"/>
                    <w:adjustRightInd w:val="0"/>
                    <w:snapToGrid w:val="0"/>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1.禁止销售、使用高污染燃料。禁止新建、扩建燃用高污染燃料的设施。已建成的，应当在市人民政府规定的</w:t>
                  </w:r>
                  <w:r>
                    <w:rPr>
                      <w:rFonts w:hint="eastAsia" w:ascii="Times New Roman" w:hAnsi="Times New Roman" w:eastAsia="宋体" w:cs="Times New Roman"/>
                      <w:color w:val="auto"/>
                      <w:kern w:val="0"/>
                      <w:szCs w:val="21"/>
                      <w:highlight w:val="none"/>
                      <w:lang w:val="en-US" w:eastAsia="zh-CN"/>
                    </w:rPr>
                    <w:t xml:space="preserve">期限内停止使用或者改用天然气、页岩气、煤层气、液化石油气、干热岩、电、太阳能或者其他清洁能源。 </w:t>
                  </w:r>
                </w:p>
                <w:p w14:paraId="230C0573">
                  <w:pPr>
                    <w:autoSpaceDE w:val="0"/>
                    <w:autoSpaceDN w:val="0"/>
                    <w:adjustRightInd w:val="0"/>
                    <w:snapToGrid w:val="0"/>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r>
                    <w:rPr>
                      <w:rFonts w:hint="eastAsia" w:ascii="Times New Roman" w:hAnsi="Times New Roman" w:eastAsia="宋体" w:cs="Times New Roman"/>
                      <w:color w:val="auto"/>
                      <w:kern w:val="0"/>
                      <w:szCs w:val="21"/>
                      <w:highlight w:val="none"/>
                      <w:lang w:val="en-US" w:eastAsia="zh-CN"/>
                    </w:rPr>
                    <w:t>禁止燃放烟花爆竹。</w:t>
                  </w:r>
                </w:p>
                <w:p w14:paraId="70EB697E">
                  <w:pPr>
                    <w:autoSpaceDE w:val="0"/>
                    <w:autoSpaceDN w:val="0"/>
                    <w:adjustRightInd w:val="0"/>
                    <w:snapToGrid w:val="0"/>
                    <w:jc w:val="center"/>
                    <w:rPr>
                      <w:color w:val="auto"/>
                      <w:kern w:val="0"/>
                      <w:szCs w:val="21"/>
                      <w:highlight w:val="none"/>
                    </w:rPr>
                  </w:pPr>
                </w:p>
              </w:tc>
              <w:tc>
                <w:tcPr>
                  <w:tcW w:w="396" w:type="pct"/>
                  <w:tcBorders>
                    <w:top w:val="single" w:color="000000" w:sz="4" w:space="0"/>
                    <w:left w:val="single" w:color="000000" w:sz="4" w:space="0"/>
                    <w:right w:val="single" w:color="000000" w:sz="4" w:space="0"/>
                  </w:tcBorders>
                  <w:shd w:val="clear" w:color="auto" w:fill="auto"/>
                  <w:vAlign w:val="center"/>
                </w:tcPr>
                <w:p w14:paraId="36FA825B">
                  <w:pPr>
                    <w:autoSpaceDE w:val="0"/>
                    <w:autoSpaceDN w:val="0"/>
                    <w:adjustRightInd w:val="0"/>
                    <w:snapToGrid w:val="0"/>
                    <w:jc w:val="center"/>
                    <w:rPr>
                      <w:color w:val="auto"/>
                      <w:kern w:val="0"/>
                      <w:szCs w:val="21"/>
                      <w:highlight w:val="none"/>
                    </w:rPr>
                  </w:pPr>
                  <w:r>
                    <w:rPr>
                      <w:rFonts w:hint="eastAsia"/>
                      <w:color w:val="auto"/>
                      <w:kern w:val="0"/>
                      <w:szCs w:val="21"/>
                      <w:highlight w:val="none"/>
                    </w:rPr>
                    <w:t>/</w:t>
                  </w:r>
                </w:p>
              </w:tc>
              <w:tc>
                <w:tcPr>
                  <w:tcW w:w="730" w:type="pct"/>
                  <w:tcBorders>
                    <w:top w:val="single" w:color="000000" w:sz="4" w:space="0"/>
                    <w:left w:val="single" w:color="000000" w:sz="4" w:space="0"/>
                    <w:right w:val="single" w:color="000000" w:sz="4" w:space="0"/>
                  </w:tcBorders>
                  <w:shd w:val="clear" w:color="auto" w:fill="auto"/>
                  <w:vAlign w:val="center"/>
                </w:tcPr>
                <w:p w14:paraId="01E976A9">
                  <w:pPr>
                    <w:autoSpaceDE w:val="0"/>
                    <w:autoSpaceDN w:val="0"/>
                    <w:adjustRightInd w:val="0"/>
                    <w:snapToGrid w:val="0"/>
                    <w:jc w:val="center"/>
                    <w:rPr>
                      <w:rFonts w:hint="default"/>
                      <w:color w:val="auto"/>
                      <w:kern w:val="0"/>
                      <w:sz w:val="21"/>
                      <w:szCs w:val="21"/>
                      <w:highlight w:val="none"/>
                      <w:lang w:val="en-US"/>
                    </w:rPr>
                  </w:pPr>
                  <w:r>
                    <w:rPr>
                      <w:rFonts w:hint="eastAsia"/>
                      <w:color w:val="auto"/>
                      <w:sz w:val="21"/>
                      <w:szCs w:val="21"/>
                      <w:highlight w:val="none"/>
                      <w:lang w:val="en-US" w:eastAsia="zh-CN"/>
                    </w:rPr>
                    <w:t>本项目不涉及高污染燃料的使用及销售，无高污染燃料设施，所有使用的能源均为清洁能源；本项目不涉及燃放烟花爆竹的部分。</w:t>
                  </w:r>
                </w:p>
              </w:tc>
              <w:tc>
                <w:tcPr>
                  <w:tcW w:w="203" w:type="pct"/>
                  <w:tcBorders>
                    <w:top w:val="single" w:color="000000" w:sz="4" w:space="0"/>
                    <w:left w:val="single" w:color="000000" w:sz="4" w:space="0"/>
                  </w:tcBorders>
                  <w:shd w:val="clear" w:color="auto" w:fill="auto"/>
                  <w:vAlign w:val="center"/>
                </w:tcPr>
                <w:p w14:paraId="61CE50CF">
                  <w:pPr>
                    <w:autoSpaceDE w:val="0"/>
                    <w:autoSpaceDN w:val="0"/>
                    <w:adjustRightInd w:val="0"/>
                    <w:snapToGrid w:val="0"/>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符合</w:t>
                  </w:r>
                </w:p>
              </w:tc>
            </w:tr>
          </w:tbl>
          <w:p w14:paraId="16F10732">
            <w:pPr>
              <w:pStyle w:val="112"/>
              <w:keepNext w:val="0"/>
              <w:keepLines w:val="0"/>
              <w:pageBreakBefore w:val="0"/>
              <w:widowControl w:val="0"/>
              <w:kinsoku/>
              <w:wordWrap/>
              <w:overflowPunct/>
              <w:topLinePunct w:val="0"/>
              <w:autoSpaceDE/>
              <w:autoSpaceDN/>
              <w:bidi w:val="0"/>
              <w:adjustRightInd/>
              <w:snapToGrid/>
              <w:spacing w:before="157" w:beforeLines="50"/>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表1-6    与陕西省“三线一单”环境管控单元管控要求对照表</w:t>
            </w:r>
          </w:p>
          <w:tbl>
            <w:tblPr>
              <w:tblStyle w:val="27"/>
              <w:tblW w:w="1266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74"/>
              <w:gridCol w:w="641"/>
              <w:gridCol w:w="859"/>
              <w:gridCol w:w="1665"/>
              <w:gridCol w:w="938"/>
              <w:gridCol w:w="4713"/>
              <w:gridCol w:w="1003"/>
              <w:gridCol w:w="1662"/>
              <w:gridCol w:w="707"/>
            </w:tblGrid>
            <w:tr w14:paraId="60BAE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87" w:type="pct"/>
                  <w:tcBorders>
                    <w:bottom w:val="single" w:color="000000" w:sz="4" w:space="0"/>
                    <w:right w:val="single" w:color="000000" w:sz="4" w:space="0"/>
                    <w:tl2br w:val="nil"/>
                  </w:tcBorders>
                  <w:shd w:val="clear" w:color="auto" w:fill="auto"/>
                  <w:vAlign w:val="center"/>
                </w:tcPr>
                <w:p w14:paraId="4FC1A358">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市</w:t>
                  </w:r>
                </w:p>
              </w:tc>
              <w:tc>
                <w:tcPr>
                  <w:tcW w:w="253" w:type="pct"/>
                  <w:tcBorders>
                    <w:left w:val="single" w:color="000000" w:sz="4" w:space="0"/>
                    <w:bottom w:val="single" w:color="000000" w:sz="4" w:space="0"/>
                    <w:right w:val="single" w:color="000000" w:sz="4" w:space="0"/>
                  </w:tcBorders>
                  <w:shd w:val="clear" w:color="auto" w:fill="auto"/>
                  <w:vAlign w:val="center"/>
                </w:tcPr>
                <w:p w14:paraId="59951E68">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区县</w:t>
                  </w:r>
                </w:p>
              </w:tc>
              <w:tc>
                <w:tcPr>
                  <w:tcW w:w="339" w:type="pct"/>
                  <w:tcBorders>
                    <w:left w:val="single" w:color="000000" w:sz="4" w:space="0"/>
                    <w:bottom w:val="single" w:color="000000" w:sz="4" w:space="0"/>
                    <w:right w:val="single" w:color="000000" w:sz="4" w:space="0"/>
                  </w:tcBorders>
                  <w:shd w:val="clear" w:color="auto" w:fill="auto"/>
                  <w:vAlign w:val="center"/>
                </w:tcPr>
                <w:p w14:paraId="69419EB6">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环境管控单元名称</w:t>
                  </w:r>
                </w:p>
              </w:tc>
              <w:tc>
                <w:tcPr>
                  <w:tcW w:w="657" w:type="pct"/>
                  <w:tcBorders>
                    <w:left w:val="single" w:color="000000" w:sz="4" w:space="0"/>
                    <w:bottom w:val="single" w:color="000000" w:sz="4" w:space="0"/>
                    <w:right w:val="single" w:color="000000" w:sz="4" w:space="0"/>
                  </w:tcBorders>
                  <w:shd w:val="clear" w:color="auto" w:fill="auto"/>
                  <w:vAlign w:val="center"/>
                </w:tcPr>
                <w:p w14:paraId="6E06A2EA">
                  <w:pPr>
                    <w:autoSpaceDE w:val="0"/>
                    <w:autoSpaceDN w:val="0"/>
                    <w:adjustRightInd w:val="0"/>
                    <w:snapToGrid w:val="0"/>
                    <w:jc w:val="center"/>
                    <w:rPr>
                      <w:b/>
                      <w:bCs w:val="0"/>
                      <w:color w:val="auto"/>
                      <w:kern w:val="0"/>
                      <w:szCs w:val="21"/>
                      <w:highlight w:val="none"/>
                    </w:rPr>
                  </w:pPr>
                  <w:r>
                    <w:rPr>
                      <w:b/>
                      <w:bCs w:val="0"/>
                      <w:color w:val="auto"/>
                      <w:kern w:val="0"/>
                      <w:szCs w:val="21"/>
                      <w:highlight w:val="none"/>
                    </w:rPr>
                    <w:t>单元要素属性</w:t>
                  </w:r>
                </w:p>
              </w:tc>
              <w:tc>
                <w:tcPr>
                  <w:tcW w:w="370" w:type="pct"/>
                  <w:tcBorders>
                    <w:left w:val="single" w:color="000000" w:sz="4" w:space="0"/>
                    <w:bottom w:val="single" w:color="000000" w:sz="4" w:space="0"/>
                    <w:right w:val="single" w:color="000000" w:sz="4" w:space="0"/>
                  </w:tcBorders>
                  <w:shd w:val="clear" w:color="auto" w:fill="auto"/>
                  <w:vAlign w:val="center"/>
                </w:tcPr>
                <w:p w14:paraId="4C249B95">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管控单元分类</w:t>
                  </w:r>
                </w:p>
              </w:tc>
              <w:tc>
                <w:tcPr>
                  <w:tcW w:w="1860" w:type="pct"/>
                  <w:tcBorders>
                    <w:left w:val="single" w:color="000000" w:sz="4" w:space="0"/>
                    <w:bottom w:val="single" w:color="000000" w:sz="4" w:space="0"/>
                    <w:right w:val="single" w:color="000000" w:sz="4" w:space="0"/>
                  </w:tcBorders>
                  <w:shd w:val="clear" w:color="auto" w:fill="auto"/>
                  <w:vAlign w:val="center"/>
                </w:tcPr>
                <w:p w14:paraId="7F1B27AC">
                  <w:pPr>
                    <w:autoSpaceDE w:val="0"/>
                    <w:autoSpaceDN w:val="0"/>
                    <w:adjustRightInd w:val="0"/>
                    <w:snapToGrid w:val="0"/>
                    <w:jc w:val="center"/>
                    <w:rPr>
                      <w:b/>
                      <w:bCs w:val="0"/>
                      <w:color w:val="auto"/>
                      <w:kern w:val="0"/>
                      <w:szCs w:val="21"/>
                      <w:highlight w:val="none"/>
                    </w:rPr>
                  </w:pPr>
                  <w:r>
                    <w:rPr>
                      <w:b/>
                      <w:bCs w:val="0"/>
                      <w:color w:val="auto"/>
                      <w:kern w:val="0"/>
                      <w:szCs w:val="21"/>
                      <w:highlight w:val="none"/>
                    </w:rPr>
                    <w:t>管控要求</w:t>
                  </w:r>
                </w:p>
              </w:tc>
              <w:tc>
                <w:tcPr>
                  <w:tcW w:w="396" w:type="pct"/>
                  <w:tcBorders>
                    <w:left w:val="single" w:color="000000" w:sz="4" w:space="0"/>
                    <w:bottom w:val="single" w:color="000000" w:sz="4" w:space="0"/>
                    <w:right w:val="single" w:color="000000" w:sz="4" w:space="0"/>
                  </w:tcBorders>
                  <w:shd w:val="clear" w:color="auto" w:fill="auto"/>
                  <w:vAlign w:val="center"/>
                </w:tcPr>
                <w:p w14:paraId="7B7397CA">
                  <w:pPr>
                    <w:autoSpaceDE w:val="0"/>
                    <w:autoSpaceDN w:val="0"/>
                    <w:adjustRightInd w:val="0"/>
                    <w:snapToGrid w:val="0"/>
                    <w:jc w:val="center"/>
                    <w:rPr>
                      <w:b/>
                      <w:bCs w:val="0"/>
                      <w:color w:val="auto"/>
                      <w:kern w:val="0"/>
                      <w:szCs w:val="21"/>
                      <w:highlight w:val="none"/>
                    </w:rPr>
                  </w:pPr>
                  <w:r>
                    <w:rPr>
                      <w:b/>
                      <w:bCs w:val="0"/>
                      <w:color w:val="auto"/>
                      <w:kern w:val="0"/>
                      <w:szCs w:val="21"/>
                      <w:highlight w:val="none"/>
                    </w:rPr>
                    <w:t>面积（m</w:t>
                  </w:r>
                  <w:r>
                    <w:rPr>
                      <w:b/>
                      <w:bCs w:val="0"/>
                      <w:color w:val="auto"/>
                      <w:kern w:val="0"/>
                      <w:szCs w:val="21"/>
                      <w:highlight w:val="none"/>
                      <w:vertAlign w:val="superscript"/>
                    </w:rPr>
                    <w:t>2</w:t>
                  </w:r>
                  <w:r>
                    <w:rPr>
                      <w:b/>
                      <w:bCs w:val="0"/>
                      <w:color w:val="auto"/>
                      <w:kern w:val="0"/>
                      <w:szCs w:val="21"/>
                      <w:highlight w:val="none"/>
                    </w:rPr>
                    <w:t>）</w:t>
                  </w:r>
                </w:p>
              </w:tc>
              <w:tc>
                <w:tcPr>
                  <w:tcW w:w="656" w:type="pct"/>
                  <w:tcBorders>
                    <w:left w:val="single" w:color="000000" w:sz="4" w:space="0"/>
                    <w:bottom w:val="single" w:color="000000" w:sz="4" w:space="0"/>
                    <w:right w:val="single" w:color="000000" w:sz="4" w:space="0"/>
                  </w:tcBorders>
                  <w:shd w:val="clear" w:color="auto" w:fill="auto"/>
                  <w:vAlign w:val="center"/>
                </w:tcPr>
                <w:p w14:paraId="7CB9FD92">
                  <w:pPr>
                    <w:autoSpaceDE w:val="0"/>
                    <w:autoSpaceDN w:val="0"/>
                    <w:adjustRightInd w:val="0"/>
                    <w:snapToGrid w:val="0"/>
                    <w:jc w:val="center"/>
                    <w:rPr>
                      <w:b/>
                      <w:bCs w:val="0"/>
                      <w:color w:val="auto"/>
                      <w:kern w:val="0"/>
                      <w:sz w:val="21"/>
                      <w:szCs w:val="21"/>
                      <w:highlight w:val="none"/>
                    </w:rPr>
                  </w:pPr>
                  <w:r>
                    <w:rPr>
                      <w:b/>
                      <w:bCs w:val="0"/>
                      <w:color w:val="auto"/>
                      <w:kern w:val="0"/>
                      <w:sz w:val="21"/>
                      <w:szCs w:val="21"/>
                      <w:highlight w:val="none"/>
                    </w:rPr>
                    <w:t>项目情况</w:t>
                  </w:r>
                </w:p>
              </w:tc>
              <w:tc>
                <w:tcPr>
                  <w:tcW w:w="279" w:type="pct"/>
                  <w:tcBorders>
                    <w:left w:val="single" w:color="000000" w:sz="4" w:space="0"/>
                    <w:bottom w:val="single" w:color="000000" w:sz="4" w:space="0"/>
                  </w:tcBorders>
                  <w:shd w:val="clear" w:color="auto" w:fill="auto"/>
                  <w:vAlign w:val="center"/>
                </w:tcPr>
                <w:p w14:paraId="1A0D86AC">
                  <w:pPr>
                    <w:autoSpaceDE w:val="0"/>
                    <w:autoSpaceDN w:val="0"/>
                    <w:adjustRightInd w:val="0"/>
                    <w:snapToGrid w:val="0"/>
                    <w:jc w:val="center"/>
                    <w:rPr>
                      <w:b/>
                      <w:bCs w:val="0"/>
                      <w:color w:val="auto"/>
                      <w:kern w:val="0"/>
                      <w:sz w:val="21"/>
                      <w:szCs w:val="21"/>
                      <w:highlight w:val="none"/>
                    </w:rPr>
                  </w:pPr>
                  <w:r>
                    <w:rPr>
                      <w:b/>
                      <w:bCs w:val="0"/>
                      <w:color w:val="auto"/>
                      <w:kern w:val="0"/>
                      <w:sz w:val="21"/>
                      <w:szCs w:val="21"/>
                      <w:highlight w:val="none"/>
                    </w:rPr>
                    <w:t>符合性</w:t>
                  </w:r>
                </w:p>
              </w:tc>
            </w:tr>
            <w:tr w14:paraId="77269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87" w:type="pct"/>
                  <w:vMerge w:val="restart"/>
                  <w:tcBorders>
                    <w:top w:val="single" w:color="000000" w:sz="4" w:space="0"/>
                    <w:bottom w:val="single" w:color="000000" w:sz="4" w:space="0"/>
                    <w:right w:val="single" w:color="000000" w:sz="4" w:space="0"/>
                  </w:tcBorders>
                  <w:shd w:val="clear" w:color="auto" w:fill="auto"/>
                  <w:vAlign w:val="center"/>
                </w:tcPr>
                <w:p w14:paraId="26FC60E6">
                  <w:pPr>
                    <w:autoSpaceDE w:val="0"/>
                    <w:autoSpaceDN w:val="0"/>
                    <w:adjustRightInd w:val="0"/>
                    <w:snapToGrid w:val="0"/>
                    <w:jc w:val="center"/>
                    <w:rPr>
                      <w:color w:val="auto"/>
                      <w:kern w:val="0"/>
                      <w:szCs w:val="21"/>
                      <w:highlight w:val="none"/>
                    </w:rPr>
                  </w:pPr>
                  <w:r>
                    <w:rPr>
                      <w:color w:val="auto"/>
                      <w:kern w:val="0"/>
                      <w:szCs w:val="21"/>
                      <w:highlight w:val="none"/>
                    </w:rPr>
                    <w:t>西安市</w:t>
                  </w:r>
                </w:p>
              </w:tc>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466307">
                  <w:pPr>
                    <w:autoSpaceDE w:val="0"/>
                    <w:autoSpaceDN w:val="0"/>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val="en-US" w:eastAsia="zh-CN"/>
                    </w:rPr>
                    <w:t>长安区</w:t>
                  </w:r>
                </w:p>
              </w:tc>
              <w:tc>
                <w:tcPr>
                  <w:tcW w:w="3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981861">
                  <w:pPr>
                    <w:autoSpaceDE w:val="0"/>
                    <w:autoSpaceDN w:val="0"/>
                    <w:adjustRightInd w:val="0"/>
                    <w:snapToGrid w:val="0"/>
                    <w:jc w:val="center"/>
                    <w:rPr>
                      <w:color w:val="auto"/>
                      <w:kern w:val="0"/>
                      <w:szCs w:val="21"/>
                      <w:highlight w:val="none"/>
                    </w:rPr>
                  </w:pPr>
                  <w:r>
                    <w:rPr>
                      <w:rFonts w:hint="eastAsia"/>
                      <w:color w:val="auto"/>
                      <w:kern w:val="0"/>
                      <w:szCs w:val="21"/>
                      <w:highlight w:val="none"/>
                      <w:lang w:val="en-US" w:eastAsia="zh-CN"/>
                    </w:rPr>
                    <w:t>长安区</w:t>
                  </w:r>
                  <w:r>
                    <w:rPr>
                      <w:color w:val="auto"/>
                      <w:kern w:val="0"/>
                      <w:szCs w:val="21"/>
                      <w:highlight w:val="none"/>
                    </w:rPr>
                    <w:t>重点管控单元</w:t>
                  </w:r>
                </w:p>
                <w:p w14:paraId="3661631E">
                  <w:pPr>
                    <w:autoSpaceDE w:val="0"/>
                    <w:autoSpaceDN w:val="0"/>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val="en-US" w:eastAsia="zh-CN"/>
                    </w:rPr>
                    <w:t>4</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3342C">
                  <w:pPr>
                    <w:autoSpaceDE w:val="0"/>
                    <w:autoSpaceDN w:val="0"/>
                    <w:adjustRightInd w:val="0"/>
                    <w:snapToGrid w:val="0"/>
                    <w:jc w:val="center"/>
                    <w:rPr>
                      <w:color w:val="auto"/>
                      <w:kern w:val="0"/>
                      <w:szCs w:val="21"/>
                      <w:highlight w:val="none"/>
                    </w:rPr>
                  </w:pPr>
                  <w:r>
                    <w:rPr>
                      <w:rFonts w:hint="eastAsia"/>
                      <w:color w:val="auto"/>
                      <w:kern w:val="0"/>
                      <w:szCs w:val="21"/>
                      <w:highlight w:val="none"/>
                    </w:rPr>
                    <w:t>大气环境布局敏感重点管控区、水环境城镇生活污染重点管控区、高污染燃料禁燃区</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C34EB">
                  <w:pPr>
                    <w:autoSpaceDE w:val="0"/>
                    <w:autoSpaceDN w:val="0"/>
                    <w:adjustRightInd w:val="0"/>
                    <w:snapToGrid w:val="0"/>
                    <w:jc w:val="center"/>
                    <w:rPr>
                      <w:color w:val="auto"/>
                      <w:kern w:val="0"/>
                      <w:szCs w:val="21"/>
                      <w:highlight w:val="none"/>
                    </w:rPr>
                  </w:pPr>
                  <w:r>
                    <w:rPr>
                      <w:color w:val="auto"/>
                      <w:kern w:val="0"/>
                      <w:szCs w:val="21"/>
                      <w:highlight w:val="none"/>
                    </w:rPr>
                    <w:t>空间布局约束</w:t>
                  </w:r>
                </w:p>
              </w:tc>
              <w:tc>
                <w:tcPr>
                  <w:tcW w:w="1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66A4B">
                  <w:pPr>
                    <w:autoSpaceDE w:val="0"/>
                    <w:autoSpaceDN w:val="0"/>
                    <w:adjustRightInd w:val="0"/>
                    <w:snapToGrid w:val="0"/>
                    <w:rPr>
                      <w:color w:val="auto"/>
                      <w:kern w:val="0"/>
                      <w:szCs w:val="21"/>
                      <w:highlight w:val="none"/>
                    </w:rPr>
                  </w:pPr>
                  <w:r>
                    <w:rPr>
                      <w:rFonts w:hint="eastAsia"/>
                      <w:color w:val="auto"/>
                      <w:kern w:val="0"/>
                      <w:szCs w:val="21"/>
                      <w:highlight w:val="none"/>
                    </w:rPr>
                    <w:t>大气环境布局敏感重点管控区</w:t>
                  </w:r>
                  <w:r>
                    <w:rPr>
                      <w:color w:val="auto"/>
                      <w:kern w:val="0"/>
                      <w:szCs w:val="21"/>
                      <w:highlight w:val="none"/>
                    </w:rPr>
                    <w:t>：</w:t>
                  </w:r>
                  <w:r>
                    <w:rPr>
                      <w:rFonts w:hint="eastAsia"/>
                      <w:color w:val="auto"/>
                      <w:kern w:val="0"/>
                      <w:szCs w:val="21"/>
                      <w:highlight w:val="none"/>
                    </w:rPr>
                    <w:t>1.严格控制新增《陕西省“两高”项目管理暂行目录》行业项目（民生等项目除外，后续对“两高”范围国家如有新规定的，从其规定）。2.严禁新增钢铁、焦化、水泥熟料、平板玻璃、电解铝、氧化铝、煤化工产能。3.推动重污染企业搬迁入园或依法关闭。水环境城镇生活污染重点管控区：1.持续推进城中村、老旧城区、城乡结合部污水截流、收集和城市雨污管道新建、改建。</w:t>
                  </w:r>
                  <w:r>
                    <w:rPr>
                      <w:color w:val="auto"/>
                      <w:kern w:val="0"/>
                      <w:szCs w:val="21"/>
                      <w:highlight w:val="none"/>
                    </w:rPr>
                    <w:t xml:space="preserve"> </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649E58">
                  <w:pPr>
                    <w:autoSpaceDE w:val="0"/>
                    <w:autoSpaceDN w:val="0"/>
                    <w:adjustRightInd w:val="0"/>
                    <w:snapToGrid w:val="0"/>
                    <w:jc w:val="center"/>
                    <w:rPr>
                      <w:rFonts w:hint="default" w:eastAsia="宋体"/>
                      <w:color w:val="auto"/>
                      <w:kern w:val="0"/>
                      <w:szCs w:val="21"/>
                      <w:highlight w:val="none"/>
                      <w:lang w:val="en-US" w:eastAsia="zh-CN"/>
                    </w:rPr>
                  </w:pPr>
                  <w:r>
                    <w:rPr>
                      <w:color w:val="auto"/>
                      <w:kern w:val="0"/>
                      <w:szCs w:val="21"/>
                      <w:highlight w:val="none"/>
                    </w:rPr>
                    <w:t>1</w:t>
                  </w:r>
                  <w:r>
                    <w:rPr>
                      <w:rFonts w:hint="eastAsia"/>
                      <w:color w:val="auto"/>
                      <w:kern w:val="0"/>
                      <w:szCs w:val="21"/>
                      <w:highlight w:val="none"/>
                      <w:lang w:val="en-US" w:eastAsia="zh-CN"/>
                    </w:rPr>
                    <w:t>207.22</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A5E91">
                  <w:pPr>
                    <w:autoSpaceDE w:val="0"/>
                    <w:autoSpaceDN w:val="0"/>
                    <w:adjustRightInd w:val="0"/>
                    <w:snapToGrid w:val="0"/>
                    <w:jc w:val="center"/>
                    <w:rPr>
                      <w:color w:val="auto"/>
                      <w:kern w:val="0"/>
                      <w:sz w:val="21"/>
                      <w:szCs w:val="21"/>
                      <w:highlight w:val="none"/>
                    </w:rPr>
                  </w:pPr>
                  <w:r>
                    <w:rPr>
                      <w:color w:val="auto"/>
                      <w:kern w:val="0"/>
                      <w:sz w:val="21"/>
                      <w:szCs w:val="21"/>
                      <w:highlight w:val="none"/>
                    </w:rPr>
                    <w:t>本项目为</w:t>
                  </w:r>
                  <w:r>
                    <w:rPr>
                      <w:rFonts w:hint="eastAsia"/>
                      <w:color w:val="auto"/>
                      <w:kern w:val="0"/>
                      <w:sz w:val="21"/>
                      <w:szCs w:val="21"/>
                      <w:highlight w:val="none"/>
                      <w:lang w:val="en-US" w:eastAsia="zh-CN"/>
                    </w:rPr>
                    <w:t>分析测试</w:t>
                  </w:r>
                  <w:r>
                    <w:rPr>
                      <w:color w:val="auto"/>
                      <w:kern w:val="0"/>
                      <w:sz w:val="21"/>
                      <w:szCs w:val="21"/>
                      <w:highlight w:val="none"/>
                    </w:rPr>
                    <w:t>实验室项目，</w:t>
                  </w:r>
                  <w:r>
                    <w:rPr>
                      <w:rFonts w:hint="eastAsia"/>
                      <w:color w:val="auto"/>
                      <w:kern w:val="0"/>
                      <w:sz w:val="21"/>
                      <w:szCs w:val="21"/>
                      <w:highlight w:val="none"/>
                      <w:lang w:val="en-US" w:eastAsia="zh-CN"/>
                    </w:rPr>
                    <w:t>不属于“两高”项目，不属于</w:t>
                  </w:r>
                  <w:r>
                    <w:rPr>
                      <w:rFonts w:hint="eastAsia"/>
                      <w:color w:val="auto"/>
                      <w:kern w:val="0"/>
                      <w:szCs w:val="21"/>
                      <w:highlight w:val="none"/>
                    </w:rPr>
                    <w:t>重污染企业</w:t>
                  </w:r>
                  <w:r>
                    <w:rPr>
                      <w:color w:val="auto"/>
                      <w:kern w:val="0"/>
                      <w:sz w:val="21"/>
                      <w:szCs w:val="21"/>
                      <w:highlight w:val="none"/>
                    </w:rPr>
                    <w:t>。</w:t>
                  </w:r>
                </w:p>
              </w:tc>
              <w:tc>
                <w:tcPr>
                  <w:tcW w:w="279" w:type="pct"/>
                  <w:tcBorders>
                    <w:top w:val="single" w:color="000000" w:sz="4" w:space="0"/>
                    <w:left w:val="single" w:color="000000" w:sz="4" w:space="0"/>
                    <w:bottom w:val="single" w:color="000000" w:sz="4" w:space="0"/>
                  </w:tcBorders>
                  <w:shd w:val="clear" w:color="auto" w:fill="auto"/>
                  <w:vAlign w:val="center"/>
                </w:tcPr>
                <w:p w14:paraId="22634E6F">
                  <w:pPr>
                    <w:autoSpaceDE w:val="0"/>
                    <w:autoSpaceDN w:val="0"/>
                    <w:adjustRightInd w:val="0"/>
                    <w:snapToGrid w:val="0"/>
                    <w:jc w:val="center"/>
                    <w:rPr>
                      <w:color w:val="auto"/>
                      <w:kern w:val="0"/>
                      <w:sz w:val="21"/>
                      <w:szCs w:val="21"/>
                      <w:highlight w:val="none"/>
                    </w:rPr>
                  </w:pPr>
                  <w:r>
                    <w:rPr>
                      <w:color w:val="auto"/>
                      <w:kern w:val="0"/>
                      <w:sz w:val="21"/>
                      <w:szCs w:val="21"/>
                      <w:highlight w:val="none"/>
                    </w:rPr>
                    <w:t>符合</w:t>
                  </w:r>
                </w:p>
              </w:tc>
            </w:tr>
            <w:tr w14:paraId="75F5C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04" w:hRule="atLeast"/>
                <w:jc w:val="center"/>
              </w:trPr>
              <w:tc>
                <w:tcPr>
                  <w:tcW w:w="187" w:type="pct"/>
                  <w:vMerge w:val="continue"/>
                  <w:tcBorders>
                    <w:top w:val="single" w:color="000000" w:sz="4" w:space="0"/>
                    <w:bottom w:val="single" w:color="000000" w:sz="4" w:space="0"/>
                    <w:right w:val="single" w:color="000000" w:sz="4" w:space="0"/>
                  </w:tcBorders>
                  <w:shd w:val="clear" w:color="auto" w:fill="auto"/>
                  <w:vAlign w:val="center"/>
                </w:tcPr>
                <w:p w14:paraId="33F62215">
                  <w:pPr>
                    <w:autoSpaceDE w:val="0"/>
                    <w:autoSpaceDN w:val="0"/>
                    <w:adjustRightInd w:val="0"/>
                    <w:snapToGrid w:val="0"/>
                    <w:jc w:val="center"/>
                    <w:rPr>
                      <w:color w:val="auto"/>
                      <w:szCs w:val="21"/>
                      <w:highlight w:val="none"/>
                    </w:rPr>
                  </w:pPr>
                </w:p>
              </w:tc>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6C531">
                  <w:pPr>
                    <w:autoSpaceDE w:val="0"/>
                    <w:autoSpaceDN w:val="0"/>
                    <w:adjustRightInd w:val="0"/>
                    <w:snapToGrid w:val="0"/>
                    <w:jc w:val="center"/>
                    <w:rPr>
                      <w:color w:val="auto"/>
                      <w:szCs w:val="21"/>
                      <w:highlight w:val="none"/>
                    </w:rPr>
                  </w:pPr>
                </w:p>
              </w:tc>
              <w:tc>
                <w:tcPr>
                  <w:tcW w:w="3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D0095">
                  <w:pPr>
                    <w:autoSpaceDE w:val="0"/>
                    <w:autoSpaceDN w:val="0"/>
                    <w:adjustRightInd w:val="0"/>
                    <w:snapToGrid w:val="0"/>
                    <w:jc w:val="center"/>
                    <w:rPr>
                      <w:color w:val="auto"/>
                      <w:szCs w:val="21"/>
                      <w:highlight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A50C3">
                  <w:pPr>
                    <w:autoSpaceDE w:val="0"/>
                    <w:autoSpaceDN w:val="0"/>
                    <w:adjustRightInd w:val="0"/>
                    <w:snapToGrid w:val="0"/>
                    <w:jc w:val="center"/>
                    <w:rPr>
                      <w:color w:val="auto"/>
                      <w:szCs w:val="21"/>
                      <w:highlight w:val="none"/>
                    </w:rPr>
                  </w:pPr>
                  <w:r>
                    <w:rPr>
                      <w:rFonts w:hint="eastAsia"/>
                      <w:color w:val="auto"/>
                      <w:szCs w:val="21"/>
                      <w:highlight w:val="none"/>
                    </w:rPr>
                    <w:t>/</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FC8C5">
                  <w:pPr>
                    <w:autoSpaceDE w:val="0"/>
                    <w:autoSpaceDN w:val="0"/>
                    <w:adjustRightInd w:val="0"/>
                    <w:snapToGrid w:val="0"/>
                    <w:jc w:val="center"/>
                    <w:rPr>
                      <w:color w:val="auto"/>
                      <w:kern w:val="0"/>
                      <w:szCs w:val="21"/>
                      <w:highlight w:val="none"/>
                    </w:rPr>
                  </w:pPr>
                  <w:r>
                    <w:rPr>
                      <w:color w:val="auto"/>
                      <w:kern w:val="0"/>
                      <w:szCs w:val="21"/>
                      <w:highlight w:val="none"/>
                    </w:rPr>
                    <w:t>污染物排放管控</w:t>
                  </w:r>
                </w:p>
              </w:tc>
              <w:tc>
                <w:tcPr>
                  <w:tcW w:w="1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CCD61">
                  <w:pPr>
                    <w:autoSpaceDE w:val="0"/>
                    <w:autoSpaceDN w:val="0"/>
                    <w:adjustRightInd w:val="0"/>
                    <w:snapToGrid w:val="0"/>
                    <w:jc w:val="center"/>
                    <w:rPr>
                      <w:color w:val="auto"/>
                      <w:kern w:val="0"/>
                      <w:szCs w:val="21"/>
                      <w:highlight w:val="none"/>
                    </w:rPr>
                  </w:pPr>
                  <w:r>
                    <w:rPr>
                      <w:rFonts w:hint="eastAsia"/>
                      <w:color w:val="auto"/>
                      <w:kern w:val="0"/>
                      <w:szCs w:val="21"/>
                      <w:highlight w:val="none"/>
                    </w:rPr>
                    <w:t>大气环境布局敏感重点管控区：1.鼓励将老旧车辆和非道路移动机械替换为清洁能源车辆。推进新能源或清洁能源汽车使用。水环境城镇生活污染重点管控区：1.加强城镇污水收集处理设施建设与提标改造。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E3868">
                  <w:pPr>
                    <w:autoSpaceDE w:val="0"/>
                    <w:autoSpaceDN w:val="0"/>
                    <w:adjustRightInd w:val="0"/>
                    <w:snapToGrid w:val="0"/>
                    <w:jc w:val="center"/>
                    <w:rPr>
                      <w:color w:val="auto"/>
                      <w:kern w:val="0"/>
                      <w:szCs w:val="21"/>
                      <w:highlight w:val="none"/>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E75CF">
                  <w:pPr>
                    <w:autoSpaceDE w:val="0"/>
                    <w:autoSpaceDN w:val="0"/>
                    <w:adjustRightInd w:val="0"/>
                    <w:snapToGrid w:val="0"/>
                    <w:jc w:val="center"/>
                    <w:rPr>
                      <w:rFonts w:hint="default" w:eastAsia="宋体"/>
                      <w:color w:val="auto"/>
                      <w:kern w:val="0"/>
                      <w:sz w:val="21"/>
                      <w:szCs w:val="21"/>
                      <w:highlight w:val="none"/>
                      <w:lang w:val="en-US" w:eastAsia="zh-CN"/>
                    </w:rPr>
                  </w:pPr>
                  <w:r>
                    <w:rPr>
                      <w:color w:val="auto"/>
                      <w:kern w:val="0"/>
                      <w:sz w:val="21"/>
                      <w:szCs w:val="21"/>
                      <w:highlight w:val="none"/>
                    </w:rPr>
                    <w:t>本项目为实验室项目，不涉及煤炭，本项目实验仪器等均使用电能，属于清洁能源。</w:t>
                  </w:r>
                  <w:r>
                    <w:rPr>
                      <w:rFonts w:hint="eastAsia"/>
                      <w:color w:val="auto"/>
                      <w:sz w:val="21"/>
                      <w:szCs w:val="21"/>
                      <w:highlight w:val="none"/>
                      <w:lang w:val="en-US" w:eastAsia="zh-CN"/>
                    </w:rPr>
                    <w:t>本项目</w:t>
                  </w:r>
                  <w:r>
                    <w:rPr>
                      <w:rFonts w:hint="eastAsia" w:ascii="Times New Roman" w:hAnsi="Times New Roman" w:eastAsia="宋体" w:cs="Times New Roman"/>
                      <w:color w:val="auto"/>
                      <w:sz w:val="21"/>
                      <w:szCs w:val="21"/>
                      <w:highlight w:val="none"/>
                      <w:lang w:val="en-US" w:eastAsia="zh-CN"/>
                    </w:rPr>
                    <w:t>实验废水经预处理后与生活污水一并排入化粪池，经处理后通过</w:t>
                  </w:r>
                  <w:r>
                    <w:rPr>
                      <w:rFonts w:hint="default" w:ascii="Times New Roman" w:hAnsi="Times New Roman" w:eastAsia="宋体" w:cs="Times New Roman"/>
                      <w:color w:val="auto"/>
                      <w:sz w:val="21"/>
                      <w:szCs w:val="21"/>
                      <w:highlight w:val="none"/>
                    </w:rPr>
                    <w:t>南侧污水管网排入沣东南污水处理厂</w:t>
                  </w:r>
                  <w:r>
                    <w:rPr>
                      <w:rFonts w:hint="eastAsia"/>
                      <w:color w:val="auto"/>
                      <w:sz w:val="21"/>
                      <w:szCs w:val="21"/>
                      <w:highlight w:val="none"/>
                      <w:lang w:val="en-US" w:eastAsia="zh-CN"/>
                    </w:rPr>
                    <w:t>。</w:t>
                  </w:r>
                </w:p>
              </w:tc>
              <w:tc>
                <w:tcPr>
                  <w:tcW w:w="279" w:type="pct"/>
                  <w:tcBorders>
                    <w:top w:val="single" w:color="000000" w:sz="4" w:space="0"/>
                    <w:left w:val="single" w:color="000000" w:sz="4" w:space="0"/>
                    <w:bottom w:val="single" w:color="000000" w:sz="4" w:space="0"/>
                  </w:tcBorders>
                  <w:shd w:val="clear" w:color="auto" w:fill="auto"/>
                  <w:vAlign w:val="center"/>
                </w:tcPr>
                <w:p w14:paraId="3791AF6E">
                  <w:pPr>
                    <w:autoSpaceDE w:val="0"/>
                    <w:autoSpaceDN w:val="0"/>
                    <w:adjustRightInd w:val="0"/>
                    <w:snapToGrid w:val="0"/>
                    <w:jc w:val="center"/>
                    <w:rPr>
                      <w:color w:val="auto"/>
                      <w:kern w:val="0"/>
                      <w:sz w:val="21"/>
                      <w:szCs w:val="21"/>
                      <w:highlight w:val="none"/>
                    </w:rPr>
                  </w:pPr>
                  <w:r>
                    <w:rPr>
                      <w:color w:val="auto"/>
                      <w:kern w:val="0"/>
                      <w:sz w:val="21"/>
                      <w:szCs w:val="21"/>
                      <w:highlight w:val="none"/>
                    </w:rPr>
                    <w:t>符合</w:t>
                  </w:r>
                </w:p>
              </w:tc>
            </w:tr>
            <w:tr w14:paraId="58143A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2" w:hRule="atLeast"/>
                <w:jc w:val="center"/>
              </w:trPr>
              <w:tc>
                <w:tcPr>
                  <w:tcW w:w="187" w:type="pct"/>
                  <w:vMerge w:val="continue"/>
                  <w:tcBorders>
                    <w:top w:val="single" w:color="000000" w:sz="4" w:space="0"/>
                    <w:bottom w:val="single" w:color="000000" w:sz="4" w:space="0"/>
                    <w:right w:val="single" w:color="000000" w:sz="4" w:space="0"/>
                  </w:tcBorders>
                  <w:shd w:val="clear" w:color="auto" w:fill="auto"/>
                  <w:vAlign w:val="center"/>
                </w:tcPr>
                <w:p w14:paraId="410B8976">
                  <w:pPr>
                    <w:autoSpaceDE w:val="0"/>
                    <w:autoSpaceDN w:val="0"/>
                    <w:adjustRightInd w:val="0"/>
                    <w:snapToGrid w:val="0"/>
                    <w:jc w:val="center"/>
                    <w:rPr>
                      <w:color w:val="auto"/>
                      <w:szCs w:val="21"/>
                      <w:highlight w:val="none"/>
                    </w:rPr>
                  </w:pPr>
                </w:p>
              </w:tc>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F9D89">
                  <w:pPr>
                    <w:autoSpaceDE w:val="0"/>
                    <w:autoSpaceDN w:val="0"/>
                    <w:adjustRightInd w:val="0"/>
                    <w:snapToGrid w:val="0"/>
                    <w:jc w:val="center"/>
                    <w:rPr>
                      <w:color w:val="auto"/>
                      <w:szCs w:val="21"/>
                      <w:highlight w:val="none"/>
                    </w:rPr>
                  </w:pPr>
                </w:p>
              </w:tc>
              <w:tc>
                <w:tcPr>
                  <w:tcW w:w="3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59DEB">
                  <w:pPr>
                    <w:autoSpaceDE w:val="0"/>
                    <w:autoSpaceDN w:val="0"/>
                    <w:adjustRightInd w:val="0"/>
                    <w:snapToGrid w:val="0"/>
                    <w:jc w:val="center"/>
                    <w:rPr>
                      <w:color w:val="auto"/>
                      <w:szCs w:val="21"/>
                      <w:highlight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8D425">
                  <w:pPr>
                    <w:autoSpaceDE w:val="0"/>
                    <w:autoSpaceDN w:val="0"/>
                    <w:adjustRightInd w:val="0"/>
                    <w:snapToGrid w:val="0"/>
                    <w:jc w:val="center"/>
                    <w:rPr>
                      <w:color w:val="auto"/>
                      <w:szCs w:val="21"/>
                      <w:highlight w:val="none"/>
                    </w:rPr>
                  </w:pPr>
                  <w:r>
                    <w:rPr>
                      <w:rFonts w:hint="eastAsia"/>
                      <w:color w:val="auto"/>
                      <w:szCs w:val="21"/>
                      <w:highlight w:val="none"/>
                    </w:rPr>
                    <w:t>/</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5FDAC">
                  <w:pPr>
                    <w:autoSpaceDE w:val="0"/>
                    <w:autoSpaceDN w:val="0"/>
                    <w:adjustRightInd w:val="0"/>
                    <w:snapToGrid w:val="0"/>
                    <w:jc w:val="center"/>
                    <w:rPr>
                      <w:color w:val="auto"/>
                      <w:kern w:val="0"/>
                      <w:szCs w:val="21"/>
                      <w:highlight w:val="none"/>
                    </w:rPr>
                  </w:pPr>
                  <w:r>
                    <w:rPr>
                      <w:rFonts w:hint="eastAsia"/>
                      <w:color w:val="auto"/>
                      <w:kern w:val="0"/>
                      <w:szCs w:val="21"/>
                      <w:highlight w:val="none"/>
                    </w:rPr>
                    <w:t>环境风险防控</w:t>
                  </w:r>
                </w:p>
              </w:tc>
              <w:tc>
                <w:tcPr>
                  <w:tcW w:w="1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AD167">
                  <w:pPr>
                    <w:autoSpaceDE w:val="0"/>
                    <w:autoSpaceDN w:val="0"/>
                    <w:adjustRightInd w:val="0"/>
                    <w:snapToGrid w:val="0"/>
                    <w:jc w:val="center"/>
                    <w:rPr>
                      <w:color w:val="auto"/>
                      <w:kern w:val="0"/>
                      <w:szCs w:val="21"/>
                      <w:highlight w:val="none"/>
                    </w:rPr>
                  </w:pPr>
                  <w:r>
                    <w:rPr>
                      <w:rFonts w:hint="eastAsia"/>
                      <w:color w:val="auto"/>
                      <w:kern w:val="0"/>
                      <w:szCs w:val="21"/>
                      <w:highlight w:val="none"/>
                    </w:rPr>
                    <w:t>/</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C7BFB">
                  <w:pPr>
                    <w:autoSpaceDE w:val="0"/>
                    <w:autoSpaceDN w:val="0"/>
                    <w:adjustRightInd w:val="0"/>
                    <w:snapToGrid w:val="0"/>
                    <w:jc w:val="center"/>
                    <w:rPr>
                      <w:color w:val="auto"/>
                      <w:kern w:val="0"/>
                      <w:szCs w:val="21"/>
                      <w:highlight w:val="none"/>
                    </w:rPr>
                  </w:pPr>
                  <w:r>
                    <w:rPr>
                      <w:rFonts w:hint="eastAsia"/>
                      <w:color w:val="auto"/>
                      <w:kern w:val="0"/>
                      <w:szCs w:val="21"/>
                      <w:highlight w:val="none"/>
                    </w:rPr>
                    <w:t>/</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50064">
                  <w:pPr>
                    <w:autoSpaceDE w:val="0"/>
                    <w:autoSpaceDN w:val="0"/>
                    <w:adjustRightInd w:val="0"/>
                    <w:snapToGrid w:val="0"/>
                    <w:jc w:val="center"/>
                    <w:rPr>
                      <w:color w:val="auto"/>
                      <w:kern w:val="0"/>
                      <w:sz w:val="21"/>
                      <w:szCs w:val="21"/>
                      <w:highlight w:val="none"/>
                    </w:rPr>
                  </w:pPr>
                  <w:r>
                    <w:rPr>
                      <w:rFonts w:hint="eastAsia"/>
                      <w:color w:val="auto"/>
                      <w:kern w:val="0"/>
                      <w:sz w:val="21"/>
                      <w:szCs w:val="21"/>
                      <w:highlight w:val="none"/>
                    </w:rPr>
                    <w:t>/</w:t>
                  </w:r>
                </w:p>
              </w:tc>
              <w:tc>
                <w:tcPr>
                  <w:tcW w:w="279" w:type="pct"/>
                  <w:tcBorders>
                    <w:top w:val="single" w:color="000000" w:sz="4" w:space="0"/>
                    <w:left w:val="single" w:color="000000" w:sz="4" w:space="0"/>
                    <w:bottom w:val="single" w:color="000000" w:sz="4" w:space="0"/>
                  </w:tcBorders>
                  <w:shd w:val="clear" w:color="auto" w:fill="auto"/>
                  <w:vAlign w:val="center"/>
                </w:tcPr>
                <w:p w14:paraId="3AA58BF0">
                  <w:pPr>
                    <w:autoSpaceDE w:val="0"/>
                    <w:autoSpaceDN w:val="0"/>
                    <w:adjustRightInd w:val="0"/>
                    <w:snapToGrid w:val="0"/>
                    <w:jc w:val="center"/>
                    <w:rPr>
                      <w:color w:val="auto"/>
                      <w:kern w:val="0"/>
                      <w:sz w:val="21"/>
                      <w:szCs w:val="21"/>
                      <w:highlight w:val="none"/>
                    </w:rPr>
                  </w:pPr>
                  <w:r>
                    <w:rPr>
                      <w:rFonts w:hint="eastAsia"/>
                      <w:color w:val="auto"/>
                      <w:kern w:val="0"/>
                      <w:sz w:val="21"/>
                      <w:szCs w:val="21"/>
                      <w:highlight w:val="none"/>
                    </w:rPr>
                    <w:t>/</w:t>
                  </w:r>
                </w:p>
              </w:tc>
            </w:tr>
            <w:tr w14:paraId="30D5B7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jc w:val="center"/>
              </w:trPr>
              <w:tc>
                <w:tcPr>
                  <w:tcW w:w="187" w:type="pct"/>
                  <w:vMerge w:val="continue"/>
                  <w:tcBorders>
                    <w:top w:val="single" w:color="000000" w:sz="4" w:space="0"/>
                    <w:right w:val="single" w:color="000000" w:sz="4" w:space="0"/>
                  </w:tcBorders>
                  <w:shd w:val="clear" w:color="auto" w:fill="auto"/>
                  <w:vAlign w:val="center"/>
                </w:tcPr>
                <w:p w14:paraId="36E44FA6">
                  <w:pPr>
                    <w:autoSpaceDE w:val="0"/>
                    <w:autoSpaceDN w:val="0"/>
                    <w:adjustRightInd w:val="0"/>
                    <w:snapToGrid w:val="0"/>
                    <w:jc w:val="center"/>
                    <w:rPr>
                      <w:color w:val="auto"/>
                      <w:szCs w:val="21"/>
                      <w:highlight w:val="none"/>
                    </w:rPr>
                  </w:pPr>
                </w:p>
              </w:tc>
              <w:tc>
                <w:tcPr>
                  <w:tcW w:w="253" w:type="pct"/>
                  <w:vMerge w:val="continue"/>
                  <w:tcBorders>
                    <w:top w:val="single" w:color="000000" w:sz="4" w:space="0"/>
                    <w:left w:val="single" w:color="000000" w:sz="4" w:space="0"/>
                    <w:right w:val="single" w:color="000000" w:sz="4" w:space="0"/>
                  </w:tcBorders>
                  <w:shd w:val="clear" w:color="auto" w:fill="auto"/>
                  <w:vAlign w:val="center"/>
                </w:tcPr>
                <w:p w14:paraId="5D2A40C4">
                  <w:pPr>
                    <w:autoSpaceDE w:val="0"/>
                    <w:autoSpaceDN w:val="0"/>
                    <w:adjustRightInd w:val="0"/>
                    <w:snapToGrid w:val="0"/>
                    <w:jc w:val="center"/>
                    <w:rPr>
                      <w:color w:val="auto"/>
                      <w:szCs w:val="21"/>
                      <w:highlight w:val="none"/>
                    </w:rPr>
                  </w:pPr>
                </w:p>
              </w:tc>
              <w:tc>
                <w:tcPr>
                  <w:tcW w:w="339" w:type="pct"/>
                  <w:vMerge w:val="continue"/>
                  <w:tcBorders>
                    <w:top w:val="single" w:color="000000" w:sz="4" w:space="0"/>
                    <w:left w:val="single" w:color="000000" w:sz="4" w:space="0"/>
                    <w:right w:val="single" w:color="000000" w:sz="4" w:space="0"/>
                  </w:tcBorders>
                  <w:shd w:val="clear" w:color="auto" w:fill="auto"/>
                  <w:vAlign w:val="center"/>
                </w:tcPr>
                <w:p w14:paraId="1B372340">
                  <w:pPr>
                    <w:autoSpaceDE w:val="0"/>
                    <w:autoSpaceDN w:val="0"/>
                    <w:adjustRightInd w:val="0"/>
                    <w:snapToGrid w:val="0"/>
                    <w:jc w:val="center"/>
                    <w:rPr>
                      <w:color w:val="auto"/>
                      <w:szCs w:val="21"/>
                      <w:highlight w:val="none"/>
                    </w:rPr>
                  </w:pPr>
                </w:p>
              </w:tc>
              <w:tc>
                <w:tcPr>
                  <w:tcW w:w="657" w:type="pct"/>
                  <w:tcBorders>
                    <w:top w:val="single" w:color="000000" w:sz="4" w:space="0"/>
                    <w:left w:val="single" w:color="000000" w:sz="4" w:space="0"/>
                    <w:right w:val="single" w:color="000000" w:sz="4" w:space="0"/>
                  </w:tcBorders>
                  <w:shd w:val="clear" w:color="auto" w:fill="auto"/>
                  <w:vAlign w:val="center"/>
                </w:tcPr>
                <w:p w14:paraId="73F2A512">
                  <w:pPr>
                    <w:autoSpaceDE w:val="0"/>
                    <w:autoSpaceDN w:val="0"/>
                    <w:adjustRightInd w:val="0"/>
                    <w:snapToGrid w:val="0"/>
                    <w:jc w:val="center"/>
                    <w:rPr>
                      <w:color w:val="auto"/>
                      <w:szCs w:val="21"/>
                      <w:highlight w:val="none"/>
                    </w:rPr>
                  </w:pPr>
                  <w:r>
                    <w:rPr>
                      <w:rFonts w:hint="eastAsia"/>
                      <w:color w:val="auto"/>
                      <w:szCs w:val="21"/>
                      <w:highlight w:val="none"/>
                    </w:rPr>
                    <w:t>/</w:t>
                  </w:r>
                </w:p>
              </w:tc>
              <w:tc>
                <w:tcPr>
                  <w:tcW w:w="370" w:type="pct"/>
                  <w:tcBorders>
                    <w:top w:val="single" w:color="000000" w:sz="4" w:space="0"/>
                    <w:left w:val="single" w:color="000000" w:sz="4" w:space="0"/>
                    <w:right w:val="single" w:color="000000" w:sz="4" w:space="0"/>
                  </w:tcBorders>
                  <w:shd w:val="clear" w:color="auto" w:fill="auto"/>
                  <w:vAlign w:val="center"/>
                </w:tcPr>
                <w:p w14:paraId="08BB3C24">
                  <w:pPr>
                    <w:autoSpaceDE w:val="0"/>
                    <w:autoSpaceDN w:val="0"/>
                    <w:adjustRightInd w:val="0"/>
                    <w:snapToGrid w:val="0"/>
                    <w:jc w:val="center"/>
                    <w:rPr>
                      <w:color w:val="auto"/>
                      <w:kern w:val="0"/>
                      <w:szCs w:val="21"/>
                      <w:highlight w:val="none"/>
                    </w:rPr>
                  </w:pPr>
                  <w:r>
                    <w:rPr>
                      <w:rFonts w:hint="eastAsia"/>
                      <w:color w:val="auto"/>
                      <w:kern w:val="0"/>
                      <w:szCs w:val="21"/>
                      <w:highlight w:val="none"/>
                    </w:rPr>
                    <w:t>资源开发效率要求</w:t>
                  </w:r>
                </w:p>
              </w:tc>
              <w:tc>
                <w:tcPr>
                  <w:tcW w:w="1860" w:type="pct"/>
                  <w:tcBorders>
                    <w:top w:val="single" w:color="000000" w:sz="4" w:space="0"/>
                    <w:left w:val="single" w:color="000000" w:sz="4" w:space="0"/>
                    <w:right w:val="single" w:color="000000" w:sz="4" w:space="0"/>
                  </w:tcBorders>
                  <w:shd w:val="clear" w:color="auto" w:fill="auto"/>
                  <w:vAlign w:val="center"/>
                </w:tcPr>
                <w:p w14:paraId="47E55C96">
                  <w:pPr>
                    <w:autoSpaceDE w:val="0"/>
                    <w:autoSpaceDN w:val="0"/>
                    <w:adjustRightInd w:val="0"/>
                    <w:snapToGrid w:val="0"/>
                    <w:jc w:val="center"/>
                    <w:rPr>
                      <w:color w:val="auto"/>
                      <w:kern w:val="0"/>
                      <w:szCs w:val="21"/>
                      <w:highlight w:val="none"/>
                    </w:rPr>
                  </w:pPr>
                  <w:r>
                    <w:rPr>
                      <w:rFonts w:hint="eastAsia"/>
                      <w:color w:val="auto"/>
                      <w:kern w:val="0"/>
                      <w:szCs w:val="21"/>
                      <w:highlight w:val="none"/>
                    </w:rPr>
                    <w:t>高污染燃料禁燃区：1.禁止销售、使用高污染燃料。禁止新建、扩建燃用高污染燃料的设施。已建成的，应当在市人民政府规定的期限内停止使用或者改用天然气、页岩气、煤层气、液化石油气、干热岩、电、太阳能或者其他清洁能源。2.禁止燃放烟花爆竹。</w:t>
                  </w:r>
                </w:p>
              </w:tc>
              <w:tc>
                <w:tcPr>
                  <w:tcW w:w="396" w:type="pct"/>
                  <w:tcBorders>
                    <w:top w:val="single" w:color="000000" w:sz="4" w:space="0"/>
                    <w:left w:val="single" w:color="000000" w:sz="4" w:space="0"/>
                    <w:right w:val="single" w:color="000000" w:sz="4" w:space="0"/>
                  </w:tcBorders>
                  <w:shd w:val="clear" w:color="auto" w:fill="auto"/>
                  <w:vAlign w:val="center"/>
                </w:tcPr>
                <w:p w14:paraId="5E1980F4">
                  <w:pPr>
                    <w:autoSpaceDE w:val="0"/>
                    <w:autoSpaceDN w:val="0"/>
                    <w:adjustRightInd w:val="0"/>
                    <w:snapToGrid w:val="0"/>
                    <w:jc w:val="center"/>
                    <w:rPr>
                      <w:color w:val="auto"/>
                      <w:kern w:val="0"/>
                      <w:szCs w:val="21"/>
                      <w:highlight w:val="none"/>
                    </w:rPr>
                  </w:pPr>
                  <w:r>
                    <w:rPr>
                      <w:rFonts w:hint="eastAsia"/>
                      <w:color w:val="auto"/>
                      <w:kern w:val="0"/>
                      <w:szCs w:val="21"/>
                      <w:highlight w:val="none"/>
                    </w:rPr>
                    <w:t>/</w:t>
                  </w:r>
                </w:p>
              </w:tc>
              <w:tc>
                <w:tcPr>
                  <w:tcW w:w="656" w:type="pct"/>
                  <w:tcBorders>
                    <w:top w:val="single" w:color="000000" w:sz="4" w:space="0"/>
                    <w:left w:val="single" w:color="000000" w:sz="4" w:space="0"/>
                    <w:right w:val="single" w:color="000000" w:sz="4" w:space="0"/>
                  </w:tcBorders>
                  <w:shd w:val="clear" w:color="auto" w:fill="auto"/>
                  <w:vAlign w:val="center"/>
                </w:tcPr>
                <w:p w14:paraId="3E555BCA">
                  <w:pPr>
                    <w:autoSpaceDE w:val="0"/>
                    <w:autoSpaceDN w:val="0"/>
                    <w:adjustRightInd w:val="0"/>
                    <w:snapToGrid w:val="0"/>
                    <w:jc w:val="center"/>
                    <w:rPr>
                      <w:rFonts w:hint="default"/>
                      <w:color w:val="auto"/>
                      <w:kern w:val="0"/>
                      <w:sz w:val="21"/>
                      <w:szCs w:val="21"/>
                      <w:highlight w:val="none"/>
                      <w:lang w:val="en-US"/>
                    </w:rPr>
                  </w:pPr>
                  <w:r>
                    <w:rPr>
                      <w:rFonts w:hint="eastAsia"/>
                      <w:color w:val="auto"/>
                      <w:sz w:val="21"/>
                      <w:szCs w:val="21"/>
                      <w:highlight w:val="none"/>
                      <w:lang w:val="en-US" w:eastAsia="zh-CN"/>
                    </w:rPr>
                    <w:t>本项目不涉及高污染燃料的使用及销售，无高污染燃料设施，所有使用的能源均为清洁能源；本项目不涉及燃放烟花爆竹的部分。</w:t>
                  </w:r>
                </w:p>
              </w:tc>
              <w:tc>
                <w:tcPr>
                  <w:tcW w:w="279" w:type="pct"/>
                  <w:tcBorders>
                    <w:top w:val="single" w:color="000000" w:sz="4" w:space="0"/>
                    <w:left w:val="single" w:color="000000" w:sz="4" w:space="0"/>
                  </w:tcBorders>
                  <w:shd w:val="clear" w:color="auto" w:fill="auto"/>
                  <w:vAlign w:val="center"/>
                </w:tcPr>
                <w:p w14:paraId="2981F3A0">
                  <w:pPr>
                    <w:autoSpaceDE w:val="0"/>
                    <w:autoSpaceDN w:val="0"/>
                    <w:adjustRightInd w:val="0"/>
                    <w:snapToGrid w:val="0"/>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符合</w:t>
                  </w:r>
                </w:p>
              </w:tc>
            </w:tr>
          </w:tbl>
          <w:p w14:paraId="5A69A858">
            <w:pPr>
              <w:autoSpaceDE w:val="0"/>
              <w:autoSpaceDN w:val="0"/>
              <w:adjustRightInd w:val="0"/>
              <w:snapToGrid w:val="0"/>
              <w:spacing w:line="360" w:lineRule="auto"/>
              <w:ind w:firstLine="480" w:firstLineChars="200"/>
              <w:rPr>
                <w:color w:val="auto"/>
                <w:kern w:val="0"/>
                <w:sz w:val="24"/>
                <w:highlight w:val="none"/>
              </w:rPr>
            </w:pPr>
          </w:p>
        </w:tc>
      </w:tr>
    </w:tbl>
    <w:p w14:paraId="772AD5C4">
      <w:pPr>
        <w:pStyle w:val="22"/>
        <w:spacing w:before="0" w:beforeAutospacing="0" w:after="0" w:afterAutospacing="0"/>
        <w:jc w:val="center"/>
        <w:rPr>
          <w:rFonts w:hint="eastAsia" w:ascii="黑体" w:hAnsi="黑体" w:eastAsia="黑体"/>
          <w:snapToGrid w:val="0"/>
          <w:color w:val="auto"/>
          <w:sz w:val="30"/>
          <w:szCs w:val="30"/>
          <w:highlight w:val="none"/>
          <w:lang w:eastAsia="zh-CN"/>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7"/>
        <w:tblW w:w="88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7824"/>
      </w:tblGrid>
      <w:tr w14:paraId="76961E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46" w:type="dxa"/>
            <w:noWrap w:val="0"/>
            <w:vAlign w:val="center"/>
          </w:tcPr>
          <w:p w14:paraId="75B96488">
            <w:pPr>
              <w:autoSpaceDE w:val="0"/>
              <w:autoSpaceDN w:val="0"/>
              <w:adjustRightInd w:val="0"/>
              <w:snapToGrid w:val="0"/>
              <w:jc w:val="center"/>
              <w:rPr>
                <w:color w:val="auto"/>
                <w:kern w:val="0"/>
                <w:sz w:val="24"/>
                <w:highlight w:val="none"/>
              </w:rPr>
            </w:pPr>
            <w:r>
              <w:rPr>
                <w:color w:val="auto"/>
                <w:kern w:val="0"/>
                <w:sz w:val="24"/>
                <w:highlight w:val="none"/>
              </w:rPr>
              <w:t>其他符合性分析</w:t>
            </w:r>
          </w:p>
        </w:tc>
        <w:tc>
          <w:tcPr>
            <w:tcW w:w="7824" w:type="dxa"/>
            <w:noWrap w:val="0"/>
            <w:vAlign w:val="center"/>
          </w:tcPr>
          <w:p w14:paraId="4C7B4ABB">
            <w:pPr>
              <w:keepNext w:val="0"/>
              <w:keepLines w:val="0"/>
              <w:pageBreakBefore w:val="0"/>
              <w:widowControl w:val="0"/>
              <w:kinsoku/>
              <w:wordWrap/>
              <w:overflowPunct/>
              <w:topLinePunct w:val="0"/>
              <w:autoSpaceDE/>
              <w:autoSpaceDN/>
              <w:bidi w:val="0"/>
              <w:adjustRightInd w:val="0"/>
              <w:snapToGrid/>
              <w:spacing w:before="157" w:beforeLines="50" w:line="360" w:lineRule="auto"/>
              <w:ind w:firstLine="482"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2、产业政策符合性</w:t>
            </w:r>
          </w:p>
          <w:p w14:paraId="09107343">
            <w:pPr>
              <w:pStyle w:val="75"/>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baseline"/>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本项目为检验实验室项目，根据《产业结构调整指导目录（202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年本）》，本项目属于其中鼓励类的</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三十一、科技服务业1．工业设计、气象、生物及医药、新材料、新能源、节能、环保、测绘、海洋等专业科技服务，标准化服务、计量测试、质量认证和检验检测服务，科技普及</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6B7EB136">
            <w:pPr>
              <w:pStyle w:val="75"/>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baseline"/>
              <w:rPr>
                <w:rFonts w:hint="default"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、与相关政策相符性分析</w:t>
            </w:r>
          </w:p>
          <w:p w14:paraId="3AE66475">
            <w:pPr>
              <w:pStyle w:val="75"/>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baseline"/>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4"/>
                <w:szCs w:val="24"/>
                <w:highlight w:val="none"/>
              </w:rPr>
              <w:t>本项目与相关的政策相符性分析见表</w:t>
            </w:r>
            <w:r>
              <w:rPr>
                <w:rFonts w:hint="eastAsia" w:ascii="Times New Roman" w:hAnsi="Times New Roman" w:eastAsia="宋体" w:cs="Times New Roman"/>
                <w:b w:val="0"/>
                <w:bCs w:val="0"/>
                <w:color w:val="auto"/>
                <w:sz w:val="24"/>
                <w:szCs w:val="24"/>
                <w:highlight w:val="none"/>
                <w:lang w:val="en-US" w:eastAsia="zh-CN"/>
              </w:rPr>
              <w:t>1-7</w:t>
            </w:r>
            <w:r>
              <w:rPr>
                <w:rFonts w:hint="default" w:ascii="Times New Roman" w:hAnsi="Times New Roman" w:eastAsia="宋体" w:cs="Times New Roman"/>
                <w:b w:val="0"/>
                <w:bCs w:val="0"/>
                <w:color w:val="auto"/>
                <w:sz w:val="24"/>
                <w:szCs w:val="24"/>
                <w:highlight w:val="none"/>
              </w:rPr>
              <w:t>。</w:t>
            </w:r>
          </w:p>
          <w:p w14:paraId="4693675E">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w:t>
            </w:r>
            <w:r>
              <w:rPr>
                <w:rFonts w:hint="eastAsia" w:ascii="Times New Roman" w:hAnsi="Times New Roman" w:eastAsia="宋体" w:cs="Times New Roman"/>
                <w:color w:val="auto"/>
                <w:highlight w:val="none"/>
                <w:lang w:val="en-US" w:eastAsia="zh-CN"/>
              </w:rPr>
              <w:t>1-7</w:t>
            </w:r>
            <w:r>
              <w:rPr>
                <w:rFonts w:hint="default" w:ascii="Times New Roman" w:hAnsi="Times New Roman" w:eastAsia="宋体" w:cs="Times New Roman"/>
                <w:color w:val="auto"/>
                <w:highlight w:val="none"/>
                <w:lang w:val="en-US" w:eastAsia="zh-CN"/>
              </w:rPr>
              <w:t xml:space="preserve">  建设项目相关政策符合性表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63"/>
              <w:gridCol w:w="1161"/>
              <w:gridCol w:w="2848"/>
              <w:gridCol w:w="2125"/>
              <w:gridCol w:w="811"/>
            </w:tblGrid>
            <w:tr w14:paraId="4CC05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706F6AD8">
                  <w:pPr>
                    <w:pStyle w:val="75"/>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763" w:type="pct"/>
                  <w:noWrap/>
                  <w:vAlign w:val="center"/>
                </w:tcPr>
                <w:p w14:paraId="5F586A78">
                  <w:pPr>
                    <w:pStyle w:val="75"/>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相关政策</w:t>
                  </w:r>
                </w:p>
              </w:tc>
              <w:tc>
                <w:tcPr>
                  <w:tcW w:w="1871" w:type="pct"/>
                  <w:noWrap/>
                  <w:vAlign w:val="center"/>
                </w:tcPr>
                <w:p w14:paraId="7E952CB6">
                  <w:pPr>
                    <w:pStyle w:val="75"/>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要求</w:t>
                  </w:r>
                </w:p>
              </w:tc>
              <w:tc>
                <w:tcPr>
                  <w:tcW w:w="1396" w:type="pct"/>
                  <w:noWrap/>
                  <w:vAlign w:val="center"/>
                </w:tcPr>
                <w:p w14:paraId="2A68C255">
                  <w:pPr>
                    <w:pStyle w:val="75"/>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说明</w:t>
                  </w:r>
                </w:p>
              </w:tc>
              <w:tc>
                <w:tcPr>
                  <w:tcW w:w="532" w:type="pct"/>
                  <w:noWrap/>
                  <w:vAlign w:val="center"/>
                </w:tcPr>
                <w:p w14:paraId="3EF726A9">
                  <w:pPr>
                    <w:pStyle w:val="75"/>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符合性</w:t>
                  </w:r>
                </w:p>
              </w:tc>
            </w:tr>
            <w:tr w14:paraId="7E1A4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35" w:type="pct"/>
                  <w:vMerge w:val="restart"/>
                  <w:noWrap/>
                  <w:vAlign w:val="center"/>
                </w:tcPr>
                <w:p w14:paraId="350FD7C1">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1</w:t>
                  </w:r>
                </w:p>
              </w:tc>
              <w:tc>
                <w:tcPr>
                  <w:tcW w:w="763" w:type="pct"/>
                  <w:vMerge w:val="restart"/>
                  <w:noWrap/>
                  <w:vAlign w:val="center"/>
                </w:tcPr>
                <w:p w14:paraId="1322F68E">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《陕西省</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十四五</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生态环境保护规划》</w:t>
                  </w:r>
                </w:p>
              </w:tc>
              <w:tc>
                <w:tcPr>
                  <w:tcW w:w="1871" w:type="pct"/>
                  <w:noWrap/>
                  <w:vAlign w:val="center"/>
                </w:tcPr>
                <w:p w14:paraId="22838D1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全面落实《挥发性有机物无组织排放控制标准（GB37822-2019）》要求，局部气体收集措施，输送管道应密闭，收集系统应在负压下运行。</w:t>
                  </w:r>
                </w:p>
              </w:tc>
              <w:tc>
                <w:tcPr>
                  <w:tcW w:w="1396" w:type="pct"/>
                  <w:noWrap/>
                  <w:vAlign w:val="center"/>
                </w:tcPr>
                <w:p w14:paraId="65C5285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本项目实验过程产生的挥发性有机废气和酸性废气（氯化氢、硫酸雾、NOx、氟化物）</w:t>
                  </w:r>
                  <w:r>
                    <w:rPr>
                      <w:rFonts w:hint="eastAsia" w:ascii="Times New Roman" w:hAnsi="Times New Roman" w:cs="Times New Roman" w:eastAsiaTheme="minorEastAsia"/>
                      <w:b w:val="0"/>
                      <w:bCs w:val="0"/>
                      <w:color w:val="auto"/>
                      <w:sz w:val="21"/>
                      <w:szCs w:val="21"/>
                      <w:highlight w:val="none"/>
                      <w:lang w:eastAsia="zh-CN"/>
                    </w:rPr>
                    <w:t>、</w:t>
                  </w:r>
                  <w:r>
                    <w:rPr>
                      <w:rFonts w:hint="eastAsia" w:ascii="Times New Roman" w:hAnsi="Times New Roman" w:cs="Times New Roman" w:eastAsiaTheme="minorEastAsia"/>
                      <w:b w:val="0"/>
                      <w:bCs w:val="0"/>
                      <w:color w:val="auto"/>
                      <w:sz w:val="21"/>
                      <w:szCs w:val="21"/>
                      <w:highlight w:val="none"/>
                      <w:lang w:val="en-US" w:eastAsia="zh-CN"/>
                    </w:rPr>
                    <w:t>碎样颗粒物</w:t>
                  </w:r>
                  <w:r>
                    <w:rPr>
                      <w:rFonts w:hint="default" w:ascii="Times New Roman" w:hAnsi="Times New Roman" w:cs="Times New Roman" w:eastAsiaTheme="minorEastAsia"/>
                      <w:b w:val="0"/>
                      <w:bCs w:val="0"/>
                      <w:color w:val="auto"/>
                      <w:sz w:val="21"/>
                      <w:szCs w:val="21"/>
                      <w:highlight w:val="none"/>
                    </w:rPr>
                    <w:t>，其中挥发性有机废气经通风橱收集后通过二级活性炭处理后经23m高排气筒达标排放，酸性废气经通风橱收集后通过碱液洗涤塔处理后经23m高排气筒达标排放，碎样粉尘经三面集气罩收集后，通过布袋除尘器处理后经23m高排气筒达标排放。本项目所用的有机溶剂在非取用状态时均以瓶装、加盖、封口的方式存于库房内。</w:t>
                  </w:r>
                </w:p>
              </w:tc>
              <w:tc>
                <w:tcPr>
                  <w:tcW w:w="532" w:type="pct"/>
                  <w:noWrap/>
                  <w:vAlign w:val="center"/>
                </w:tcPr>
                <w:p w14:paraId="5721CF30">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14:paraId="40216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19712E9C">
                  <w:pPr>
                    <w:pStyle w:val="75"/>
                    <w:jc w:val="center"/>
                    <w:rPr>
                      <w:rFonts w:hint="default" w:ascii="Times New Roman" w:hAnsi="Times New Roman" w:cs="Times New Roman" w:eastAsiaTheme="minorEastAsia"/>
                      <w:b w:val="0"/>
                      <w:bCs w:val="0"/>
                      <w:color w:val="auto"/>
                      <w:sz w:val="21"/>
                      <w:szCs w:val="21"/>
                      <w:highlight w:val="none"/>
                    </w:rPr>
                  </w:pPr>
                </w:p>
              </w:tc>
              <w:tc>
                <w:tcPr>
                  <w:tcW w:w="763" w:type="pct"/>
                  <w:vMerge w:val="continue"/>
                  <w:noWrap/>
                  <w:vAlign w:val="center"/>
                </w:tcPr>
                <w:p w14:paraId="2415D0F8">
                  <w:pPr>
                    <w:pStyle w:val="75"/>
                    <w:jc w:val="center"/>
                    <w:rPr>
                      <w:rFonts w:hint="default" w:ascii="Times New Roman" w:hAnsi="Times New Roman" w:cs="Times New Roman" w:eastAsiaTheme="minorEastAsia"/>
                      <w:b w:val="0"/>
                      <w:bCs w:val="0"/>
                      <w:color w:val="auto"/>
                      <w:sz w:val="21"/>
                      <w:szCs w:val="21"/>
                      <w:highlight w:val="none"/>
                    </w:rPr>
                  </w:pPr>
                </w:p>
              </w:tc>
              <w:tc>
                <w:tcPr>
                  <w:tcW w:w="1871" w:type="pct"/>
                  <w:noWrap/>
                  <w:vAlign w:val="center"/>
                </w:tcPr>
                <w:p w14:paraId="5015D4AE">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加强危险废物收集处理处置；强化危险废物全过程监管，依法将危险废物纳入排污许可管理</w:t>
                  </w:r>
                </w:p>
              </w:tc>
              <w:tc>
                <w:tcPr>
                  <w:tcW w:w="1396" w:type="pct"/>
                  <w:noWrap/>
                  <w:vAlign w:val="center"/>
                </w:tcPr>
                <w:p w14:paraId="563D0E87">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新建</w:t>
                  </w:r>
                  <w:r>
                    <w:rPr>
                      <w:rFonts w:hint="default" w:ascii="Times New Roman" w:hAnsi="Times New Roman" w:cs="Times New Roman" w:eastAsiaTheme="minorEastAsia"/>
                      <w:b w:val="0"/>
                      <w:bCs w:val="0"/>
                      <w:color w:val="auto"/>
                      <w:sz w:val="21"/>
                      <w:szCs w:val="21"/>
                      <w:highlight w:val="none"/>
                      <w:lang w:val="en-US" w:eastAsia="zh-CN"/>
                    </w:rPr>
                    <w:t>15</w:t>
                  </w:r>
                  <w:r>
                    <w:rPr>
                      <w:rFonts w:hint="default" w:ascii="Times New Roman" w:hAnsi="Times New Roman" w:cs="Times New Roman" w:eastAsiaTheme="minorEastAsia"/>
                      <w:b w:val="0"/>
                      <w:bCs w:val="0"/>
                      <w:color w:val="auto"/>
                      <w:sz w:val="21"/>
                      <w:szCs w:val="21"/>
                      <w:highlight w:val="none"/>
                    </w:rPr>
                    <w:t>m</w:t>
                  </w:r>
                  <w:r>
                    <w:rPr>
                      <w:rFonts w:hint="default" w:ascii="Times New Roman" w:hAnsi="Times New Roman" w:cs="Times New Roman" w:eastAsiaTheme="minorEastAsia"/>
                      <w:b w:val="0"/>
                      <w:bCs w:val="0"/>
                      <w:color w:val="auto"/>
                      <w:sz w:val="21"/>
                      <w:szCs w:val="21"/>
                      <w:highlight w:val="none"/>
                      <w:vertAlign w:val="superscript"/>
                    </w:rPr>
                    <w:t>2</w:t>
                  </w:r>
                  <w:r>
                    <w:rPr>
                      <w:rFonts w:hint="default" w:ascii="Times New Roman" w:hAnsi="Times New Roman" w:cs="Times New Roman" w:eastAsiaTheme="minorEastAsia"/>
                      <w:b w:val="0"/>
                      <w:bCs w:val="0"/>
                      <w:color w:val="auto"/>
                      <w:sz w:val="21"/>
                      <w:szCs w:val="21"/>
                      <w:highlight w:val="none"/>
                    </w:rPr>
                    <w:t>危</w:t>
                  </w:r>
                  <w:r>
                    <w:rPr>
                      <w:rFonts w:hint="default" w:ascii="Times New Roman" w:hAnsi="Times New Roman" w:cs="Times New Roman" w:eastAsiaTheme="minorEastAsia"/>
                      <w:b w:val="0"/>
                      <w:bCs w:val="0"/>
                      <w:color w:val="auto"/>
                      <w:sz w:val="21"/>
                      <w:szCs w:val="21"/>
                      <w:highlight w:val="none"/>
                      <w:lang w:val="en-US" w:eastAsia="zh-CN"/>
                    </w:rPr>
                    <w:t>废贮存库</w:t>
                  </w:r>
                  <w:r>
                    <w:rPr>
                      <w:rFonts w:hint="default" w:ascii="Times New Roman" w:hAnsi="Times New Roman" w:cs="Times New Roman" w:eastAsiaTheme="minorEastAsia"/>
                      <w:b w:val="0"/>
                      <w:bCs w:val="0"/>
                      <w:color w:val="auto"/>
                      <w:sz w:val="21"/>
                      <w:szCs w:val="21"/>
                      <w:highlight w:val="none"/>
                    </w:rPr>
                    <w:t>，建立管理台账。</w:t>
                  </w:r>
                </w:p>
              </w:tc>
              <w:tc>
                <w:tcPr>
                  <w:tcW w:w="532" w:type="pct"/>
                  <w:noWrap/>
                  <w:vAlign w:val="center"/>
                </w:tcPr>
                <w:p w14:paraId="0CC97F53">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14:paraId="6FD1C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2AD3FA93">
                  <w:pPr>
                    <w:pStyle w:val="75"/>
                    <w:jc w:val="center"/>
                    <w:rPr>
                      <w:rFonts w:hint="default" w:ascii="Times New Roman" w:hAnsi="Times New Roman" w:cs="Times New Roman" w:eastAsiaTheme="minorEastAsia"/>
                      <w:b w:val="0"/>
                      <w:bCs w:val="0"/>
                      <w:color w:val="auto"/>
                      <w:sz w:val="21"/>
                      <w:szCs w:val="21"/>
                      <w:highlight w:val="none"/>
                    </w:rPr>
                  </w:pPr>
                </w:p>
              </w:tc>
              <w:tc>
                <w:tcPr>
                  <w:tcW w:w="763" w:type="pct"/>
                  <w:vMerge w:val="continue"/>
                  <w:noWrap/>
                  <w:vAlign w:val="center"/>
                </w:tcPr>
                <w:p w14:paraId="5718BE2D">
                  <w:pPr>
                    <w:pStyle w:val="75"/>
                    <w:jc w:val="center"/>
                    <w:rPr>
                      <w:rFonts w:hint="default" w:ascii="Times New Roman" w:hAnsi="Times New Roman" w:cs="Times New Roman" w:eastAsiaTheme="minorEastAsia"/>
                      <w:b w:val="0"/>
                      <w:bCs w:val="0"/>
                      <w:color w:val="auto"/>
                      <w:sz w:val="21"/>
                      <w:szCs w:val="21"/>
                      <w:highlight w:val="none"/>
                    </w:rPr>
                  </w:pPr>
                </w:p>
              </w:tc>
              <w:tc>
                <w:tcPr>
                  <w:tcW w:w="1871" w:type="pct"/>
                  <w:noWrap/>
                  <w:vAlign w:val="center"/>
                </w:tcPr>
                <w:p w14:paraId="7256C23F">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强化土壤污染源头控制</w:t>
                  </w:r>
                </w:p>
              </w:tc>
              <w:tc>
                <w:tcPr>
                  <w:tcW w:w="1396" w:type="pct"/>
                  <w:vMerge w:val="restart"/>
                  <w:noWrap/>
                  <w:vAlign w:val="center"/>
                </w:tcPr>
                <w:p w14:paraId="5B538A1D">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本项目</w:t>
                  </w:r>
                  <w:r>
                    <w:rPr>
                      <w:rFonts w:hint="default" w:ascii="Times New Roman" w:hAnsi="Times New Roman" w:cs="Times New Roman" w:eastAsiaTheme="minorEastAsia"/>
                      <w:b w:val="0"/>
                      <w:bCs w:val="0"/>
                      <w:color w:val="auto"/>
                      <w:sz w:val="21"/>
                      <w:szCs w:val="21"/>
                      <w:highlight w:val="none"/>
                      <w:lang w:val="en-US" w:eastAsia="zh-CN"/>
                    </w:rPr>
                    <w:t>原料存贮于防渗原料库内，危废暂存于防渗危废</w:t>
                  </w:r>
                  <w:r>
                    <w:rPr>
                      <w:rFonts w:hint="eastAsia" w:ascii="Times New Roman" w:hAnsi="Times New Roman" w:cs="Times New Roman" w:eastAsiaTheme="minorEastAsia"/>
                      <w:b w:val="0"/>
                      <w:bCs w:val="0"/>
                      <w:color w:val="auto"/>
                      <w:sz w:val="21"/>
                      <w:szCs w:val="21"/>
                      <w:highlight w:val="none"/>
                      <w:lang w:val="en-US" w:eastAsia="zh-CN"/>
                    </w:rPr>
                    <w:t>贮</w:t>
                  </w:r>
                  <w:r>
                    <w:rPr>
                      <w:rFonts w:hint="default" w:ascii="Times New Roman" w:hAnsi="Times New Roman" w:cs="Times New Roman" w:eastAsiaTheme="minorEastAsia"/>
                      <w:b w:val="0"/>
                      <w:bCs w:val="0"/>
                      <w:color w:val="auto"/>
                      <w:sz w:val="21"/>
                      <w:szCs w:val="21"/>
                      <w:highlight w:val="none"/>
                      <w:lang w:val="en-US" w:eastAsia="zh-CN"/>
                    </w:rPr>
                    <w:t>存库内</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lang w:val="en-US" w:eastAsia="zh-CN"/>
                    </w:rPr>
                    <w:t>实验操作过程中严格避免跑、冒、滴、漏，防</w:t>
                  </w:r>
                  <w:r>
                    <w:rPr>
                      <w:rFonts w:hint="eastAsia" w:ascii="Times New Roman" w:hAnsi="Times New Roman" w:cs="Times New Roman" w:eastAsiaTheme="minorEastAsia"/>
                      <w:b w:val="0"/>
                      <w:bCs w:val="0"/>
                      <w:color w:val="auto"/>
                      <w:sz w:val="21"/>
                      <w:szCs w:val="21"/>
                      <w:highlight w:val="none"/>
                      <w:lang w:val="en-US" w:eastAsia="zh-CN"/>
                    </w:rPr>
                    <w:t>止</w:t>
                  </w:r>
                  <w:r>
                    <w:rPr>
                      <w:rFonts w:hint="default" w:ascii="Times New Roman" w:hAnsi="Times New Roman" w:cs="Times New Roman" w:eastAsiaTheme="minorEastAsia"/>
                      <w:b w:val="0"/>
                      <w:bCs w:val="0"/>
                      <w:color w:val="auto"/>
                      <w:sz w:val="21"/>
                      <w:szCs w:val="21"/>
                      <w:highlight w:val="none"/>
                      <w:lang w:val="en-US" w:eastAsia="zh-CN"/>
                    </w:rPr>
                    <w:t>对地下水及土壤的污染。</w:t>
                  </w:r>
                </w:p>
              </w:tc>
              <w:tc>
                <w:tcPr>
                  <w:tcW w:w="532" w:type="pct"/>
                  <w:noWrap/>
                  <w:vAlign w:val="center"/>
                </w:tcPr>
                <w:p w14:paraId="0C7AEA74">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14:paraId="61BDD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60B44440">
                  <w:pPr>
                    <w:pStyle w:val="75"/>
                    <w:jc w:val="center"/>
                    <w:rPr>
                      <w:rFonts w:hint="default" w:ascii="Times New Roman" w:hAnsi="Times New Roman" w:cs="Times New Roman" w:eastAsiaTheme="minorEastAsia"/>
                      <w:b w:val="0"/>
                      <w:bCs w:val="0"/>
                      <w:color w:val="auto"/>
                      <w:sz w:val="21"/>
                      <w:szCs w:val="21"/>
                      <w:highlight w:val="none"/>
                    </w:rPr>
                  </w:pPr>
                </w:p>
              </w:tc>
              <w:tc>
                <w:tcPr>
                  <w:tcW w:w="763" w:type="pct"/>
                  <w:vMerge w:val="continue"/>
                  <w:noWrap/>
                  <w:vAlign w:val="center"/>
                </w:tcPr>
                <w:p w14:paraId="45F79C11">
                  <w:pPr>
                    <w:pStyle w:val="75"/>
                    <w:jc w:val="center"/>
                    <w:rPr>
                      <w:rFonts w:hint="default" w:ascii="Times New Roman" w:hAnsi="Times New Roman" w:cs="Times New Roman" w:eastAsiaTheme="minorEastAsia"/>
                      <w:b w:val="0"/>
                      <w:bCs w:val="0"/>
                      <w:color w:val="auto"/>
                      <w:sz w:val="21"/>
                      <w:szCs w:val="21"/>
                      <w:highlight w:val="none"/>
                    </w:rPr>
                  </w:pPr>
                </w:p>
              </w:tc>
              <w:tc>
                <w:tcPr>
                  <w:tcW w:w="1871" w:type="pct"/>
                  <w:noWrap/>
                  <w:vAlign w:val="center"/>
                </w:tcPr>
                <w:p w14:paraId="34FBFE64">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加强地下水污染源头预防</w:t>
                  </w:r>
                </w:p>
              </w:tc>
              <w:tc>
                <w:tcPr>
                  <w:tcW w:w="1396" w:type="pct"/>
                  <w:vMerge w:val="continue"/>
                  <w:noWrap/>
                  <w:vAlign w:val="center"/>
                </w:tcPr>
                <w:p w14:paraId="71061F19">
                  <w:pPr>
                    <w:pStyle w:val="75"/>
                    <w:jc w:val="left"/>
                    <w:rPr>
                      <w:rFonts w:hint="default" w:ascii="Times New Roman" w:hAnsi="Times New Roman" w:cs="Times New Roman" w:eastAsiaTheme="minorEastAsia"/>
                      <w:b w:val="0"/>
                      <w:bCs w:val="0"/>
                      <w:color w:val="auto"/>
                      <w:sz w:val="21"/>
                      <w:szCs w:val="21"/>
                      <w:highlight w:val="none"/>
                    </w:rPr>
                  </w:pPr>
                </w:p>
              </w:tc>
              <w:tc>
                <w:tcPr>
                  <w:tcW w:w="532" w:type="pct"/>
                  <w:noWrap/>
                  <w:vAlign w:val="center"/>
                </w:tcPr>
                <w:p w14:paraId="3A3BF97A">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14:paraId="459DF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1225B646">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2</w:t>
                  </w:r>
                </w:p>
              </w:tc>
              <w:tc>
                <w:tcPr>
                  <w:tcW w:w="763" w:type="pct"/>
                  <w:noWrap/>
                  <w:vAlign w:val="center"/>
                </w:tcPr>
                <w:p w14:paraId="7E3463B5">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《挥发性有机物无组织排放控制标准》（GB37822-2019）</w:t>
                  </w:r>
                </w:p>
              </w:tc>
              <w:tc>
                <w:tcPr>
                  <w:tcW w:w="1871" w:type="pct"/>
                  <w:noWrap/>
                  <w:vAlign w:val="center"/>
                </w:tcPr>
                <w:p w14:paraId="34084FE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VOCs物料应储存于密闭的容器、包装袋、储罐、储库、料仓中。</w:t>
                  </w:r>
                </w:p>
              </w:tc>
              <w:tc>
                <w:tcPr>
                  <w:tcW w:w="1396" w:type="pct"/>
                  <w:noWrap/>
                  <w:vAlign w:val="center"/>
                </w:tcPr>
                <w:p w14:paraId="45271119">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snapToGrid w:val="0"/>
                      <w:color w:val="auto"/>
                      <w:kern w:val="0"/>
                      <w:sz w:val="21"/>
                      <w:szCs w:val="21"/>
                      <w:highlight w:val="none"/>
                      <w:lang w:val="en-US" w:eastAsia="zh-CN" w:bidi="ar"/>
                    </w:rPr>
                    <w:t>本项目有机废气主要来自实验试剂，使用量较小，使用过程在封闭实验室，使用后密封存放，减少无组织挥发。针对低浓度有机废气，项目拟采用</w:t>
                  </w:r>
                  <w:r>
                    <w:rPr>
                      <w:rFonts w:hint="default" w:ascii="Times New Roman" w:hAnsi="Times New Roman" w:cs="Times New Roman" w:eastAsiaTheme="minorEastAsia"/>
                      <w:color w:val="auto"/>
                      <w:sz w:val="21"/>
                      <w:szCs w:val="21"/>
                      <w:highlight w:val="none"/>
                      <w:lang w:val="en-US" w:eastAsia="zh-CN" w:bidi="ar"/>
                    </w:rPr>
                    <w:t>通风</w:t>
                  </w:r>
                  <w:r>
                    <w:rPr>
                      <w:rFonts w:hint="eastAsia" w:ascii="Times New Roman" w:hAnsi="Times New Roman" w:cs="Times New Roman" w:eastAsiaTheme="minorEastAsia"/>
                      <w:color w:val="auto"/>
                      <w:sz w:val="21"/>
                      <w:szCs w:val="21"/>
                      <w:highlight w:val="none"/>
                      <w:lang w:val="en-US" w:eastAsia="zh-CN" w:bidi="ar"/>
                    </w:rPr>
                    <w:t>橱</w:t>
                  </w:r>
                  <w:r>
                    <w:rPr>
                      <w:rFonts w:hint="default" w:ascii="Times New Roman" w:hAnsi="Times New Roman" w:cs="Times New Roman" w:eastAsiaTheme="minorEastAsia"/>
                      <w:snapToGrid w:val="0"/>
                      <w:color w:val="auto"/>
                      <w:kern w:val="0"/>
                      <w:sz w:val="21"/>
                      <w:szCs w:val="21"/>
                      <w:highlight w:val="none"/>
                      <w:lang w:val="en-US" w:eastAsia="zh-CN" w:bidi="ar"/>
                    </w:rPr>
                    <w:t>+</w:t>
                  </w:r>
                  <w:r>
                    <w:rPr>
                      <w:rFonts w:hint="eastAsia" w:ascii="Times New Roman" w:hAnsi="Times New Roman" w:cs="Times New Roman" w:eastAsiaTheme="minorEastAsia"/>
                      <w:snapToGrid w:val="0"/>
                      <w:color w:val="auto"/>
                      <w:kern w:val="0"/>
                      <w:sz w:val="21"/>
                      <w:szCs w:val="21"/>
                      <w:highlight w:val="none"/>
                      <w:lang w:val="en-US" w:eastAsia="zh-CN" w:bidi="ar"/>
                    </w:rPr>
                    <w:t>二级</w:t>
                  </w:r>
                  <w:r>
                    <w:rPr>
                      <w:rFonts w:hint="default" w:ascii="Times New Roman" w:hAnsi="Times New Roman" w:cs="Times New Roman" w:eastAsiaTheme="minorEastAsia"/>
                      <w:snapToGrid w:val="0"/>
                      <w:color w:val="auto"/>
                      <w:kern w:val="0"/>
                      <w:sz w:val="21"/>
                      <w:szCs w:val="21"/>
                      <w:highlight w:val="none"/>
                      <w:lang w:val="en-US" w:eastAsia="zh-CN" w:bidi="ar"/>
                    </w:rPr>
                    <w:t>活性炭吸附处理装置处理后排放，废气收集处理系统与实验过程同步运行，并对废气处理装置定期进行检修，减少故障的发生。</w:t>
                  </w:r>
                </w:p>
              </w:tc>
              <w:tc>
                <w:tcPr>
                  <w:tcW w:w="532" w:type="pct"/>
                  <w:noWrap/>
                  <w:vAlign w:val="center"/>
                </w:tcPr>
                <w:p w14:paraId="05B11CE2">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14:paraId="238496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015" w:hRule="atLeast"/>
                <w:jc w:val="center"/>
              </w:trPr>
              <w:tc>
                <w:tcPr>
                  <w:tcW w:w="435" w:type="pct"/>
                  <w:vMerge w:val="restart"/>
                  <w:noWrap/>
                  <w:vAlign w:val="center"/>
                </w:tcPr>
                <w:p w14:paraId="61A9BD51">
                  <w:pPr>
                    <w:pStyle w:val="75"/>
                    <w:jc w:val="center"/>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3</w:t>
                  </w:r>
                </w:p>
              </w:tc>
              <w:tc>
                <w:tcPr>
                  <w:tcW w:w="763" w:type="pct"/>
                  <w:vMerge w:val="restart"/>
                  <w:noWrap/>
                  <w:vAlign w:val="center"/>
                </w:tcPr>
                <w:p w14:paraId="7334B907">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《挥发性有机物（VOCs）污染防治技术政策》（公告2013年第31号）</w:t>
                  </w:r>
                </w:p>
              </w:tc>
              <w:tc>
                <w:tcPr>
                  <w:tcW w:w="1871" w:type="pct"/>
                  <w:noWrap/>
                  <w:vAlign w:val="center"/>
                </w:tcPr>
                <w:p w14:paraId="71C8A584">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鼓励企业自行开展VOCs监测。</w:t>
                  </w:r>
                </w:p>
              </w:tc>
              <w:tc>
                <w:tcPr>
                  <w:tcW w:w="1396" w:type="pct"/>
                  <w:noWrap/>
                  <w:vAlign w:val="center"/>
                </w:tcPr>
                <w:p w14:paraId="743C44DA">
                  <w:pPr>
                    <w:pStyle w:val="75"/>
                    <w:jc w:val="left"/>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评价要求项目运营期参照《排污单位自行监测技术指南总则》定期开展自行监测。</w:t>
                  </w:r>
                </w:p>
              </w:tc>
              <w:tc>
                <w:tcPr>
                  <w:tcW w:w="532" w:type="pct"/>
                  <w:noWrap/>
                  <w:vAlign w:val="center"/>
                </w:tcPr>
                <w:p w14:paraId="668458F6">
                  <w:pPr>
                    <w:pStyle w:val="75"/>
                    <w:jc w:val="center"/>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564F2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73" w:hRule="atLeast"/>
                <w:jc w:val="center"/>
              </w:trPr>
              <w:tc>
                <w:tcPr>
                  <w:tcW w:w="435" w:type="pct"/>
                  <w:vMerge w:val="continue"/>
                  <w:noWrap/>
                  <w:vAlign w:val="center"/>
                </w:tcPr>
                <w:p w14:paraId="29B12080">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29D154C7">
                  <w:pPr>
                    <w:pStyle w:val="75"/>
                    <w:jc w:val="center"/>
                    <w:rPr>
                      <w:rFonts w:hint="default" w:ascii="Times New Roman" w:hAnsi="Times New Roman" w:cs="Times New Roman" w:eastAsiaTheme="minorEastAsia"/>
                      <w:b w:val="0"/>
                      <w:bCs w:val="0"/>
                      <w:color w:val="auto"/>
                      <w:sz w:val="21"/>
                      <w:szCs w:val="21"/>
                      <w:highlight w:val="none"/>
                    </w:rPr>
                  </w:pPr>
                </w:p>
              </w:tc>
              <w:tc>
                <w:tcPr>
                  <w:tcW w:w="1871" w:type="pct"/>
                  <w:noWrap/>
                  <w:vAlign w:val="center"/>
                </w:tcPr>
                <w:p w14:paraId="2FD8C59E">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企业应建立健全VOCs治理设施的运行维护规程和台帐等日常管理制度，并根据工艺要求定期对各类设备、电气、自控仪表等进行检修维护，确保设施的稳定运行。</w:t>
                  </w:r>
                </w:p>
              </w:tc>
              <w:tc>
                <w:tcPr>
                  <w:tcW w:w="1396" w:type="pct"/>
                  <w:noWrap/>
                  <w:vAlign w:val="center"/>
                </w:tcPr>
                <w:p w14:paraId="3BA84F50">
                  <w:pPr>
                    <w:pStyle w:val="75"/>
                    <w:jc w:val="left"/>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评价要求建立健全VOCs治理设施的运行维护规程和台帐等日常管理制度，并定期检修，确保设施的稳定运行。</w:t>
                  </w:r>
                </w:p>
              </w:tc>
              <w:tc>
                <w:tcPr>
                  <w:tcW w:w="532" w:type="pct"/>
                  <w:noWrap/>
                  <w:vAlign w:val="center"/>
                </w:tcPr>
                <w:p w14:paraId="7A506AF6">
                  <w:pPr>
                    <w:pStyle w:val="75"/>
                    <w:jc w:val="center"/>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76BD3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481F1AF3">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4</w:t>
                  </w:r>
                </w:p>
              </w:tc>
              <w:tc>
                <w:tcPr>
                  <w:tcW w:w="763" w:type="pct"/>
                  <w:noWrap/>
                  <w:vAlign w:val="center"/>
                </w:tcPr>
                <w:p w14:paraId="6ED25B27">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w:t>
                  </w:r>
                  <w:r>
                    <w:rPr>
                      <w:rFonts w:hint="default" w:ascii="Times New Roman" w:hAnsi="Times New Roman" w:cs="Times New Roman" w:eastAsiaTheme="minorEastAsia"/>
                      <w:b w:val="0"/>
                      <w:bCs w:val="0"/>
                      <w:color w:val="auto"/>
                      <w:sz w:val="21"/>
                      <w:szCs w:val="21"/>
                      <w:highlight w:val="none"/>
                      <w:lang w:val="en-US" w:eastAsia="zh-CN"/>
                    </w:rPr>
                    <w:t>西安市</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十四五</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生态环境保护规划》</w:t>
                  </w:r>
                </w:p>
              </w:tc>
              <w:tc>
                <w:tcPr>
                  <w:tcW w:w="1871" w:type="pct"/>
                  <w:noWrap/>
                  <w:vAlign w:val="center"/>
                </w:tcPr>
                <w:p w14:paraId="0BC33309">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全面落实《挥发性有机物无组织排放控制标准》要求，引导企业加强对含VOCs物料的存储、转移和输送等环节的全方位密闭管理，以及对设备与管线组件泄漏、敞开液面逸散以及工艺过程等方面的全过程精细化管控，实现VOCs排放量明显下降。</w:t>
                  </w:r>
                </w:p>
              </w:tc>
              <w:tc>
                <w:tcPr>
                  <w:tcW w:w="1396" w:type="pct"/>
                  <w:noWrap/>
                  <w:vAlign w:val="center"/>
                </w:tcPr>
                <w:p w14:paraId="3F35A76B">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rPr>
                    <w:t>本项目采用通风橱收集有机废气，</w:t>
                  </w:r>
                  <w:r>
                    <w:rPr>
                      <w:rFonts w:hint="default" w:ascii="Times New Roman" w:hAnsi="Times New Roman" w:cs="Times New Roman" w:eastAsiaTheme="minorEastAsia"/>
                      <w:b w:val="0"/>
                      <w:bCs w:val="0"/>
                      <w:color w:val="auto"/>
                      <w:sz w:val="21"/>
                      <w:szCs w:val="21"/>
                      <w:highlight w:val="none"/>
                      <w:lang w:val="en-US" w:eastAsia="zh-CN"/>
                    </w:rPr>
                    <w:t>采用</w:t>
                  </w:r>
                  <w:r>
                    <w:rPr>
                      <w:rFonts w:hint="eastAsia" w:ascii="Times New Roman" w:hAnsi="Times New Roman" w:cs="Times New Roman" w:eastAsiaTheme="minorEastAsia"/>
                      <w:b w:val="0"/>
                      <w:bCs w:val="0"/>
                      <w:color w:val="auto"/>
                      <w:sz w:val="21"/>
                      <w:szCs w:val="21"/>
                      <w:highlight w:val="none"/>
                      <w:lang w:val="en-US" w:eastAsia="zh-CN"/>
                    </w:rPr>
                    <w:t>二级</w:t>
                  </w:r>
                  <w:r>
                    <w:rPr>
                      <w:rFonts w:hint="default" w:ascii="Times New Roman" w:hAnsi="Times New Roman" w:cs="Times New Roman" w:eastAsiaTheme="minorEastAsia"/>
                      <w:b w:val="0"/>
                      <w:bCs w:val="0"/>
                      <w:color w:val="auto"/>
                      <w:sz w:val="21"/>
                      <w:szCs w:val="21"/>
                      <w:highlight w:val="none"/>
                      <w:lang w:val="en-US" w:eastAsia="zh-CN"/>
                    </w:rPr>
                    <w:t>活性炭吸附系统去除有机废气。</w:t>
                  </w:r>
                </w:p>
              </w:tc>
              <w:tc>
                <w:tcPr>
                  <w:tcW w:w="532" w:type="pct"/>
                  <w:noWrap/>
                  <w:vAlign w:val="center"/>
                </w:tcPr>
                <w:p w14:paraId="41F04C06">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29902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restart"/>
                  <w:noWrap/>
                  <w:vAlign w:val="center"/>
                </w:tcPr>
                <w:p w14:paraId="07F15BD7">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5</w:t>
                  </w:r>
                </w:p>
              </w:tc>
              <w:tc>
                <w:tcPr>
                  <w:tcW w:w="763" w:type="pct"/>
                  <w:vMerge w:val="restart"/>
                  <w:noWrap/>
                  <w:vAlign w:val="center"/>
                </w:tcPr>
                <w:p w14:paraId="2E5F5A7B">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snapToGrid w:val="0"/>
                      <w:color w:val="auto"/>
                      <w:kern w:val="0"/>
                      <w:sz w:val="21"/>
                      <w:szCs w:val="21"/>
                      <w:highlight w:val="none"/>
                      <w:lang w:val="en-US" w:eastAsia="zh-CN" w:bidi="ar"/>
                    </w:rPr>
                    <w:t>《陕西省大气污染治理专项行动方案（2023-2027年）》</w:t>
                  </w:r>
                </w:p>
              </w:tc>
              <w:tc>
                <w:tcPr>
                  <w:tcW w:w="1871" w:type="pct"/>
                  <w:noWrap/>
                  <w:vAlign w:val="center"/>
                </w:tcPr>
                <w:p w14:paraId="1747BA5D">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开展简易低效挥发性有机物治理设施清理整治、涉活性炭挥发性有机物处理工艺专项整治行动，强化挥发性有机物无组织排放整治，确保达到相关标准要求。新建挥发性有机物治理设施不再采用单一低温等离子、光氧化、光催化等治理技术，非水溶性挥发性有机物废气不再采用单一喷淋吸收方式处理。</w:t>
                  </w:r>
                </w:p>
              </w:tc>
              <w:tc>
                <w:tcPr>
                  <w:tcW w:w="1396" w:type="pct"/>
                  <w:noWrap/>
                  <w:vAlign w:val="center"/>
                </w:tcPr>
                <w:p w14:paraId="57F4163E">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rPr>
                    <w:t>本项目</w:t>
                  </w:r>
                  <w:r>
                    <w:rPr>
                      <w:rFonts w:hint="default" w:ascii="Times New Roman" w:hAnsi="Times New Roman" w:cs="Times New Roman" w:eastAsiaTheme="minorEastAsia"/>
                      <w:b w:val="0"/>
                      <w:bCs w:val="0"/>
                      <w:color w:val="auto"/>
                      <w:sz w:val="21"/>
                      <w:szCs w:val="21"/>
                      <w:highlight w:val="none"/>
                      <w:lang w:val="en-US" w:eastAsia="zh-CN"/>
                    </w:rPr>
                    <w:t>有机废气</w:t>
                  </w:r>
                  <w:r>
                    <w:rPr>
                      <w:rFonts w:hint="default" w:ascii="Times New Roman" w:hAnsi="Times New Roman" w:cs="Times New Roman" w:eastAsiaTheme="minorEastAsia"/>
                      <w:b w:val="0"/>
                      <w:bCs w:val="0"/>
                      <w:color w:val="auto"/>
                      <w:sz w:val="21"/>
                      <w:szCs w:val="21"/>
                      <w:highlight w:val="none"/>
                    </w:rPr>
                    <w:t>经通风橱收集通过</w:t>
                  </w:r>
                  <w:r>
                    <w:rPr>
                      <w:rFonts w:hint="eastAsia" w:ascii="Times New Roman" w:hAnsi="Times New Roman" w:cs="Times New Roman" w:eastAsiaTheme="minorEastAsia"/>
                      <w:b w:val="0"/>
                      <w:bCs w:val="0"/>
                      <w:color w:val="auto"/>
                      <w:sz w:val="21"/>
                      <w:szCs w:val="21"/>
                      <w:highlight w:val="none"/>
                      <w:lang w:val="en-US" w:eastAsia="zh-CN"/>
                    </w:rPr>
                    <w:t>二级</w:t>
                  </w:r>
                  <w:r>
                    <w:rPr>
                      <w:rFonts w:hint="default" w:ascii="Times New Roman" w:hAnsi="Times New Roman" w:cs="Times New Roman" w:eastAsiaTheme="minorEastAsia"/>
                      <w:b w:val="0"/>
                      <w:bCs w:val="0"/>
                      <w:color w:val="auto"/>
                      <w:sz w:val="21"/>
                      <w:szCs w:val="21"/>
                      <w:highlight w:val="none"/>
                    </w:rPr>
                    <w:t>活性炭吸附装置处理后通过</w:t>
                  </w:r>
                  <w:r>
                    <w:rPr>
                      <w:rFonts w:hint="eastAsia" w:ascii="Times New Roman" w:hAnsi="Times New Roman" w:cs="Times New Roman" w:eastAsiaTheme="minorEastAsia"/>
                      <w:b w:val="0"/>
                      <w:bCs w:val="0"/>
                      <w:color w:val="auto"/>
                      <w:sz w:val="21"/>
                      <w:szCs w:val="21"/>
                      <w:highlight w:val="none"/>
                      <w:lang w:val="en-US" w:eastAsia="zh-CN"/>
                    </w:rPr>
                    <w:t>23m高</w:t>
                  </w:r>
                  <w:r>
                    <w:rPr>
                      <w:rFonts w:hint="default" w:ascii="Times New Roman" w:hAnsi="Times New Roman" w:cs="Times New Roman" w:eastAsiaTheme="minorEastAsia"/>
                      <w:b w:val="0"/>
                      <w:bCs w:val="0"/>
                      <w:color w:val="auto"/>
                      <w:sz w:val="21"/>
                      <w:szCs w:val="21"/>
                      <w:highlight w:val="none"/>
                    </w:rPr>
                    <w:t>排气筒</w:t>
                  </w:r>
                  <w:r>
                    <w:rPr>
                      <w:rFonts w:hint="default" w:ascii="Times New Roman" w:hAnsi="Times New Roman" w:cs="Times New Roman" w:eastAsiaTheme="minorEastAsia"/>
                      <w:b w:val="0"/>
                      <w:bCs w:val="0"/>
                      <w:color w:val="auto"/>
                      <w:sz w:val="21"/>
                      <w:szCs w:val="21"/>
                      <w:highlight w:val="none"/>
                      <w:lang w:val="en-US" w:eastAsia="zh-CN"/>
                    </w:rPr>
                    <w:t>排放。</w:t>
                  </w:r>
                </w:p>
              </w:tc>
              <w:tc>
                <w:tcPr>
                  <w:tcW w:w="532" w:type="pct"/>
                  <w:noWrap/>
                  <w:vAlign w:val="center"/>
                </w:tcPr>
                <w:p w14:paraId="4B65F600">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35383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39EA9450">
                  <w:pPr>
                    <w:pStyle w:val="75"/>
                    <w:jc w:val="center"/>
                    <w:rPr>
                      <w:rFonts w:hint="default"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614872C1">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21DA5C3C">
                  <w:pPr>
                    <w:pStyle w:val="75"/>
                    <w:jc w:val="left"/>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rPr>
                    <w:t>强化涉活性炭VOCs（挥发性有机物）处理工艺治理，推进涉VOCs排放企业低挥发性原辅材料替代和涉VOCs污染治理设施升级改造</w:t>
                  </w:r>
                  <w:r>
                    <w:rPr>
                      <w:rFonts w:hint="default" w:ascii="Times New Roman" w:hAnsi="Times New Roman" w:cs="Times New Roman" w:eastAsiaTheme="minorEastAsia"/>
                      <w:b w:val="0"/>
                      <w:bCs w:val="0"/>
                      <w:color w:val="auto"/>
                      <w:sz w:val="21"/>
                      <w:szCs w:val="21"/>
                      <w:highlight w:val="none"/>
                      <w:lang w:eastAsia="zh-CN"/>
                    </w:rPr>
                    <w:t>。</w:t>
                  </w:r>
                </w:p>
              </w:tc>
              <w:tc>
                <w:tcPr>
                  <w:tcW w:w="1396" w:type="pct"/>
                  <w:noWrap/>
                  <w:vAlign w:val="center"/>
                </w:tcPr>
                <w:p w14:paraId="5F122978">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实验室有机废气主要来自于</w:t>
                  </w:r>
                  <w:r>
                    <w:rPr>
                      <w:rFonts w:hint="eastAsia" w:ascii="Times New Roman" w:hAnsi="Times New Roman" w:cs="Times New Roman" w:eastAsiaTheme="minorEastAsia"/>
                      <w:b w:val="0"/>
                      <w:bCs w:val="0"/>
                      <w:color w:val="auto"/>
                      <w:sz w:val="21"/>
                      <w:szCs w:val="21"/>
                      <w:highlight w:val="none"/>
                      <w:lang w:val="en-US" w:eastAsia="zh-CN"/>
                    </w:rPr>
                    <w:t>实验过程中使用的</w:t>
                  </w:r>
                  <w:r>
                    <w:rPr>
                      <w:rFonts w:hint="default" w:ascii="Times New Roman" w:hAnsi="Times New Roman" w:cs="Times New Roman" w:eastAsiaTheme="minorEastAsia"/>
                      <w:b w:val="0"/>
                      <w:bCs w:val="0"/>
                      <w:color w:val="auto"/>
                      <w:sz w:val="21"/>
                      <w:szCs w:val="21"/>
                      <w:highlight w:val="none"/>
                    </w:rPr>
                    <w:t>有机试剂</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通过</w:t>
                  </w:r>
                  <w:r>
                    <w:rPr>
                      <w:rFonts w:hint="eastAsia" w:ascii="Times New Roman" w:hAnsi="Times New Roman" w:cs="Times New Roman" w:eastAsiaTheme="minorEastAsia"/>
                      <w:b w:val="0"/>
                      <w:bCs w:val="0"/>
                      <w:color w:val="auto"/>
                      <w:sz w:val="21"/>
                      <w:szCs w:val="21"/>
                      <w:highlight w:val="none"/>
                      <w:lang w:val="en-US" w:eastAsia="zh-CN"/>
                    </w:rPr>
                    <w:t>二级</w:t>
                  </w:r>
                  <w:r>
                    <w:rPr>
                      <w:rFonts w:hint="default" w:ascii="Times New Roman" w:hAnsi="Times New Roman" w:cs="Times New Roman" w:eastAsiaTheme="minorEastAsia"/>
                      <w:b w:val="0"/>
                      <w:bCs w:val="0"/>
                      <w:color w:val="auto"/>
                      <w:sz w:val="21"/>
                      <w:szCs w:val="21"/>
                      <w:highlight w:val="none"/>
                    </w:rPr>
                    <w:t>活性炭吸附装置处理后</w:t>
                  </w:r>
                  <w:r>
                    <w:rPr>
                      <w:rFonts w:hint="eastAsia" w:ascii="Times New Roman" w:hAnsi="Times New Roman" w:cs="Times New Roman" w:eastAsiaTheme="minorEastAsia"/>
                      <w:b w:val="0"/>
                      <w:bCs w:val="0"/>
                      <w:color w:val="auto"/>
                      <w:sz w:val="21"/>
                      <w:szCs w:val="21"/>
                      <w:highlight w:val="none"/>
                      <w:lang w:val="en-US" w:eastAsia="zh-CN"/>
                    </w:rPr>
                    <w:t>经23m高</w:t>
                  </w:r>
                  <w:r>
                    <w:rPr>
                      <w:rFonts w:hint="default" w:ascii="Times New Roman" w:hAnsi="Times New Roman" w:cs="Times New Roman" w:eastAsiaTheme="minorEastAsia"/>
                      <w:b w:val="0"/>
                      <w:bCs w:val="0"/>
                      <w:color w:val="auto"/>
                      <w:sz w:val="21"/>
                      <w:szCs w:val="21"/>
                      <w:highlight w:val="none"/>
                    </w:rPr>
                    <w:t>排气筒</w:t>
                  </w:r>
                  <w:r>
                    <w:rPr>
                      <w:rFonts w:hint="default" w:ascii="Times New Roman" w:hAnsi="Times New Roman" w:cs="Times New Roman" w:eastAsiaTheme="minorEastAsia"/>
                      <w:b w:val="0"/>
                      <w:bCs w:val="0"/>
                      <w:color w:val="auto"/>
                      <w:sz w:val="21"/>
                      <w:szCs w:val="21"/>
                      <w:highlight w:val="none"/>
                      <w:lang w:val="en-US" w:eastAsia="zh-CN"/>
                    </w:rPr>
                    <w:t>排放。</w:t>
                  </w:r>
                </w:p>
              </w:tc>
              <w:tc>
                <w:tcPr>
                  <w:tcW w:w="532" w:type="pct"/>
                  <w:noWrap/>
                  <w:vAlign w:val="center"/>
                </w:tcPr>
                <w:p w14:paraId="1EA43501">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431B11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575C1774">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6</w:t>
                  </w:r>
                </w:p>
              </w:tc>
              <w:tc>
                <w:tcPr>
                  <w:tcW w:w="763" w:type="pct"/>
                  <w:noWrap/>
                  <w:vAlign w:val="center"/>
                </w:tcPr>
                <w:p w14:paraId="41CAEAEF">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《沣东新城大气污染治理专项行动方案（2023-2027年）》</w:t>
                  </w:r>
                </w:p>
              </w:tc>
              <w:tc>
                <w:tcPr>
                  <w:tcW w:w="1871" w:type="pct"/>
                  <w:noWrap/>
                  <w:vAlign w:val="center"/>
                </w:tcPr>
                <w:p w14:paraId="334CEC99">
                  <w:pPr>
                    <w:pStyle w:val="75"/>
                    <w:jc w:val="left"/>
                    <w:rPr>
                      <w:rFonts w:hint="default" w:ascii="Times New Roman" w:hAnsi="Times New Roman" w:cs="Times New Roman" w:eastAsiaTheme="minorEastAsia"/>
                      <w:b w:val="0"/>
                      <w:bCs w:val="0"/>
                      <w:color w:val="auto"/>
                      <w:sz w:val="21"/>
                      <w:szCs w:val="21"/>
                      <w:highlight w:val="none"/>
                    </w:rPr>
                  </w:pPr>
                  <w:r>
                    <w:rPr>
                      <w:rFonts w:hint="eastAsia" w:ascii="Times New Roman" w:hAnsi="Times New Roman" w:cs="Times New Roman" w:eastAsiaTheme="minorEastAsia"/>
                      <w:b w:val="0"/>
                      <w:bCs w:val="0"/>
                      <w:color w:val="auto"/>
                      <w:sz w:val="21"/>
                      <w:szCs w:val="21"/>
                      <w:highlight w:val="none"/>
                    </w:rPr>
                    <w:t>3.产业发展结构调整</w:t>
                  </w:r>
                </w:p>
                <w:p w14:paraId="06C1EA4F">
                  <w:pPr>
                    <w:pStyle w:val="75"/>
                    <w:jc w:val="left"/>
                    <w:rPr>
                      <w:rFonts w:hint="default" w:ascii="Times New Roman" w:hAnsi="Times New Roman" w:cs="Times New Roman" w:eastAsiaTheme="minorEastAsia"/>
                      <w:b w:val="0"/>
                      <w:bCs w:val="0"/>
                      <w:color w:val="auto"/>
                      <w:sz w:val="21"/>
                      <w:szCs w:val="21"/>
                      <w:highlight w:val="none"/>
                    </w:rPr>
                  </w:pPr>
                  <w:r>
                    <w:rPr>
                      <w:rFonts w:hint="eastAsia" w:ascii="Times New Roman" w:hAnsi="Times New Roman" w:cs="Times New Roman" w:eastAsiaTheme="minorEastAsia"/>
                      <w:b w:val="0"/>
                      <w:bCs w:val="0"/>
                      <w:color w:val="auto"/>
                      <w:sz w:val="21"/>
                      <w:szCs w:val="21"/>
                      <w:highlight w:val="none"/>
                    </w:rPr>
                    <w:t>（1）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1396" w:type="pct"/>
                  <w:noWrap/>
                  <w:vAlign w:val="center"/>
                </w:tcPr>
                <w:p w14:paraId="11E2A373">
                  <w:pPr>
                    <w:pStyle w:val="75"/>
                    <w:jc w:val="left"/>
                    <w:rPr>
                      <w:rFonts w:hint="default" w:ascii="Times New Roman" w:hAnsi="Times New Roman" w:cs="Times New Roman" w:eastAsiaTheme="minorEastAsia"/>
                      <w:b w:val="0"/>
                      <w:bCs w:val="0"/>
                      <w:color w:val="auto"/>
                      <w:sz w:val="21"/>
                      <w:szCs w:val="21"/>
                      <w:highlight w:val="none"/>
                    </w:rPr>
                  </w:pPr>
                  <w:r>
                    <w:rPr>
                      <w:rFonts w:hint="eastAsia" w:ascii="Times New Roman" w:hAnsi="Times New Roman" w:cs="Times New Roman" w:eastAsiaTheme="minorEastAsia"/>
                      <w:b w:val="0"/>
                      <w:bCs w:val="0"/>
                      <w:color w:val="auto"/>
                      <w:sz w:val="21"/>
                      <w:szCs w:val="21"/>
                      <w:highlight w:val="none"/>
                    </w:rPr>
                    <w:t>本项目为实验室项目，符合国家、省、市及新区产业规划、产业政策、“三线一单”等相关要求；不属于新改扩建化工、石化、建材、有色等项目。</w:t>
                  </w:r>
                </w:p>
              </w:tc>
              <w:tc>
                <w:tcPr>
                  <w:tcW w:w="532" w:type="pct"/>
                  <w:noWrap/>
                  <w:vAlign w:val="center"/>
                </w:tcPr>
                <w:p w14:paraId="34E06E6E">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rPr>
                    <w:t>符合</w:t>
                  </w:r>
                </w:p>
              </w:tc>
            </w:tr>
            <w:tr w14:paraId="5C3B88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068E8FE2">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7</w:t>
                  </w:r>
                </w:p>
              </w:tc>
              <w:tc>
                <w:tcPr>
                  <w:tcW w:w="763" w:type="pct"/>
                  <w:noWrap/>
                  <w:vAlign w:val="center"/>
                </w:tcPr>
                <w:p w14:paraId="10D699AD">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《西安市推进实现“十四五”空气质量目标</w:t>
                  </w:r>
                </w:p>
                <w:p w14:paraId="473E44D8">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暨大气污染治理专项行动 2025年工作方案》</w:t>
                  </w:r>
                </w:p>
              </w:tc>
              <w:tc>
                <w:tcPr>
                  <w:tcW w:w="1871" w:type="pct"/>
                  <w:noWrap/>
                  <w:vAlign w:val="center"/>
                </w:tcPr>
                <w:p w14:paraId="1E104332">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加大政策支持力度，在环境监测、环保装备、环境咨询、深度治理等领域培育若干龙头企业。</w:t>
                  </w:r>
                </w:p>
              </w:tc>
              <w:tc>
                <w:tcPr>
                  <w:tcW w:w="1396" w:type="pct"/>
                  <w:noWrap/>
                  <w:vAlign w:val="center"/>
                </w:tcPr>
                <w:p w14:paraId="0126FA6F">
                  <w:pPr>
                    <w:pStyle w:val="75"/>
                    <w:jc w:val="left"/>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val="en-US" w:eastAsia="zh-CN"/>
                    </w:rPr>
                    <w:t>本项目为检验实验室项目，属于</w:t>
                  </w:r>
                  <w:r>
                    <w:rPr>
                      <w:rFonts w:hint="eastAsia" w:ascii="Times New Roman" w:hAnsi="Times New Roman" w:cs="Times New Roman" w:eastAsiaTheme="minorEastAsia"/>
                      <w:b w:val="0"/>
                      <w:bCs w:val="0"/>
                      <w:color w:val="auto"/>
                      <w:sz w:val="21"/>
                      <w:szCs w:val="21"/>
                      <w:highlight w:val="none"/>
                      <w:lang w:val="en-US" w:eastAsia="zh-CN"/>
                    </w:rPr>
                    <w:t>“</w:t>
                  </w:r>
                  <w:r>
                    <w:rPr>
                      <w:rFonts w:hint="default" w:ascii="Times New Roman" w:hAnsi="Times New Roman" w:cs="Times New Roman" w:eastAsiaTheme="minorEastAsia"/>
                      <w:b w:val="0"/>
                      <w:bCs w:val="0"/>
                      <w:color w:val="auto"/>
                      <w:sz w:val="21"/>
                      <w:szCs w:val="21"/>
                      <w:highlight w:val="none"/>
                    </w:rPr>
                    <w:t>环境与生态监测检测服务M746</w:t>
                  </w:r>
                  <w:r>
                    <w:rPr>
                      <w:rFonts w:hint="eastAsia" w:ascii="Times New Roman" w:hAnsi="Times New Roman" w:cs="Times New Roman" w:eastAsiaTheme="minorEastAsia"/>
                      <w:b w:val="0"/>
                      <w:bCs w:val="0"/>
                      <w:color w:val="auto"/>
                      <w:sz w:val="21"/>
                      <w:szCs w:val="21"/>
                      <w:highlight w:val="none"/>
                      <w:lang w:val="en-US" w:eastAsia="zh-CN"/>
                    </w:rPr>
                    <w:t>”。</w:t>
                  </w:r>
                </w:p>
              </w:tc>
              <w:tc>
                <w:tcPr>
                  <w:tcW w:w="532" w:type="pct"/>
                  <w:noWrap/>
                  <w:vAlign w:val="center"/>
                </w:tcPr>
                <w:p w14:paraId="73B5D120">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04510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1763035A">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8</w:t>
                  </w:r>
                </w:p>
              </w:tc>
              <w:tc>
                <w:tcPr>
                  <w:tcW w:w="763" w:type="pct"/>
                  <w:noWrap/>
                  <w:vAlign w:val="center"/>
                </w:tcPr>
                <w:p w14:paraId="271655C0">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《西安市大气污染防治条例》</w:t>
                  </w:r>
                </w:p>
              </w:tc>
              <w:tc>
                <w:tcPr>
                  <w:tcW w:w="1871" w:type="pct"/>
                  <w:noWrap/>
                  <w:vAlign w:val="center"/>
                </w:tcPr>
                <w:p w14:paraId="0DC8712F">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强化涉活性炭VOCs处理工艺治理。深入开展简易低效挥发性有机物治理设施清理整治，组织开展涉活性炭挥发性有机物处理工艺专项整治行动，推广先进VOCs治理工艺，全面提升VOCs治理水平。</w:t>
                  </w:r>
                </w:p>
              </w:tc>
              <w:tc>
                <w:tcPr>
                  <w:tcW w:w="1396" w:type="pct"/>
                  <w:noWrap/>
                  <w:vAlign w:val="center"/>
                </w:tcPr>
                <w:p w14:paraId="1D5A74FF">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实验室有机废气主要来自于熔矿过程中少量有机试剂产生的有机废气</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通过</w:t>
                  </w:r>
                  <w:r>
                    <w:rPr>
                      <w:rFonts w:hint="eastAsia" w:ascii="Times New Roman" w:hAnsi="Times New Roman" w:cs="Times New Roman" w:eastAsiaTheme="minorEastAsia"/>
                      <w:b w:val="0"/>
                      <w:bCs w:val="0"/>
                      <w:color w:val="auto"/>
                      <w:sz w:val="21"/>
                      <w:szCs w:val="21"/>
                      <w:highlight w:val="none"/>
                      <w:lang w:val="en-US" w:eastAsia="zh-CN"/>
                    </w:rPr>
                    <w:t>二级</w:t>
                  </w:r>
                  <w:r>
                    <w:rPr>
                      <w:rFonts w:hint="default" w:ascii="Times New Roman" w:hAnsi="Times New Roman" w:cs="Times New Roman" w:eastAsiaTheme="minorEastAsia"/>
                      <w:b w:val="0"/>
                      <w:bCs w:val="0"/>
                      <w:color w:val="auto"/>
                      <w:sz w:val="21"/>
                      <w:szCs w:val="21"/>
                      <w:highlight w:val="none"/>
                    </w:rPr>
                    <w:t>活性炭吸附装置处理后通过</w:t>
                  </w:r>
                  <w:r>
                    <w:rPr>
                      <w:rFonts w:hint="eastAsia" w:ascii="Times New Roman" w:hAnsi="Times New Roman" w:cs="Times New Roman" w:eastAsiaTheme="minorEastAsia"/>
                      <w:b w:val="0"/>
                      <w:bCs w:val="0"/>
                      <w:color w:val="auto"/>
                      <w:sz w:val="21"/>
                      <w:szCs w:val="21"/>
                      <w:highlight w:val="none"/>
                      <w:lang w:val="en-US" w:eastAsia="zh-CN"/>
                    </w:rPr>
                    <w:t>23m高</w:t>
                  </w:r>
                  <w:r>
                    <w:rPr>
                      <w:rFonts w:hint="default" w:ascii="Times New Roman" w:hAnsi="Times New Roman" w:cs="Times New Roman" w:eastAsiaTheme="minorEastAsia"/>
                      <w:b w:val="0"/>
                      <w:bCs w:val="0"/>
                      <w:color w:val="auto"/>
                      <w:sz w:val="21"/>
                      <w:szCs w:val="21"/>
                      <w:highlight w:val="none"/>
                    </w:rPr>
                    <w:t>排气筒</w:t>
                  </w:r>
                  <w:r>
                    <w:rPr>
                      <w:rFonts w:hint="default" w:ascii="Times New Roman" w:hAnsi="Times New Roman" w:cs="Times New Roman" w:eastAsiaTheme="minorEastAsia"/>
                      <w:b w:val="0"/>
                      <w:bCs w:val="0"/>
                      <w:color w:val="auto"/>
                      <w:sz w:val="21"/>
                      <w:szCs w:val="21"/>
                      <w:highlight w:val="none"/>
                      <w:lang w:val="en-US" w:eastAsia="zh-CN"/>
                    </w:rPr>
                    <w:t>排放。</w:t>
                  </w:r>
                </w:p>
              </w:tc>
              <w:tc>
                <w:tcPr>
                  <w:tcW w:w="532" w:type="pct"/>
                  <w:noWrap/>
                  <w:vAlign w:val="center"/>
                </w:tcPr>
                <w:p w14:paraId="52434BDC">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343E0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5B14C18A">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9</w:t>
                  </w:r>
                </w:p>
              </w:tc>
              <w:tc>
                <w:tcPr>
                  <w:tcW w:w="763" w:type="pct"/>
                  <w:noWrap/>
                  <w:vAlign w:val="center"/>
                </w:tcPr>
                <w:p w14:paraId="22B07CB3">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《优先控制化学品名录（第</w:t>
                  </w:r>
                  <w:r>
                    <w:rPr>
                      <w:rFonts w:hint="eastAsia" w:ascii="Times New Roman" w:hAnsi="Times New Roman" w:cs="Times New Roman" w:eastAsiaTheme="minorEastAsia"/>
                      <w:snapToGrid w:val="0"/>
                      <w:color w:val="auto"/>
                      <w:kern w:val="0"/>
                      <w:sz w:val="21"/>
                      <w:szCs w:val="21"/>
                      <w:highlight w:val="none"/>
                      <w:lang w:val="en-US" w:eastAsia="zh-CN" w:bidi="ar"/>
                    </w:rPr>
                    <w:t>一</w:t>
                  </w:r>
                  <w:r>
                    <w:rPr>
                      <w:rFonts w:hint="default" w:ascii="Times New Roman" w:hAnsi="Times New Roman" w:cs="Times New Roman" w:eastAsiaTheme="minorEastAsia"/>
                      <w:snapToGrid w:val="0"/>
                      <w:color w:val="auto"/>
                      <w:kern w:val="0"/>
                      <w:sz w:val="21"/>
                      <w:szCs w:val="21"/>
                      <w:highlight w:val="none"/>
                      <w:lang w:val="en-US" w:eastAsia="zh-CN" w:bidi="ar"/>
                    </w:rPr>
                    <w:t>批）》</w:t>
                  </w:r>
                  <w:r>
                    <w:rPr>
                      <w:rFonts w:hint="eastAsia" w:ascii="Times New Roman" w:hAnsi="Times New Roman" w:cs="Times New Roman" w:eastAsiaTheme="minorEastAsia"/>
                      <w:snapToGrid w:val="0"/>
                      <w:color w:val="auto"/>
                      <w:kern w:val="0"/>
                      <w:sz w:val="21"/>
                      <w:szCs w:val="21"/>
                      <w:highlight w:val="none"/>
                      <w:lang w:val="en-US" w:eastAsia="zh-CN" w:bidi="ar"/>
                    </w:rPr>
                    <w:t>、</w:t>
                  </w:r>
                  <w:r>
                    <w:rPr>
                      <w:rFonts w:hint="default" w:ascii="Times New Roman" w:hAnsi="Times New Roman" w:cs="Times New Roman" w:eastAsiaTheme="minorEastAsia"/>
                      <w:snapToGrid w:val="0"/>
                      <w:color w:val="auto"/>
                      <w:kern w:val="0"/>
                      <w:sz w:val="21"/>
                      <w:szCs w:val="21"/>
                      <w:highlight w:val="none"/>
                      <w:lang w:val="en-US" w:eastAsia="zh-CN" w:bidi="ar"/>
                    </w:rPr>
                    <w:t>《优先控制化学品名录（第二批）》</w:t>
                  </w:r>
                </w:p>
              </w:tc>
              <w:tc>
                <w:tcPr>
                  <w:tcW w:w="1871" w:type="pct"/>
                  <w:noWrap/>
                  <w:vAlign w:val="center"/>
                </w:tcPr>
                <w:p w14:paraId="79A2BC06">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(一)《中华人民共和国清洁生产促进法》</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使用有毒、有害原料进行生产或者在生产中排放有毒、有害物质的企业，应当实施强制性清洁生产审核。</w:t>
                  </w:r>
                </w:p>
                <w:p w14:paraId="79514C2B">
                  <w:pPr>
                    <w:pStyle w:val="75"/>
                    <w:jc w:val="left"/>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rPr>
                    <w:t>(二)《清洁生产审核办法》</w:t>
                  </w:r>
                  <w:r>
                    <w:rPr>
                      <w:rFonts w:hint="default" w:ascii="Times New Roman" w:hAnsi="Times New Roman" w:cs="Times New Roman" w:eastAsiaTheme="minorEastAsia"/>
                      <w:b w:val="0"/>
                      <w:bCs w:val="0"/>
                      <w:color w:val="auto"/>
                      <w:sz w:val="21"/>
                      <w:szCs w:val="21"/>
                      <w:highlight w:val="none"/>
                      <w:lang w:eastAsia="zh-CN"/>
                    </w:rPr>
                    <w:t>：</w:t>
                  </w:r>
                  <w:r>
                    <w:rPr>
                      <w:rFonts w:hint="default" w:ascii="Times New Roman" w:hAnsi="Times New Roman" w:cs="Times New Roman" w:eastAsiaTheme="minorEastAsia"/>
                      <w:b w:val="0"/>
                      <w:bCs w:val="0"/>
                      <w:color w:val="auto"/>
                      <w:sz w:val="21"/>
                      <w:szCs w:val="21"/>
                      <w:highlight w:val="none"/>
                    </w:rPr>
                    <w:t>使用有毒有害原料进行生产或者在生产中排放有毒有害物质的企业，应当实施强制性清洁生产审核。实施强制性清洁生产审核的企业，应当采取便于公众知晓的方式公布企业相关信息，包括使用有毒有害原料的名称、数量、用途，排放有毒有害物质的名称、浓度和数量等</w:t>
                  </w:r>
                  <w:r>
                    <w:rPr>
                      <w:rFonts w:hint="default" w:ascii="Times New Roman" w:hAnsi="Times New Roman" w:cs="Times New Roman" w:eastAsiaTheme="minorEastAsia"/>
                      <w:b w:val="0"/>
                      <w:bCs w:val="0"/>
                      <w:color w:val="auto"/>
                      <w:sz w:val="21"/>
                      <w:szCs w:val="21"/>
                      <w:highlight w:val="none"/>
                      <w:lang w:eastAsia="zh-CN"/>
                    </w:rPr>
                    <w:t>。</w:t>
                  </w:r>
                </w:p>
              </w:tc>
              <w:tc>
                <w:tcPr>
                  <w:tcW w:w="1396" w:type="pct"/>
                  <w:noWrap/>
                  <w:vAlign w:val="center"/>
                </w:tcPr>
                <w:p w14:paraId="1446ACA7">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本项目</w:t>
                  </w:r>
                  <w:r>
                    <w:rPr>
                      <w:rFonts w:hint="eastAsia" w:ascii="Times New Roman" w:hAnsi="Times New Roman" w:cs="Times New Roman" w:eastAsiaTheme="minorEastAsia"/>
                      <w:b w:val="0"/>
                      <w:bCs w:val="0"/>
                      <w:color w:val="auto"/>
                      <w:sz w:val="21"/>
                      <w:szCs w:val="21"/>
                      <w:highlight w:val="none"/>
                      <w:lang w:val="en-US" w:eastAsia="zh-CN"/>
                    </w:rPr>
                    <w:t>为</w:t>
                  </w:r>
                  <w:r>
                    <w:rPr>
                      <w:rFonts w:hint="eastAsia" w:ascii="Times New Roman" w:hAnsi="Times New Roman" w:cs="Times New Roman" w:eastAsiaTheme="minorEastAsia"/>
                      <w:b w:val="0"/>
                      <w:bCs w:val="0"/>
                      <w:color w:val="auto"/>
                      <w:sz w:val="21"/>
                      <w:szCs w:val="21"/>
                      <w:highlight w:val="none"/>
                    </w:rPr>
                    <w:t>实验室项目，</w:t>
                  </w:r>
                  <w:r>
                    <w:rPr>
                      <w:rFonts w:hint="eastAsia" w:ascii="Times New Roman" w:hAnsi="Times New Roman" w:cs="Times New Roman" w:eastAsiaTheme="minorEastAsia"/>
                      <w:b w:val="0"/>
                      <w:bCs w:val="0"/>
                      <w:color w:val="auto"/>
                      <w:sz w:val="21"/>
                      <w:szCs w:val="21"/>
                      <w:highlight w:val="none"/>
                      <w:lang w:val="en-US" w:eastAsia="zh-CN"/>
                    </w:rPr>
                    <w:t>不属于生产型企业</w:t>
                  </w:r>
                  <w:r>
                    <w:rPr>
                      <w:rFonts w:hint="default" w:ascii="Times New Roman" w:hAnsi="Times New Roman" w:cs="Times New Roman" w:eastAsiaTheme="minorEastAsia"/>
                      <w:b w:val="0"/>
                      <w:bCs w:val="0"/>
                      <w:color w:val="auto"/>
                      <w:sz w:val="21"/>
                      <w:szCs w:val="21"/>
                      <w:highlight w:val="none"/>
                      <w:lang w:val="en-US" w:eastAsia="zh-CN"/>
                    </w:rPr>
                    <w:t>，优先控制化学品为</w:t>
                  </w:r>
                  <w:r>
                    <w:rPr>
                      <w:rFonts w:hint="eastAsia" w:ascii="Times New Roman" w:hAnsi="Times New Roman" w:cs="Times New Roman" w:eastAsiaTheme="minorEastAsia"/>
                      <w:b w:val="0"/>
                      <w:bCs w:val="0"/>
                      <w:color w:val="auto"/>
                      <w:sz w:val="21"/>
                      <w:szCs w:val="21"/>
                      <w:highlight w:val="none"/>
                      <w:lang w:val="en-US" w:eastAsia="zh-CN"/>
                    </w:rPr>
                    <w:t>三氯甲烷、二氯甲烷、</w:t>
                  </w:r>
                  <w:r>
                    <w:rPr>
                      <w:rFonts w:hint="default" w:ascii="Times New Roman" w:hAnsi="Times New Roman" w:cs="Times New Roman" w:eastAsiaTheme="minorEastAsia"/>
                      <w:b w:val="0"/>
                      <w:bCs w:val="0"/>
                      <w:color w:val="auto"/>
                      <w:sz w:val="21"/>
                      <w:szCs w:val="21"/>
                      <w:highlight w:val="none"/>
                      <w:lang w:val="en-US" w:eastAsia="zh-CN"/>
                    </w:rPr>
                    <w:t>甲苯</w:t>
                  </w:r>
                  <w:r>
                    <w:rPr>
                      <w:rFonts w:hint="eastAsia" w:ascii="Times New Roman" w:hAnsi="Times New Roman" w:cs="Times New Roman" w:eastAsiaTheme="minorEastAsia"/>
                      <w:b w:val="0"/>
                      <w:bCs w:val="0"/>
                      <w:color w:val="auto"/>
                      <w:sz w:val="21"/>
                      <w:szCs w:val="21"/>
                      <w:highlight w:val="none"/>
                      <w:lang w:val="en-US" w:eastAsia="zh-CN"/>
                    </w:rPr>
                    <w:t>三种试验药剂，环评要求企业</w:t>
                  </w:r>
                  <w:r>
                    <w:rPr>
                      <w:rFonts w:hint="default" w:ascii="Times New Roman" w:hAnsi="Times New Roman" w:cs="Times New Roman" w:eastAsiaTheme="minorEastAsia"/>
                      <w:b w:val="0"/>
                      <w:bCs w:val="0"/>
                      <w:color w:val="auto"/>
                      <w:sz w:val="21"/>
                      <w:szCs w:val="21"/>
                      <w:highlight w:val="none"/>
                      <w:lang w:val="en-US" w:eastAsia="zh-CN"/>
                    </w:rPr>
                    <w:t>按照《中华人民共和国大气污染防治法》《中华人民共和国水污染防治法》实施管理</w:t>
                  </w:r>
                  <w:r>
                    <w:rPr>
                      <w:rFonts w:hint="eastAsia" w:ascii="Times New Roman" w:hAnsi="Times New Roman" w:cs="Times New Roman" w:eastAsiaTheme="minorEastAsia"/>
                      <w:b w:val="0"/>
                      <w:bCs w:val="0"/>
                      <w:color w:val="auto"/>
                      <w:sz w:val="21"/>
                      <w:szCs w:val="21"/>
                      <w:highlight w:val="none"/>
                      <w:lang w:val="en-US" w:eastAsia="zh-CN"/>
                    </w:rPr>
                    <w:t>，</w:t>
                  </w:r>
                  <w:r>
                    <w:rPr>
                      <w:rFonts w:hint="default" w:ascii="Times New Roman" w:hAnsi="Times New Roman" w:cs="Times New Roman" w:eastAsiaTheme="minorEastAsia"/>
                      <w:b w:val="0"/>
                      <w:bCs w:val="0"/>
                      <w:color w:val="auto"/>
                      <w:sz w:val="21"/>
                      <w:szCs w:val="21"/>
                      <w:highlight w:val="none"/>
                      <w:lang w:val="en-US" w:eastAsia="zh-CN"/>
                    </w:rPr>
                    <w:t>严格登记优先控制化学品的名称、数量、用途</w:t>
                  </w:r>
                  <w:r>
                    <w:rPr>
                      <w:rFonts w:hint="eastAsia" w:ascii="Times New Roman" w:hAnsi="Times New Roman" w:cs="Times New Roman" w:eastAsiaTheme="minorEastAsia"/>
                      <w:b w:val="0"/>
                      <w:bCs w:val="0"/>
                      <w:color w:val="auto"/>
                      <w:sz w:val="21"/>
                      <w:szCs w:val="21"/>
                      <w:highlight w:val="none"/>
                      <w:lang w:val="en-US" w:eastAsia="zh-CN"/>
                    </w:rPr>
                    <w:t>，</w:t>
                  </w:r>
                  <w:r>
                    <w:rPr>
                      <w:rFonts w:hint="default" w:ascii="Times New Roman" w:hAnsi="Times New Roman" w:cs="Times New Roman" w:eastAsiaTheme="minorEastAsia"/>
                      <w:b w:val="0"/>
                      <w:bCs w:val="0"/>
                      <w:color w:val="auto"/>
                      <w:sz w:val="21"/>
                      <w:szCs w:val="21"/>
                      <w:highlight w:val="none"/>
                    </w:rPr>
                    <w:t>对</w:t>
                  </w:r>
                  <w:r>
                    <w:rPr>
                      <w:rFonts w:hint="eastAsia" w:ascii="Times New Roman" w:hAnsi="Times New Roman" w:cs="Times New Roman" w:eastAsiaTheme="minorEastAsia"/>
                      <w:b w:val="0"/>
                      <w:bCs w:val="0"/>
                      <w:color w:val="auto"/>
                      <w:sz w:val="21"/>
                      <w:szCs w:val="21"/>
                      <w:highlight w:val="none"/>
                      <w:lang w:val="en-US" w:eastAsia="zh-CN"/>
                    </w:rPr>
                    <w:t>废气</w:t>
                  </w:r>
                  <w:r>
                    <w:rPr>
                      <w:rFonts w:hint="default" w:ascii="Times New Roman" w:hAnsi="Times New Roman" w:cs="Times New Roman" w:eastAsiaTheme="minorEastAsia"/>
                      <w:b w:val="0"/>
                      <w:bCs w:val="0"/>
                      <w:color w:val="auto"/>
                      <w:sz w:val="21"/>
                      <w:szCs w:val="21"/>
                      <w:highlight w:val="none"/>
                    </w:rPr>
                    <w:t>排放口和周边环境进行定期监测，</w:t>
                  </w:r>
                  <w:r>
                    <w:rPr>
                      <w:rFonts w:hint="eastAsia" w:cs="Times New Roman" w:eastAsiaTheme="minorEastAsia"/>
                      <w:b w:val="0"/>
                      <w:bCs w:val="0"/>
                      <w:color w:val="auto"/>
                      <w:sz w:val="21"/>
                      <w:szCs w:val="21"/>
                      <w:highlight w:val="none"/>
                      <w:lang w:val="en-US" w:eastAsia="zh-CN"/>
                    </w:rPr>
                    <w:t>定期</w:t>
                  </w:r>
                  <w:r>
                    <w:rPr>
                      <w:rFonts w:hint="default" w:ascii="Times New Roman" w:hAnsi="Times New Roman" w:cs="Times New Roman" w:eastAsiaTheme="minorEastAsia"/>
                      <w:b w:val="0"/>
                      <w:bCs w:val="0"/>
                      <w:color w:val="auto"/>
                      <w:sz w:val="21"/>
                      <w:szCs w:val="21"/>
                      <w:highlight w:val="none"/>
                    </w:rPr>
                    <w:t>排查环境安全隐患</w:t>
                  </w:r>
                  <w:r>
                    <w:rPr>
                      <w:rFonts w:hint="default" w:ascii="Times New Roman" w:hAnsi="Times New Roman" w:cs="Times New Roman" w:eastAsiaTheme="minorEastAsia"/>
                      <w:b w:val="0"/>
                      <w:bCs w:val="0"/>
                      <w:color w:val="auto"/>
                      <w:sz w:val="21"/>
                      <w:szCs w:val="21"/>
                      <w:highlight w:val="none"/>
                      <w:lang w:val="en-US" w:eastAsia="zh-CN"/>
                    </w:rPr>
                    <w:t>。</w:t>
                  </w:r>
                </w:p>
              </w:tc>
              <w:tc>
                <w:tcPr>
                  <w:tcW w:w="532" w:type="pct"/>
                  <w:noWrap/>
                  <w:vAlign w:val="center"/>
                </w:tcPr>
                <w:p w14:paraId="326722C2">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210FD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1FCEBFC3">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10</w:t>
                  </w:r>
                </w:p>
              </w:tc>
              <w:tc>
                <w:tcPr>
                  <w:tcW w:w="763" w:type="pct"/>
                  <w:noWrap/>
                  <w:vAlign w:val="center"/>
                </w:tcPr>
                <w:p w14:paraId="74F3D34B">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《实验室挥发性有机物污染防治技术指南》</w:t>
                  </w:r>
                </w:p>
              </w:tc>
              <w:tc>
                <w:tcPr>
                  <w:tcW w:w="1871" w:type="pct"/>
                  <w:noWrap/>
                  <w:vAlign w:val="center"/>
                </w:tcPr>
                <w:p w14:paraId="0D5F1BFB">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实验室单位应建立有机溶剂使用登记和管理制度，编制实验操作规范，选择有效的废气收集和净化装置，减少VOCs排放，防止污染周边环境。实验室有组织VOCs 宜经过净化处理后方可排放。综合考虑场地、实验室类型等因素，因地制宜地采用有效的 VOCs净化装置。经过净化后的废气应符合排放标准后方可排放,净化过程避免产生二次污染。</w:t>
                  </w:r>
                </w:p>
              </w:tc>
              <w:tc>
                <w:tcPr>
                  <w:tcW w:w="1396" w:type="pct"/>
                  <w:noWrap/>
                  <w:vAlign w:val="center"/>
                </w:tcPr>
                <w:p w14:paraId="1F4FDA76">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分析测试中心建立了有机溶剂使用登记和管理制度，并编制了相关规范，通过有效的收集、净化设施减少污染物的产生并达标排放。</w:t>
                  </w:r>
                </w:p>
              </w:tc>
              <w:tc>
                <w:tcPr>
                  <w:tcW w:w="532" w:type="pct"/>
                  <w:noWrap/>
                  <w:vAlign w:val="center"/>
                </w:tcPr>
                <w:p w14:paraId="12A7B697">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5B4DEF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restart"/>
                  <w:noWrap/>
                  <w:vAlign w:val="center"/>
                </w:tcPr>
                <w:p w14:paraId="153906C0">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11</w:t>
                  </w:r>
                </w:p>
              </w:tc>
              <w:tc>
                <w:tcPr>
                  <w:tcW w:w="763" w:type="pct"/>
                  <w:vMerge w:val="restart"/>
                  <w:noWrap/>
                  <w:vAlign w:val="center"/>
                </w:tcPr>
                <w:p w14:paraId="1C608352">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《实验室危险废物污染控制技术规范》DB61/T 1716-2023</w:t>
                  </w:r>
                </w:p>
              </w:tc>
              <w:tc>
                <w:tcPr>
                  <w:tcW w:w="1871" w:type="pct"/>
                  <w:noWrap/>
                  <w:vAlign w:val="center"/>
                </w:tcPr>
                <w:p w14:paraId="43842D60">
                  <w:pPr>
                    <w:pStyle w:val="75"/>
                    <w:jc w:val="left"/>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rPr>
                    <w:t>实验室及其设立单位应对实验活动中产生的危险废物依法承担污染防治责任;不得将未经无害化处理的危险废物排入市政下水管网、混入生活垃圾或一般固体废物中、抛弃倾倒或者非法堆放。</w:t>
                  </w:r>
                </w:p>
              </w:tc>
              <w:tc>
                <w:tcPr>
                  <w:tcW w:w="1396" w:type="pct"/>
                  <w:vMerge w:val="restart"/>
                  <w:noWrap/>
                  <w:vAlign w:val="center"/>
                </w:tcPr>
                <w:p w14:paraId="45C06041">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本项目危险废物主要为实验室废液、废试剂包装物等沾染物</w:t>
                  </w:r>
                  <w:r>
                    <w:rPr>
                      <w:rFonts w:hint="eastAsia" w:ascii="Times New Roman" w:hAnsi="Times New Roman" w:cs="Times New Roman" w:eastAsiaTheme="minorEastAsia"/>
                      <w:b w:val="0"/>
                      <w:bCs w:val="0"/>
                      <w:color w:val="auto"/>
                      <w:sz w:val="21"/>
                      <w:szCs w:val="21"/>
                      <w:highlight w:val="none"/>
                      <w:lang w:val="en-US" w:eastAsia="zh-CN"/>
                    </w:rPr>
                    <w:t>、废活性炭</w:t>
                  </w:r>
                  <w:r>
                    <w:rPr>
                      <w:rFonts w:hint="default" w:ascii="Times New Roman" w:hAnsi="Times New Roman" w:cs="Times New Roman" w:eastAsiaTheme="minorEastAsia"/>
                      <w:b w:val="0"/>
                      <w:bCs w:val="0"/>
                      <w:color w:val="auto"/>
                      <w:sz w:val="21"/>
                      <w:szCs w:val="21"/>
                      <w:highlight w:val="none"/>
                      <w:lang w:val="en-US" w:eastAsia="zh-CN"/>
                    </w:rPr>
                    <w:t>、废试剂等，分类收集后暂存于危废贮存库定期交由危废处理资质单位处置。</w:t>
                  </w:r>
                </w:p>
                <w:p w14:paraId="572DEB81">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项目危废贮存库地面按要求进行了硬化、防渗，门口及屋内按《危险废物识别标志设置技术规范》(HJ1276-2022)张贴了标准规范的危险废物标识和危废信息板，屋内张贴了企业《危险废物管理制度》。</w:t>
                  </w:r>
                </w:p>
                <w:p w14:paraId="37000E3E">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项目危废贮存库设置双人双锁管理，配有计显称重设备和视频监控系统；项目按照HJ 1259的要求制定危险废物管理计划和建立危险废物管理台账，执行危险废物转移的相关规定，并通过陕西省固体废物管理信息系统进行申报登记</w:t>
                  </w:r>
                  <w:r>
                    <w:rPr>
                      <w:rFonts w:hint="eastAsia" w:ascii="Times New Roman" w:hAnsi="Times New Roman" w:cs="Times New Roman" w:eastAsiaTheme="minorEastAsia"/>
                      <w:b w:val="0"/>
                      <w:bCs w:val="0"/>
                      <w:color w:val="auto"/>
                      <w:sz w:val="21"/>
                      <w:szCs w:val="21"/>
                      <w:highlight w:val="none"/>
                      <w:lang w:val="en-US" w:eastAsia="zh-CN"/>
                    </w:rPr>
                    <w:t>。</w:t>
                  </w:r>
                </w:p>
              </w:tc>
              <w:tc>
                <w:tcPr>
                  <w:tcW w:w="532" w:type="pct"/>
                  <w:noWrap/>
                  <w:vAlign w:val="center"/>
                </w:tcPr>
                <w:p w14:paraId="32D93FE4">
                  <w:pPr>
                    <w:pStyle w:val="75"/>
                    <w:jc w:val="center"/>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30081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0359BD7E">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020DE05B">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75A49D42">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实验室及其设立单位应设置危险废物贮存设施，分类收集、贮存危险废物。贮存设施应具备防扬散、防流失、防渗漏、防腐以及其他防止污染环境的措施，防止渗出液及其衍生废物、泄漏的液态废物、产生的粉尘和挥发性有机物等污染环境。并按HJ1276规定设置危险废物识别标志</w:t>
                  </w:r>
                  <w:r>
                    <w:rPr>
                      <w:rFonts w:hint="default" w:ascii="Times New Roman" w:hAnsi="Times New Roman" w:cs="Times New Roman" w:eastAsiaTheme="minorEastAsia"/>
                      <w:b w:val="0"/>
                      <w:bCs w:val="0"/>
                      <w:color w:val="auto"/>
                      <w:sz w:val="21"/>
                      <w:szCs w:val="21"/>
                      <w:highlight w:val="none"/>
                      <w:lang w:eastAsia="zh-CN"/>
                    </w:rPr>
                    <w:t>。</w:t>
                  </w:r>
                </w:p>
              </w:tc>
              <w:tc>
                <w:tcPr>
                  <w:tcW w:w="1396" w:type="pct"/>
                  <w:vMerge w:val="continue"/>
                  <w:noWrap/>
                  <w:vAlign w:val="center"/>
                </w:tcPr>
                <w:p w14:paraId="207D9341">
                  <w:pPr>
                    <w:pStyle w:val="75"/>
                    <w:jc w:val="left"/>
                    <w:rPr>
                      <w:rFonts w:hint="default" w:ascii="Times New Roman" w:hAnsi="Times New Roman" w:cs="Times New Roman" w:eastAsiaTheme="minorEastAsia"/>
                      <w:b w:val="0"/>
                      <w:bCs w:val="0"/>
                      <w:color w:val="auto"/>
                      <w:sz w:val="21"/>
                      <w:szCs w:val="21"/>
                      <w:highlight w:val="none"/>
                      <w:lang w:val="en-US" w:eastAsia="zh-CN"/>
                    </w:rPr>
                  </w:pPr>
                </w:p>
              </w:tc>
              <w:tc>
                <w:tcPr>
                  <w:tcW w:w="532" w:type="pct"/>
                  <w:noWrap/>
                  <w:vAlign w:val="center"/>
                </w:tcPr>
                <w:p w14:paraId="2F4BACC2">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0297E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4BC8482F">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40BB7F7B">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7FB6F8B1">
                  <w:pPr>
                    <w:pStyle w:val="75"/>
                    <w:jc w:val="left"/>
                    <w:rPr>
                      <w:rFonts w:hint="eastAsia"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rPr>
                    <w:t>具有危险特性的废液不得随意通过废水处理系统进行处置</w:t>
                  </w:r>
                  <w:r>
                    <w:rPr>
                      <w:rFonts w:hint="eastAsia" w:ascii="Times New Roman" w:hAnsi="Times New Roman" w:cs="Times New Roman" w:eastAsiaTheme="minorEastAsia"/>
                      <w:b w:val="0"/>
                      <w:bCs w:val="0"/>
                      <w:color w:val="auto"/>
                      <w:sz w:val="21"/>
                      <w:szCs w:val="21"/>
                      <w:highlight w:val="none"/>
                      <w:lang w:eastAsia="zh-CN"/>
                    </w:rPr>
                    <w:t>。</w:t>
                  </w:r>
                </w:p>
              </w:tc>
              <w:tc>
                <w:tcPr>
                  <w:tcW w:w="1396" w:type="pct"/>
                  <w:vMerge w:val="continue"/>
                  <w:noWrap/>
                  <w:vAlign w:val="center"/>
                </w:tcPr>
                <w:p w14:paraId="63ADA85D">
                  <w:pPr>
                    <w:pStyle w:val="75"/>
                    <w:jc w:val="left"/>
                    <w:rPr>
                      <w:rFonts w:hint="default" w:ascii="Times New Roman" w:hAnsi="Times New Roman" w:cs="Times New Roman" w:eastAsiaTheme="minorEastAsia"/>
                      <w:b w:val="0"/>
                      <w:bCs w:val="0"/>
                      <w:color w:val="auto"/>
                      <w:sz w:val="21"/>
                      <w:szCs w:val="21"/>
                      <w:highlight w:val="none"/>
                      <w:lang w:val="en-US" w:eastAsia="zh-CN"/>
                    </w:rPr>
                  </w:pPr>
                </w:p>
              </w:tc>
              <w:tc>
                <w:tcPr>
                  <w:tcW w:w="532" w:type="pct"/>
                  <w:noWrap/>
                  <w:vAlign w:val="center"/>
                </w:tcPr>
                <w:p w14:paraId="0AA77453">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06256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7971E3C6">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35F72FA2">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0B02D83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eastAsia="zh-CN"/>
                    </w:rPr>
                    <w:t>实验室及其设立单位应设有专职人员负责危险废物的环境管理，配有计量称重设备和视频监控系统。宜采用信息化手段对危险废物进行管理。</w:t>
                  </w:r>
                </w:p>
              </w:tc>
              <w:tc>
                <w:tcPr>
                  <w:tcW w:w="1396" w:type="pct"/>
                  <w:vMerge w:val="continue"/>
                  <w:noWrap/>
                  <w:vAlign w:val="center"/>
                </w:tcPr>
                <w:p w14:paraId="6BDF3E9E">
                  <w:pPr>
                    <w:pStyle w:val="75"/>
                    <w:jc w:val="left"/>
                    <w:rPr>
                      <w:rFonts w:hint="default" w:ascii="Times New Roman" w:hAnsi="Times New Roman" w:cs="Times New Roman" w:eastAsiaTheme="minorEastAsia"/>
                      <w:b w:val="0"/>
                      <w:bCs w:val="0"/>
                      <w:color w:val="auto"/>
                      <w:sz w:val="21"/>
                      <w:szCs w:val="21"/>
                      <w:highlight w:val="none"/>
                      <w:lang w:val="en-US" w:eastAsia="zh-CN"/>
                    </w:rPr>
                  </w:pPr>
                </w:p>
              </w:tc>
              <w:tc>
                <w:tcPr>
                  <w:tcW w:w="532" w:type="pct"/>
                  <w:noWrap/>
                  <w:vAlign w:val="center"/>
                </w:tcPr>
                <w:p w14:paraId="69A05BA3">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0ED048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01D52473">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2E58CF13">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297D2894">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实验室及其设立单位应建立健全危险废物产生、收集、贮存、转移、利用和处置全过程污染防治责任制度，按照HJ 1259的要求制定危险废物管理计划和建立危险废物管理台账，执行危险废物转移的相关规定，并通过陕西省固体废物管理信息系统进行申报登记。</w:t>
                  </w:r>
                </w:p>
              </w:tc>
              <w:tc>
                <w:tcPr>
                  <w:tcW w:w="1396" w:type="pct"/>
                  <w:vMerge w:val="continue"/>
                  <w:noWrap/>
                  <w:vAlign w:val="center"/>
                </w:tcPr>
                <w:p w14:paraId="3C94EB6A">
                  <w:pPr>
                    <w:pStyle w:val="75"/>
                    <w:jc w:val="left"/>
                    <w:rPr>
                      <w:rFonts w:hint="default" w:ascii="Times New Roman" w:hAnsi="Times New Roman" w:cs="Times New Roman" w:eastAsiaTheme="minorEastAsia"/>
                      <w:b w:val="0"/>
                      <w:bCs w:val="0"/>
                      <w:color w:val="auto"/>
                      <w:sz w:val="21"/>
                      <w:szCs w:val="21"/>
                      <w:highlight w:val="none"/>
                      <w:lang w:val="en-US" w:eastAsia="zh-CN"/>
                    </w:rPr>
                  </w:pPr>
                </w:p>
              </w:tc>
              <w:tc>
                <w:tcPr>
                  <w:tcW w:w="532" w:type="pct"/>
                  <w:noWrap/>
                  <w:vAlign w:val="center"/>
                </w:tcPr>
                <w:p w14:paraId="0951449E">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符合</w:t>
                  </w:r>
                </w:p>
              </w:tc>
            </w:tr>
            <w:tr w14:paraId="33E62B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7090C40C">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12</w:t>
                  </w:r>
                </w:p>
              </w:tc>
              <w:tc>
                <w:tcPr>
                  <w:tcW w:w="763" w:type="pct"/>
                  <w:noWrap/>
                  <w:vAlign w:val="center"/>
                </w:tcPr>
                <w:p w14:paraId="17646615">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《有毒有害大气污染物名录（2018年）》</w:t>
                  </w:r>
                </w:p>
              </w:tc>
              <w:tc>
                <w:tcPr>
                  <w:tcW w:w="1871" w:type="pct"/>
                  <w:noWrap/>
                  <w:vAlign w:val="center"/>
                </w:tcPr>
                <w:p w14:paraId="224E9861">
                  <w:pPr>
                    <w:pStyle w:val="75"/>
                    <w:jc w:val="left"/>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rPr>
                    <w:t>根据《中华人民共和国大气污染防治法》有关规定，生态环境部会同卫生健康委制定了《有毒有害大气污染物名录（2018年）》</w:t>
                  </w:r>
                  <w:r>
                    <w:rPr>
                      <w:rFonts w:hint="eastAsia" w:ascii="Times New Roman" w:hAnsi="Times New Roman" w:cs="Times New Roman" w:eastAsiaTheme="minorEastAsia"/>
                      <w:b w:val="0"/>
                      <w:bCs w:val="0"/>
                      <w:color w:val="auto"/>
                      <w:sz w:val="21"/>
                      <w:szCs w:val="21"/>
                      <w:highlight w:val="none"/>
                      <w:lang w:eastAsia="zh-CN"/>
                    </w:rPr>
                    <w:t>，</w:t>
                  </w:r>
                  <w:r>
                    <w:rPr>
                      <w:rFonts w:hint="eastAsia" w:ascii="Times New Roman" w:hAnsi="Times New Roman" w:cs="Times New Roman" w:eastAsiaTheme="minorEastAsia"/>
                      <w:b w:val="0"/>
                      <w:bCs w:val="0"/>
                      <w:color w:val="auto"/>
                      <w:sz w:val="21"/>
                      <w:szCs w:val="21"/>
                      <w:highlight w:val="none"/>
                      <w:lang w:val="en-US" w:eastAsia="zh-CN"/>
                    </w:rPr>
                    <w:t>包括二氯甲烷、甲醛、三氯甲烷、三氯乙烯、四氯乙烯、乙醛、镉及其化合物、铬及其化合物、汞及其化合物、铅及其化合物、砷及其化合物共计11种。</w:t>
                  </w:r>
                </w:p>
              </w:tc>
              <w:tc>
                <w:tcPr>
                  <w:tcW w:w="1396" w:type="pct"/>
                  <w:noWrap/>
                  <w:vAlign w:val="center"/>
                </w:tcPr>
                <w:p w14:paraId="092D7014">
                  <w:pPr>
                    <w:rPr>
                      <w:rFonts w:hint="eastAsia"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本项目</w:t>
                  </w:r>
                  <w:r>
                    <w:rPr>
                      <w:rFonts w:hint="eastAsia" w:ascii="Times New Roman" w:hAnsi="Times New Roman" w:cs="Times New Roman" w:eastAsiaTheme="minorEastAsia"/>
                      <w:b w:val="0"/>
                      <w:bCs w:val="0"/>
                      <w:color w:val="auto"/>
                      <w:sz w:val="21"/>
                      <w:szCs w:val="21"/>
                      <w:highlight w:val="none"/>
                      <w:lang w:val="en-US" w:eastAsia="zh-CN"/>
                    </w:rPr>
                    <w:t>为</w:t>
                  </w:r>
                  <w:r>
                    <w:rPr>
                      <w:rFonts w:hint="eastAsia" w:ascii="Times New Roman" w:hAnsi="Times New Roman" w:cs="Times New Roman" w:eastAsiaTheme="minorEastAsia"/>
                      <w:b w:val="0"/>
                      <w:bCs w:val="0"/>
                      <w:color w:val="auto"/>
                      <w:sz w:val="21"/>
                      <w:szCs w:val="21"/>
                      <w:highlight w:val="none"/>
                    </w:rPr>
                    <w:t>实验室项目，</w:t>
                  </w:r>
                  <w:r>
                    <w:rPr>
                      <w:rFonts w:hint="eastAsia" w:cs="Times New Roman" w:eastAsiaTheme="minorEastAsia"/>
                      <w:b w:val="0"/>
                      <w:bCs w:val="0"/>
                      <w:color w:val="auto"/>
                      <w:sz w:val="21"/>
                      <w:szCs w:val="21"/>
                      <w:highlight w:val="none"/>
                      <w:lang w:val="en-US" w:eastAsia="zh-CN"/>
                    </w:rPr>
                    <w:t>有毒有害大气污染物</w:t>
                  </w:r>
                  <w:r>
                    <w:rPr>
                      <w:rFonts w:hint="default" w:ascii="Times New Roman" w:hAnsi="Times New Roman" w:cs="Times New Roman" w:eastAsiaTheme="minorEastAsia"/>
                      <w:b w:val="0"/>
                      <w:bCs w:val="0"/>
                      <w:color w:val="auto"/>
                      <w:sz w:val="21"/>
                      <w:szCs w:val="21"/>
                      <w:highlight w:val="none"/>
                      <w:lang w:val="en-US" w:eastAsia="zh-CN"/>
                    </w:rPr>
                    <w:t>为</w:t>
                  </w:r>
                  <w:r>
                    <w:rPr>
                      <w:rFonts w:hint="eastAsia" w:ascii="Times New Roman" w:hAnsi="Times New Roman" w:cs="Times New Roman" w:eastAsiaTheme="minorEastAsia"/>
                      <w:b w:val="0"/>
                      <w:bCs w:val="0"/>
                      <w:color w:val="auto"/>
                      <w:sz w:val="21"/>
                      <w:szCs w:val="21"/>
                      <w:highlight w:val="none"/>
                      <w:lang w:val="en-US" w:eastAsia="zh-CN"/>
                    </w:rPr>
                    <w:t>三氯甲烷、二氯甲烷，</w:t>
                  </w:r>
                  <w:r>
                    <w:rPr>
                      <w:rFonts w:hint="eastAsia" w:cs="Times New Roman"/>
                      <w:b w:val="0"/>
                      <w:bCs/>
                      <w:color w:val="auto"/>
                      <w:sz w:val="21"/>
                      <w:szCs w:val="21"/>
                      <w:highlight w:val="none"/>
                      <w:lang w:val="en-US" w:eastAsia="zh-CN"/>
                    </w:rPr>
                    <w:t>按照</w:t>
                  </w:r>
                  <w:r>
                    <w:rPr>
                      <w:rFonts w:hint="default" w:ascii="Times New Roman" w:hAnsi="Times New Roman" w:cs="Times New Roman" w:eastAsiaTheme="minorEastAsia"/>
                      <w:b w:val="0"/>
                      <w:bCs w:val="0"/>
                      <w:color w:val="auto"/>
                      <w:sz w:val="21"/>
                      <w:szCs w:val="21"/>
                      <w:highlight w:val="none"/>
                    </w:rPr>
                    <w:t>《中华人民共和国大气污染防治法》，</w:t>
                  </w:r>
                  <w:r>
                    <w:rPr>
                      <w:rFonts w:hint="eastAsia" w:cs="Times New Roman" w:eastAsiaTheme="minorEastAsia"/>
                      <w:b w:val="0"/>
                      <w:bCs w:val="0"/>
                      <w:color w:val="auto"/>
                      <w:sz w:val="21"/>
                      <w:szCs w:val="21"/>
                      <w:highlight w:val="none"/>
                      <w:lang w:val="en-US" w:eastAsia="zh-CN"/>
                    </w:rPr>
                    <w:t>企业已建立</w:t>
                  </w:r>
                  <w:r>
                    <w:rPr>
                      <w:rFonts w:hint="default" w:ascii="Times New Roman" w:hAnsi="Times New Roman" w:cs="Times New Roman" w:eastAsiaTheme="minorEastAsia"/>
                      <w:b w:val="0"/>
                      <w:bCs w:val="0"/>
                      <w:color w:val="auto"/>
                      <w:sz w:val="21"/>
                      <w:szCs w:val="21"/>
                      <w:highlight w:val="none"/>
                    </w:rPr>
                    <w:t>环境风险预警体系</w:t>
                  </w:r>
                  <w:r>
                    <w:rPr>
                      <w:rFonts w:hint="eastAsia" w:cs="Times New Roman" w:eastAsiaTheme="minorEastAsia"/>
                      <w:b w:val="0"/>
                      <w:bCs w:val="0"/>
                      <w:color w:val="auto"/>
                      <w:sz w:val="21"/>
                      <w:szCs w:val="21"/>
                      <w:highlight w:val="none"/>
                      <w:lang w:eastAsia="zh-CN"/>
                    </w:rPr>
                    <w:t>，</w:t>
                  </w:r>
                  <w:r>
                    <w:rPr>
                      <w:rFonts w:hint="eastAsia" w:cs="Times New Roman" w:eastAsiaTheme="minorEastAsia"/>
                      <w:b w:val="0"/>
                      <w:bCs w:val="0"/>
                      <w:color w:val="auto"/>
                      <w:sz w:val="21"/>
                      <w:szCs w:val="21"/>
                      <w:highlight w:val="none"/>
                      <w:lang w:val="en-US" w:eastAsia="zh-CN"/>
                    </w:rPr>
                    <w:t>环评要求企业</w:t>
                  </w:r>
                  <w:r>
                    <w:rPr>
                      <w:rFonts w:hint="default" w:ascii="Times New Roman" w:hAnsi="Times New Roman" w:cs="Times New Roman" w:eastAsiaTheme="minorEastAsia"/>
                      <w:b w:val="0"/>
                      <w:bCs w:val="0"/>
                      <w:color w:val="auto"/>
                      <w:sz w:val="21"/>
                      <w:szCs w:val="21"/>
                      <w:highlight w:val="none"/>
                    </w:rPr>
                    <w:t>对</w:t>
                  </w:r>
                  <w:r>
                    <w:rPr>
                      <w:rFonts w:hint="eastAsia" w:cs="Times New Roman" w:eastAsiaTheme="minorEastAsia"/>
                      <w:b w:val="0"/>
                      <w:bCs w:val="0"/>
                      <w:color w:val="auto"/>
                      <w:sz w:val="21"/>
                      <w:szCs w:val="21"/>
                      <w:highlight w:val="none"/>
                      <w:lang w:val="en-US" w:eastAsia="zh-CN"/>
                    </w:rPr>
                    <w:t>废气</w:t>
                  </w:r>
                  <w:r>
                    <w:rPr>
                      <w:rFonts w:hint="default" w:ascii="Times New Roman" w:hAnsi="Times New Roman" w:cs="Times New Roman" w:eastAsiaTheme="minorEastAsia"/>
                      <w:b w:val="0"/>
                      <w:bCs w:val="0"/>
                      <w:color w:val="auto"/>
                      <w:sz w:val="21"/>
                      <w:szCs w:val="21"/>
                      <w:highlight w:val="none"/>
                    </w:rPr>
                    <w:t>排放口和周边环境进行定期监测，</w:t>
                  </w:r>
                  <w:r>
                    <w:rPr>
                      <w:rFonts w:hint="eastAsia" w:cs="Times New Roman" w:eastAsiaTheme="minorEastAsia"/>
                      <w:b w:val="0"/>
                      <w:bCs w:val="0"/>
                      <w:color w:val="auto"/>
                      <w:sz w:val="21"/>
                      <w:szCs w:val="21"/>
                      <w:highlight w:val="none"/>
                      <w:lang w:val="en-US" w:eastAsia="zh-CN"/>
                    </w:rPr>
                    <w:t>同时，要求企业开展</w:t>
                  </w:r>
                  <w:r>
                    <w:rPr>
                      <w:rFonts w:hint="default" w:ascii="Times New Roman" w:hAnsi="Times New Roman" w:cs="Times New Roman" w:eastAsiaTheme="minorEastAsia"/>
                      <w:b w:val="0"/>
                      <w:bCs w:val="0"/>
                      <w:color w:val="auto"/>
                      <w:sz w:val="21"/>
                      <w:szCs w:val="21"/>
                      <w:highlight w:val="none"/>
                    </w:rPr>
                    <w:t>环境风险评估</w:t>
                  </w:r>
                  <w:r>
                    <w:rPr>
                      <w:rFonts w:hint="eastAsia" w:cs="Times New Roman" w:eastAsiaTheme="minorEastAsia"/>
                      <w:b w:val="0"/>
                      <w:bCs w:val="0"/>
                      <w:color w:val="auto"/>
                      <w:sz w:val="21"/>
                      <w:szCs w:val="21"/>
                      <w:highlight w:val="none"/>
                      <w:lang w:val="en-US" w:eastAsia="zh-CN"/>
                    </w:rPr>
                    <w:t>工作</w:t>
                  </w:r>
                  <w:r>
                    <w:rPr>
                      <w:rFonts w:hint="default" w:ascii="Times New Roman" w:hAnsi="Times New Roman" w:cs="Times New Roman" w:eastAsiaTheme="minorEastAsia"/>
                      <w:b w:val="0"/>
                      <w:bCs w:val="0"/>
                      <w:color w:val="auto"/>
                      <w:sz w:val="21"/>
                      <w:szCs w:val="21"/>
                      <w:highlight w:val="none"/>
                    </w:rPr>
                    <w:t>，</w:t>
                  </w:r>
                  <w:r>
                    <w:rPr>
                      <w:rFonts w:hint="eastAsia" w:cs="Times New Roman" w:eastAsiaTheme="minorEastAsia"/>
                      <w:b w:val="0"/>
                      <w:bCs w:val="0"/>
                      <w:color w:val="auto"/>
                      <w:sz w:val="21"/>
                      <w:szCs w:val="21"/>
                      <w:highlight w:val="none"/>
                      <w:lang w:val="en-US" w:eastAsia="zh-CN"/>
                    </w:rPr>
                    <w:t>定期</w:t>
                  </w:r>
                  <w:r>
                    <w:rPr>
                      <w:rFonts w:hint="default" w:ascii="Times New Roman" w:hAnsi="Times New Roman" w:cs="Times New Roman" w:eastAsiaTheme="minorEastAsia"/>
                      <w:b w:val="0"/>
                      <w:bCs w:val="0"/>
                      <w:color w:val="auto"/>
                      <w:sz w:val="21"/>
                      <w:szCs w:val="21"/>
                      <w:highlight w:val="none"/>
                    </w:rPr>
                    <w:t>排查环境安全隐患</w:t>
                  </w:r>
                  <w:r>
                    <w:rPr>
                      <w:rFonts w:hint="eastAsia" w:cs="Times New Roman" w:eastAsiaTheme="minorEastAsia"/>
                      <w:b w:val="0"/>
                      <w:bCs w:val="0"/>
                      <w:color w:val="auto"/>
                      <w:sz w:val="21"/>
                      <w:szCs w:val="21"/>
                      <w:highlight w:val="none"/>
                      <w:lang w:eastAsia="zh-CN"/>
                    </w:rPr>
                    <w:t>。</w:t>
                  </w:r>
                </w:p>
              </w:tc>
              <w:tc>
                <w:tcPr>
                  <w:tcW w:w="532" w:type="pct"/>
                  <w:noWrap/>
                  <w:vAlign w:val="center"/>
                </w:tcPr>
                <w:p w14:paraId="6EFEC95F">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1C2FEF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1186732B">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13</w:t>
                  </w:r>
                </w:p>
              </w:tc>
              <w:tc>
                <w:tcPr>
                  <w:tcW w:w="763" w:type="pct"/>
                  <w:noWrap/>
                  <w:vAlign w:val="center"/>
                </w:tcPr>
                <w:p w14:paraId="191983B2">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《有毒有害水污染物名录（第一批）》</w:t>
                  </w:r>
                </w:p>
              </w:tc>
              <w:tc>
                <w:tcPr>
                  <w:tcW w:w="1871" w:type="pct"/>
                  <w:noWrap/>
                  <w:vAlign w:val="center"/>
                </w:tcPr>
                <w:p w14:paraId="662D715C">
                  <w:pPr>
                    <w:pStyle w:val="75"/>
                    <w:jc w:val="left"/>
                    <w:rPr>
                      <w:rFonts w:hint="eastAsia"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rPr>
                    <w:t>根据《中华人民共和国水污染防治法》有关规定，生态环境部会同卫生健康委制定了《有毒有害水污染物名录（第一批）》</w:t>
                  </w:r>
                  <w:r>
                    <w:rPr>
                      <w:rFonts w:hint="eastAsia" w:ascii="Times New Roman" w:hAnsi="Times New Roman" w:cs="Times New Roman" w:eastAsiaTheme="minorEastAsia"/>
                      <w:b w:val="0"/>
                      <w:bCs w:val="0"/>
                      <w:color w:val="auto"/>
                      <w:sz w:val="21"/>
                      <w:szCs w:val="21"/>
                      <w:highlight w:val="none"/>
                      <w:lang w:eastAsia="zh-CN"/>
                    </w:rPr>
                    <w:t>，</w:t>
                  </w:r>
                  <w:r>
                    <w:rPr>
                      <w:rFonts w:hint="eastAsia" w:ascii="Times New Roman" w:hAnsi="Times New Roman" w:cs="Times New Roman" w:eastAsiaTheme="minorEastAsia"/>
                      <w:b w:val="0"/>
                      <w:bCs w:val="0"/>
                      <w:color w:val="auto"/>
                      <w:sz w:val="21"/>
                      <w:szCs w:val="21"/>
                      <w:highlight w:val="none"/>
                      <w:lang w:val="en-US" w:eastAsia="zh-CN"/>
                    </w:rPr>
                    <w:t>包括二氯甲烷、三氯甲烷、三氯乙烯、四氯乙烯、甲醛、镉及镉化合物、汞及汞化合物、六价铬化合物、铅及铅化合物、砷及砷化合物共计10种。</w:t>
                  </w:r>
                </w:p>
              </w:tc>
              <w:tc>
                <w:tcPr>
                  <w:tcW w:w="1396" w:type="pct"/>
                  <w:shd w:val="clear" w:color="auto" w:fill="auto"/>
                  <w:noWrap/>
                  <w:vAlign w:val="center"/>
                </w:tcPr>
                <w:p w14:paraId="5CCCC257">
                  <w:pPr>
                    <w:rPr>
                      <w:rFonts w:hint="eastAsia"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val="en-US" w:eastAsia="zh-CN"/>
                    </w:rPr>
                    <w:t>本项目</w:t>
                  </w:r>
                  <w:r>
                    <w:rPr>
                      <w:rFonts w:hint="eastAsia" w:ascii="Times New Roman" w:hAnsi="Times New Roman" w:cs="Times New Roman" w:eastAsiaTheme="minorEastAsia"/>
                      <w:b w:val="0"/>
                      <w:bCs w:val="0"/>
                      <w:color w:val="auto"/>
                      <w:sz w:val="21"/>
                      <w:szCs w:val="21"/>
                      <w:highlight w:val="none"/>
                      <w:lang w:val="en-US" w:eastAsia="zh-CN"/>
                    </w:rPr>
                    <w:t>为</w:t>
                  </w:r>
                  <w:r>
                    <w:rPr>
                      <w:rFonts w:hint="eastAsia" w:ascii="Times New Roman" w:hAnsi="Times New Roman" w:cs="Times New Roman" w:eastAsiaTheme="minorEastAsia"/>
                      <w:b w:val="0"/>
                      <w:bCs w:val="0"/>
                      <w:color w:val="auto"/>
                      <w:sz w:val="21"/>
                      <w:szCs w:val="21"/>
                      <w:highlight w:val="none"/>
                    </w:rPr>
                    <w:t>实验室项目，</w:t>
                  </w:r>
                </w:p>
                <w:p w14:paraId="7AF32125">
                  <w:pPr>
                    <w:rPr>
                      <w:rFonts w:hint="eastAsia" w:ascii="Times New Roman" w:hAnsi="Times New Roman" w:cs="Times New Roman" w:eastAsiaTheme="minorEastAsia"/>
                      <w:b w:val="0"/>
                      <w:bCs w:val="0"/>
                      <w:color w:val="auto"/>
                      <w:kern w:val="2"/>
                      <w:sz w:val="21"/>
                      <w:szCs w:val="21"/>
                      <w:highlight w:val="none"/>
                      <w:lang w:val="en-US" w:eastAsia="zh-CN" w:bidi="ar-SA"/>
                    </w:rPr>
                  </w:pPr>
                  <w:r>
                    <w:rPr>
                      <w:rFonts w:hint="eastAsia" w:cs="Times New Roman" w:eastAsiaTheme="minorEastAsia"/>
                      <w:b w:val="0"/>
                      <w:bCs w:val="0"/>
                      <w:color w:val="auto"/>
                      <w:sz w:val="21"/>
                      <w:szCs w:val="21"/>
                      <w:highlight w:val="none"/>
                      <w:lang w:val="en-US" w:eastAsia="zh-CN"/>
                    </w:rPr>
                    <w:t>使用的药剂中涉及</w:t>
                  </w:r>
                  <w:r>
                    <w:rPr>
                      <w:rFonts w:hint="eastAsia" w:ascii="Times New Roman" w:hAnsi="Times New Roman" w:cs="Times New Roman" w:eastAsiaTheme="minorEastAsia"/>
                      <w:b w:val="0"/>
                      <w:bCs w:val="0"/>
                      <w:color w:val="auto"/>
                      <w:sz w:val="21"/>
                      <w:szCs w:val="21"/>
                      <w:highlight w:val="none"/>
                      <w:lang w:val="en-US" w:eastAsia="zh-CN"/>
                    </w:rPr>
                    <w:t>三氯甲烷、二氯甲烷，</w:t>
                  </w:r>
                  <w:r>
                    <w:rPr>
                      <w:rFonts w:hint="eastAsia" w:cs="Times New Roman" w:eastAsiaTheme="minorEastAsia"/>
                      <w:b w:val="0"/>
                      <w:bCs w:val="0"/>
                      <w:color w:val="auto"/>
                      <w:sz w:val="21"/>
                      <w:szCs w:val="21"/>
                      <w:highlight w:val="none"/>
                      <w:lang w:val="en-US" w:eastAsia="zh-CN"/>
                    </w:rPr>
                    <w:t>项目实验过程中约4%的</w:t>
                  </w:r>
                  <w:r>
                    <w:rPr>
                      <w:rFonts w:hint="eastAsia" w:ascii="Times New Roman" w:hAnsi="Times New Roman" w:cs="Times New Roman" w:eastAsiaTheme="minorEastAsia"/>
                      <w:b w:val="0"/>
                      <w:bCs w:val="0"/>
                      <w:color w:val="auto"/>
                      <w:sz w:val="21"/>
                      <w:szCs w:val="21"/>
                      <w:highlight w:val="none"/>
                      <w:lang w:val="en-US" w:eastAsia="zh-CN"/>
                    </w:rPr>
                    <w:t>三氯甲烷、二氯甲烷</w:t>
                  </w:r>
                  <w:r>
                    <w:rPr>
                      <w:rFonts w:hint="eastAsia" w:cs="Times New Roman" w:eastAsiaTheme="minorEastAsia"/>
                      <w:b w:val="0"/>
                      <w:bCs w:val="0"/>
                      <w:color w:val="auto"/>
                      <w:sz w:val="21"/>
                      <w:szCs w:val="21"/>
                      <w:highlight w:val="none"/>
                      <w:lang w:val="en-US" w:eastAsia="zh-CN"/>
                    </w:rPr>
                    <w:t>挥发后进入废气系统，剩余96%的</w:t>
                  </w:r>
                  <w:r>
                    <w:rPr>
                      <w:rFonts w:hint="eastAsia" w:ascii="Times New Roman" w:hAnsi="Times New Roman" w:cs="Times New Roman" w:eastAsiaTheme="minorEastAsia"/>
                      <w:b w:val="0"/>
                      <w:bCs w:val="0"/>
                      <w:color w:val="auto"/>
                      <w:sz w:val="21"/>
                      <w:szCs w:val="21"/>
                      <w:highlight w:val="none"/>
                      <w:lang w:val="en-US" w:eastAsia="zh-CN"/>
                    </w:rPr>
                    <w:t>三氯甲烷、二氯甲烷</w:t>
                  </w:r>
                  <w:r>
                    <w:rPr>
                      <w:rFonts w:hint="eastAsia" w:cs="Times New Roman" w:eastAsiaTheme="minorEastAsia"/>
                      <w:b w:val="0"/>
                      <w:bCs w:val="0"/>
                      <w:color w:val="auto"/>
                      <w:sz w:val="21"/>
                      <w:szCs w:val="21"/>
                      <w:highlight w:val="none"/>
                      <w:lang w:val="en-US" w:eastAsia="zh-CN"/>
                    </w:rPr>
                    <w:t>作为实验废液分类收集暂存于危废贮存库，定期委托有资质单位处置，不进入废水排放系统</w:t>
                  </w:r>
                  <w:r>
                    <w:rPr>
                      <w:rFonts w:hint="eastAsia" w:cs="Times New Roman" w:eastAsiaTheme="minorEastAsia"/>
                      <w:b w:val="0"/>
                      <w:bCs w:val="0"/>
                      <w:color w:val="auto"/>
                      <w:sz w:val="21"/>
                      <w:szCs w:val="21"/>
                      <w:highlight w:val="none"/>
                      <w:lang w:eastAsia="zh-CN"/>
                    </w:rPr>
                    <w:t>。</w:t>
                  </w:r>
                </w:p>
              </w:tc>
              <w:tc>
                <w:tcPr>
                  <w:tcW w:w="532" w:type="pct"/>
                  <w:shd w:val="clear" w:color="auto" w:fill="auto"/>
                  <w:noWrap/>
                  <w:vAlign w:val="center"/>
                </w:tcPr>
                <w:p w14:paraId="6D26974E">
                  <w:pPr>
                    <w:pStyle w:val="75"/>
                    <w:jc w:val="center"/>
                    <w:rPr>
                      <w:rFonts w:hint="eastAsia" w:ascii="Times New Roman" w:hAnsi="Times New Roman" w:cs="Times New Roman" w:eastAsiaTheme="minorEastAsia"/>
                      <w:b w:val="0"/>
                      <w:bCs w:val="0"/>
                      <w:color w:val="auto"/>
                      <w:kern w:val="2"/>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5FAC0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restart"/>
                  <w:noWrap/>
                  <w:vAlign w:val="center"/>
                </w:tcPr>
                <w:p w14:paraId="2B41324C">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14</w:t>
                  </w:r>
                </w:p>
              </w:tc>
              <w:tc>
                <w:tcPr>
                  <w:tcW w:w="763" w:type="pct"/>
                  <w:vMerge w:val="restart"/>
                  <w:noWrap/>
                  <w:vAlign w:val="center"/>
                </w:tcPr>
                <w:p w14:paraId="2F8977F3">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重点管控新污染物清单（2023年版）</w:t>
                  </w:r>
                </w:p>
              </w:tc>
              <w:tc>
                <w:tcPr>
                  <w:tcW w:w="1871" w:type="pct"/>
                  <w:noWrap/>
                  <w:vAlign w:val="center"/>
                </w:tcPr>
                <w:p w14:paraId="49939784">
                  <w:pPr>
                    <w:pStyle w:val="75"/>
                    <w:jc w:val="left"/>
                    <w:rPr>
                      <w:rFonts w:hint="eastAsia" w:ascii="Times New Roman" w:hAnsi="Times New Roman" w:cs="Times New Roman" w:eastAsiaTheme="minorEastAsia"/>
                      <w:b/>
                      <w:bCs/>
                      <w:color w:val="auto"/>
                      <w:sz w:val="21"/>
                      <w:szCs w:val="21"/>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二氯甲烷：</w:t>
                  </w:r>
                </w:p>
                <w:p w14:paraId="6017F5E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1.禁止生产含有二氯甲烷的脱漆剂。</w:t>
                  </w:r>
                </w:p>
                <w:p w14:paraId="13E08E5A">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2.依据化妆品安全技术规范，禁止将二氯甲烷用作化妆品组分。</w:t>
                  </w:r>
                </w:p>
                <w:p w14:paraId="0D292704">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3.依据《清洗剂挥发性有机化合物含量限值》（GB 38508），水基清洗剂、半水基清洗剂、有机溶剂清洗剂中二氯甲烷、三氯甲烷、三氯乙烯、四氯乙烯含量总和分别不得超过0.5%、2%、20%。</w:t>
                  </w:r>
                </w:p>
                <w:p w14:paraId="26AC4A5F">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4.依据《石油化学工业污染物排放标准》（GB 31571）、《合成树脂工业污染物排放标准》（GB 31572）、《化学合成类制药工业水污染物排放标准》（GB 21904）等二氯甲烷排放管控要求，实施达标排放。</w:t>
                  </w:r>
                </w:p>
                <w:p w14:paraId="25C21D69">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5.依据《中华人民共和国大气污染防治法》，相关企业事业单位应当按照国家有关规定建设环境风险预警体系，对排放口和周边环境进行定期监测，评估环境风险，排查环境安全隐患，并采取有效措施防范环境风险。</w:t>
                  </w:r>
                </w:p>
                <w:p w14:paraId="70DFEE34">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6.依据《中华人民共和国水污染防治法》，相关企业事业单位应当对排污口和周边环境进行监测，评估环境风险，排查环境安全隐患，并公开有毒有害水污染物信息，采取有效措施防范环境风险。</w:t>
                  </w:r>
                </w:p>
                <w:p w14:paraId="729F7DEF">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7.土壤污染重点监管单位中涉及二氯甲烷生产或使用的企业，应当依法建立土壤污染隐患排查制度，保证持续有效防止有毒有害物质渗漏、流失、扬散。</w:t>
                  </w:r>
                </w:p>
                <w:p w14:paraId="55B04641">
                  <w:pPr>
                    <w:pStyle w:val="75"/>
                    <w:jc w:val="left"/>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8.严格执行土壤污染风险管控标准，识别和管控有关的土壤环境风险。</w:t>
                  </w:r>
                </w:p>
              </w:tc>
              <w:tc>
                <w:tcPr>
                  <w:tcW w:w="1396" w:type="pct"/>
                  <w:noWrap/>
                  <w:vAlign w:val="center"/>
                </w:tcPr>
                <w:p w14:paraId="13D5E41E">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1.本项目不使用脱漆剂；</w:t>
                  </w:r>
                </w:p>
                <w:p w14:paraId="6E3F131A">
                  <w:pPr>
                    <w:rPr>
                      <w:rFonts w:hint="eastAsia"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2.本项目不涉及化妆品；</w:t>
                  </w:r>
                </w:p>
                <w:p w14:paraId="1D2D0FAF">
                  <w:pPr>
                    <w:rPr>
                      <w:rFonts w:hint="eastAsia"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3.本项目不涉及清洗剂；</w:t>
                  </w:r>
                </w:p>
                <w:p w14:paraId="0CBA35C4">
                  <w:pPr>
                    <w:rPr>
                      <w:rFonts w:hint="eastAsia" w:cs="Times New Roman"/>
                      <w:b w:val="0"/>
                      <w:bCs/>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4.本项目为</w:t>
                  </w:r>
                  <w:r>
                    <w:rPr>
                      <w:rFonts w:hint="eastAsia" w:ascii="Times New Roman" w:hAnsi="Times New Roman" w:cs="Times New Roman"/>
                      <w:b w:val="0"/>
                      <w:bCs/>
                      <w:color w:val="auto"/>
                      <w:sz w:val="21"/>
                      <w:szCs w:val="21"/>
                      <w:highlight w:val="none"/>
                      <w:lang w:val="en-US" w:eastAsia="zh-CN"/>
                    </w:rPr>
                    <w:t>分析测试实验室建设</w:t>
                  </w:r>
                  <w:r>
                    <w:rPr>
                      <w:rFonts w:hint="eastAsia" w:cs="Times New Roman"/>
                      <w:b w:val="0"/>
                      <w:bCs/>
                      <w:color w:val="auto"/>
                      <w:sz w:val="21"/>
                      <w:szCs w:val="21"/>
                      <w:highlight w:val="none"/>
                      <w:lang w:val="en-US" w:eastAsia="zh-CN"/>
                    </w:rPr>
                    <w:t>项目，不涉及石油化工、合成树脂及化学合成制药行业；</w:t>
                  </w:r>
                </w:p>
                <w:p w14:paraId="0AB8C4DE">
                  <w:pPr>
                    <w:rPr>
                      <w:rFonts w:hint="eastAsia" w:cs="Times New Roman" w:eastAsiaTheme="minorEastAsia"/>
                      <w:b w:val="0"/>
                      <w:bCs w:val="0"/>
                      <w:color w:val="auto"/>
                      <w:sz w:val="21"/>
                      <w:szCs w:val="21"/>
                      <w:highlight w:val="none"/>
                      <w:lang w:eastAsia="zh-CN"/>
                    </w:rPr>
                  </w:pPr>
                  <w:r>
                    <w:rPr>
                      <w:rFonts w:hint="eastAsia" w:cs="Times New Roman"/>
                      <w:b w:val="0"/>
                      <w:bCs/>
                      <w:color w:val="auto"/>
                      <w:sz w:val="21"/>
                      <w:szCs w:val="21"/>
                      <w:highlight w:val="none"/>
                      <w:lang w:val="en-US" w:eastAsia="zh-CN"/>
                    </w:rPr>
                    <w:t>5.本项目试验药剂中涉及二氯甲烷，</w:t>
                  </w:r>
                  <w:r>
                    <w:rPr>
                      <w:rFonts w:hint="eastAsia" w:cs="Times New Roman" w:eastAsiaTheme="minorEastAsia"/>
                      <w:b w:val="0"/>
                      <w:bCs w:val="0"/>
                      <w:color w:val="auto"/>
                      <w:sz w:val="21"/>
                      <w:szCs w:val="21"/>
                      <w:highlight w:val="none"/>
                      <w:lang w:val="en-US" w:eastAsia="zh-CN"/>
                    </w:rPr>
                    <w:t>项目实验过程中约4%的</w:t>
                  </w:r>
                  <w:r>
                    <w:rPr>
                      <w:rFonts w:hint="eastAsia" w:ascii="Times New Roman" w:hAnsi="Times New Roman" w:cs="Times New Roman" w:eastAsiaTheme="minorEastAsia"/>
                      <w:b w:val="0"/>
                      <w:bCs w:val="0"/>
                      <w:color w:val="auto"/>
                      <w:sz w:val="21"/>
                      <w:szCs w:val="21"/>
                      <w:highlight w:val="none"/>
                      <w:lang w:val="en-US" w:eastAsia="zh-CN"/>
                    </w:rPr>
                    <w:t>二氯甲烷</w:t>
                  </w:r>
                  <w:r>
                    <w:rPr>
                      <w:rFonts w:hint="eastAsia" w:cs="Times New Roman" w:eastAsiaTheme="minorEastAsia"/>
                      <w:b w:val="0"/>
                      <w:bCs w:val="0"/>
                      <w:color w:val="auto"/>
                      <w:sz w:val="21"/>
                      <w:szCs w:val="21"/>
                      <w:highlight w:val="none"/>
                      <w:lang w:val="en-US" w:eastAsia="zh-CN"/>
                    </w:rPr>
                    <w:t>挥发后进入废气系统，</w:t>
                  </w:r>
                  <w:r>
                    <w:rPr>
                      <w:rFonts w:hint="eastAsia" w:cs="Times New Roman"/>
                      <w:b w:val="0"/>
                      <w:bCs/>
                      <w:color w:val="auto"/>
                      <w:sz w:val="21"/>
                      <w:szCs w:val="21"/>
                      <w:highlight w:val="none"/>
                      <w:lang w:val="en-US" w:eastAsia="zh-CN"/>
                    </w:rPr>
                    <w:t>按照</w:t>
                  </w:r>
                  <w:r>
                    <w:rPr>
                      <w:rFonts w:hint="default" w:ascii="Times New Roman" w:hAnsi="Times New Roman" w:cs="Times New Roman" w:eastAsiaTheme="minorEastAsia"/>
                      <w:b w:val="0"/>
                      <w:bCs w:val="0"/>
                      <w:color w:val="auto"/>
                      <w:sz w:val="21"/>
                      <w:szCs w:val="21"/>
                      <w:highlight w:val="none"/>
                    </w:rPr>
                    <w:t>《中华人民共和国大气污染防治法》，</w:t>
                  </w:r>
                  <w:r>
                    <w:rPr>
                      <w:rFonts w:hint="eastAsia" w:cs="Times New Roman" w:eastAsiaTheme="minorEastAsia"/>
                      <w:b w:val="0"/>
                      <w:bCs w:val="0"/>
                      <w:color w:val="auto"/>
                      <w:sz w:val="21"/>
                      <w:szCs w:val="21"/>
                      <w:highlight w:val="none"/>
                      <w:lang w:val="en-US" w:eastAsia="zh-CN"/>
                    </w:rPr>
                    <w:t>企业已建立</w:t>
                  </w:r>
                  <w:r>
                    <w:rPr>
                      <w:rFonts w:hint="default" w:ascii="Times New Roman" w:hAnsi="Times New Roman" w:cs="Times New Roman" w:eastAsiaTheme="minorEastAsia"/>
                      <w:b w:val="0"/>
                      <w:bCs w:val="0"/>
                      <w:color w:val="auto"/>
                      <w:sz w:val="21"/>
                      <w:szCs w:val="21"/>
                      <w:highlight w:val="none"/>
                    </w:rPr>
                    <w:t>环境风险预警体系</w:t>
                  </w:r>
                  <w:r>
                    <w:rPr>
                      <w:rFonts w:hint="eastAsia" w:cs="Times New Roman" w:eastAsiaTheme="minorEastAsia"/>
                      <w:b w:val="0"/>
                      <w:bCs w:val="0"/>
                      <w:color w:val="auto"/>
                      <w:sz w:val="21"/>
                      <w:szCs w:val="21"/>
                      <w:highlight w:val="none"/>
                      <w:lang w:eastAsia="zh-CN"/>
                    </w:rPr>
                    <w:t>，</w:t>
                  </w:r>
                  <w:r>
                    <w:rPr>
                      <w:rFonts w:hint="eastAsia" w:cs="Times New Roman" w:eastAsiaTheme="minorEastAsia"/>
                      <w:b w:val="0"/>
                      <w:bCs w:val="0"/>
                      <w:color w:val="auto"/>
                      <w:sz w:val="21"/>
                      <w:szCs w:val="21"/>
                      <w:highlight w:val="none"/>
                      <w:lang w:val="en-US" w:eastAsia="zh-CN"/>
                    </w:rPr>
                    <w:t>环评要求企业</w:t>
                  </w:r>
                  <w:r>
                    <w:rPr>
                      <w:rFonts w:hint="default" w:ascii="Times New Roman" w:hAnsi="Times New Roman" w:cs="Times New Roman" w:eastAsiaTheme="minorEastAsia"/>
                      <w:b w:val="0"/>
                      <w:bCs w:val="0"/>
                      <w:color w:val="auto"/>
                      <w:sz w:val="21"/>
                      <w:szCs w:val="21"/>
                      <w:highlight w:val="none"/>
                    </w:rPr>
                    <w:t>对</w:t>
                  </w:r>
                  <w:r>
                    <w:rPr>
                      <w:rFonts w:hint="eastAsia" w:cs="Times New Roman" w:eastAsiaTheme="minorEastAsia"/>
                      <w:b w:val="0"/>
                      <w:bCs w:val="0"/>
                      <w:color w:val="auto"/>
                      <w:sz w:val="21"/>
                      <w:szCs w:val="21"/>
                      <w:highlight w:val="none"/>
                      <w:lang w:val="en-US" w:eastAsia="zh-CN"/>
                    </w:rPr>
                    <w:t>废气</w:t>
                  </w:r>
                  <w:r>
                    <w:rPr>
                      <w:rFonts w:hint="default" w:ascii="Times New Roman" w:hAnsi="Times New Roman" w:cs="Times New Roman" w:eastAsiaTheme="minorEastAsia"/>
                      <w:b w:val="0"/>
                      <w:bCs w:val="0"/>
                      <w:color w:val="auto"/>
                      <w:sz w:val="21"/>
                      <w:szCs w:val="21"/>
                      <w:highlight w:val="none"/>
                    </w:rPr>
                    <w:t>排放口和周边环境进行定期监测，</w:t>
                  </w:r>
                  <w:r>
                    <w:rPr>
                      <w:rFonts w:hint="eastAsia" w:cs="Times New Roman" w:eastAsiaTheme="minorEastAsia"/>
                      <w:b w:val="0"/>
                      <w:bCs w:val="0"/>
                      <w:color w:val="auto"/>
                      <w:sz w:val="21"/>
                      <w:szCs w:val="21"/>
                      <w:highlight w:val="none"/>
                      <w:lang w:val="en-US" w:eastAsia="zh-CN"/>
                    </w:rPr>
                    <w:t>剩余96%的</w:t>
                  </w:r>
                  <w:r>
                    <w:rPr>
                      <w:rFonts w:hint="eastAsia" w:ascii="Times New Roman" w:hAnsi="Times New Roman" w:cs="Times New Roman" w:eastAsiaTheme="minorEastAsia"/>
                      <w:b w:val="0"/>
                      <w:bCs w:val="0"/>
                      <w:color w:val="auto"/>
                      <w:sz w:val="21"/>
                      <w:szCs w:val="21"/>
                      <w:highlight w:val="none"/>
                      <w:lang w:val="en-US" w:eastAsia="zh-CN"/>
                    </w:rPr>
                    <w:t>二氯甲烷</w:t>
                  </w:r>
                  <w:r>
                    <w:rPr>
                      <w:rFonts w:hint="eastAsia" w:cs="Times New Roman" w:eastAsiaTheme="minorEastAsia"/>
                      <w:b w:val="0"/>
                      <w:bCs w:val="0"/>
                      <w:color w:val="auto"/>
                      <w:sz w:val="21"/>
                      <w:szCs w:val="21"/>
                      <w:highlight w:val="none"/>
                      <w:lang w:val="en-US" w:eastAsia="zh-CN"/>
                    </w:rPr>
                    <w:t>作为实验废液分类收集暂存于危废贮存库，定期委托有资质单位处置，不进入废水排放系统。同时，要求企业开展</w:t>
                  </w:r>
                  <w:r>
                    <w:rPr>
                      <w:rFonts w:hint="default" w:ascii="Times New Roman" w:hAnsi="Times New Roman" w:cs="Times New Roman" w:eastAsiaTheme="minorEastAsia"/>
                      <w:b w:val="0"/>
                      <w:bCs w:val="0"/>
                      <w:color w:val="auto"/>
                      <w:sz w:val="21"/>
                      <w:szCs w:val="21"/>
                      <w:highlight w:val="none"/>
                    </w:rPr>
                    <w:t>环境风险评估</w:t>
                  </w:r>
                  <w:r>
                    <w:rPr>
                      <w:rFonts w:hint="eastAsia" w:cs="Times New Roman" w:eastAsiaTheme="minorEastAsia"/>
                      <w:b w:val="0"/>
                      <w:bCs w:val="0"/>
                      <w:color w:val="auto"/>
                      <w:sz w:val="21"/>
                      <w:szCs w:val="21"/>
                      <w:highlight w:val="none"/>
                      <w:lang w:val="en-US" w:eastAsia="zh-CN"/>
                    </w:rPr>
                    <w:t>工作</w:t>
                  </w:r>
                  <w:r>
                    <w:rPr>
                      <w:rFonts w:hint="default" w:ascii="Times New Roman" w:hAnsi="Times New Roman" w:cs="Times New Roman" w:eastAsiaTheme="minorEastAsia"/>
                      <w:b w:val="0"/>
                      <w:bCs w:val="0"/>
                      <w:color w:val="auto"/>
                      <w:sz w:val="21"/>
                      <w:szCs w:val="21"/>
                      <w:highlight w:val="none"/>
                    </w:rPr>
                    <w:t>，</w:t>
                  </w:r>
                  <w:r>
                    <w:rPr>
                      <w:rFonts w:hint="eastAsia" w:cs="Times New Roman" w:eastAsiaTheme="minorEastAsia"/>
                      <w:b w:val="0"/>
                      <w:bCs w:val="0"/>
                      <w:color w:val="auto"/>
                      <w:sz w:val="21"/>
                      <w:szCs w:val="21"/>
                      <w:highlight w:val="none"/>
                      <w:lang w:val="en-US" w:eastAsia="zh-CN"/>
                    </w:rPr>
                    <w:t>定期</w:t>
                  </w:r>
                  <w:r>
                    <w:rPr>
                      <w:rFonts w:hint="default" w:ascii="Times New Roman" w:hAnsi="Times New Roman" w:cs="Times New Roman" w:eastAsiaTheme="minorEastAsia"/>
                      <w:b w:val="0"/>
                      <w:bCs w:val="0"/>
                      <w:color w:val="auto"/>
                      <w:sz w:val="21"/>
                      <w:szCs w:val="21"/>
                      <w:highlight w:val="none"/>
                    </w:rPr>
                    <w:t>排查环境安全隐患</w:t>
                  </w:r>
                  <w:r>
                    <w:rPr>
                      <w:rFonts w:hint="eastAsia" w:cs="Times New Roman" w:eastAsiaTheme="minorEastAsia"/>
                      <w:b w:val="0"/>
                      <w:bCs w:val="0"/>
                      <w:color w:val="auto"/>
                      <w:sz w:val="21"/>
                      <w:szCs w:val="21"/>
                      <w:highlight w:val="none"/>
                      <w:lang w:eastAsia="zh-CN"/>
                    </w:rPr>
                    <w:t>；</w:t>
                  </w:r>
                </w:p>
                <w:p w14:paraId="70084B13">
                  <w:pPr>
                    <w:rPr>
                      <w:rFonts w:hint="eastAsia" w:cs="Times New Roman" w:eastAsiaTheme="minorEastAsia"/>
                      <w:b w:val="0"/>
                      <w:bCs w:val="0"/>
                      <w:color w:val="auto"/>
                      <w:sz w:val="21"/>
                      <w:szCs w:val="21"/>
                      <w:highlight w:val="none"/>
                      <w:lang w:eastAsia="zh-CN"/>
                    </w:rPr>
                  </w:pPr>
                  <w:r>
                    <w:rPr>
                      <w:rFonts w:hint="eastAsia" w:cs="Times New Roman" w:eastAsiaTheme="minorEastAsia"/>
                      <w:b w:val="0"/>
                      <w:bCs w:val="0"/>
                      <w:color w:val="auto"/>
                      <w:sz w:val="21"/>
                      <w:szCs w:val="21"/>
                      <w:highlight w:val="none"/>
                      <w:lang w:val="en-US" w:eastAsia="zh-CN"/>
                    </w:rPr>
                    <w:t>6.本项目为</w:t>
                  </w:r>
                  <w:r>
                    <w:rPr>
                      <w:rFonts w:hint="eastAsia" w:ascii="Times New Roman" w:hAnsi="Times New Roman" w:cs="Times New Roman"/>
                      <w:b w:val="0"/>
                      <w:bCs/>
                      <w:color w:val="auto"/>
                      <w:sz w:val="21"/>
                      <w:szCs w:val="21"/>
                      <w:highlight w:val="none"/>
                      <w:lang w:val="en-US" w:eastAsia="zh-CN"/>
                    </w:rPr>
                    <w:t>分析测试实验室建设</w:t>
                  </w:r>
                  <w:r>
                    <w:rPr>
                      <w:rFonts w:hint="eastAsia" w:cs="Times New Roman"/>
                      <w:b w:val="0"/>
                      <w:bCs/>
                      <w:color w:val="auto"/>
                      <w:sz w:val="21"/>
                      <w:szCs w:val="21"/>
                      <w:highlight w:val="none"/>
                      <w:lang w:val="en-US" w:eastAsia="zh-CN"/>
                    </w:rPr>
                    <w:t>项目，不属于</w:t>
                  </w:r>
                  <w:r>
                    <w:rPr>
                      <w:rFonts w:hint="default" w:ascii="Times New Roman" w:hAnsi="Times New Roman" w:cs="Times New Roman" w:eastAsiaTheme="minorEastAsia"/>
                      <w:b w:val="0"/>
                      <w:bCs w:val="0"/>
                      <w:color w:val="auto"/>
                      <w:sz w:val="21"/>
                      <w:szCs w:val="21"/>
                      <w:highlight w:val="none"/>
                    </w:rPr>
                    <w:t>土壤污染重点监管单位</w:t>
                  </w:r>
                  <w:r>
                    <w:rPr>
                      <w:rFonts w:hint="eastAsia" w:cs="Times New Roman" w:eastAsiaTheme="minorEastAsia"/>
                      <w:b w:val="0"/>
                      <w:bCs w:val="0"/>
                      <w:color w:val="auto"/>
                      <w:sz w:val="21"/>
                      <w:szCs w:val="21"/>
                      <w:highlight w:val="none"/>
                      <w:lang w:eastAsia="zh-CN"/>
                    </w:rPr>
                    <w:t>；</w:t>
                  </w:r>
                </w:p>
                <w:p w14:paraId="38065949">
                  <w:pPr>
                    <w:rPr>
                      <w:rFonts w:hint="default"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7.项目使用药剂存放于库房内，企业已做好防渗工作，有效控制了土壤环境风险。</w:t>
                  </w:r>
                </w:p>
              </w:tc>
              <w:tc>
                <w:tcPr>
                  <w:tcW w:w="532" w:type="pct"/>
                  <w:noWrap/>
                  <w:vAlign w:val="center"/>
                </w:tcPr>
                <w:p w14:paraId="38A305B2">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51A8E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vMerge w:val="continue"/>
                  <w:noWrap/>
                  <w:vAlign w:val="center"/>
                </w:tcPr>
                <w:p w14:paraId="6EEB4BE7">
                  <w:pPr>
                    <w:pStyle w:val="75"/>
                    <w:jc w:val="center"/>
                    <w:rPr>
                      <w:rFonts w:hint="eastAsia" w:ascii="Times New Roman" w:hAnsi="Times New Roman" w:cs="Times New Roman" w:eastAsiaTheme="minorEastAsia"/>
                      <w:b w:val="0"/>
                      <w:bCs w:val="0"/>
                      <w:color w:val="auto"/>
                      <w:sz w:val="21"/>
                      <w:szCs w:val="21"/>
                      <w:highlight w:val="none"/>
                      <w:lang w:val="en-US" w:eastAsia="zh-CN"/>
                    </w:rPr>
                  </w:pPr>
                </w:p>
              </w:tc>
              <w:tc>
                <w:tcPr>
                  <w:tcW w:w="763" w:type="pct"/>
                  <w:vMerge w:val="continue"/>
                  <w:noWrap/>
                  <w:vAlign w:val="center"/>
                </w:tcPr>
                <w:p w14:paraId="4974A126">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p>
              </w:tc>
              <w:tc>
                <w:tcPr>
                  <w:tcW w:w="1871" w:type="pct"/>
                  <w:noWrap/>
                  <w:vAlign w:val="center"/>
                </w:tcPr>
                <w:p w14:paraId="7DA391E7">
                  <w:pPr>
                    <w:pStyle w:val="75"/>
                    <w:jc w:val="left"/>
                    <w:rPr>
                      <w:rFonts w:hint="eastAsia" w:ascii="Times New Roman" w:hAnsi="Times New Roman" w:cs="Times New Roman" w:eastAsiaTheme="minorEastAsia"/>
                      <w:b/>
                      <w:bCs/>
                      <w:color w:val="auto"/>
                      <w:sz w:val="21"/>
                      <w:szCs w:val="21"/>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三氯甲烷：</w:t>
                  </w:r>
                </w:p>
                <w:p w14:paraId="09001B33">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1.禁止生产含有三氯甲烷的脱漆剂。</w:t>
                  </w:r>
                </w:p>
                <w:p w14:paraId="645F3BB6">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2.依据《清洗剂挥发性有机化合物含量限值》（GB 38508），水基清洗剂、半水基清洗剂、有机溶剂清洗剂中二氯甲烷、三氯甲烷、三氯乙烯、四氯乙烯含量总和分别不得超过0.5%、2%、20%。</w:t>
                  </w:r>
                </w:p>
                <w:p w14:paraId="3DE65534">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3.依据《石油化学工业污染物排放标准》（GB 31571）等三氯甲烷排放管控要求，实施达标排放。</w:t>
                  </w:r>
                </w:p>
                <w:p w14:paraId="519BFC1C">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4.依据《中华人民共和国大气污染防治法》，相关企业事业单位应当按照国家有关规定建设环境风险预警体系，对排放口和周边环境进行定期监测，评估环境风险，排查环境安全隐患，并采取有效措施防范环境风险。</w:t>
                  </w:r>
                </w:p>
                <w:p w14:paraId="30F31CF8">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5.依据《中华人民共和国水污染防治法》，相关企业事业单位应当对排污口和周边环境进行监测，评估环境风险，排查环境安全隐患，并公开有毒有害水污染物信息，采取有效措施防范环境风险。</w:t>
                  </w:r>
                </w:p>
                <w:p w14:paraId="2BFDA6C4">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6.土壤污染重点监管单位中涉及三氯甲烷生产或使用的企业，应当依法建立土壤污染隐患排查制度，保证持续有效防止有毒有害物质渗漏、流失、扬散。</w:t>
                  </w:r>
                </w:p>
              </w:tc>
              <w:tc>
                <w:tcPr>
                  <w:tcW w:w="1396" w:type="pct"/>
                  <w:noWrap/>
                  <w:vAlign w:val="center"/>
                </w:tcPr>
                <w:p w14:paraId="2ED69D03">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1.本项目不使用脱漆剂；</w:t>
                  </w:r>
                </w:p>
                <w:p w14:paraId="106E3991">
                  <w:pPr>
                    <w:rPr>
                      <w:rFonts w:hint="eastAsia"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2.本项目不涉及清洗剂；</w:t>
                  </w:r>
                </w:p>
                <w:p w14:paraId="61B185BB">
                  <w:pPr>
                    <w:rPr>
                      <w:rFonts w:hint="eastAsia" w:cs="Times New Roman"/>
                      <w:b w:val="0"/>
                      <w:bCs/>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3.本项目为</w:t>
                  </w:r>
                  <w:r>
                    <w:rPr>
                      <w:rFonts w:hint="eastAsia" w:ascii="Times New Roman" w:hAnsi="Times New Roman" w:cs="Times New Roman"/>
                      <w:b w:val="0"/>
                      <w:bCs/>
                      <w:color w:val="auto"/>
                      <w:sz w:val="21"/>
                      <w:szCs w:val="21"/>
                      <w:highlight w:val="none"/>
                      <w:lang w:val="en-US" w:eastAsia="zh-CN"/>
                    </w:rPr>
                    <w:t>分析测试实验室建设</w:t>
                  </w:r>
                  <w:r>
                    <w:rPr>
                      <w:rFonts w:hint="eastAsia" w:cs="Times New Roman"/>
                      <w:b w:val="0"/>
                      <w:bCs/>
                      <w:color w:val="auto"/>
                      <w:sz w:val="21"/>
                      <w:szCs w:val="21"/>
                      <w:highlight w:val="none"/>
                      <w:lang w:val="en-US" w:eastAsia="zh-CN"/>
                    </w:rPr>
                    <w:t>项目，不涉及石油化工行业；</w:t>
                  </w:r>
                </w:p>
                <w:p w14:paraId="1C8AD5C3">
                  <w:pPr>
                    <w:rPr>
                      <w:rFonts w:hint="eastAsia" w:cs="Times New Roman" w:eastAsiaTheme="minorEastAsia"/>
                      <w:b w:val="0"/>
                      <w:bCs w:val="0"/>
                      <w:color w:val="auto"/>
                      <w:sz w:val="21"/>
                      <w:szCs w:val="21"/>
                      <w:highlight w:val="none"/>
                      <w:lang w:eastAsia="zh-CN"/>
                    </w:rPr>
                  </w:pPr>
                  <w:r>
                    <w:rPr>
                      <w:rFonts w:hint="eastAsia" w:cs="Times New Roman"/>
                      <w:b w:val="0"/>
                      <w:bCs/>
                      <w:color w:val="auto"/>
                      <w:sz w:val="21"/>
                      <w:szCs w:val="21"/>
                      <w:highlight w:val="none"/>
                      <w:lang w:val="en-US" w:eastAsia="zh-CN"/>
                    </w:rPr>
                    <w:t>4.本项目试验药剂中涉及三氯甲烷，</w:t>
                  </w:r>
                  <w:r>
                    <w:rPr>
                      <w:rFonts w:hint="eastAsia" w:cs="Times New Roman" w:eastAsiaTheme="minorEastAsia"/>
                      <w:b w:val="0"/>
                      <w:bCs w:val="0"/>
                      <w:color w:val="auto"/>
                      <w:sz w:val="21"/>
                      <w:szCs w:val="21"/>
                      <w:highlight w:val="none"/>
                      <w:lang w:val="en-US" w:eastAsia="zh-CN"/>
                    </w:rPr>
                    <w:t>项目实验过程中约4%的</w:t>
                  </w:r>
                  <w:r>
                    <w:rPr>
                      <w:rFonts w:hint="eastAsia" w:ascii="Times New Roman" w:hAnsi="Times New Roman" w:cs="Times New Roman" w:eastAsiaTheme="minorEastAsia"/>
                      <w:b w:val="0"/>
                      <w:bCs w:val="0"/>
                      <w:color w:val="auto"/>
                      <w:sz w:val="21"/>
                      <w:szCs w:val="21"/>
                      <w:highlight w:val="none"/>
                      <w:lang w:val="en-US" w:eastAsia="zh-CN"/>
                    </w:rPr>
                    <w:t>三氯甲烷</w:t>
                  </w:r>
                  <w:r>
                    <w:rPr>
                      <w:rFonts w:hint="eastAsia" w:cs="Times New Roman" w:eastAsiaTheme="minorEastAsia"/>
                      <w:b w:val="0"/>
                      <w:bCs w:val="0"/>
                      <w:color w:val="auto"/>
                      <w:sz w:val="21"/>
                      <w:szCs w:val="21"/>
                      <w:highlight w:val="none"/>
                      <w:lang w:val="en-US" w:eastAsia="zh-CN"/>
                    </w:rPr>
                    <w:t>挥发后进入废气系统，</w:t>
                  </w:r>
                  <w:r>
                    <w:rPr>
                      <w:rFonts w:hint="eastAsia" w:cs="Times New Roman"/>
                      <w:b w:val="0"/>
                      <w:bCs/>
                      <w:color w:val="auto"/>
                      <w:sz w:val="21"/>
                      <w:szCs w:val="21"/>
                      <w:highlight w:val="none"/>
                      <w:lang w:val="en-US" w:eastAsia="zh-CN"/>
                    </w:rPr>
                    <w:t>按照</w:t>
                  </w:r>
                  <w:r>
                    <w:rPr>
                      <w:rFonts w:hint="default" w:ascii="Times New Roman" w:hAnsi="Times New Roman" w:cs="Times New Roman" w:eastAsiaTheme="minorEastAsia"/>
                      <w:b w:val="0"/>
                      <w:bCs w:val="0"/>
                      <w:color w:val="auto"/>
                      <w:sz w:val="21"/>
                      <w:szCs w:val="21"/>
                      <w:highlight w:val="none"/>
                    </w:rPr>
                    <w:t>《中华人民共和国大气污染防治法》，</w:t>
                  </w:r>
                  <w:r>
                    <w:rPr>
                      <w:rFonts w:hint="eastAsia" w:cs="Times New Roman" w:eastAsiaTheme="minorEastAsia"/>
                      <w:b w:val="0"/>
                      <w:bCs w:val="0"/>
                      <w:color w:val="auto"/>
                      <w:sz w:val="21"/>
                      <w:szCs w:val="21"/>
                      <w:highlight w:val="none"/>
                      <w:lang w:val="en-US" w:eastAsia="zh-CN"/>
                    </w:rPr>
                    <w:t>企业已建立</w:t>
                  </w:r>
                  <w:r>
                    <w:rPr>
                      <w:rFonts w:hint="default" w:ascii="Times New Roman" w:hAnsi="Times New Roman" w:cs="Times New Roman" w:eastAsiaTheme="minorEastAsia"/>
                      <w:b w:val="0"/>
                      <w:bCs w:val="0"/>
                      <w:color w:val="auto"/>
                      <w:sz w:val="21"/>
                      <w:szCs w:val="21"/>
                      <w:highlight w:val="none"/>
                    </w:rPr>
                    <w:t>环境风险预警体系</w:t>
                  </w:r>
                  <w:r>
                    <w:rPr>
                      <w:rFonts w:hint="eastAsia" w:cs="Times New Roman" w:eastAsiaTheme="minorEastAsia"/>
                      <w:b w:val="0"/>
                      <w:bCs w:val="0"/>
                      <w:color w:val="auto"/>
                      <w:sz w:val="21"/>
                      <w:szCs w:val="21"/>
                      <w:highlight w:val="none"/>
                      <w:lang w:eastAsia="zh-CN"/>
                    </w:rPr>
                    <w:t>，</w:t>
                  </w:r>
                  <w:r>
                    <w:rPr>
                      <w:rFonts w:hint="eastAsia" w:cs="Times New Roman" w:eastAsiaTheme="minorEastAsia"/>
                      <w:b w:val="0"/>
                      <w:bCs w:val="0"/>
                      <w:color w:val="auto"/>
                      <w:sz w:val="21"/>
                      <w:szCs w:val="21"/>
                      <w:highlight w:val="none"/>
                      <w:lang w:val="en-US" w:eastAsia="zh-CN"/>
                    </w:rPr>
                    <w:t>环评要求企业</w:t>
                  </w:r>
                  <w:r>
                    <w:rPr>
                      <w:rFonts w:hint="default" w:ascii="Times New Roman" w:hAnsi="Times New Roman" w:cs="Times New Roman" w:eastAsiaTheme="minorEastAsia"/>
                      <w:b w:val="0"/>
                      <w:bCs w:val="0"/>
                      <w:color w:val="auto"/>
                      <w:sz w:val="21"/>
                      <w:szCs w:val="21"/>
                      <w:highlight w:val="none"/>
                    </w:rPr>
                    <w:t>对</w:t>
                  </w:r>
                  <w:r>
                    <w:rPr>
                      <w:rFonts w:hint="eastAsia" w:cs="Times New Roman" w:eastAsiaTheme="minorEastAsia"/>
                      <w:b w:val="0"/>
                      <w:bCs w:val="0"/>
                      <w:color w:val="auto"/>
                      <w:sz w:val="21"/>
                      <w:szCs w:val="21"/>
                      <w:highlight w:val="none"/>
                      <w:lang w:val="en-US" w:eastAsia="zh-CN"/>
                    </w:rPr>
                    <w:t>废气</w:t>
                  </w:r>
                  <w:r>
                    <w:rPr>
                      <w:rFonts w:hint="default" w:ascii="Times New Roman" w:hAnsi="Times New Roman" w:cs="Times New Roman" w:eastAsiaTheme="minorEastAsia"/>
                      <w:b w:val="0"/>
                      <w:bCs w:val="0"/>
                      <w:color w:val="auto"/>
                      <w:sz w:val="21"/>
                      <w:szCs w:val="21"/>
                      <w:highlight w:val="none"/>
                    </w:rPr>
                    <w:t>排放口和周边环境进行定期监测，</w:t>
                  </w:r>
                  <w:r>
                    <w:rPr>
                      <w:rFonts w:hint="eastAsia" w:cs="Times New Roman" w:eastAsiaTheme="minorEastAsia"/>
                      <w:b w:val="0"/>
                      <w:bCs w:val="0"/>
                      <w:color w:val="auto"/>
                      <w:sz w:val="21"/>
                      <w:szCs w:val="21"/>
                      <w:highlight w:val="none"/>
                      <w:lang w:val="en-US" w:eastAsia="zh-CN"/>
                    </w:rPr>
                    <w:t>剩余96%的</w:t>
                  </w:r>
                  <w:r>
                    <w:rPr>
                      <w:rFonts w:hint="eastAsia" w:ascii="Times New Roman" w:hAnsi="Times New Roman" w:cs="Times New Roman" w:eastAsiaTheme="minorEastAsia"/>
                      <w:b w:val="0"/>
                      <w:bCs w:val="0"/>
                      <w:color w:val="auto"/>
                      <w:sz w:val="21"/>
                      <w:szCs w:val="21"/>
                      <w:highlight w:val="none"/>
                      <w:lang w:val="en-US" w:eastAsia="zh-CN"/>
                    </w:rPr>
                    <w:t>三氯甲烷</w:t>
                  </w:r>
                  <w:r>
                    <w:rPr>
                      <w:rFonts w:hint="eastAsia" w:cs="Times New Roman" w:eastAsiaTheme="minorEastAsia"/>
                      <w:b w:val="0"/>
                      <w:bCs w:val="0"/>
                      <w:color w:val="auto"/>
                      <w:sz w:val="21"/>
                      <w:szCs w:val="21"/>
                      <w:highlight w:val="none"/>
                      <w:lang w:val="en-US" w:eastAsia="zh-CN"/>
                    </w:rPr>
                    <w:t>作为实验废液分类收集暂存于危废贮存库，定期委托有资质单位处置，不进入废水排放系统。同时，要求企业开展</w:t>
                  </w:r>
                  <w:r>
                    <w:rPr>
                      <w:rFonts w:hint="default" w:ascii="Times New Roman" w:hAnsi="Times New Roman" w:cs="Times New Roman" w:eastAsiaTheme="minorEastAsia"/>
                      <w:b w:val="0"/>
                      <w:bCs w:val="0"/>
                      <w:color w:val="auto"/>
                      <w:sz w:val="21"/>
                      <w:szCs w:val="21"/>
                      <w:highlight w:val="none"/>
                    </w:rPr>
                    <w:t>环境风险评估</w:t>
                  </w:r>
                  <w:r>
                    <w:rPr>
                      <w:rFonts w:hint="eastAsia" w:cs="Times New Roman" w:eastAsiaTheme="minorEastAsia"/>
                      <w:b w:val="0"/>
                      <w:bCs w:val="0"/>
                      <w:color w:val="auto"/>
                      <w:sz w:val="21"/>
                      <w:szCs w:val="21"/>
                      <w:highlight w:val="none"/>
                      <w:lang w:val="en-US" w:eastAsia="zh-CN"/>
                    </w:rPr>
                    <w:t>工作</w:t>
                  </w:r>
                  <w:r>
                    <w:rPr>
                      <w:rFonts w:hint="default" w:ascii="Times New Roman" w:hAnsi="Times New Roman" w:cs="Times New Roman" w:eastAsiaTheme="minorEastAsia"/>
                      <w:b w:val="0"/>
                      <w:bCs w:val="0"/>
                      <w:color w:val="auto"/>
                      <w:sz w:val="21"/>
                      <w:szCs w:val="21"/>
                      <w:highlight w:val="none"/>
                    </w:rPr>
                    <w:t>，</w:t>
                  </w:r>
                  <w:r>
                    <w:rPr>
                      <w:rFonts w:hint="eastAsia" w:cs="Times New Roman" w:eastAsiaTheme="minorEastAsia"/>
                      <w:b w:val="0"/>
                      <w:bCs w:val="0"/>
                      <w:color w:val="auto"/>
                      <w:sz w:val="21"/>
                      <w:szCs w:val="21"/>
                      <w:highlight w:val="none"/>
                      <w:lang w:val="en-US" w:eastAsia="zh-CN"/>
                    </w:rPr>
                    <w:t>定期</w:t>
                  </w:r>
                  <w:r>
                    <w:rPr>
                      <w:rFonts w:hint="default" w:ascii="Times New Roman" w:hAnsi="Times New Roman" w:cs="Times New Roman" w:eastAsiaTheme="minorEastAsia"/>
                      <w:b w:val="0"/>
                      <w:bCs w:val="0"/>
                      <w:color w:val="auto"/>
                      <w:sz w:val="21"/>
                      <w:szCs w:val="21"/>
                      <w:highlight w:val="none"/>
                    </w:rPr>
                    <w:t>排查环境安全隐患</w:t>
                  </w:r>
                  <w:r>
                    <w:rPr>
                      <w:rFonts w:hint="eastAsia" w:cs="Times New Roman" w:eastAsiaTheme="minorEastAsia"/>
                      <w:b w:val="0"/>
                      <w:bCs w:val="0"/>
                      <w:color w:val="auto"/>
                      <w:sz w:val="21"/>
                      <w:szCs w:val="21"/>
                      <w:highlight w:val="none"/>
                      <w:lang w:eastAsia="zh-CN"/>
                    </w:rPr>
                    <w:t>；</w:t>
                  </w:r>
                </w:p>
                <w:p w14:paraId="30B4ED04">
                  <w:pP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5.本项目为分析测试实验室建设项目，不属于</w:t>
                  </w:r>
                  <w:r>
                    <w:rPr>
                      <w:rFonts w:hint="default" w:cs="Times New Roman" w:eastAsiaTheme="minorEastAsia"/>
                      <w:b w:val="0"/>
                      <w:bCs w:val="0"/>
                      <w:color w:val="auto"/>
                      <w:sz w:val="21"/>
                      <w:szCs w:val="21"/>
                      <w:highlight w:val="none"/>
                      <w:lang w:val="en-US" w:eastAsia="zh-CN"/>
                    </w:rPr>
                    <w:t>土壤污染重点监管单位</w:t>
                  </w:r>
                  <w:r>
                    <w:rPr>
                      <w:rFonts w:hint="eastAsia" w:cs="Times New Roman" w:eastAsiaTheme="minorEastAsia"/>
                      <w:b w:val="0"/>
                      <w:bCs w:val="0"/>
                      <w:color w:val="auto"/>
                      <w:sz w:val="21"/>
                      <w:szCs w:val="21"/>
                      <w:highlight w:val="none"/>
                      <w:lang w:val="en-US" w:eastAsia="zh-CN"/>
                    </w:rPr>
                    <w:t>。</w:t>
                  </w:r>
                </w:p>
              </w:tc>
              <w:tc>
                <w:tcPr>
                  <w:tcW w:w="532" w:type="pct"/>
                  <w:noWrap/>
                  <w:vAlign w:val="center"/>
                </w:tcPr>
                <w:p w14:paraId="3C9B051E">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r w14:paraId="3A7FB8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35" w:type="pct"/>
                  <w:noWrap/>
                  <w:vAlign w:val="center"/>
                </w:tcPr>
                <w:p w14:paraId="68AE06AF">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15</w:t>
                  </w:r>
                </w:p>
              </w:tc>
              <w:tc>
                <w:tcPr>
                  <w:tcW w:w="763" w:type="pct"/>
                  <w:noWrap/>
                  <w:vAlign w:val="center"/>
                </w:tcPr>
                <w:p w14:paraId="1D532AB0">
                  <w:pPr>
                    <w:pStyle w:val="75"/>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eastAsia" w:ascii="Times New Roman" w:hAnsi="Times New Roman" w:cs="Times New Roman" w:eastAsiaTheme="minorEastAsia"/>
                      <w:snapToGrid w:val="0"/>
                      <w:color w:val="auto"/>
                      <w:kern w:val="0"/>
                      <w:sz w:val="21"/>
                      <w:szCs w:val="21"/>
                      <w:highlight w:val="none"/>
                      <w:lang w:val="en-US" w:eastAsia="zh-CN" w:bidi="ar"/>
                    </w:rPr>
                    <w:t>《关于加强重点行业涉新污染物建设项目环境影响评价工作的意见》（环环评〔2025〕28号）</w:t>
                  </w:r>
                </w:p>
              </w:tc>
              <w:tc>
                <w:tcPr>
                  <w:tcW w:w="1871" w:type="pct"/>
                  <w:noWrap/>
                  <w:vAlign w:val="center"/>
                </w:tcPr>
                <w:p w14:paraId="1ECCA534">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一、突出管理重点</w:t>
                  </w:r>
                </w:p>
                <w:p w14:paraId="352E981B">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重点关注重点管控新污染物清单、有毒有害污染物名录、优先控制化学品名录以及《关于持久性有机污染物的斯德哥尔摩公约》（简称《斯德哥尔摩公约》）附件中已发布环境质量标准、污染物排放标准、环境监测方法标准或其他具有污染治理技术的污染物。重点关注石化、涂料、纺织印染、橡胶、农药、医药等重点行业建设项目，在建设项目环评工作中做好上述新污染物识别，涉及上述新污染物的，执行本意见要求；不涉及新污染物的，无需开展相关工作。</w:t>
                  </w:r>
                </w:p>
                <w:p w14:paraId="1C87F5A3">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二、禁止审批不符合新污染物管控要求的建设项目</w:t>
                  </w:r>
                </w:p>
                <w:p w14:paraId="3428284B">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各级环评审批部门在受理和审批建设项目环评文件时，应落实重点管控新污染物清单、产业结构调整指导目录、《斯德哥尔摩公约》、生态环境分区管控方案和项目所在园区规划环评等有关管控要求。对照不予审批环评的项目类别，严格审核建设项目原辅材料和产品，对于以禁止生产、加工使用的新污染物作为原辅料或产品的建设项目，依法不予审批。</w:t>
                  </w:r>
                </w:p>
                <w:p w14:paraId="45D9B92B">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1.以含有二氯甲烷的脱漆剂为产品的新改扩建项目。</w:t>
                  </w:r>
                </w:p>
                <w:p w14:paraId="0F7D6812">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2.以含有二氯甲烷组分的化妆品为产品的生产项目。</w:t>
                  </w:r>
                </w:p>
                <w:p w14:paraId="20C25125">
                  <w:pPr>
                    <w:pStyle w:val="75"/>
                    <w:jc w:val="left"/>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3.以含有三氯甲烷的脱漆剂为产品的新改扩建项。</w:t>
                  </w:r>
                </w:p>
              </w:tc>
              <w:tc>
                <w:tcPr>
                  <w:tcW w:w="1396" w:type="pct"/>
                  <w:noWrap/>
                  <w:vAlign w:val="center"/>
                </w:tcPr>
                <w:p w14:paraId="0C925196">
                  <w:pPr>
                    <w:rPr>
                      <w:rFonts w:hint="default"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本项目为</w:t>
                  </w:r>
                  <w:r>
                    <w:rPr>
                      <w:rFonts w:hint="eastAsia" w:ascii="Times New Roman" w:hAnsi="Times New Roman" w:cs="Times New Roman"/>
                      <w:b w:val="0"/>
                      <w:bCs/>
                      <w:color w:val="auto"/>
                      <w:sz w:val="21"/>
                      <w:szCs w:val="21"/>
                      <w:highlight w:val="none"/>
                      <w:lang w:val="en-US" w:eastAsia="zh-CN"/>
                    </w:rPr>
                    <w:t>分析测试实验室建设</w:t>
                  </w:r>
                  <w:r>
                    <w:rPr>
                      <w:rFonts w:hint="eastAsia" w:cs="Times New Roman"/>
                      <w:b w:val="0"/>
                      <w:bCs/>
                      <w:color w:val="auto"/>
                      <w:sz w:val="21"/>
                      <w:szCs w:val="21"/>
                      <w:highlight w:val="none"/>
                      <w:lang w:val="en-US" w:eastAsia="zh-CN"/>
                    </w:rPr>
                    <w:t>项目，不属于</w:t>
                  </w:r>
                  <w:r>
                    <w:rPr>
                      <w:rFonts w:hint="eastAsia" w:ascii="Times New Roman" w:hAnsi="Times New Roman" w:cs="Times New Roman" w:eastAsiaTheme="minorEastAsia"/>
                      <w:b w:val="0"/>
                      <w:bCs w:val="0"/>
                      <w:color w:val="auto"/>
                      <w:sz w:val="21"/>
                      <w:szCs w:val="21"/>
                      <w:highlight w:val="none"/>
                      <w:lang w:val="en-US" w:eastAsia="zh-CN"/>
                    </w:rPr>
                    <w:t>石化、涂料、纺织印染、橡胶、农药、医药等重点行业建设项目</w:t>
                  </w:r>
                  <w:r>
                    <w:rPr>
                      <w:rFonts w:hint="eastAsia" w:cs="Times New Roman" w:eastAsiaTheme="minorEastAsia"/>
                      <w:b w:val="0"/>
                      <w:bCs w:val="0"/>
                      <w:color w:val="auto"/>
                      <w:sz w:val="21"/>
                      <w:szCs w:val="21"/>
                      <w:highlight w:val="none"/>
                      <w:lang w:val="en-US" w:eastAsia="zh-CN"/>
                    </w:rPr>
                    <w:t>；项目使用二氯甲烷、三氯甲烷是作为试验药剂，不属于脱漆剂、化妆品产品生产项目。项目实验过程中产生的有机废气</w:t>
                  </w:r>
                  <w:r>
                    <w:rPr>
                      <w:rFonts w:hint="default" w:ascii="Times New Roman" w:hAnsi="Times New Roman" w:cs="Times New Roman" w:eastAsiaTheme="minorEastAsia"/>
                      <w:b w:val="0"/>
                      <w:bCs w:val="0"/>
                      <w:color w:val="auto"/>
                      <w:sz w:val="21"/>
                      <w:szCs w:val="21"/>
                      <w:highlight w:val="none"/>
                    </w:rPr>
                    <w:t>通过</w:t>
                  </w:r>
                  <w:r>
                    <w:rPr>
                      <w:rFonts w:hint="eastAsia" w:ascii="Times New Roman" w:hAnsi="Times New Roman" w:cs="Times New Roman" w:eastAsiaTheme="minorEastAsia"/>
                      <w:b w:val="0"/>
                      <w:bCs w:val="0"/>
                      <w:color w:val="auto"/>
                      <w:sz w:val="21"/>
                      <w:szCs w:val="21"/>
                      <w:highlight w:val="none"/>
                      <w:lang w:val="en-US" w:eastAsia="zh-CN"/>
                    </w:rPr>
                    <w:t>二级</w:t>
                  </w:r>
                  <w:r>
                    <w:rPr>
                      <w:rFonts w:hint="default" w:ascii="Times New Roman" w:hAnsi="Times New Roman" w:cs="Times New Roman" w:eastAsiaTheme="minorEastAsia"/>
                      <w:b w:val="0"/>
                      <w:bCs w:val="0"/>
                      <w:color w:val="auto"/>
                      <w:sz w:val="21"/>
                      <w:szCs w:val="21"/>
                      <w:highlight w:val="none"/>
                    </w:rPr>
                    <w:t>活性炭吸附装置处理后通过</w:t>
                  </w:r>
                  <w:r>
                    <w:rPr>
                      <w:rFonts w:hint="eastAsia" w:ascii="Times New Roman" w:hAnsi="Times New Roman" w:cs="Times New Roman" w:eastAsiaTheme="minorEastAsia"/>
                      <w:b w:val="0"/>
                      <w:bCs w:val="0"/>
                      <w:color w:val="auto"/>
                      <w:sz w:val="21"/>
                      <w:szCs w:val="21"/>
                      <w:highlight w:val="none"/>
                      <w:lang w:val="en-US" w:eastAsia="zh-CN"/>
                    </w:rPr>
                    <w:t>23m高</w:t>
                  </w:r>
                  <w:r>
                    <w:rPr>
                      <w:rFonts w:hint="default" w:ascii="Times New Roman" w:hAnsi="Times New Roman" w:cs="Times New Roman" w:eastAsiaTheme="minorEastAsia"/>
                      <w:b w:val="0"/>
                      <w:bCs w:val="0"/>
                      <w:color w:val="auto"/>
                      <w:sz w:val="21"/>
                      <w:szCs w:val="21"/>
                      <w:highlight w:val="none"/>
                    </w:rPr>
                    <w:t>排气筒</w:t>
                  </w:r>
                  <w:r>
                    <w:rPr>
                      <w:rFonts w:hint="default" w:ascii="Times New Roman" w:hAnsi="Times New Roman" w:cs="Times New Roman" w:eastAsiaTheme="minorEastAsia"/>
                      <w:b w:val="0"/>
                      <w:bCs w:val="0"/>
                      <w:color w:val="auto"/>
                      <w:sz w:val="21"/>
                      <w:szCs w:val="21"/>
                      <w:highlight w:val="none"/>
                      <w:lang w:val="en-US" w:eastAsia="zh-CN"/>
                    </w:rPr>
                    <w:t>排放</w:t>
                  </w:r>
                  <w:r>
                    <w:rPr>
                      <w:rFonts w:hint="eastAsia" w:cs="Times New Roman" w:eastAsiaTheme="minorEastAsia"/>
                      <w:b w:val="0"/>
                      <w:bCs w:val="0"/>
                      <w:color w:val="auto"/>
                      <w:sz w:val="21"/>
                      <w:szCs w:val="21"/>
                      <w:highlight w:val="none"/>
                      <w:lang w:val="en-US" w:eastAsia="zh-CN"/>
                    </w:rPr>
                    <w:t>；含有二氯甲烷、三氯甲烷的实验废液分类收集暂存于危废贮存库，定期委托有资质单位处置，不进入废水排放系统。同时，环评要求企业开展</w:t>
                  </w:r>
                  <w:r>
                    <w:rPr>
                      <w:rFonts w:hint="default" w:ascii="Times New Roman" w:hAnsi="Times New Roman" w:cs="Times New Roman" w:eastAsiaTheme="minorEastAsia"/>
                      <w:b w:val="0"/>
                      <w:bCs w:val="0"/>
                      <w:color w:val="auto"/>
                      <w:sz w:val="21"/>
                      <w:szCs w:val="21"/>
                      <w:highlight w:val="none"/>
                    </w:rPr>
                    <w:t>环境风险评估</w:t>
                  </w:r>
                  <w:r>
                    <w:rPr>
                      <w:rFonts w:hint="eastAsia" w:cs="Times New Roman" w:eastAsiaTheme="minorEastAsia"/>
                      <w:b w:val="0"/>
                      <w:bCs w:val="0"/>
                      <w:color w:val="auto"/>
                      <w:sz w:val="21"/>
                      <w:szCs w:val="21"/>
                      <w:highlight w:val="none"/>
                      <w:lang w:val="en-US" w:eastAsia="zh-CN"/>
                    </w:rPr>
                    <w:t>工作</w:t>
                  </w:r>
                  <w:r>
                    <w:rPr>
                      <w:rFonts w:hint="default" w:ascii="Times New Roman" w:hAnsi="Times New Roman" w:cs="Times New Roman" w:eastAsiaTheme="minorEastAsia"/>
                      <w:b w:val="0"/>
                      <w:bCs w:val="0"/>
                      <w:color w:val="auto"/>
                      <w:sz w:val="21"/>
                      <w:szCs w:val="21"/>
                      <w:highlight w:val="none"/>
                    </w:rPr>
                    <w:t>，</w:t>
                  </w:r>
                  <w:r>
                    <w:rPr>
                      <w:rFonts w:hint="eastAsia" w:cs="Times New Roman" w:eastAsiaTheme="minorEastAsia"/>
                      <w:b w:val="0"/>
                      <w:bCs w:val="0"/>
                      <w:color w:val="auto"/>
                      <w:sz w:val="21"/>
                      <w:szCs w:val="21"/>
                      <w:highlight w:val="none"/>
                      <w:lang w:val="en-US" w:eastAsia="zh-CN"/>
                    </w:rPr>
                    <w:t>定期</w:t>
                  </w:r>
                  <w:r>
                    <w:rPr>
                      <w:rFonts w:hint="default" w:ascii="Times New Roman" w:hAnsi="Times New Roman" w:cs="Times New Roman" w:eastAsiaTheme="minorEastAsia"/>
                      <w:b w:val="0"/>
                      <w:bCs w:val="0"/>
                      <w:color w:val="auto"/>
                      <w:sz w:val="21"/>
                      <w:szCs w:val="21"/>
                      <w:highlight w:val="none"/>
                    </w:rPr>
                    <w:t>排查环境安全隐患</w:t>
                  </w:r>
                  <w:r>
                    <w:rPr>
                      <w:rFonts w:hint="eastAsia" w:cs="Times New Roman" w:eastAsiaTheme="minorEastAsia"/>
                      <w:b w:val="0"/>
                      <w:bCs w:val="0"/>
                      <w:color w:val="auto"/>
                      <w:sz w:val="21"/>
                      <w:szCs w:val="21"/>
                      <w:highlight w:val="none"/>
                      <w:lang w:eastAsia="zh-CN"/>
                    </w:rPr>
                    <w:t>。</w:t>
                  </w:r>
                </w:p>
              </w:tc>
              <w:tc>
                <w:tcPr>
                  <w:tcW w:w="532" w:type="pct"/>
                  <w:noWrap/>
                  <w:vAlign w:val="center"/>
                </w:tcPr>
                <w:p w14:paraId="1258D12A">
                  <w:pPr>
                    <w:pStyle w:val="75"/>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符合</w:t>
                  </w:r>
                </w:p>
              </w:tc>
            </w:tr>
          </w:tbl>
          <w:p w14:paraId="0E02B4C8">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default"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、选址合理性分析</w:t>
            </w:r>
          </w:p>
          <w:p w14:paraId="03C80A33">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rPr>
            </w:pPr>
            <w:r>
              <w:rPr>
                <w:rFonts w:hint="eastAsia"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1）项目选址环境合理性分析</w:t>
            </w:r>
          </w:p>
          <w:p w14:paraId="2543EBF0">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三研究所分析测试中心扩建项目位于陕西省西咸新区沣东新城科源三路869号核工业二0三研究所</w:t>
            </w:r>
            <w:r>
              <w:rPr>
                <w:rFonts w:hint="eastAsia"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B座</w:t>
            </w:r>
            <w:r>
              <w:rPr>
                <w:rFonts w:hint="default" w:ascii="Times New Roman" w:hAnsi="Times New Roman" w:eastAsia="宋体" w:cs="Times New Roman"/>
                <w:color w:val="auto"/>
                <w:sz w:val="24"/>
                <w:szCs w:val="24"/>
                <w:highlight w:val="none"/>
              </w:rPr>
              <w:t>。</w:t>
            </w:r>
          </w:p>
          <w:p w14:paraId="15A65E2E">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val="en-US" w:eastAsia="zh-CN"/>
              </w:rPr>
              <w:t xml:space="preserve">① </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三研究所于2015年5月22日取得了西安市环境保护局沣渭新区分局关于</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三研究所科研生产能力建设项目</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环境影响报告表的批复</w:t>
            </w:r>
            <w:r>
              <w:rPr>
                <w:rFonts w:hint="eastAsia" w:ascii="Times New Roman" w:hAnsi="Times New Roman" w:eastAsia="宋体" w:cs="Times New Roman"/>
                <w:color w:val="auto"/>
                <w:sz w:val="24"/>
                <w:szCs w:val="24"/>
                <w:highlight w:val="none"/>
                <w:lang w:eastAsia="zh-CN"/>
              </w:rPr>
              <w:t>（市环沣渭批复</w:t>
            </w:r>
            <w:r>
              <w:rPr>
                <w:rFonts w:hint="eastAsia" w:ascii="微软雅黑" w:hAnsi="微软雅黑" w:eastAsia="微软雅黑" w:cs="微软雅黑"/>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2015</w:t>
            </w:r>
            <w:r>
              <w:rPr>
                <w:rFonts w:hint="eastAsia" w:ascii="微软雅黑" w:hAnsi="微软雅黑" w:eastAsia="微软雅黑" w:cs="微软雅黑"/>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15号），</w:t>
            </w:r>
            <w:r>
              <w:rPr>
                <w:rFonts w:hint="eastAsia" w:ascii="Times New Roman" w:hAnsi="Times New Roman" w:eastAsia="宋体" w:cs="Times New Roman"/>
                <w:color w:val="auto"/>
                <w:sz w:val="24"/>
                <w:szCs w:val="24"/>
                <w:highlight w:val="none"/>
                <w:lang w:val="en-US" w:eastAsia="zh-CN"/>
              </w:rPr>
              <w:t>并于</w:t>
            </w:r>
            <w:r>
              <w:rPr>
                <w:rFonts w:hint="default" w:ascii="Times New Roman" w:hAnsi="Times New Roman" w:eastAsia="宋体" w:cs="Times New Roman"/>
                <w:color w:val="auto"/>
                <w:sz w:val="24"/>
                <w:szCs w:val="24"/>
                <w:highlight w:val="none"/>
              </w:rPr>
              <w:t>2021年1月18日完成了</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三研究所科研生产能力建设项目</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竣工环境保护验收</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测试分析中心隶属于</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default" w:ascii="Times New Roman" w:hAnsi="Times New Roman" w:eastAsia="宋体" w:cs="Times New Roman"/>
                <w:color w:val="auto"/>
                <w:sz w:val="24"/>
                <w:szCs w:val="24"/>
                <w:highlight w:val="none"/>
                <w:lang w:val="en-US" w:eastAsia="zh-CN"/>
              </w:rPr>
              <w:t>的</w:t>
            </w:r>
            <w:r>
              <w:rPr>
                <w:rFonts w:hint="eastAsia" w:ascii="Times New Roman" w:hAnsi="Times New Roman" w:eastAsia="宋体" w:cs="Times New Roman"/>
                <w:color w:val="auto"/>
                <w:sz w:val="24"/>
                <w:szCs w:val="24"/>
                <w:highlight w:val="none"/>
                <w:lang w:val="en-US" w:eastAsia="zh-CN"/>
              </w:rPr>
              <w:t>实验测试部门</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位于</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eastAsia"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B座</w:t>
            </w:r>
            <w:r>
              <w:rPr>
                <w:rFonts w:hint="eastAsia" w:ascii="Times New Roman" w:hAnsi="Times New Roman" w:eastAsia="宋体" w:cs="Times New Roman"/>
                <w:color w:val="auto"/>
                <w:sz w:val="24"/>
                <w:szCs w:val="24"/>
                <w:highlight w:val="none"/>
                <w:lang w:eastAsia="zh-CN"/>
              </w:rPr>
              <w:t>。</w:t>
            </w:r>
          </w:p>
          <w:p w14:paraId="5BCDBD4C">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② </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三研究所用地属于科研用地</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见附件</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，用地性质符合土地政策使用要求。本次</w:t>
            </w:r>
            <w:r>
              <w:rPr>
                <w:rFonts w:hint="eastAsia" w:ascii="Times New Roman" w:hAnsi="Times New Roman" w:eastAsia="宋体" w:cs="Times New Roman"/>
                <w:color w:val="auto"/>
                <w:sz w:val="24"/>
                <w:szCs w:val="24"/>
                <w:highlight w:val="none"/>
                <w:lang w:val="en-US" w:eastAsia="zh-CN"/>
              </w:rPr>
              <w:t>扩建项目依托现有</w:t>
            </w:r>
            <w:r>
              <w:rPr>
                <w:rFonts w:hint="eastAsia"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B座，仅</w:t>
            </w:r>
            <w:r>
              <w:rPr>
                <w:rFonts w:hint="default" w:ascii="Times New Roman" w:hAnsi="Times New Roman" w:eastAsia="宋体" w:cs="Times New Roman"/>
                <w:color w:val="auto"/>
                <w:sz w:val="24"/>
                <w:szCs w:val="24"/>
                <w:highlight w:val="none"/>
              </w:rPr>
              <w:t>进行设备及实验类别的增加，不新建建构筑物，不新增占地。</w:t>
            </w:r>
          </w:p>
          <w:p w14:paraId="6EC0B64B">
            <w:pPr>
              <w:pStyle w:val="34"/>
              <w:keepNext w:val="0"/>
              <w:keepLines w:val="0"/>
              <w:pageBreakBefore w:val="0"/>
              <w:widowControl w:val="0"/>
              <w:kinsoku/>
              <w:wordWrap/>
              <w:overflowPunct/>
              <w:topLinePunct w:val="0"/>
              <w:autoSpaceDE/>
              <w:autoSpaceDN/>
              <w:bidi w:val="0"/>
              <w:adjustRightInd w:val="0"/>
              <w:ind w:left="0" w:leftChars="0" w:firstLine="484"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hAnsi="Times New Roman" w:cs="Times New Roman"/>
                <w:color w:val="auto"/>
                <w:sz w:val="24"/>
                <w:szCs w:val="24"/>
                <w:highlight w:val="none"/>
                <w:lang w:val="en-US" w:eastAsia="zh-CN"/>
              </w:rPr>
              <w:t xml:space="preserve">③ </w:t>
            </w:r>
            <w:r>
              <w:rPr>
                <w:rFonts w:hint="default" w:ascii="Times New Roman" w:hAnsi="Times New Roman" w:eastAsia="宋体" w:cs="Times New Roman"/>
                <w:color w:val="auto"/>
                <w:sz w:val="24"/>
                <w:szCs w:val="24"/>
                <w:highlight w:val="none"/>
              </w:rPr>
              <w:t>项目属于环境保护检测和试验研究，</w:t>
            </w:r>
            <w:r>
              <w:rPr>
                <w:rFonts w:hint="eastAsia" w:ascii="Times New Roman" w:hAnsi="Times New Roman" w:eastAsia="宋体" w:cs="Times New Roman"/>
                <w:color w:val="auto"/>
                <w:sz w:val="24"/>
                <w:szCs w:val="24"/>
                <w:highlight w:val="none"/>
                <w:lang w:val="en-US" w:eastAsia="zh-CN"/>
              </w:rPr>
              <w:t>根据现场调查，项目</w:t>
            </w:r>
            <w:r>
              <w:rPr>
                <w:rFonts w:hint="default" w:ascii="Times New Roman" w:hAnsi="Times New Roman" w:eastAsia="宋体" w:cs="Times New Roman"/>
                <w:color w:val="auto"/>
                <w:sz w:val="24"/>
                <w:szCs w:val="24"/>
                <w:highlight w:val="none"/>
              </w:rPr>
              <w:t>周边500m范围不涉及国家公园、自然保护区、风景名胜区、世界文化和自然遗产地、自然公园、重要湿地等</w:t>
            </w:r>
            <w:r>
              <w:rPr>
                <w:rFonts w:hint="eastAsia" w:ascii="Times New Roman" w:hAnsi="Times New Roman" w:eastAsia="宋体" w:cs="Times New Roman"/>
                <w:color w:val="auto"/>
                <w:sz w:val="24"/>
                <w:szCs w:val="24"/>
                <w:highlight w:val="none"/>
                <w:lang w:val="en-US" w:eastAsia="zh-CN"/>
              </w:rPr>
              <w:t>敏感目标</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主要分布有中国兵器业第</w:t>
            </w:r>
            <w:r>
              <w:rPr>
                <w:rFonts w:hint="eastAsia" w:hAnsi="Times New Roman"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五一基地西安试验方法与测试技术研究中心、航天</w:t>
            </w:r>
            <w:r>
              <w:rPr>
                <w:rFonts w:hint="eastAsia" w:hAnsi="Times New Roman" w:cs="Times New Roman"/>
                <w:color w:val="auto"/>
                <w:sz w:val="24"/>
                <w:szCs w:val="24"/>
                <w:highlight w:val="none"/>
                <w:lang w:val="en-US" w:eastAsia="zh-CN"/>
              </w:rPr>
              <w:t>科工西北创新产业园</w:t>
            </w:r>
            <w:r>
              <w:rPr>
                <w:rFonts w:hint="eastAsia" w:ascii="Times New Roman" w:hAnsi="Times New Roman" w:eastAsia="宋体" w:cs="Times New Roman"/>
                <w:color w:val="auto"/>
                <w:sz w:val="24"/>
                <w:szCs w:val="24"/>
                <w:highlight w:val="none"/>
                <w:lang w:val="en-US" w:eastAsia="zh-CN"/>
              </w:rPr>
              <w:t>、乐普医学电子仪器股份有限公司、康鸿橙方科技园等企事业单位。项目北侧为中国兵器业第</w:t>
            </w:r>
            <w:r>
              <w:rPr>
                <w:rFonts w:hint="eastAsia" w:hAnsi="Times New Roman"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五一基地西安试验方法与测试技术研究中心，东侧为空地，南侧为</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eastAsia" w:hAnsi="Times New Roman"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A座，</w:t>
            </w:r>
            <w:r>
              <w:rPr>
                <w:rFonts w:hint="eastAsia" w:hAnsi="Times New Roman"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A座南侧为</w:t>
            </w:r>
            <w:r>
              <w:rPr>
                <w:rFonts w:hint="eastAsia" w:cs="Times New Roman"/>
                <w:color w:val="auto"/>
                <w:sz w:val="24"/>
                <w:szCs w:val="24"/>
                <w:highlight w:val="none"/>
                <w:lang w:val="en-US" w:eastAsia="zh-CN"/>
              </w:rPr>
              <w:t>科源东路，隔路为</w:t>
            </w:r>
            <w:r>
              <w:rPr>
                <w:rFonts w:hint="eastAsia" w:ascii="Times New Roman" w:hAnsi="Times New Roman" w:eastAsia="宋体" w:cs="Times New Roman"/>
                <w:color w:val="auto"/>
                <w:sz w:val="24"/>
                <w:szCs w:val="24"/>
                <w:highlight w:val="none"/>
                <w:lang w:val="en-US" w:eastAsia="zh-CN"/>
              </w:rPr>
              <w:t>康鸿橙方科技园，西侧为</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eastAsia" w:ascii="Times New Roman" w:hAnsi="Times New Roman" w:eastAsia="宋体" w:cs="Times New Roman"/>
                <w:color w:val="auto"/>
                <w:sz w:val="24"/>
                <w:szCs w:val="24"/>
                <w:highlight w:val="none"/>
                <w:lang w:val="en-US" w:eastAsia="zh-CN"/>
              </w:rPr>
              <w:t>服务楼C座，服务楼西侧为科源三路。项目不在国家、地方规划的重点生态功能区的敏感区内。项目不属于高能耗企业，不触及资源利用上限。在采取相应的污染物防治措施后，项目运行期间各类污染物均能达标排放，对环境的影响可以接受。</w:t>
            </w:r>
            <w:r>
              <w:rPr>
                <w:rFonts w:hint="default" w:ascii="Times New Roman" w:hAnsi="Times New Roman" w:eastAsia="宋体" w:cs="Times New Roman"/>
                <w:color w:val="auto"/>
                <w:sz w:val="24"/>
                <w:szCs w:val="24"/>
                <w:highlight w:val="none"/>
              </w:rPr>
              <w:t>从环境保护角度分析，项目选址可行</w:t>
            </w:r>
            <w:r>
              <w:rPr>
                <w:rFonts w:hint="eastAsia" w:ascii="Times New Roman" w:hAnsi="Times New Roman" w:eastAsia="宋体" w:cs="Times New Roman"/>
                <w:color w:val="auto"/>
                <w:sz w:val="24"/>
                <w:szCs w:val="24"/>
                <w:highlight w:val="none"/>
                <w:lang w:eastAsia="zh-CN"/>
              </w:rPr>
              <w:t>。</w:t>
            </w:r>
          </w:p>
          <w:p w14:paraId="572128DC">
            <w:pPr>
              <w:adjustRightInd w:val="0"/>
              <w:snapToGrid w:val="0"/>
              <w:spacing w:line="360" w:lineRule="auto"/>
              <w:ind w:firstLine="480" w:firstLineChars="200"/>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2</w:t>
            </w:r>
            <w:r>
              <w:rPr>
                <w:rFonts w:hint="eastAsia" w:ascii="Times New Roman" w:hAnsi="Times New Roman" w:eastAsia="宋体" w:cs="Times New Roman"/>
                <w:b w:val="0"/>
                <w:bCs w:val="0"/>
                <w:color w:val="auto"/>
                <w:sz w:val="24"/>
                <w:szCs w:val="24"/>
                <w:highlight w:val="none"/>
                <w:lang w:val="en-US" w:eastAsia="zh-CN"/>
              </w:rPr>
              <w:t>）项目实验室选址要求符合性分析</w:t>
            </w:r>
          </w:p>
          <w:p w14:paraId="40EF1B0C">
            <w:pPr>
              <w:adjustRightInd w:val="0"/>
              <w:snapToGrid w:val="0"/>
              <w:spacing w:line="360" w:lineRule="auto"/>
              <w:ind w:firstLine="480" w:firstLineChars="200"/>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项目实验室选址合理性要求符合性分析见表</w:t>
            </w:r>
            <w:r>
              <w:rPr>
                <w:rFonts w:hint="default" w:ascii="Times New Roman" w:hAnsi="Times New Roman"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val="en-US" w:eastAsia="zh-CN"/>
              </w:rPr>
              <w:t>8。</w:t>
            </w:r>
          </w:p>
          <w:p w14:paraId="22EE3495">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56C1EA29">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2FF16C07">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071962CC">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15AF1582">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377C3078">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p>
          <w:p w14:paraId="4770B7F5">
            <w:pPr>
              <w:pStyle w:val="11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表</w:t>
            </w: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8</w:t>
            </w:r>
            <w:r>
              <w:rPr>
                <w:rFonts w:hint="default"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 xml:space="preserve"> 实验室选址合理性要求符合性分析</w:t>
            </w:r>
          </w:p>
          <w:tbl>
            <w:tblPr>
              <w:tblStyle w:val="28"/>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2348"/>
              <w:gridCol w:w="2762"/>
              <w:gridCol w:w="871"/>
            </w:tblGrid>
            <w:tr w14:paraId="01547D6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76" w:type="dxa"/>
                  <w:tcBorders>
                    <w:tl2br w:val="nil"/>
                    <w:tr2bl w:val="nil"/>
                  </w:tcBorders>
                  <w:tcMar>
                    <w:top w:w="0" w:type="dxa"/>
                    <w:left w:w="57" w:type="dxa"/>
                    <w:bottom w:w="0" w:type="dxa"/>
                    <w:right w:w="57" w:type="dxa"/>
                  </w:tcMar>
                  <w:vAlign w:val="center"/>
                </w:tcPr>
                <w:p w14:paraId="4FBE01FF">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b/>
                      <w:bCs/>
                      <w:snapToGrid w:val="0"/>
                      <w:color w:val="auto"/>
                      <w:kern w:val="0"/>
                      <w:sz w:val="21"/>
                      <w:szCs w:val="21"/>
                      <w:highlight w:val="none"/>
                      <w:lang w:val="en-US" w:eastAsia="zh-CN" w:bidi="ar"/>
                    </w:rPr>
                    <w:t>文件名称</w:t>
                  </w:r>
                </w:p>
              </w:tc>
              <w:tc>
                <w:tcPr>
                  <w:tcW w:w="2348" w:type="dxa"/>
                  <w:tcBorders>
                    <w:tl2br w:val="nil"/>
                    <w:tr2bl w:val="nil"/>
                  </w:tcBorders>
                  <w:tcMar>
                    <w:top w:w="0" w:type="dxa"/>
                    <w:left w:w="57" w:type="dxa"/>
                    <w:bottom w:w="0" w:type="dxa"/>
                    <w:right w:w="57" w:type="dxa"/>
                  </w:tcMar>
                  <w:vAlign w:val="center"/>
                </w:tcPr>
                <w:p w14:paraId="6F86D9B0">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b/>
                      <w:bCs/>
                      <w:snapToGrid w:val="0"/>
                      <w:color w:val="auto"/>
                      <w:kern w:val="0"/>
                      <w:sz w:val="21"/>
                      <w:szCs w:val="21"/>
                      <w:highlight w:val="none"/>
                      <w:lang w:val="en-US" w:eastAsia="zh-CN" w:bidi="ar"/>
                    </w:rPr>
                    <w:t>具体要求</w:t>
                  </w:r>
                </w:p>
              </w:tc>
              <w:tc>
                <w:tcPr>
                  <w:tcW w:w="2762" w:type="dxa"/>
                  <w:tcBorders>
                    <w:tl2br w:val="nil"/>
                    <w:tr2bl w:val="nil"/>
                  </w:tcBorders>
                  <w:tcMar>
                    <w:top w:w="0" w:type="dxa"/>
                    <w:left w:w="57" w:type="dxa"/>
                    <w:bottom w:w="0" w:type="dxa"/>
                    <w:right w:w="57" w:type="dxa"/>
                  </w:tcMar>
                  <w:vAlign w:val="center"/>
                </w:tcPr>
                <w:p w14:paraId="0543A89F">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b/>
                      <w:bCs/>
                      <w:snapToGrid w:val="0"/>
                      <w:color w:val="auto"/>
                      <w:kern w:val="0"/>
                      <w:sz w:val="21"/>
                      <w:szCs w:val="21"/>
                      <w:highlight w:val="none"/>
                      <w:lang w:val="en-US" w:eastAsia="zh-CN" w:bidi="ar"/>
                    </w:rPr>
                    <w:t>本项目情况</w:t>
                  </w:r>
                </w:p>
              </w:tc>
              <w:tc>
                <w:tcPr>
                  <w:tcW w:w="871" w:type="dxa"/>
                  <w:tcBorders>
                    <w:tl2br w:val="nil"/>
                    <w:tr2bl w:val="nil"/>
                  </w:tcBorders>
                  <w:tcMar>
                    <w:top w:w="0" w:type="dxa"/>
                    <w:left w:w="57" w:type="dxa"/>
                    <w:bottom w:w="0" w:type="dxa"/>
                    <w:right w:w="57" w:type="dxa"/>
                  </w:tcMar>
                  <w:vAlign w:val="center"/>
                </w:tcPr>
                <w:p w14:paraId="140D28F8">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b/>
                      <w:bCs/>
                      <w:snapToGrid w:val="0"/>
                      <w:color w:val="auto"/>
                      <w:kern w:val="0"/>
                      <w:sz w:val="21"/>
                      <w:szCs w:val="21"/>
                      <w:highlight w:val="none"/>
                      <w:lang w:val="en-US" w:eastAsia="zh-CN" w:bidi="ar"/>
                    </w:rPr>
                    <w:t>合理性</w:t>
                  </w:r>
                </w:p>
              </w:tc>
            </w:tr>
            <w:tr w14:paraId="7F1A847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576" w:type="dxa"/>
                  <w:tcBorders>
                    <w:tl2br w:val="nil"/>
                    <w:tr2bl w:val="nil"/>
                  </w:tcBorders>
                  <w:tcMar>
                    <w:top w:w="0" w:type="dxa"/>
                    <w:left w:w="57" w:type="dxa"/>
                    <w:bottom w:w="0" w:type="dxa"/>
                    <w:right w:w="57" w:type="dxa"/>
                  </w:tcMar>
                  <w:vAlign w:val="center"/>
                </w:tcPr>
                <w:p w14:paraId="741C85AA">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snapToGrid w:val="0"/>
                      <w:color w:val="auto"/>
                      <w:kern w:val="0"/>
                      <w:sz w:val="21"/>
                      <w:szCs w:val="21"/>
                      <w:highlight w:val="none"/>
                      <w:lang w:val="en-US" w:eastAsia="zh-CN" w:bidi="ar"/>
                    </w:rPr>
                    <w:t>《检验检测实验室设计与建设技术要求第1部分：通用要求》</w:t>
                  </w:r>
                </w:p>
              </w:tc>
              <w:tc>
                <w:tcPr>
                  <w:tcW w:w="2348" w:type="dxa"/>
                  <w:tcBorders>
                    <w:tl2br w:val="nil"/>
                    <w:tr2bl w:val="nil"/>
                  </w:tcBorders>
                  <w:tcMar>
                    <w:top w:w="0" w:type="dxa"/>
                    <w:left w:w="57" w:type="dxa"/>
                    <w:bottom w:w="0" w:type="dxa"/>
                    <w:right w:w="57" w:type="dxa"/>
                  </w:tcMar>
                  <w:vAlign w:val="center"/>
                </w:tcPr>
                <w:p w14:paraId="6CB3FFC2">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snapToGrid w:val="0"/>
                      <w:color w:val="auto"/>
                      <w:kern w:val="0"/>
                      <w:sz w:val="21"/>
                      <w:szCs w:val="21"/>
                      <w:highlight w:val="none"/>
                      <w:lang w:val="en-US" w:eastAsia="zh-CN" w:bidi="ar"/>
                    </w:rPr>
                    <w:t>实验室选址、设计和建造符合国家和地方环境保护和建设主管部门等的规定和要求。</w:t>
                  </w:r>
                </w:p>
              </w:tc>
              <w:tc>
                <w:tcPr>
                  <w:tcW w:w="2762" w:type="dxa"/>
                  <w:tcBorders>
                    <w:tl2br w:val="nil"/>
                    <w:tr2bl w:val="nil"/>
                  </w:tcBorders>
                  <w:tcMar>
                    <w:top w:w="0" w:type="dxa"/>
                    <w:left w:w="57" w:type="dxa"/>
                    <w:bottom w:w="0" w:type="dxa"/>
                    <w:right w:w="57" w:type="dxa"/>
                  </w:tcMar>
                  <w:vAlign w:val="center"/>
                </w:tcPr>
                <w:p w14:paraId="1F295F26">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snapToGrid w:val="0"/>
                      <w:color w:val="auto"/>
                      <w:kern w:val="0"/>
                      <w:sz w:val="21"/>
                      <w:szCs w:val="21"/>
                      <w:highlight w:val="none"/>
                      <w:lang w:val="en-US" w:eastAsia="zh-CN" w:bidi="ar"/>
                    </w:rPr>
                    <w:t>本项目位于核工业二0三研究所科技综合楼B座，其设计严格按照国家和地方环境保护要求进行建设，在与实验室内其他部分相通处设置有自动关闭的门。</w:t>
                  </w:r>
                </w:p>
              </w:tc>
              <w:tc>
                <w:tcPr>
                  <w:tcW w:w="871" w:type="dxa"/>
                  <w:tcBorders>
                    <w:tl2br w:val="nil"/>
                    <w:tr2bl w:val="nil"/>
                  </w:tcBorders>
                  <w:tcMar>
                    <w:top w:w="0" w:type="dxa"/>
                    <w:left w:w="57" w:type="dxa"/>
                    <w:bottom w:w="0" w:type="dxa"/>
                    <w:right w:w="57" w:type="dxa"/>
                  </w:tcMar>
                  <w:vAlign w:val="center"/>
                </w:tcPr>
                <w:p w14:paraId="29C2C3C9">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snapToGrid w:val="0"/>
                      <w:color w:val="auto"/>
                      <w:kern w:val="0"/>
                      <w:sz w:val="21"/>
                      <w:szCs w:val="21"/>
                      <w:highlight w:val="none"/>
                      <w:lang w:val="en-US" w:eastAsia="zh-CN" w:bidi="ar"/>
                    </w:rPr>
                    <w:t>合理</w:t>
                  </w:r>
                </w:p>
              </w:tc>
            </w:tr>
            <w:tr w14:paraId="357E11F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1576" w:type="dxa"/>
                  <w:tcBorders>
                    <w:tl2br w:val="nil"/>
                    <w:tr2bl w:val="nil"/>
                  </w:tcBorders>
                  <w:tcMar>
                    <w:top w:w="0" w:type="dxa"/>
                    <w:left w:w="57" w:type="dxa"/>
                    <w:bottom w:w="0" w:type="dxa"/>
                    <w:right w:w="57" w:type="dxa"/>
                  </w:tcMar>
                  <w:vAlign w:val="center"/>
                </w:tcPr>
                <w:p w14:paraId="71B13D97">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《检验检测实验室技术要求验收规范》</w:t>
                  </w:r>
                </w:p>
              </w:tc>
              <w:tc>
                <w:tcPr>
                  <w:tcW w:w="2348" w:type="dxa"/>
                  <w:tcBorders>
                    <w:tl2br w:val="nil"/>
                    <w:tr2bl w:val="nil"/>
                  </w:tcBorders>
                  <w:tcMar>
                    <w:top w:w="0" w:type="dxa"/>
                    <w:left w:w="57" w:type="dxa"/>
                    <w:bottom w:w="0" w:type="dxa"/>
                    <w:right w:w="57" w:type="dxa"/>
                  </w:tcMar>
                  <w:vAlign w:val="center"/>
                </w:tcPr>
                <w:p w14:paraId="73C51F3C">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color w:val="auto"/>
                      <w:sz w:val="21"/>
                      <w:szCs w:val="21"/>
                      <w:highlight w:val="none"/>
                      <w:vertAlign w:val="baseline"/>
                    </w:rPr>
                  </w:pPr>
                  <w:r>
                    <w:rPr>
                      <w:rFonts w:hint="default" w:ascii="Times New Roman" w:hAnsi="Times New Roman" w:cs="Times New Roman" w:eastAsiaTheme="minorEastAsia"/>
                      <w:snapToGrid w:val="0"/>
                      <w:color w:val="auto"/>
                      <w:kern w:val="0"/>
                      <w:sz w:val="21"/>
                      <w:szCs w:val="21"/>
                      <w:highlight w:val="none"/>
                      <w:lang w:val="en-US" w:eastAsia="zh-CN" w:bidi="ar"/>
                    </w:rPr>
                    <w:t>检验检测实验室的建设，应符合所在地区城市总体规划，充分利用现有检验检测资源和基础设施条件，避免重复建设。</w:t>
                  </w:r>
                </w:p>
              </w:tc>
              <w:tc>
                <w:tcPr>
                  <w:tcW w:w="2762" w:type="dxa"/>
                  <w:tcBorders>
                    <w:tl2br w:val="nil"/>
                    <w:tr2bl w:val="nil"/>
                  </w:tcBorders>
                  <w:tcMar>
                    <w:top w:w="0" w:type="dxa"/>
                    <w:left w:w="57" w:type="dxa"/>
                    <w:bottom w:w="0" w:type="dxa"/>
                    <w:right w:w="57" w:type="dxa"/>
                  </w:tcMar>
                  <w:vAlign w:val="center"/>
                </w:tcPr>
                <w:p w14:paraId="03F57C84">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本项目建设符合区域总体规划要求，</w:t>
                  </w:r>
                  <w:r>
                    <w:rPr>
                      <w:rFonts w:hint="eastAsia" w:ascii="Times New Roman" w:hAnsi="Times New Roman" w:cs="Times New Roman" w:eastAsiaTheme="minorEastAsia"/>
                      <w:snapToGrid w:val="0"/>
                      <w:color w:val="auto"/>
                      <w:kern w:val="0"/>
                      <w:sz w:val="21"/>
                      <w:szCs w:val="21"/>
                      <w:highlight w:val="none"/>
                      <w:lang w:val="en-US" w:eastAsia="zh-CN" w:bidi="ar"/>
                    </w:rPr>
                    <w:t>于现有</w:t>
                  </w:r>
                  <w:r>
                    <w:rPr>
                      <w:rFonts w:hint="default" w:ascii="Times New Roman" w:hAnsi="Times New Roman" w:cs="Times New Roman" w:eastAsiaTheme="minorEastAsia"/>
                      <w:snapToGrid w:val="0"/>
                      <w:color w:val="auto"/>
                      <w:kern w:val="0"/>
                      <w:sz w:val="21"/>
                      <w:szCs w:val="21"/>
                      <w:highlight w:val="none"/>
                      <w:lang w:val="en-US" w:eastAsia="zh-CN" w:bidi="ar"/>
                    </w:rPr>
                    <w:t>科技综合楼B座</w:t>
                  </w:r>
                  <w:r>
                    <w:rPr>
                      <w:rFonts w:hint="eastAsia" w:ascii="Times New Roman" w:hAnsi="Times New Roman" w:cs="Times New Roman" w:eastAsiaTheme="minorEastAsia"/>
                      <w:snapToGrid w:val="0"/>
                      <w:color w:val="auto"/>
                      <w:kern w:val="0"/>
                      <w:sz w:val="21"/>
                      <w:szCs w:val="21"/>
                      <w:highlight w:val="none"/>
                      <w:lang w:val="en-US" w:eastAsia="zh-CN" w:bidi="ar"/>
                    </w:rPr>
                    <w:t>即实验楼中进行扩建，充分利用了现有基础设施及环保设施</w:t>
                  </w:r>
                  <w:r>
                    <w:rPr>
                      <w:rFonts w:hint="default" w:ascii="Times New Roman" w:hAnsi="Times New Roman" w:cs="Times New Roman" w:eastAsiaTheme="minorEastAsia"/>
                      <w:snapToGrid w:val="0"/>
                      <w:color w:val="auto"/>
                      <w:kern w:val="0"/>
                      <w:sz w:val="21"/>
                      <w:szCs w:val="21"/>
                      <w:highlight w:val="none"/>
                      <w:lang w:val="en-US" w:eastAsia="zh-CN" w:bidi="ar"/>
                    </w:rPr>
                    <w:t>。</w:t>
                  </w:r>
                </w:p>
              </w:tc>
              <w:tc>
                <w:tcPr>
                  <w:tcW w:w="871" w:type="dxa"/>
                  <w:tcBorders>
                    <w:tl2br w:val="nil"/>
                    <w:tr2bl w:val="nil"/>
                  </w:tcBorders>
                  <w:tcMar>
                    <w:top w:w="0" w:type="dxa"/>
                    <w:left w:w="57" w:type="dxa"/>
                    <w:bottom w:w="0" w:type="dxa"/>
                    <w:right w:w="57" w:type="dxa"/>
                  </w:tcMar>
                  <w:vAlign w:val="center"/>
                </w:tcPr>
                <w:p w14:paraId="06EB6A2B">
                  <w:pPr>
                    <w:keepNext w:val="0"/>
                    <w:keepLines w:val="0"/>
                    <w:pageBreakBefore w:val="0"/>
                    <w:widowControl/>
                    <w:suppressLineNumbers w:val="0"/>
                    <w:kinsoku/>
                    <w:wordWrap/>
                    <w:topLinePunct w:val="0"/>
                    <w:bidi w:val="0"/>
                    <w:jc w:val="center"/>
                    <w:rPr>
                      <w:rFonts w:hint="default" w:ascii="Times New Roman" w:hAnsi="Times New Roman" w:cs="Times New Roman" w:eastAsiaTheme="minorEastAsia"/>
                      <w:snapToGrid w:val="0"/>
                      <w:color w:val="auto"/>
                      <w:kern w:val="0"/>
                      <w:sz w:val="21"/>
                      <w:szCs w:val="21"/>
                      <w:highlight w:val="none"/>
                      <w:lang w:val="en-US" w:eastAsia="zh-CN" w:bidi="ar"/>
                    </w:rPr>
                  </w:pPr>
                  <w:r>
                    <w:rPr>
                      <w:rFonts w:hint="default" w:ascii="Times New Roman" w:hAnsi="Times New Roman" w:cs="Times New Roman" w:eastAsiaTheme="minorEastAsia"/>
                      <w:snapToGrid w:val="0"/>
                      <w:color w:val="auto"/>
                      <w:kern w:val="0"/>
                      <w:sz w:val="21"/>
                      <w:szCs w:val="21"/>
                      <w:highlight w:val="none"/>
                      <w:lang w:val="en-US" w:eastAsia="zh-CN" w:bidi="ar"/>
                    </w:rPr>
                    <w:t>合理</w:t>
                  </w:r>
                </w:p>
              </w:tc>
            </w:tr>
          </w:tbl>
          <w:p w14:paraId="5C80D807">
            <w:pPr>
              <w:pStyle w:val="34"/>
              <w:keepNext w:val="0"/>
              <w:keepLines w:val="0"/>
              <w:pageBreakBefore w:val="0"/>
              <w:widowControl w:val="0"/>
              <w:kinsoku/>
              <w:wordWrap/>
              <w:overflowPunct/>
              <w:topLinePunct w:val="0"/>
              <w:autoSpaceDE/>
              <w:autoSpaceDN/>
              <w:bidi w:val="0"/>
              <w:adjustRightInd w:val="0"/>
              <w:ind w:left="0" w:leftChars="0" w:firstLine="484" w:firstLineChars="200"/>
              <w:jc w:val="left"/>
              <w:textAlignment w:val="auto"/>
              <w:rPr>
                <w:rFonts w:hint="eastAsia" w:ascii="Times New Roman" w:hAnsi="Times New Roman" w:eastAsia="宋体" w:cs="Times New Roman"/>
                <w:color w:val="auto"/>
                <w:sz w:val="24"/>
                <w:szCs w:val="24"/>
                <w:highlight w:val="none"/>
                <w:lang w:eastAsia="zh-CN"/>
              </w:rPr>
            </w:pPr>
          </w:p>
          <w:p w14:paraId="23E10B35">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6BB8CC51">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62DCB311">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1E4AC8C8">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4809A3BC">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78EC0F6B">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7E0DBAA9">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34144EA2">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641826C5">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529E0BB0">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20F5F8A6">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71FF6CE6">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49EA52FC">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2331A270">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2F013B7B">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3EE286AF">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56B15195">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43F6AD65">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color w:val="auto"/>
                <w:highlight w:val="none"/>
                <w:lang w:val="en-US" w:eastAsia="zh-CN"/>
              </w:rPr>
            </w:pPr>
          </w:p>
          <w:p w14:paraId="296B93C3">
            <w:pPr>
              <w:pStyle w:val="34"/>
              <w:keepNext w:val="0"/>
              <w:keepLines w:val="0"/>
              <w:pageBreakBefore w:val="0"/>
              <w:widowControl w:val="0"/>
              <w:kinsoku/>
              <w:wordWrap/>
              <w:overflowPunct/>
              <w:topLinePunct w:val="0"/>
              <w:autoSpaceDE/>
              <w:autoSpaceDN/>
              <w:bidi w:val="0"/>
              <w:adjustRightInd w:val="0"/>
              <w:ind w:left="0" w:leftChars="0" w:firstLine="0" w:firstLineChars="0"/>
              <w:jc w:val="left"/>
              <w:textAlignment w:val="auto"/>
              <w:rPr>
                <w:rFonts w:hint="eastAsia" w:eastAsia="宋体"/>
                <w:color w:val="auto"/>
                <w:highlight w:val="none"/>
                <w:lang w:val="en-US" w:eastAsia="zh-CN"/>
              </w:rPr>
            </w:pPr>
          </w:p>
        </w:tc>
      </w:tr>
    </w:tbl>
    <w:p w14:paraId="1ACA68E1">
      <w:pPr>
        <w:pStyle w:val="22"/>
        <w:spacing w:before="0" w:beforeAutospacing="0" w:after="0" w:afterAutospacing="0"/>
        <w:jc w:val="center"/>
        <w:rPr>
          <w:rFonts w:hint="eastAsia" w:ascii="黑体" w:hAnsi="黑体" w:eastAsia="黑体"/>
          <w:snapToGrid w:val="0"/>
          <w:color w:val="auto"/>
          <w:sz w:val="30"/>
          <w:szCs w:val="30"/>
          <w:highlight w:val="none"/>
          <w:lang w:eastAsia="zh-CN"/>
        </w:rPr>
      </w:pPr>
    </w:p>
    <w:p w14:paraId="74339706">
      <w:pPr>
        <w:pStyle w:val="22"/>
        <w:spacing w:before="0" w:beforeAutospacing="0" w:after="0" w:afterAutospacing="0"/>
        <w:jc w:val="center"/>
        <w:rPr>
          <w:rFonts w:hint="eastAsia" w:ascii="黑体" w:hAnsi="黑体" w:eastAsia="黑体"/>
          <w:snapToGrid w:val="0"/>
          <w:color w:val="auto"/>
          <w:sz w:val="30"/>
          <w:szCs w:val="30"/>
          <w:highlight w:val="none"/>
          <w:lang w:eastAsia="zh-CN"/>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A30FFA9">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74"/>
        <w:gridCol w:w="8331"/>
      </w:tblGrid>
      <w:tr w14:paraId="14CB9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31" w:hRule="atLeast"/>
          <w:jc w:val="center"/>
        </w:trPr>
        <w:tc>
          <w:tcPr>
            <w:tcW w:w="674" w:type="dxa"/>
            <w:noWrap w:val="0"/>
            <w:vAlign w:val="center"/>
          </w:tcPr>
          <w:p w14:paraId="09838BDB">
            <w:pPr>
              <w:pStyle w:val="22"/>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建设内容</w:t>
            </w:r>
          </w:p>
        </w:tc>
        <w:tc>
          <w:tcPr>
            <w:tcW w:w="8331" w:type="dxa"/>
            <w:noWrap w:val="0"/>
            <w:vAlign w:val="top"/>
          </w:tcPr>
          <w:p w14:paraId="3362C9D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eastAsia="宋体"/>
                <w:b/>
                <w:color w:val="auto"/>
                <w:sz w:val="24"/>
                <w:highlight w:val="none"/>
                <w:lang w:eastAsia="zh-CN"/>
              </w:rPr>
            </w:pPr>
            <w:r>
              <w:rPr>
                <w:b/>
                <w:color w:val="auto"/>
                <w:sz w:val="24"/>
                <w:highlight w:val="none"/>
              </w:rPr>
              <w:t>1.项目</w:t>
            </w:r>
            <w:r>
              <w:rPr>
                <w:rFonts w:hint="eastAsia"/>
                <w:b/>
                <w:color w:val="auto"/>
                <w:sz w:val="24"/>
                <w:highlight w:val="none"/>
                <w:lang w:val="en-US" w:eastAsia="zh-CN"/>
              </w:rPr>
              <w:t>由来</w:t>
            </w:r>
          </w:p>
          <w:p w14:paraId="5B9A274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highlight w:val="none"/>
                <w:lang w:val="en-US" w:eastAsia="zh-CN"/>
              </w:rPr>
            </w:pPr>
            <w:r>
              <w:rPr>
                <w:rFonts w:hint="eastAsia"/>
                <w:color w:val="auto"/>
                <w:sz w:val="24"/>
                <w:highlight w:val="none"/>
                <w:lang w:val="en-US" w:eastAsia="zh-CN"/>
              </w:rPr>
              <w:t>核工业二0三研究所成立于1975年。2015年2月委托中国地质调查局西安地质调查中心编制了《核工业二0三研究所科研生产能力建设项目环境影响报告表》，并于2015年5月22日取得西安市环境保护局沣渭新区分局关于《核工业二0三研究所科研生产能力建设项目》环境影响报告表的批复（市环沣渭批复〔2015〕15号）</w:t>
            </w:r>
            <w:r>
              <w:rPr>
                <w:rFonts w:hint="eastAsia" w:ascii="Times New Roman" w:hAnsi="Times New Roman" w:eastAsia="宋体"/>
                <w:color w:val="auto"/>
                <w:sz w:val="24"/>
                <w:szCs w:val="24"/>
                <w:highlight w:val="none"/>
              </w:rPr>
              <w:t>。根据</w:t>
            </w:r>
            <w:r>
              <w:rPr>
                <w:rFonts w:hint="eastAsia" w:ascii="Times New Roman" w:hAnsi="Times New Roman" w:eastAsia="宋体"/>
                <w:color w:val="auto"/>
                <w:sz w:val="24"/>
                <w:szCs w:val="24"/>
                <w:highlight w:val="none"/>
                <w:lang w:val="en-US" w:eastAsia="zh-CN"/>
              </w:rPr>
              <w:t>该</w:t>
            </w:r>
            <w:r>
              <w:rPr>
                <w:rFonts w:hint="eastAsia" w:ascii="Times New Roman" w:hAnsi="Times New Roman" w:eastAsia="宋体"/>
                <w:color w:val="auto"/>
                <w:sz w:val="24"/>
                <w:szCs w:val="24"/>
                <w:highlight w:val="none"/>
              </w:rPr>
              <w:t>环评报告表的环保要求及环评批复要求，</w:t>
            </w:r>
            <w:r>
              <w:rPr>
                <w:rFonts w:hint="eastAsia" w:ascii="Times New Roman" w:hAnsi="Times New Roman" w:eastAsia="宋体"/>
                <w:color w:val="auto"/>
                <w:sz w:val="24"/>
                <w:szCs w:val="24"/>
                <w:highlight w:val="none"/>
                <w:lang w:val="en-GB"/>
              </w:rPr>
              <w:t>核工业二</w:t>
            </w:r>
            <w:r>
              <w:rPr>
                <w:rFonts w:hint="eastAsia"/>
                <w:color w:val="auto"/>
                <w:sz w:val="24"/>
                <w:szCs w:val="24"/>
                <w:highlight w:val="none"/>
                <w:lang w:val="en-GB" w:eastAsia="zh-CN"/>
              </w:rPr>
              <w:t>0</w:t>
            </w:r>
            <w:r>
              <w:rPr>
                <w:rFonts w:hint="eastAsia" w:ascii="Times New Roman" w:hAnsi="Times New Roman" w:eastAsia="宋体"/>
                <w:color w:val="auto"/>
                <w:sz w:val="24"/>
                <w:szCs w:val="24"/>
                <w:highlight w:val="none"/>
                <w:lang w:val="en-GB"/>
              </w:rPr>
              <w:t>三研究所</w:t>
            </w:r>
            <w:r>
              <w:rPr>
                <w:rFonts w:hint="eastAsia" w:ascii="Times New Roman" w:hAnsi="Times New Roman" w:eastAsia="宋体"/>
                <w:color w:val="auto"/>
                <w:sz w:val="24"/>
                <w:szCs w:val="24"/>
                <w:highlight w:val="none"/>
              </w:rPr>
              <w:t>对项目涉及的相应环保设施进行了建设，于2020年</w:t>
            </w:r>
            <w:r>
              <w:rPr>
                <w:rFonts w:hint="eastAsia" w:ascii="Times New Roman" w:hAnsi="Times New Roman" w:eastAsia="宋体"/>
                <w:color w:val="auto"/>
                <w:sz w:val="24"/>
                <w:szCs w:val="24"/>
                <w:highlight w:val="none"/>
                <w:lang w:val="en-US" w:eastAsia="zh-CN"/>
              </w:rPr>
              <w:t>11</w:t>
            </w:r>
            <w:r>
              <w:rPr>
                <w:rFonts w:hint="eastAsia" w:ascii="Times New Roman" w:hAnsi="Times New Roman" w:eastAsia="宋体"/>
                <w:color w:val="auto"/>
                <w:sz w:val="24"/>
                <w:szCs w:val="24"/>
                <w:highlight w:val="none"/>
              </w:rPr>
              <w:t>月正式委托</w:t>
            </w:r>
            <w:r>
              <w:rPr>
                <w:rFonts w:ascii="Times New Roman" w:hAnsi="Times New Roman" w:eastAsia="宋体"/>
                <w:color w:val="auto"/>
                <w:sz w:val="24"/>
                <w:szCs w:val="24"/>
                <w:highlight w:val="none"/>
              </w:rPr>
              <w:t>中核（陕西）环境科技有限公司</w:t>
            </w:r>
            <w:r>
              <w:rPr>
                <w:rFonts w:hint="eastAsia" w:ascii="Times New Roman" w:hAnsi="Times New Roman" w:eastAsia="宋体"/>
                <w:color w:val="auto"/>
                <w:sz w:val="24"/>
                <w:szCs w:val="24"/>
                <w:highlight w:val="none"/>
              </w:rPr>
              <w:t>对《</w:t>
            </w:r>
            <w:r>
              <w:rPr>
                <w:rFonts w:hint="eastAsia" w:ascii="Times New Roman" w:hAnsi="Times New Roman" w:eastAsia="宋体"/>
                <w:color w:val="auto"/>
                <w:sz w:val="24"/>
                <w:szCs w:val="24"/>
                <w:highlight w:val="none"/>
                <w:lang w:val="en-GB"/>
              </w:rPr>
              <w:t>核工业二</w:t>
            </w:r>
            <w:r>
              <w:rPr>
                <w:rFonts w:hint="eastAsia"/>
                <w:color w:val="auto"/>
                <w:sz w:val="24"/>
                <w:szCs w:val="24"/>
                <w:highlight w:val="none"/>
                <w:lang w:val="en-GB" w:eastAsia="zh-CN"/>
              </w:rPr>
              <w:t>0</w:t>
            </w:r>
            <w:r>
              <w:rPr>
                <w:rFonts w:hint="eastAsia" w:ascii="Times New Roman" w:hAnsi="Times New Roman" w:eastAsia="宋体"/>
                <w:color w:val="auto"/>
                <w:sz w:val="24"/>
                <w:szCs w:val="24"/>
                <w:highlight w:val="none"/>
                <w:lang w:val="en-GB"/>
              </w:rPr>
              <w:t>三研究所科研生产能力建设项目</w:t>
            </w:r>
            <w:r>
              <w:rPr>
                <w:rFonts w:hint="eastAsia" w:ascii="Times New Roman" w:hAnsi="Times New Roman" w:eastAsia="宋体"/>
                <w:color w:val="auto"/>
                <w:sz w:val="24"/>
                <w:szCs w:val="24"/>
                <w:highlight w:val="none"/>
              </w:rPr>
              <w:t>》开展竣工环保验收监测报告表的编制工作</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2021年1月完成了该项目的竣工环境保护验收工作。项目建成后占地面积22911.11m</w:t>
            </w:r>
            <w:r>
              <w:rPr>
                <w:rFonts w:hint="eastAsia" w:ascii="Times New Roman" w:hAnsi="Times New Roman" w:eastAsia="宋体"/>
                <w:color w:val="auto"/>
                <w:sz w:val="24"/>
                <w:szCs w:val="24"/>
                <w:highlight w:val="none"/>
                <w:vertAlign w:val="superscript"/>
                <w:lang w:val="en-US" w:eastAsia="zh-CN"/>
              </w:rPr>
              <w:t>2</w:t>
            </w:r>
            <w:r>
              <w:rPr>
                <w:rFonts w:hint="eastAsia" w:ascii="Times New Roman" w:hAnsi="Times New Roman" w:eastAsia="宋体"/>
                <w:color w:val="auto"/>
                <w:sz w:val="24"/>
                <w:szCs w:val="24"/>
                <w:highlight w:val="none"/>
                <w:lang w:val="en-US" w:eastAsia="zh-CN"/>
              </w:rPr>
              <w:t>，建设1座</w:t>
            </w:r>
            <w:r>
              <w:rPr>
                <w:rFonts w:hint="eastAsia"/>
                <w:color w:val="auto"/>
                <w:sz w:val="24"/>
                <w:szCs w:val="24"/>
                <w:highlight w:val="none"/>
                <w:lang w:val="en-US" w:eastAsia="zh-CN"/>
              </w:rPr>
              <w:t>科技综合楼</w:t>
            </w:r>
            <w:r>
              <w:rPr>
                <w:rFonts w:hint="eastAsia" w:ascii="Times New Roman" w:hAnsi="Times New Roman" w:eastAsia="宋体"/>
                <w:color w:val="auto"/>
                <w:sz w:val="24"/>
                <w:szCs w:val="24"/>
                <w:highlight w:val="none"/>
                <w:lang w:val="en-US" w:eastAsia="zh-CN"/>
              </w:rPr>
              <w:t>A座、1座</w:t>
            </w:r>
            <w:r>
              <w:rPr>
                <w:rFonts w:hint="eastAsia"/>
                <w:color w:val="auto"/>
                <w:sz w:val="24"/>
                <w:szCs w:val="24"/>
                <w:highlight w:val="none"/>
                <w:lang w:val="en-US" w:eastAsia="zh-CN"/>
              </w:rPr>
              <w:t>科技综合楼</w:t>
            </w:r>
            <w:r>
              <w:rPr>
                <w:rFonts w:hint="eastAsia" w:ascii="Times New Roman" w:hAnsi="Times New Roman" w:eastAsia="宋体"/>
                <w:color w:val="auto"/>
                <w:sz w:val="24"/>
                <w:szCs w:val="24"/>
                <w:highlight w:val="none"/>
                <w:lang w:val="en-US" w:eastAsia="zh-CN"/>
              </w:rPr>
              <w:t>B座、1座服务楼C座及公用辅助设施，其中</w:t>
            </w:r>
            <w:r>
              <w:rPr>
                <w:rFonts w:hint="eastAsia"/>
                <w:color w:val="auto"/>
                <w:sz w:val="24"/>
                <w:szCs w:val="24"/>
                <w:highlight w:val="none"/>
                <w:lang w:val="en-US" w:eastAsia="zh-CN"/>
              </w:rPr>
              <w:t>科技综合楼</w:t>
            </w:r>
            <w:r>
              <w:rPr>
                <w:rFonts w:hint="eastAsia" w:ascii="Times New Roman" w:hAnsi="Times New Roman" w:eastAsia="宋体"/>
                <w:color w:val="auto"/>
                <w:sz w:val="24"/>
                <w:szCs w:val="24"/>
                <w:highlight w:val="none"/>
                <w:lang w:val="en-US" w:eastAsia="zh-CN"/>
              </w:rPr>
              <w:t>B座为分析测试中心，主要开展熔矿、检测等实验工作</w:t>
            </w:r>
            <w:r>
              <w:rPr>
                <w:rFonts w:hint="eastAsia"/>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企业自营运至今，环保监管部门未收到关于本项目的环保问题投诉。</w:t>
            </w:r>
          </w:p>
          <w:p w14:paraId="332F8B7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现因科研生产</w:t>
            </w:r>
            <w:r>
              <w:rPr>
                <w:rFonts w:hint="eastAsia"/>
                <w:color w:val="auto"/>
                <w:sz w:val="24"/>
                <w:szCs w:val="24"/>
                <w:highlight w:val="none"/>
                <w:lang w:val="en-US" w:eastAsia="zh-CN"/>
              </w:rPr>
              <w:t>及市场需求</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lang w:val="en-GB"/>
              </w:rPr>
              <w:t>核工业二</w:t>
            </w:r>
            <w:r>
              <w:rPr>
                <w:rFonts w:hint="eastAsia"/>
                <w:color w:val="auto"/>
                <w:sz w:val="24"/>
                <w:szCs w:val="24"/>
                <w:highlight w:val="none"/>
                <w:lang w:val="en-GB" w:eastAsia="zh-CN"/>
              </w:rPr>
              <w:t>0</w:t>
            </w:r>
            <w:r>
              <w:rPr>
                <w:rFonts w:hint="eastAsia" w:ascii="Times New Roman" w:hAnsi="Times New Roman" w:eastAsia="宋体"/>
                <w:color w:val="auto"/>
                <w:sz w:val="24"/>
                <w:szCs w:val="24"/>
                <w:highlight w:val="none"/>
                <w:lang w:val="en-GB"/>
              </w:rPr>
              <w:t>三研究所</w:t>
            </w:r>
            <w:r>
              <w:rPr>
                <w:rFonts w:hint="eastAsia" w:ascii="Times New Roman" w:hAnsi="Times New Roman" w:eastAsia="宋体"/>
                <w:color w:val="auto"/>
                <w:sz w:val="24"/>
                <w:szCs w:val="24"/>
                <w:highlight w:val="none"/>
                <w:lang w:val="en-US" w:eastAsia="zh-CN"/>
              </w:rPr>
              <w:t>分析测试中心</w:t>
            </w:r>
            <w:r>
              <w:rPr>
                <w:rFonts w:hint="eastAsia"/>
                <w:color w:val="auto"/>
                <w:sz w:val="24"/>
                <w:szCs w:val="24"/>
                <w:highlight w:val="none"/>
                <w:lang w:val="en-US" w:eastAsia="zh-CN"/>
              </w:rPr>
              <w:t>计划</w:t>
            </w:r>
            <w:r>
              <w:rPr>
                <w:rFonts w:hint="eastAsia" w:ascii="Times New Roman" w:hAnsi="Times New Roman" w:eastAsia="宋体"/>
                <w:color w:val="auto"/>
                <w:sz w:val="24"/>
                <w:szCs w:val="24"/>
                <w:highlight w:val="none"/>
                <w:lang w:val="en-US" w:eastAsia="zh-CN"/>
              </w:rPr>
              <w:t>对实验项目进行拓展，</w:t>
            </w:r>
            <w:r>
              <w:rPr>
                <w:rFonts w:hint="eastAsia"/>
                <w:color w:val="auto"/>
                <w:sz w:val="24"/>
                <w:szCs w:val="24"/>
                <w:highlight w:val="none"/>
                <w:lang w:val="en-US" w:eastAsia="zh-CN"/>
              </w:rPr>
              <w:t>拟投资</w:t>
            </w:r>
            <w:r>
              <w:rPr>
                <w:rFonts w:hint="eastAsia" w:ascii="Times New Roman" w:hAnsi="Times New Roman" w:eastAsia="宋体"/>
                <w:color w:val="auto"/>
                <w:sz w:val="24"/>
                <w:szCs w:val="24"/>
                <w:highlight w:val="none"/>
                <w:lang w:val="en-US" w:eastAsia="zh-CN"/>
              </w:rPr>
              <w:t>建设分析测试中心扩建项目，</w:t>
            </w:r>
            <w:r>
              <w:rPr>
                <w:rFonts w:hint="eastAsia"/>
                <w:color w:val="auto"/>
                <w:sz w:val="24"/>
                <w:szCs w:val="24"/>
                <w:highlight w:val="none"/>
                <w:lang w:val="en-US" w:eastAsia="zh-CN"/>
              </w:rPr>
              <w:t>扩增水质、大气、土壤、岩矿、噪声等实验室分析检测项目，</w:t>
            </w:r>
            <w:r>
              <w:rPr>
                <w:rFonts w:hint="eastAsia" w:ascii="Times New Roman" w:hAnsi="Times New Roman" w:eastAsia="宋体"/>
                <w:color w:val="auto"/>
                <w:sz w:val="24"/>
                <w:szCs w:val="24"/>
                <w:highlight w:val="none"/>
                <w:lang w:val="en-US" w:eastAsia="zh-CN"/>
              </w:rPr>
              <w:t>相应的实验原辅材料、实验设备等</w:t>
            </w:r>
            <w:r>
              <w:rPr>
                <w:rFonts w:hint="eastAsia"/>
                <w:color w:val="auto"/>
                <w:sz w:val="24"/>
                <w:szCs w:val="24"/>
                <w:highlight w:val="none"/>
                <w:lang w:val="en-US" w:eastAsia="zh-CN"/>
              </w:rPr>
              <w:t>均</w:t>
            </w:r>
            <w:r>
              <w:rPr>
                <w:rFonts w:hint="eastAsia" w:ascii="Times New Roman" w:hAnsi="Times New Roman" w:eastAsia="宋体"/>
                <w:color w:val="auto"/>
                <w:sz w:val="24"/>
                <w:szCs w:val="24"/>
                <w:highlight w:val="none"/>
                <w:lang w:val="en-US" w:eastAsia="zh-CN"/>
              </w:rPr>
              <w:t>有所增加</w:t>
            </w:r>
            <w:r>
              <w:rPr>
                <w:rFonts w:hint="eastAsia"/>
                <w:color w:val="auto"/>
                <w:sz w:val="24"/>
                <w:szCs w:val="24"/>
                <w:highlight w:val="none"/>
                <w:lang w:val="en-US" w:eastAsia="zh-CN"/>
              </w:rPr>
              <w:t>。</w:t>
            </w:r>
            <w:r>
              <w:rPr>
                <w:rFonts w:hint="eastAsia" w:ascii="Times New Roman" w:hAnsi="Times New Roman" w:eastAsia="宋体" w:cs="Times New Roman"/>
                <w:color w:val="auto"/>
                <w:spacing w:val="0"/>
                <w:sz w:val="24"/>
                <w:szCs w:val="24"/>
                <w:highlight w:val="none"/>
                <w:lang w:val="en-US" w:eastAsia="zh-CN"/>
              </w:rPr>
              <w:t>根据《中华人民共和国环境保护法》《中华人民共和国环境影响评价法》《建设项目环境保护管理条例》以及陕西省环境保护的有关规定，并对照《建设项目环境影响评价分类管理名录（2021年版）》，本项目属于四十五、研究和试验发展98 专业实验室、研发（试验）基地-其他（不产生实验废气、废水、危险废物的除外），环评类别为报告表。2025年</w:t>
            </w:r>
            <w:r>
              <w:rPr>
                <w:rFonts w:hint="eastAsia" w:cs="Times New Roman"/>
                <w:color w:val="auto"/>
                <w:spacing w:val="0"/>
                <w:sz w:val="24"/>
                <w:szCs w:val="24"/>
                <w:highlight w:val="none"/>
                <w:lang w:val="en-US" w:eastAsia="zh-CN"/>
              </w:rPr>
              <w:t>1</w:t>
            </w:r>
            <w:r>
              <w:rPr>
                <w:rFonts w:hint="eastAsia" w:ascii="Times New Roman" w:hAnsi="Times New Roman" w:eastAsia="宋体" w:cs="Times New Roman"/>
                <w:color w:val="auto"/>
                <w:spacing w:val="0"/>
                <w:sz w:val="24"/>
                <w:szCs w:val="24"/>
                <w:highlight w:val="none"/>
                <w:lang w:val="en-US" w:eastAsia="zh-CN"/>
              </w:rPr>
              <w:t>月核工业二0三研究所委托我单位开展</w:t>
            </w:r>
            <w:r>
              <w:rPr>
                <w:rFonts w:hint="eastAsia" w:cs="Times New Roman"/>
                <w:color w:val="auto"/>
                <w:spacing w:val="0"/>
                <w:sz w:val="24"/>
                <w:szCs w:val="24"/>
                <w:highlight w:val="none"/>
                <w:lang w:val="en-US" w:eastAsia="zh-CN"/>
              </w:rPr>
              <w:t>《</w:t>
            </w:r>
            <w:r>
              <w:rPr>
                <w:rFonts w:hint="eastAsia" w:ascii="Times New Roman" w:hAnsi="Times New Roman" w:eastAsia="宋体" w:cs="Times New Roman"/>
                <w:color w:val="auto"/>
                <w:spacing w:val="0"/>
                <w:sz w:val="24"/>
                <w:szCs w:val="24"/>
                <w:highlight w:val="none"/>
                <w:lang w:val="en-US" w:eastAsia="zh-CN"/>
              </w:rPr>
              <w:t>核工业二0三研究所分析测试中心扩建项目</w:t>
            </w:r>
            <w:r>
              <w:rPr>
                <w:rFonts w:hint="eastAsia" w:cs="Times New Roman"/>
                <w:color w:val="auto"/>
                <w:spacing w:val="0"/>
                <w:sz w:val="24"/>
                <w:szCs w:val="24"/>
                <w:highlight w:val="none"/>
                <w:lang w:val="en-US" w:eastAsia="zh-CN"/>
              </w:rPr>
              <w:t>》</w:t>
            </w:r>
            <w:r>
              <w:rPr>
                <w:rFonts w:hint="eastAsia" w:ascii="Times New Roman" w:hAnsi="Times New Roman" w:eastAsia="宋体" w:cs="Times New Roman"/>
                <w:color w:val="auto"/>
                <w:spacing w:val="0"/>
                <w:sz w:val="24"/>
                <w:szCs w:val="24"/>
                <w:highlight w:val="none"/>
                <w:lang w:val="en-US" w:eastAsia="zh-CN"/>
              </w:rPr>
              <w:t>环境影响评价工作，我单位承接了该项目的环评任务后，</w:t>
            </w:r>
            <w:r>
              <w:rPr>
                <w:rFonts w:hint="eastAsia" w:ascii="Times New Roman" w:hAnsi="Times New Roman" w:eastAsia="宋体"/>
                <w:color w:val="auto"/>
                <w:sz w:val="24"/>
                <w:szCs w:val="24"/>
                <w:highlight w:val="none"/>
                <w:lang w:val="en-US" w:eastAsia="zh-CN"/>
              </w:rPr>
              <w:t>立即安排专职技术人员</w:t>
            </w:r>
            <w:r>
              <w:rPr>
                <w:rFonts w:hint="eastAsia" w:ascii="Times New Roman" w:hAnsi="Times New Roman" w:eastAsia="宋体"/>
                <w:color w:val="auto"/>
                <w:sz w:val="24"/>
                <w:szCs w:val="24"/>
                <w:highlight w:val="none"/>
              </w:rPr>
              <w:t>到现场实地勘察，</w:t>
            </w:r>
            <w:r>
              <w:rPr>
                <w:rFonts w:hint="eastAsia" w:ascii="Times New Roman" w:hAnsi="Times New Roman" w:eastAsia="宋体" w:cs="Times New Roman"/>
                <w:color w:val="auto"/>
                <w:spacing w:val="0"/>
                <w:sz w:val="24"/>
                <w:szCs w:val="24"/>
                <w:highlight w:val="none"/>
                <w:lang w:val="en-US" w:eastAsia="zh-CN"/>
              </w:rPr>
              <w:t>调研及资料收集、核实了有关该项目的资料，在此基础上根据国家环保法规和标准编制了《</w:t>
            </w:r>
            <w:r>
              <w:rPr>
                <w:rFonts w:hint="eastAsia"/>
                <w:color w:val="auto"/>
                <w:sz w:val="24"/>
                <w:highlight w:val="none"/>
              </w:rPr>
              <w:t>核工业二</w:t>
            </w:r>
            <w:r>
              <w:rPr>
                <w:rFonts w:hint="eastAsia"/>
                <w:color w:val="auto"/>
                <w:sz w:val="24"/>
                <w:highlight w:val="none"/>
                <w:lang w:eastAsia="zh-CN"/>
              </w:rPr>
              <w:t>0</w:t>
            </w:r>
            <w:r>
              <w:rPr>
                <w:rFonts w:hint="eastAsia"/>
                <w:color w:val="auto"/>
                <w:sz w:val="24"/>
                <w:highlight w:val="none"/>
              </w:rPr>
              <w:t>三研究所</w:t>
            </w:r>
            <w:r>
              <w:rPr>
                <w:rFonts w:hint="eastAsia"/>
                <w:color w:val="auto"/>
                <w:sz w:val="24"/>
                <w:highlight w:val="none"/>
                <w:lang w:val="en-US" w:eastAsia="zh-CN"/>
              </w:rPr>
              <w:t>分析测试中心扩建</w:t>
            </w:r>
            <w:r>
              <w:rPr>
                <w:rFonts w:hint="eastAsia"/>
                <w:color w:val="auto"/>
                <w:sz w:val="24"/>
                <w:highlight w:val="none"/>
              </w:rPr>
              <w:t>项目</w:t>
            </w:r>
            <w:r>
              <w:rPr>
                <w:rFonts w:hint="eastAsia" w:ascii="Times New Roman" w:hAnsi="Times New Roman" w:eastAsia="宋体" w:cs="Times New Roman"/>
                <w:color w:val="auto"/>
                <w:spacing w:val="0"/>
                <w:sz w:val="24"/>
                <w:szCs w:val="24"/>
                <w:highlight w:val="none"/>
                <w:lang w:val="en-US" w:eastAsia="zh-CN"/>
              </w:rPr>
              <w:t>环境影响报告表》。</w:t>
            </w:r>
            <w:r>
              <w:rPr>
                <w:rFonts w:hint="eastAsia" w:cs="Times New Roman"/>
                <w:color w:val="auto"/>
                <w:spacing w:val="0"/>
                <w:sz w:val="24"/>
                <w:szCs w:val="24"/>
                <w:highlight w:val="none"/>
                <w:lang w:val="en-US" w:eastAsia="zh-CN"/>
              </w:rPr>
              <w:t>本次评价不包括项目涉及的辐射环境影响评价，只对非辐射类建设内容进行环境影响分析。</w:t>
            </w:r>
          </w:p>
          <w:p w14:paraId="7EF78886">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2</w:t>
            </w:r>
            <w:r>
              <w:rPr>
                <w:rFonts w:ascii="Times New Roman" w:hAnsi="Times New Roman" w:eastAsia="宋体" w:cs="Times New Roman"/>
                <w:b/>
                <w:color w:val="auto"/>
                <w:sz w:val="24"/>
                <w:highlight w:val="none"/>
              </w:rPr>
              <w:t>.项目</w:t>
            </w:r>
            <w:r>
              <w:rPr>
                <w:rFonts w:hint="eastAsia" w:ascii="Times New Roman" w:hAnsi="Times New Roman" w:eastAsia="宋体" w:cs="Times New Roman"/>
                <w:b/>
                <w:color w:val="auto"/>
                <w:sz w:val="24"/>
                <w:highlight w:val="none"/>
                <w:lang w:val="en-US" w:eastAsia="zh-CN"/>
              </w:rPr>
              <w:t>基本情况</w:t>
            </w:r>
          </w:p>
          <w:p w14:paraId="3F41CC36">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项目名称：核工业二</w:t>
            </w:r>
            <w:r>
              <w:rPr>
                <w:rFonts w:hint="eastAsia"/>
                <w:color w:val="auto"/>
                <w:sz w:val="24"/>
                <w:highlight w:val="none"/>
                <w:lang w:eastAsia="zh-CN"/>
              </w:rPr>
              <w:t>0</w:t>
            </w:r>
            <w:r>
              <w:rPr>
                <w:rFonts w:hint="eastAsia"/>
                <w:color w:val="auto"/>
                <w:sz w:val="24"/>
                <w:highlight w:val="none"/>
              </w:rPr>
              <w:t>三研究所</w:t>
            </w:r>
            <w:r>
              <w:rPr>
                <w:rFonts w:hint="eastAsia"/>
                <w:color w:val="auto"/>
                <w:sz w:val="24"/>
                <w:highlight w:val="none"/>
                <w:lang w:val="en-US" w:eastAsia="zh-CN"/>
              </w:rPr>
              <w:t>分析测试中心扩建</w:t>
            </w:r>
            <w:r>
              <w:rPr>
                <w:rFonts w:hint="eastAsia"/>
                <w:color w:val="auto"/>
                <w:sz w:val="24"/>
                <w:highlight w:val="none"/>
              </w:rPr>
              <w:t>项目；</w:t>
            </w:r>
          </w:p>
          <w:p w14:paraId="2A6876DE">
            <w:pPr>
              <w:adjustRightInd w:val="0"/>
              <w:snapToGrid w:val="0"/>
              <w:spacing w:line="360" w:lineRule="auto"/>
              <w:ind w:firstLine="480" w:firstLineChars="200"/>
              <w:rPr>
                <w:rFonts w:hint="default" w:eastAsia="宋体"/>
                <w:color w:val="auto"/>
                <w:sz w:val="24"/>
                <w:highlight w:val="none"/>
                <w:lang w:val="en-US" w:eastAsia="zh-CN"/>
              </w:rPr>
            </w:pPr>
            <w:r>
              <w:rPr>
                <w:rFonts w:hint="eastAsia"/>
                <w:color w:val="auto"/>
                <w:sz w:val="24"/>
                <w:highlight w:val="none"/>
              </w:rPr>
              <w:t>建设地点：本项目建设地点位于陕西省西咸新区沣东新城科源三路869号核工业二0三研究所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ascii="Times New Roman" w:hAnsi="Times New Roman" w:eastAsia="宋体" w:cs="Times New Roman"/>
                <w:color w:val="auto"/>
                <w:sz w:val="24"/>
                <w:szCs w:val="24"/>
                <w:highlight w:val="none"/>
                <w:lang w:val="en-US" w:eastAsia="zh-CN"/>
              </w:rPr>
              <w:t>项目北侧为中国兵器业第</w:t>
            </w:r>
            <w:r>
              <w:rPr>
                <w:rFonts w:hint="eastAsia"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五一基地西安试验方法与测试技术研究中心，东侧为空地，南侧为</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eastAsia"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A座，</w:t>
            </w:r>
            <w:r>
              <w:rPr>
                <w:rFonts w:hint="eastAsia"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A座南侧为</w:t>
            </w:r>
            <w:r>
              <w:rPr>
                <w:rFonts w:hint="eastAsia" w:cs="Times New Roman"/>
                <w:color w:val="auto"/>
                <w:sz w:val="24"/>
                <w:szCs w:val="24"/>
                <w:highlight w:val="none"/>
                <w:lang w:val="en-US" w:eastAsia="zh-CN"/>
              </w:rPr>
              <w:t>科源东路，隔路为</w:t>
            </w:r>
            <w:r>
              <w:rPr>
                <w:rFonts w:hint="eastAsia" w:ascii="Times New Roman" w:hAnsi="Times New Roman" w:eastAsia="宋体" w:cs="Times New Roman"/>
                <w:color w:val="auto"/>
                <w:sz w:val="24"/>
                <w:szCs w:val="24"/>
                <w:highlight w:val="none"/>
                <w:lang w:val="en-US" w:eastAsia="zh-CN"/>
              </w:rPr>
              <w:t>康鸿橙方科技园，西侧为</w:t>
            </w:r>
            <w:r>
              <w:rPr>
                <w:rFonts w:hint="default" w:ascii="Times New Roman" w:hAnsi="Times New Roman" w:eastAsia="宋体" w:cs="Times New Roman"/>
                <w:color w:val="auto"/>
                <w:sz w:val="24"/>
                <w:szCs w:val="24"/>
                <w:highlight w:val="none"/>
              </w:rPr>
              <w:t>核工业二</w:t>
            </w:r>
            <w:r>
              <w:rPr>
                <w:rFonts w:hint="eastAsia" w:cs="Times New Roman"/>
                <w:color w:val="auto"/>
                <w:sz w:val="24"/>
                <w:szCs w:val="24"/>
                <w:highlight w:val="none"/>
                <w:lang w:eastAsia="zh-CN"/>
              </w:rPr>
              <w:t>0</w:t>
            </w:r>
            <w:r>
              <w:rPr>
                <w:rFonts w:hint="default" w:ascii="Times New Roman" w:hAnsi="Times New Roman" w:eastAsia="宋体" w:cs="Times New Roman"/>
                <w:color w:val="auto"/>
                <w:sz w:val="24"/>
                <w:szCs w:val="24"/>
                <w:highlight w:val="none"/>
              </w:rPr>
              <w:t>三研究所</w:t>
            </w:r>
            <w:r>
              <w:rPr>
                <w:rFonts w:hint="eastAsia" w:ascii="Times New Roman" w:hAnsi="Times New Roman" w:eastAsia="宋体" w:cs="Times New Roman"/>
                <w:color w:val="auto"/>
                <w:sz w:val="24"/>
                <w:szCs w:val="24"/>
                <w:highlight w:val="none"/>
                <w:lang w:val="en-US" w:eastAsia="zh-CN"/>
              </w:rPr>
              <w:t>服务楼C座，服务楼西侧为科源三路</w:t>
            </w:r>
            <w:r>
              <w:rPr>
                <w:rFonts w:hint="eastAsia"/>
                <w:color w:val="auto"/>
                <w:sz w:val="24"/>
                <w:highlight w:val="none"/>
              </w:rPr>
              <w:t>。</w:t>
            </w:r>
            <w:r>
              <w:rPr>
                <w:rFonts w:hint="eastAsia"/>
                <w:color w:val="auto"/>
                <w:sz w:val="24"/>
                <w:highlight w:val="none"/>
                <w:lang w:val="en-US" w:eastAsia="zh-CN"/>
              </w:rPr>
              <w:t>项目地理位置见附图1，四邻关系见附图2；</w:t>
            </w:r>
          </w:p>
          <w:p w14:paraId="7665F657">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工程性质：</w:t>
            </w:r>
            <w:r>
              <w:rPr>
                <w:rFonts w:hint="eastAsia"/>
                <w:color w:val="auto"/>
                <w:sz w:val="24"/>
                <w:highlight w:val="none"/>
                <w:lang w:val="en-US" w:eastAsia="zh-CN"/>
              </w:rPr>
              <w:t>扩建</w:t>
            </w:r>
            <w:r>
              <w:rPr>
                <w:rFonts w:hint="eastAsia"/>
                <w:color w:val="auto"/>
                <w:sz w:val="24"/>
                <w:highlight w:val="none"/>
              </w:rPr>
              <w:t>；</w:t>
            </w:r>
          </w:p>
          <w:p w14:paraId="46A45B82">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行业类别：</w:t>
            </w:r>
            <w:r>
              <w:rPr>
                <w:rFonts w:hint="eastAsia"/>
                <w:color w:val="auto"/>
                <w:sz w:val="24"/>
                <w:highlight w:val="none"/>
                <w:lang w:val="en-US" w:eastAsia="zh-CN"/>
              </w:rPr>
              <w:t>环境与生态监测检测</w:t>
            </w:r>
            <w:r>
              <w:rPr>
                <w:rFonts w:hint="eastAsia"/>
                <w:color w:val="auto"/>
                <w:sz w:val="24"/>
                <w:highlight w:val="none"/>
              </w:rPr>
              <w:t>服务M74</w:t>
            </w:r>
            <w:r>
              <w:rPr>
                <w:rFonts w:hint="eastAsia"/>
                <w:color w:val="auto"/>
                <w:sz w:val="24"/>
                <w:highlight w:val="none"/>
                <w:lang w:val="en-US" w:eastAsia="zh-CN"/>
              </w:rPr>
              <w:t>6</w:t>
            </w:r>
            <w:r>
              <w:rPr>
                <w:rFonts w:hint="eastAsia"/>
                <w:color w:val="auto"/>
                <w:sz w:val="24"/>
                <w:highlight w:val="none"/>
              </w:rPr>
              <w:t>；</w:t>
            </w:r>
          </w:p>
          <w:p w14:paraId="3E028184">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投资总额：</w:t>
            </w:r>
            <w:r>
              <w:rPr>
                <w:rFonts w:hint="eastAsia"/>
                <w:color w:val="auto"/>
                <w:sz w:val="24"/>
                <w:highlight w:val="none"/>
                <w:lang w:val="en-US" w:eastAsia="zh-CN"/>
              </w:rPr>
              <w:t>总投资2000</w:t>
            </w:r>
            <w:r>
              <w:rPr>
                <w:rFonts w:hint="eastAsia"/>
                <w:color w:val="auto"/>
                <w:sz w:val="24"/>
                <w:highlight w:val="none"/>
              </w:rPr>
              <w:t>万元</w:t>
            </w:r>
            <w:r>
              <w:rPr>
                <w:rFonts w:hint="eastAsia"/>
                <w:color w:val="auto"/>
                <w:sz w:val="24"/>
                <w:highlight w:val="none"/>
                <w:lang w:eastAsia="zh-CN"/>
              </w:rPr>
              <w:t>，</w:t>
            </w:r>
            <w:r>
              <w:rPr>
                <w:rFonts w:hint="eastAsia"/>
                <w:color w:val="auto"/>
                <w:sz w:val="24"/>
                <w:szCs w:val="24"/>
                <w:highlight w:val="none"/>
                <w:lang w:val="en-US" w:eastAsia="zh-CN"/>
              </w:rPr>
              <w:t>全部为企业自筹</w:t>
            </w:r>
            <w:r>
              <w:rPr>
                <w:rFonts w:hint="eastAsia"/>
                <w:color w:val="auto"/>
                <w:sz w:val="24"/>
                <w:highlight w:val="none"/>
              </w:rPr>
              <w:t>；</w:t>
            </w:r>
          </w:p>
          <w:p w14:paraId="19C57130">
            <w:pPr>
              <w:adjustRightInd w:val="0"/>
              <w:snapToGrid w:val="0"/>
              <w:spacing w:line="360" w:lineRule="auto"/>
              <w:ind w:firstLine="480" w:firstLineChars="200"/>
              <w:rPr>
                <w:color w:val="auto"/>
                <w:sz w:val="24"/>
                <w:highlight w:val="none"/>
              </w:rPr>
            </w:pPr>
            <w:r>
              <w:rPr>
                <w:rFonts w:hint="eastAsia"/>
                <w:color w:val="auto"/>
                <w:sz w:val="24"/>
                <w:highlight w:val="none"/>
              </w:rPr>
              <w:t>占地面积：</w:t>
            </w:r>
            <w:r>
              <w:rPr>
                <w:rFonts w:hint="eastAsia"/>
                <w:color w:val="auto"/>
                <w:sz w:val="24"/>
                <w:highlight w:val="none"/>
                <w:lang w:val="en-US" w:eastAsia="zh-CN"/>
              </w:rPr>
              <w:t>项目位于</w:t>
            </w:r>
            <w:r>
              <w:rPr>
                <w:rFonts w:hint="eastAsia"/>
                <w:color w:val="auto"/>
                <w:sz w:val="24"/>
                <w:highlight w:val="none"/>
              </w:rPr>
              <w:t>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color w:val="auto"/>
                <w:sz w:val="24"/>
                <w:highlight w:val="none"/>
                <w:lang w:eastAsia="zh-CN"/>
              </w:rPr>
              <w:t>，</w:t>
            </w:r>
            <w:r>
              <w:rPr>
                <w:rFonts w:hint="eastAsia"/>
                <w:color w:val="auto"/>
                <w:sz w:val="24"/>
                <w:highlight w:val="none"/>
                <w:lang w:val="en-US" w:eastAsia="zh-CN"/>
              </w:rPr>
              <w:t>不新增占地</w:t>
            </w:r>
            <w:r>
              <w:rPr>
                <w:rFonts w:hint="eastAsia"/>
                <w:color w:val="auto"/>
                <w:sz w:val="24"/>
                <w:highlight w:val="none"/>
              </w:rPr>
              <w:t>。</w:t>
            </w:r>
          </w:p>
          <w:p w14:paraId="313F600D">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3.项目组成</w:t>
            </w:r>
          </w:p>
          <w:p w14:paraId="5ED7601B">
            <w:pPr>
              <w:adjustRightInd w:val="0"/>
              <w:snapToGrid w:val="0"/>
              <w:spacing w:line="360" w:lineRule="auto"/>
              <w:ind w:firstLine="480" w:firstLineChars="200"/>
              <w:rPr>
                <w:rFonts w:hint="eastAsia" w:eastAsia="宋体"/>
                <w:color w:val="auto"/>
                <w:sz w:val="24"/>
                <w:highlight w:val="none"/>
                <w:lang w:val="en-US" w:eastAsia="zh-CN"/>
              </w:rPr>
            </w:pPr>
            <w:r>
              <w:rPr>
                <w:color w:val="auto"/>
                <w:sz w:val="24"/>
                <w:highlight w:val="none"/>
              </w:rPr>
              <w:t>本项目</w:t>
            </w:r>
            <w:r>
              <w:rPr>
                <w:rFonts w:hint="eastAsia"/>
                <w:color w:val="auto"/>
                <w:sz w:val="24"/>
                <w:highlight w:val="none"/>
              </w:rPr>
              <w:t>为核工业二0三研究所分析测试中心扩建项目</w:t>
            </w:r>
            <w:r>
              <w:rPr>
                <w:rFonts w:hint="eastAsia"/>
                <w:color w:val="auto"/>
                <w:sz w:val="24"/>
                <w:highlight w:val="none"/>
                <w:lang w:eastAsia="zh-CN"/>
              </w:rPr>
              <w:t>，</w:t>
            </w:r>
            <w:r>
              <w:rPr>
                <w:rFonts w:hint="eastAsia"/>
                <w:color w:val="auto"/>
                <w:sz w:val="24"/>
                <w:highlight w:val="none"/>
                <w:lang w:val="en-US" w:eastAsia="zh-CN"/>
              </w:rPr>
              <w:t>于</w:t>
            </w:r>
            <w:r>
              <w:rPr>
                <w:rFonts w:hint="eastAsia"/>
                <w:color w:val="auto"/>
                <w:sz w:val="24"/>
                <w:highlight w:val="none"/>
              </w:rPr>
              <w:t>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color w:val="auto"/>
                <w:sz w:val="24"/>
                <w:highlight w:val="none"/>
                <w:lang w:val="en-US" w:eastAsia="zh-CN"/>
              </w:rPr>
              <w:t>内进行建设，</w:t>
            </w:r>
            <w:r>
              <w:rPr>
                <w:rFonts w:hint="eastAsia"/>
                <w:color w:val="auto"/>
                <w:sz w:val="24"/>
                <w:highlight w:val="none"/>
              </w:rPr>
              <w:t>在</w:t>
            </w:r>
            <w:r>
              <w:rPr>
                <w:rFonts w:hint="eastAsia"/>
                <w:color w:val="auto"/>
                <w:sz w:val="24"/>
                <w:highlight w:val="none"/>
                <w:lang w:val="en-US" w:eastAsia="zh-CN"/>
              </w:rPr>
              <w:t>现有构筑物</w:t>
            </w:r>
            <w:r>
              <w:rPr>
                <w:rFonts w:hint="eastAsia"/>
                <w:color w:val="auto"/>
                <w:sz w:val="24"/>
                <w:highlight w:val="none"/>
              </w:rPr>
              <w:t>内新增</w:t>
            </w:r>
            <w:r>
              <w:rPr>
                <w:rFonts w:hint="eastAsia"/>
                <w:color w:val="auto"/>
                <w:sz w:val="24"/>
                <w:highlight w:val="none"/>
                <w:lang w:val="en-US" w:eastAsia="zh-CN"/>
              </w:rPr>
              <w:t>实验设备及实验试剂，新增1套废气处理设施与相应设备的噪声治理措施，新增1座危废贮存库。实验室主要包括常量实验室、微量实验室、环境实验室、高温室、有机实验室等；实验室分析主要包括：水质常规理化检测、环境空气常规理化检测、废气常规理化检测、土壤常规理化检测、岩矿熔矿检测实验等。</w:t>
            </w:r>
            <w:r>
              <w:rPr>
                <w:rFonts w:hint="eastAsia"/>
                <w:color w:val="auto"/>
                <w:sz w:val="24"/>
                <w:highlight w:val="none"/>
              </w:rPr>
              <w:t>扩建</w:t>
            </w:r>
            <w:r>
              <w:rPr>
                <w:color w:val="auto"/>
                <w:sz w:val="24"/>
                <w:highlight w:val="none"/>
              </w:rPr>
              <w:t>工程组成及内容详见表</w:t>
            </w:r>
            <w:r>
              <w:rPr>
                <w:rFonts w:hint="eastAsia"/>
                <w:color w:val="auto"/>
                <w:sz w:val="24"/>
                <w:highlight w:val="none"/>
              </w:rPr>
              <w:t>2-1</w:t>
            </w:r>
            <w:r>
              <w:rPr>
                <w:rFonts w:hint="eastAsia"/>
                <w:color w:val="auto"/>
                <w:sz w:val="24"/>
                <w:highlight w:val="none"/>
                <w:lang w:eastAsia="zh-CN"/>
              </w:rPr>
              <w:t>。</w:t>
            </w:r>
          </w:p>
          <w:p w14:paraId="3AD60C11">
            <w:pPr>
              <w:adjustRightInd w:val="0"/>
              <w:snapToGrid w:val="0"/>
              <w:jc w:val="center"/>
              <w:rPr>
                <w:b/>
                <w:color w:val="auto"/>
                <w:sz w:val="24"/>
                <w:highlight w:val="none"/>
              </w:rPr>
            </w:pPr>
            <w:r>
              <w:rPr>
                <w:b/>
                <w:color w:val="auto"/>
                <w:szCs w:val="21"/>
                <w:highlight w:val="none"/>
              </w:rPr>
              <w:t>表2-1  项目</w:t>
            </w:r>
            <w:r>
              <w:rPr>
                <w:rFonts w:hint="eastAsia"/>
                <w:b/>
                <w:color w:val="auto"/>
                <w:szCs w:val="21"/>
                <w:highlight w:val="none"/>
                <w:lang w:val="en-US" w:eastAsia="zh-CN"/>
              </w:rPr>
              <w:t>扩建工程</w:t>
            </w:r>
            <w:r>
              <w:rPr>
                <w:b/>
                <w:color w:val="auto"/>
                <w:szCs w:val="21"/>
                <w:highlight w:val="none"/>
              </w:rPr>
              <w:t>建设内容一览表</w:t>
            </w:r>
          </w:p>
          <w:tbl>
            <w:tblPr>
              <w:tblStyle w:val="27"/>
              <w:tblW w:w="81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3"/>
              <w:gridCol w:w="346"/>
              <w:gridCol w:w="395"/>
              <w:gridCol w:w="2764"/>
              <w:gridCol w:w="2508"/>
              <w:gridCol w:w="1761"/>
            </w:tblGrid>
            <w:tr w14:paraId="694E1D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63" w:type="dxa"/>
                  <w:tcBorders>
                    <w:tl2br w:val="nil"/>
                    <w:tr2bl w:val="nil"/>
                  </w:tcBorders>
                  <w:noWrap w:val="0"/>
                  <w:vAlign w:val="center"/>
                </w:tcPr>
                <w:p w14:paraId="408FF6F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0"/>
                      <w:highlight w:val="none"/>
                    </w:rPr>
                  </w:pPr>
                  <w:r>
                    <w:rPr>
                      <w:rFonts w:hint="eastAsia"/>
                      <w:b/>
                      <w:color w:val="auto"/>
                      <w:spacing w:val="0"/>
                      <w:szCs w:val="21"/>
                      <w:highlight w:val="none"/>
                    </w:rPr>
                    <w:t>类别</w:t>
                  </w:r>
                </w:p>
              </w:tc>
              <w:tc>
                <w:tcPr>
                  <w:tcW w:w="741" w:type="dxa"/>
                  <w:gridSpan w:val="2"/>
                  <w:tcBorders>
                    <w:tl2br w:val="nil"/>
                    <w:tr2bl w:val="nil"/>
                  </w:tcBorders>
                  <w:noWrap w:val="0"/>
                  <w:vAlign w:val="center"/>
                </w:tcPr>
                <w:p w14:paraId="33FB51E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highlight w:val="none"/>
                    </w:rPr>
                  </w:pPr>
                  <w:r>
                    <w:rPr>
                      <w:rFonts w:hint="eastAsia"/>
                      <w:b/>
                      <w:color w:val="auto"/>
                      <w:spacing w:val="4"/>
                      <w:szCs w:val="21"/>
                      <w:highlight w:val="none"/>
                      <w:lang w:val="en-US" w:eastAsia="zh-CN"/>
                    </w:rPr>
                    <w:t>工程名称</w:t>
                  </w:r>
                </w:p>
              </w:tc>
              <w:tc>
                <w:tcPr>
                  <w:tcW w:w="2764" w:type="dxa"/>
                  <w:tcBorders>
                    <w:tl2br w:val="nil"/>
                    <w:tr2bl w:val="nil"/>
                  </w:tcBorders>
                  <w:noWrap w:val="0"/>
                  <w:vAlign w:val="center"/>
                </w:tcPr>
                <w:p w14:paraId="22DAC2B8">
                  <w:pPr>
                    <w:pStyle w:val="95"/>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eastAsia="宋体"/>
                      <w:color w:val="auto"/>
                      <w:highlight w:val="none"/>
                      <w:lang w:val="en-US" w:eastAsia="zh-CN"/>
                    </w:rPr>
                  </w:pPr>
                  <w:r>
                    <w:rPr>
                      <w:rFonts w:hint="eastAsia" w:ascii="Times New Roman" w:hAnsi="Times New Roman" w:cs="Times New Roman"/>
                      <w:b/>
                      <w:bCs/>
                      <w:color w:val="auto"/>
                      <w:sz w:val="21"/>
                      <w:szCs w:val="21"/>
                      <w:highlight w:val="none"/>
                      <w:lang w:val="en-US" w:eastAsia="zh-CN"/>
                    </w:rPr>
                    <w:t>现有工程内容</w:t>
                  </w:r>
                </w:p>
              </w:tc>
              <w:tc>
                <w:tcPr>
                  <w:tcW w:w="2508" w:type="dxa"/>
                  <w:tcBorders>
                    <w:tl2br w:val="nil"/>
                    <w:tr2bl w:val="nil"/>
                  </w:tcBorders>
                  <w:noWrap w:val="0"/>
                  <w:vAlign w:val="center"/>
                </w:tcPr>
                <w:p w14:paraId="2FEC02AF">
                  <w:pPr>
                    <w:pStyle w:val="95"/>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eastAsia="宋体"/>
                      <w:color w:val="auto"/>
                      <w:highlight w:val="none"/>
                      <w:lang w:val="en-US" w:eastAsia="zh-CN"/>
                    </w:rPr>
                  </w:pPr>
                  <w:r>
                    <w:rPr>
                      <w:rFonts w:hint="eastAsia" w:ascii="Times New Roman" w:hAnsi="Times New Roman" w:cs="Times New Roman"/>
                      <w:b/>
                      <w:bCs/>
                      <w:color w:val="auto"/>
                      <w:sz w:val="21"/>
                      <w:szCs w:val="21"/>
                      <w:highlight w:val="none"/>
                      <w:lang w:val="en-US" w:eastAsia="zh-CN"/>
                    </w:rPr>
                    <w:t>扩建工程内容</w:t>
                  </w:r>
                </w:p>
              </w:tc>
              <w:tc>
                <w:tcPr>
                  <w:tcW w:w="1761" w:type="dxa"/>
                  <w:tcBorders>
                    <w:tl2br w:val="nil"/>
                    <w:tr2bl w:val="nil"/>
                  </w:tcBorders>
                  <w:noWrap w:val="0"/>
                  <w:vAlign w:val="center"/>
                </w:tcPr>
                <w:p w14:paraId="20655D97">
                  <w:pPr>
                    <w:pStyle w:val="95"/>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color w:val="auto"/>
                      <w:highlight w:val="none"/>
                      <w:lang w:val="en-US" w:eastAsia="zh-CN"/>
                    </w:rPr>
                  </w:pPr>
                  <w:r>
                    <w:rPr>
                      <w:rFonts w:hint="eastAsia" w:ascii="Times New Roman" w:hAnsi="Times New Roman" w:eastAsia="宋体" w:cs="Times New Roman"/>
                      <w:b/>
                      <w:bCs/>
                      <w:color w:val="auto"/>
                      <w:sz w:val="21"/>
                      <w:szCs w:val="21"/>
                      <w:highlight w:val="none"/>
                      <w:lang w:val="en-US" w:eastAsia="zh-CN"/>
                    </w:rPr>
                    <w:t>备注</w:t>
                  </w:r>
                </w:p>
              </w:tc>
            </w:tr>
            <w:tr w14:paraId="545A24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63" w:type="dxa"/>
                  <w:vMerge w:val="restart"/>
                  <w:tcBorders>
                    <w:tl2br w:val="nil"/>
                    <w:tr2bl w:val="nil"/>
                  </w:tcBorders>
                  <w:noWrap w:val="0"/>
                  <w:vAlign w:val="center"/>
                </w:tcPr>
                <w:p w14:paraId="3033B9F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b/>
                      <w:color w:val="auto"/>
                      <w:spacing w:val="0"/>
                      <w:szCs w:val="21"/>
                      <w:highlight w:val="none"/>
                      <w:lang w:val="en-US" w:eastAsia="zh-CN"/>
                    </w:rPr>
                  </w:pPr>
                  <w:r>
                    <w:rPr>
                      <w:rFonts w:hint="eastAsia"/>
                      <w:b/>
                      <w:color w:val="auto"/>
                      <w:spacing w:val="0"/>
                      <w:szCs w:val="21"/>
                      <w:highlight w:val="none"/>
                      <w:lang w:val="en-US" w:eastAsia="zh-CN"/>
                    </w:rPr>
                    <w:t>主体工程</w:t>
                  </w:r>
                </w:p>
              </w:tc>
              <w:tc>
                <w:tcPr>
                  <w:tcW w:w="741" w:type="dxa"/>
                  <w:gridSpan w:val="2"/>
                  <w:vMerge w:val="restart"/>
                  <w:tcBorders>
                    <w:tl2br w:val="nil"/>
                    <w:tr2bl w:val="nil"/>
                  </w:tcBorders>
                  <w:noWrap w:val="0"/>
                  <w:vAlign w:val="center"/>
                </w:tcPr>
                <w:p w14:paraId="6C94543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r>
                    <w:rPr>
                      <w:rFonts w:hint="eastAsia"/>
                      <w:color w:val="auto"/>
                      <w:szCs w:val="21"/>
                      <w:highlight w:val="none"/>
                      <w:lang w:val="en-US" w:eastAsia="zh-CN"/>
                    </w:rPr>
                    <w:t>科技综合楼</w:t>
                  </w:r>
                  <w:r>
                    <w:rPr>
                      <w:rFonts w:hint="default"/>
                      <w:color w:val="auto"/>
                      <w:szCs w:val="21"/>
                      <w:highlight w:val="none"/>
                      <w:lang w:val="en-US" w:eastAsia="zh-CN"/>
                    </w:rPr>
                    <w:t>B座</w:t>
                  </w:r>
                </w:p>
              </w:tc>
              <w:tc>
                <w:tcPr>
                  <w:tcW w:w="2764" w:type="dxa"/>
                  <w:tcBorders>
                    <w:tl2br w:val="nil"/>
                    <w:tr2bl w:val="nil"/>
                  </w:tcBorders>
                  <w:noWrap w:val="0"/>
                  <w:vAlign w:val="center"/>
                </w:tcPr>
                <w:p w14:paraId="3CBE61F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highlight w:val="none"/>
                      <w:lang w:val="en-US" w:eastAsia="zh-CN"/>
                    </w:rPr>
                  </w:pPr>
                  <w:r>
                    <w:rPr>
                      <w:rFonts w:hint="eastAsia"/>
                      <w:color w:val="auto"/>
                      <w:highlight w:val="none"/>
                    </w:rPr>
                    <w:t>地上5层，地下1层，建筑高度22.40m</w:t>
                  </w:r>
                  <w:r>
                    <w:rPr>
                      <w:rFonts w:hint="eastAsia"/>
                      <w:color w:val="auto"/>
                      <w:highlight w:val="none"/>
                      <w:lang w:eastAsia="zh-CN"/>
                    </w:rPr>
                    <w:t>，</w:t>
                  </w:r>
                  <w:r>
                    <w:rPr>
                      <w:rFonts w:hint="eastAsia"/>
                      <w:color w:val="auto"/>
                      <w:highlight w:val="none"/>
                    </w:rPr>
                    <w:t>建筑面积5849m</w:t>
                  </w:r>
                  <w:r>
                    <w:rPr>
                      <w:rFonts w:hint="eastAsia"/>
                      <w:color w:val="auto"/>
                      <w:highlight w:val="none"/>
                      <w:vertAlign w:val="superscript"/>
                    </w:rPr>
                    <w:t>2</w:t>
                  </w:r>
                </w:p>
              </w:tc>
              <w:tc>
                <w:tcPr>
                  <w:tcW w:w="2508" w:type="dxa"/>
                  <w:tcBorders>
                    <w:tl2br w:val="nil"/>
                    <w:tr2bl w:val="nil"/>
                  </w:tcBorders>
                  <w:noWrap w:val="0"/>
                  <w:vAlign w:val="center"/>
                </w:tcPr>
                <w:p w14:paraId="1E5C4AA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于现有科技综合楼B座内仅新增设备、药剂等</w:t>
                  </w:r>
                </w:p>
              </w:tc>
              <w:tc>
                <w:tcPr>
                  <w:tcW w:w="1761" w:type="dxa"/>
                  <w:tcBorders>
                    <w:tl2br w:val="nil"/>
                    <w:tr2bl w:val="nil"/>
                  </w:tcBorders>
                  <w:noWrap w:val="0"/>
                  <w:vAlign w:val="center"/>
                </w:tcPr>
                <w:p w14:paraId="5685FF7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w:t>
                  </w:r>
                </w:p>
              </w:tc>
            </w:tr>
            <w:tr w14:paraId="04E675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363" w:type="dxa"/>
                  <w:vMerge w:val="continue"/>
                  <w:tcBorders>
                    <w:tl2br w:val="nil"/>
                    <w:tr2bl w:val="nil"/>
                  </w:tcBorders>
                  <w:noWrap w:val="0"/>
                  <w:vAlign w:val="center"/>
                </w:tcPr>
                <w:p w14:paraId="3E667E7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543233F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79B828F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eastAsia"/>
                      <w:color w:val="auto"/>
                      <w:highlight w:val="none"/>
                      <w:lang w:val="en-US" w:eastAsia="zh-CN"/>
                    </w:rPr>
                    <w:t>地下一层设置废水处理间（酸碱中和+混凝沉淀）、样品储存间，其余房间闲置</w:t>
                  </w:r>
                </w:p>
              </w:tc>
              <w:tc>
                <w:tcPr>
                  <w:tcW w:w="2508" w:type="dxa"/>
                  <w:tcBorders>
                    <w:tl2br w:val="nil"/>
                    <w:tr2bl w:val="nil"/>
                  </w:tcBorders>
                  <w:noWrap w:val="0"/>
                  <w:vAlign w:val="center"/>
                </w:tcPr>
                <w:p w14:paraId="1EABDC4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地下一层闲置房间设置碎样间</w:t>
                  </w:r>
                </w:p>
              </w:tc>
              <w:tc>
                <w:tcPr>
                  <w:tcW w:w="1761" w:type="dxa"/>
                  <w:tcBorders>
                    <w:tl2br w:val="nil"/>
                    <w:tr2bl w:val="nil"/>
                  </w:tcBorders>
                  <w:noWrap w:val="0"/>
                  <w:vAlign w:val="center"/>
                </w:tcPr>
                <w:p w14:paraId="5007F1A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新增碎样间</w:t>
                  </w:r>
                </w:p>
              </w:tc>
            </w:tr>
            <w:tr w14:paraId="1BB34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363" w:type="dxa"/>
                  <w:vMerge w:val="continue"/>
                  <w:tcBorders>
                    <w:tl2br w:val="nil"/>
                    <w:tr2bl w:val="nil"/>
                  </w:tcBorders>
                  <w:noWrap w:val="0"/>
                  <w:vAlign w:val="center"/>
                </w:tcPr>
                <w:p w14:paraId="33F06E2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33B4B27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1BF0F66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rPr>
                  </w:pPr>
                  <w:r>
                    <w:rPr>
                      <w:rFonts w:hint="eastAsia"/>
                      <w:color w:val="auto"/>
                      <w:highlight w:val="none"/>
                      <w:lang w:val="en-US" w:eastAsia="zh-CN"/>
                    </w:rPr>
                    <w:t>1F主要布置有办公室、资料室，其余房间闲置</w:t>
                  </w:r>
                </w:p>
              </w:tc>
              <w:tc>
                <w:tcPr>
                  <w:tcW w:w="2508" w:type="dxa"/>
                  <w:tcBorders>
                    <w:tl2br w:val="nil"/>
                    <w:tr2bl w:val="nil"/>
                  </w:tcBorders>
                  <w:noWrap w:val="0"/>
                  <w:vAlign w:val="center"/>
                </w:tcPr>
                <w:p w14:paraId="6989771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1F利用现有的有办公室、资料室及闲置房间布置岩矿鉴定室、工艺实验间、仪器室、气瓶间及岩矿岩芯库等，岩矿鉴定室、工艺实验间主要用于岩矿岩心性质观察等</w:t>
                  </w:r>
                </w:p>
              </w:tc>
              <w:tc>
                <w:tcPr>
                  <w:tcW w:w="1761" w:type="dxa"/>
                  <w:tcBorders>
                    <w:tl2br w:val="nil"/>
                    <w:tr2bl w:val="nil"/>
                  </w:tcBorders>
                  <w:noWrap w:val="0"/>
                  <w:vAlign w:val="center"/>
                </w:tcPr>
                <w:p w14:paraId="1F454F3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新增岩矿鉴定室、工艺实验间、仪器室、气瓶间、岩矿岩芯库</w:t>
                  </w:r>
                </w:p>
              </w:tc>
            </w:tr>
            <w:tr w14:paraId="4592F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vMerge w:val="continue"/>
                  <w:tcBorders>
                    <w:tl2br w:val="nil"/>
                    <w:tr2bl w:val="nil"/>
                  </w:tcBorders>
                  <w:noWrap w:val="0"/>
                  <w:vAlign w:val="center"/>
                </w:tcPr>
                <w:p w14:paraId="4C63CFD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0F38019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4B26EC89">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eastAsia"/>
                      <w:color w:val="auto"/>
                      <w:highlight w:val="none"/>
                      <w:lang w:val="en-US" w:eastAsia="zh-CN"/>
                    </w:rPr>
                    <w:t>2F主要布置有办公室、会议室、档案室</w:t>
                  </w:r>
                </w:p>
              </w:tc>
              <w:tc>
                <w:tcPr>
                  <w:tcW w:w="2508" w:type="dxa"/>
                  <w:tcBorders>
                    <w:tl2br w:val="nil"/>
                    <w:tr2bl w:val="nil"/>
                  </w:tcBorders>
                  <w:noWrap w:val="0"/>
                  <w:vAlign w:val="center"/>
                </w:tcPr>
                <w:p w14:paraId="7A7A6B5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2F办公室（2间）改造为仪器室、岩矿鉴定室</w:t>
                  </w:r>
                </w:p>
              </w:tc>
              <w:tc>
                <w:tcPr>
                  <w:tcW w:w="1761" w:type="dxa"/>
                  <w:tcBorders>
                    <w:tl2br w:val="nil"/>
                    <w:tr2bl w:val="nil"/>
                  </w:tcBorders>
                  <w:noWrap w:val="0"/>
                  <w:vAlign w:val="center"/>
                </w:tcPr>
                <w:p w14:paraId="1B26E58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新增仪器室、岩矿鉴定室</w:t>
                  </w:r>
                </w:p>
              </w:tc>
            </w:tr>
            <w:tr w14:paraId="64CEA0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0EF2378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52087A1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49479EC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eastAsia"/>
                      <w:color w:val="auto"/>
                      <w:highlight w:val="none"/>
                      <w:lang w:val="en-US" w:eastAsia="zh-CN"/>
                    </w:rPr>
                    <w:t>3F主要布置有储藏间，其余房间闲置</w:t>
                  </w:r>
                </w:p>
              </w:tc>
              <w:tc>
                <w:tcPr>
                  <w:tcW w:w="2508" w:type="dxa"/>
                  <w:tcBorders>
                    <w:tl2br w:val="nil"/>
                    <w:tr2bl w:val="nil"/>
                  </w:tcBorders>
                  <w:noWrap w:val="0"/>
                  <w:vAlign w:val="center"/>
                </w:tcPr>
                <w:p w14:paraId="459108E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3F闲置房间设置仪器室、</w:t>
                  </w:r>
                  <w:r>
                    <w:rPr>
                      <w:rFonts w:hint="eastAsia"/>
                      <w:color w:val="0000FF"/>
                      <w:highlight w:val="none"/>
                      <w:u w:val="none"/>
                      <w:lang w:val="en-US" w:eastAsia="zh-CN"/>
                    </w:rPr>
                    <w:t>ICP-AES</w:t>
                  </w:r>
                  <w:r>
                    <w:rPr>
                      <w:rFonts w:hint="eastAsia"/>
                      <w:color w:val="0000FF"/>
                      <w:highlight w:val="none"/>
                      <w:lang w:val="en-US" w:eastAsia="zh-CN"/>
                    </w:rPr>
                    <w:t>（电感耦合等离子体原子发射光谱仪）室、ICP-MS（电感耦合等离子体质谱仪）</w:t>
                  </w:r>
                  <w:r>
                    <w:rPr>
                      <w:rFonts w:hint="eastAsia"/>
                      <w:color w:val="auto"/>
                      <w:highlight w:val="none"/>
                      <w:lang w:val="en-US" w:eastAsia="zh-CN"/>
                    </w:rPr>
                    <w:t>室、微生物间</w:t>
                  </w:r>
                </w:p>
              </w:tc>
              <w:tc>
                <w:tcPr>
                  <w:tcW w:w="1761" w:type="dxa"/>
                  <w:tcBorders>
                    <w:tl2br w:val="nil"/>
                    <w:tr2bl w:val="nil"/>
                  </w:tcBorders>
                  <w:noWrap w:val="0"/>
                  <w:vAlign w:val="center"/>
                </w:tcPr>
                <w:p w14:paraId="22F46AA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新增仪器室、</w:t>
                  </w:r>
                  <w:r>
                    <w:rPr>
                      <w:rFonts w:hint="eastAsia"/>
                      <w:color w:val="auto"/>
                      <w:highlight w:val="none"/>
                      <w:u w:val="none"/>
                      <w:lang w:val="en-US" w:eastAsia="zh-CN"/>
                    </w:rPr>
                    <w:t>ICP-AES</w:t>
                  </w:r>
                  <w:r>
                    <w:rPr>
                      <w:rFonts w:hint="eastAsia"/>
                      <w:color w:val="auto"/>
                      <w:highlight w:val="none"/>
                      <w:lang w:val="en-US" w:eastAsia="zh-CN"/>
                    </w:rPr>
                    <w:t>室、ICP-MS室、微生物间</w:t>
                  </w:r>
                </w:p>
              </w:tc>
            </w:tr>
            <w:tr w14:paraId="486330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63" w:type="dxa"/>
                  <w:vMerge w:val="continue"/>
                  <w:tcBorders>
                    <w:tl2br w:val="nil"/>
                    <w:tr2bl w:val="nil"/>
                  </w:tcBorders>
                  <w:noWrap w:val="0"/>
                  <w:vAlign w:val="center"/>
                </w:tcPr>
                <w:p w14:paraId="50A9B41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0D8062B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7DE172B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rPr>
                  </w:pPr>
                  <w:r>
                    <w:rPr>
                      <w:rFonts w:hint="eastAsia"/>
                      <w:color w:val="auto"/>
                      <w:highlight w:val="none"/>
                      <w:lang w:val="en-US" w:eastAsia="zh-CN"/>
                    </w:rPr>
                    <w:t>4F布置有试剂间，其余房间闲置</w:t>
                  </w:r>
                </w:p>
              </w:tc>
              <w:tc>
                <w:tcPr>
                  <w:tcW w:w="2508" w:type="dxa"/>
                  <w:tcBorders>
                    <w:tl2br w:val="nil"/>
                    <w:tr2bl w:val="nil"/>
                  </w:tcBorders>
                  <w:noWrap w:val="0"/>
                  <w:vAlign w:val="center"/>
                </w:tcPr>
                <w:p w14:paraId="0A8DA5C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4F闲置房间设置仪器室、样品前处理间、发射光谱仪、原子荧光室、液相/凝胶色谱、同位素质谱、GC/GC-MS室、原子吸收室等</w:t>
                  </w:r>
                </w:p>
              </w:tc>
              <w:tc>
                <w:tcPr>
                  <w:tcW w:w="1761" w:type="dxa"/>
                  <w:tcBorders>
                    <w:tl2br w:val="nil"/>
                    <w:tr2bl w:val="nil"/>
                  </w:tcBorders>
                  <w:noWrap w:val="0"/>
                  <w:vAlign w:val="center"/>
                </w:tcPr>
                <w:p w14:paraId="13AE982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新增仪器室、样品前处理间、发射光谱仪、原子荧光室、液相/凝胶色谱、同位素质谱、GC/GC-MS室、原子吸收室等</w:t>
                  </w:r>
                </w:p>
              </w:tc>
            </w:tr>
            <w:tr w14:paraId="6BD9A2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vMerge w:val="continue"/>
                  <w:tcBorders>
                    <w:tl2br w:val="nil"/>
                    <w:tr2bl w:val="nil"/>
                  </w:tcBorders>
                  <w:noWrap w:val="0"/>
                  <w:vAlign w:val="center"/>
                </w:tcPr>
                <w:p w14:paraId="0436C84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vMerge w:val="continue"/>
                  <w:tcBorders>
                    <w:tl2br w:val="nil"/>
                    <w:tr2bl w:val="nil"/>
                  </w:tcBorders>
                  <w:noWrap w:val="0"/>
                  <w:vAlign w:val="center"/>
                </w:tcPr>
                <w:p w14:paraId="43076D3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zCs w:val="21"/>
                      <w:highlight w:val="none"/>
                      <w:lang w:val="en-US" w:eastAsia="zh-CN"/>
                    </w:rPr>
                  </w:pPr>
                </w:p>
              </w:tc>
              <w:tc>
                <w:tcPr>
                  <w:tcW w:w="2764" w:type="dxa"/>
                  <w:tcBorders>
                    <w:tl2br w:val="nil"/>
                    <w:tr2bl w:val="nil"/>
                  </w:tcBorders>
                  <w:noWrap w:val="0"/>
                  <w:vAlign w:val="center"/>
                </w:tcPr>
                <w:p w14:paraId="478788D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eastAsia"/>
                      <w:color w:val="auto"/>
                      <w:highlight w:val="none"/>
                      <w:lang w:val="en-US" w:eastAsia="zh-CN"/>
                    </w:rPr>
                    <w:t>5F布置有化学间1（无机实验室）、化学间2（无机实验室）、有机实验室1、样品储存间及标准物质间、制水间、天平间，其余闲置</w:t>
                  </w:r>
                </w:p>
              </w:tc>
              <w:tc>
                <w:tcPr>
                  <w:tcW w:w="2508" w:type="dxa"/>
                  <w:tcBorders>
                    <w:tl2br w:val="nil"/>
                    <w:tr2bl w:val="nil"/>
                  </w:tcBorders>
                  <w:noWrap w:val="0"/>
                  <w:vAlign w:val="center"/>
                </w:tcPr>
                <w:p w14:paraId="1B97B20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5F闲置房间设置有机实验室2、化学间（无机实验室）、马弗炉间、危废贮存库，同时在现有制水间内新增一台纯水机</w:t>
                  </w:r>
                </w:p>
              </w:tc>
              <w:tc>
                <w:tcPr>
                  <w:tcW w:w="1761" w:type="dxa"/>
                  <w:tcBorders>
                    <w:tl2br w:val="nil"/>
                    <w:tr2bl w:val="nil"/>
                  </w:tcBorders>
                  <w:noWrap w:val="0"/>
                  <w:vAlign w:val="center"/>
                </w:tcPr>
                <w:p w14:paraId="5E8A3B4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新增有机实验室2、化学间、马弗炉间、危废贮存库及一台纯水机</w:t>
                  </w:r>
                </w:p>
              </w:tc>
            </w:tr>
            <w:tr w14:paraId="4DCA5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vMerge w:val="restart"/>
                  <w:tcBorders>
                    <w:tl2br w:val="nil"/>
                    <w:tr2bl w:val="nil"/>
                  </w:tcBorders>
                  <w:noWrap w:val="0"/>
                  <w:vAlign w:val="center"/>
                </w:tcPr>
                <w:p w14:paraId="2EE58E3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b/>
                      <w:color w:val="auto"/>
                      <w:spacing w:val="0"/>
                      <w:szCs w:val="21"/>
                      <w:highlight w:val="none"/>
                      <w:lang w:val="en-US" w:eastAsia="zh-CN"/>
                    </w:rPr>
                  </w:pPr>
                  <w:r>
                    <w:rPr>
                      <w:rFonts w:hint="eastAsia"/>
                      <w:b/>
                      <w:color w:val="auto"/>
                      <w:spacing w:val="0"/>
                      <w:szCs w:val="21"/>
                      <w:highlight w:val="none"/>
                      <w:lang w:val="en-US" w:eastAsia="zh-CN"/>
                    </w:rPr>
                    <w:t>辅助工程</w:t>
                  </w:r>
                </w:p>
              </w:tc>
              <w:tc>
                <w:tcPr>
                  <w:tcW w:w="741" w:type="dxa"/>
                  <w:gridSpan w:val="2"/>
                  <w:tcBorders>
                    <w:tl2br w:val="nil"/>
                    <w:tr2bl w:val="nil"/>
                  </w:tcBorders>
                  <w:shd w:val="clear" w:color="auto" w:fill="auto"/>
                  <w:noWrap w:val="0"/>
                  <w:vAlign w:val="center"/>
                </w:tcPr>
                <w:p w14:paraId="52857EC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lang w:val="en-US" w:eastAsia="zh-CN"/>
                    </w:rPr>
                    <w:t>所</w:t>
                  </w:r>
                  <w:r>
                    <w:rPr>
                      <w:rFonts w:hint="eastAsia"/>
                      <w:color w:val="auto"/>
                      <w:szCs w:val="21"/>
                      <w:highlight w:val="none"/>
                      <w:lang w:val="en-US" w:eastAsia="zh-CN"/>
                    </w:rPr>
                    <w:t>科技综合楼A</w:t>
                  </w:r>
                  <w:r>
                    <w:rPr>
                      <w:rFonts w:hint="default"/>
                      <w:color w:val="auto"/>
                      <w:szCs w:val="21"/>
                      <w:highlight w:val="none"/>
                      <w:lang w:val="en-US" w:eastAsia="zh-CN"/>
                    </w:rPr>
                    <w:t>座</w:t>
                  </w:r>
                </w:p>
              </w:tc>
              <w:tc>
                <w:tcPr>
                  <w:tcW w:w="2764" w:type="dxa"/>
                  <w:tcBorders>
                    <w:tl2br w:val="nil"/>
                    <w:tr2bl w:val="nil"/>
                  </w:tcBorders>
                  <w:shd w:val="clear" w:color="auto" w:fill="auto"/>
                  <w:noWrap w:val="0"/>
                  <w:vAlign w:val="center"/>
                </w:tcPr>
                <w:p w14:paraId="0188C5F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科技综合楼A座地上15层，地下1层，总高62.4m；主要布设办公室</w:t>
                  </w:r>
                  <w:r>
                    <w:rPr>
                      <w:rFonts w:hint="eastAsia"/>
                      <w:color w:val="auto"/>
                      <w:highlight w:val="none"/>
                      <w:lang w:eastAsia="zh-CN"/>
                    </w:rPr>
                    <w:t>、</w:t>
                  </w:r>
                  <w:r>
                    <w:rPr>
                      <w:rFonts w:hint="eastAsia"/>
                      <w:color w:val="auto"/>
                      <w:highlight w:val="none"/>
                    </w:rPr>
                    <w:t>会议室等</w:t>
                  </w:r>
                </w:p>
              </w:tc>
              <w:tc>
                <w:tcPr>
                  <w:tcW w:w="2508" w:type="dxa"/>
                  <w:tcBorders>
                    <w:tl2br w:val="nil"/>
                    <w:tr2bl w:val="nil"/>
                  </w:tcBorders>
                  <w:shd w:val="clear" w:color="auto" w:fill="auto"/>
                  <w:noWrap w:val="0"/>
                  <w:vAlign w:val="center"/>
                </w:tcPr>
                <w:p w14:paraId="6DC4C75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w:t>
                  </w:r>
                </w:p>
              </w:tc>
              <w:tc>
                <w:tcPr>
                  <w:tcW w:w="1761" w:type="dxa"/>
                  <w:tcBorders>
                    <w:tl2br w:val="nil"/>
                    <w:tr2bl w:val="nil"/>
                  </w:tcBorders>
                  <w:noWrap w:val="0"/>
                  <w:vAlign w:val="center"/>
                </w:tcPr>
                <w:p w14:paraId="4B81D29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依托现有</w:t>
                  </w:r>
                  <w:r>
                    <w:rPr>
                      <w:rFonts w:hint="eastAsia"/>
                      <w:color w:val="auto"/>
                      <w:highlight w:val="none"/>
                    </w:rPr>
                    <w:t>办公室</w:t>
                  </w:r>
                  <w:r>
                    <w:rPr>
                      <w:rFonts w:hint="eastAsia"/>
                      <w:color w:val="auto"/>
                      <w:highlight w:val="none"/>
                      <w:lang w:eastAsia="zh-CN"/>
                    </w:rPr>
                    <w:t>、</w:t>
                  </w:r>
                  <w:r>
                    <w:rPr>
                      <w:rFonts w:hint="eastAsia"/>
                      <w:color w:val="auto"/>
                      <w:highlight w:val="none"/>
                    </w:rPr>
                    <w:t>会议室</w:t>
                  </w:r>
                </w:p>
              </w:tc>
            </w:tr>
            <w:tr w14:paraId="224D5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363" w:type="dxa"/>
                  <w:vMerge w:val="continue"/>
                  <w:tcBorders>
                    <w:tl2br w:val="nil"/>
                    <w:tr2bl w:val="nil"/>
                  </w:tcBorders>
                  <w:noWrap w:val="0"/>
                  <w:vAlign w:val="center"/>
                </w:tcPr>
                <w:p w14:paraId="44936C8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b/>
                      <w:color w:val="auto"/>
                      <w:spacing w:val="0"/>
                      <w:szCs w:val="21"/>
                      <w:highlight w:val="none"/>
                      <w:lang w:val="en-US" w:eastAsia="zh-CN"/>
                    </w:rPr>
                  </w:pPr>
                </w:p>
              </w:tc>
              <w:tc>
                <w:tcPr>
                  <w:tcW w:w="741" w:type="dxa"/>
                  <w:gridSpan w:val="2"/>
                  <w:tcBorders>
                    <w:tl2br w:val="nil"/>
                    <w:tr2bl w:val="nil"/>
                  </w:tcBorders>
                  <w:shd w:val="clear" w:color="auto" w:fill="auto"/>
                  <w:noWrap w:val="0"/>
                  <w:vAlign w:val="center"/>
                </w:tcPr>
                <w:p w14:paraId="00C0501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服务楼C座</w:t>
                  </w:r>
                </w:p>
              </w:tc>
              <w:tc>
                <w:tcPr>
                  <w:tcW w:w="2764" w:type="dxa"/>
                  <w:tcBorders>
                    <w:tl2br w:val="nil"/>
                    <w:tr2bl w:val="nil"/>
                  </w:tcBorders>
                  <w:shd w:val="clear" w:color="auto" w:fill="auto"/>
                  <w:noWrap w:val="0"/>
                  <w:vAlign w:val="center"/>
                </w:tcPr>
                <w:p w14:paraId="147A87B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1座，建筑面积5704m</w:t>
                  </w:r>
                  <w:r>
                    <w:rPr>
                      <w:rFonts w:hint="eastAsia"/>
                      <w:color w:val="auto"/>
                      <w:highlight w:val="none"/>
                      <w:vertAlign w:val="superscript"/>
                    </w:rPr>
                    <w:t>2</w:t>
                  </w:r>
                  <w:r>
                    <w:rPr>
                      <w:rFonts w:hint="eastAsia"/>
                      <w:color w:val="auto"/>
                      <w:highlight w:val="none"/>
                    </w:rPr>
                    <w:t>，5层，建筑高度22.35m，其中：1楼布设食堂，2楼布设自助餐厅，包间，职工活动中心，3-5层为职工宿舍</w:t>
                  </w:r>
                </w:p>
              </w:tc>
              <w:tc>
                <w:tcPr>
                  <w:tcW w:w="2508" w:type="dxa"/>
                  <w:tcBorders>
                    <w:tl2br w:val="nil"/>
                    <w:tr2bl w:val="nil"/>
                  </w:tcBorders>
                  <w:shd w:val="clear" w:color="auto" w:fill="auto"/>
                  <w:noWrap w:val="0"/>
                  <w:vAlign w:val="center"/>
                </w:tcPr>
                <w:p w14:paraId="7908DB3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w:t>
                  </w:r>
                </w:p>
              </w:tc>
              <w:tc>
                <w:tcPr>
                  <w:tcW w:w="1761" w:type="dxa"/>
                  <w:tcBorders>
                    <w:tl2br w:val="nil"/>
                    <w:tr2bl w:val="nil"/>
                  </w:tcBorders>
                  <w:noWrap w:val="0"/>
                  <w:vAlign w:val="center"/>
                </w:tcPr>
                <w:p w14:paraId="5F87802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本项目不新增员工，现有员工进行调整，依托现有宿舍及食堂</w:t>
                  </w:r>
                </w:p>
              </w:tc>
            </w:tr>
            <w:tr w14:paraId="3EA0F6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restart"/>
                  <w:tcBorders>
                    <w:tl2br w:val="nil"/>
                    <w:tr2bl w:val="nil"/>
                  </w:tcBorders>
                  <w:noWrap w:val="0"/>
                  <w:vAlign w:val="center"/>
                </w:tcPr>
                <w:p w14:paraId="526A05E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b/>
                      <w:color w:val="auto"/>
                      <w:spacing w:val="0"/>
                      <w:szCs w:val="21"/>
                      <w:highlight w:val="none"/>
                      <w:lang w:val="en-US" w:eastAsia="zh-CN"/>
                    </w:rPr>
                  </w:pPr>
                  <w:r>
                    <w:rPr>
                      <w:rFonts w:hint="eastAsia"/>
                      <w:b/>
                      <w:color w:val="auto"/>
                      <w:spacing w:val="0"/>
                      <w:szCs w:val="21"/>
                      <w:highlight w:val="none"/>
                      <w:lang w:val="en-US" w:eastAsia="zh-CN"/>
                    </w:rPr>
                    <w:t>公用工程</w:t>
                  </w:r>
                </w:p>
              </w:tc>
              <w:tc>
                <w:tcPr>
                  <w:tcW w:w="741" w:type="dxa"/>
                  <w:gridSpan w:val="2"/>
                  <w:tcBorders>
                    <w:tl2br w:val="nil"/>
                    <w:tr2bl w:val="nil"/>
                  </w:tcBorders>
                  <w:noWrap w:val="0"/>
                  <w:vAlign w:val="center"/>
                </w:tcPr>
                <w:p w14:paraId="5A4BF51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6"/>
                      <w:szCs w:val="21"/>
                      <w:highlight w:val="none"/>
                    </w:rPr>
                  </w:pPr>
                  <w:r>
                    <w:rPr>
                      <w:rFonts w:hint="eastAsia"/>
                      <w:color w:val="auto"/>
                      <w:spacing w:val="-6"/>
                      <w:szCs w:val="21"/>
                      <w:highlight w:val="none"/>
                    </w:rPr>
                    <w:t>给水系统</w:t>
                  </w:r>
                </w:p>
              </w:tc>
              <w:tc>
                <w:tcPr>
                  <w:tcW w:w="2764" w:type="dxa"/>
                  <w:tcBorders>
                    <w:tl2br w:val="nil"/>
                    <w:tr2bl w:val="nil"/>
                  </w:tcBorders>
                  <w:noWrap w:val="0"/>
                  <w:vAlign w:val="center"/>
                </w:tcPr>
                <w:p w14:paraId="54355BB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4"/>
                      <w:szCs w:val="21"/>
                      <w:highlight w:val="none"/>
                    </w:rPr>
                  </w:pPr>
                  <w:r>
                    <w:rPr>
                      <w:rFonts w:hint="eastAsia"/>
                      <w:color w:val="auto"/>
                      <w:spacing w:val="4"/>
                      <w:szCs w:val="21"/>
                      <w:highlight w:val="none"/>
                      <w:lang w:val="en-US" w:eastAsia="zh-CN"/>
                    </w:rPr>
                    <w:t>采用市政供水系统</w:t>
                  </w:r>
                </w:p>
              </w:tc>
              <w:tc>
                <w:tcPr>
                  <w:tcW w:w="2508" w:type="dxa"/>
                  <w:tcBorders>
                    <w:tl2br w:val="nil"/>
                    <w:tr2bl w:val="nil"/>
                  </w:tcBorders>
                  <w:noWrap w:val="0"/>
                  <w:vAlign w:val="center"/>
                </w:tcPr>
                <w:p w14:paraId="41A31FC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spacing w:val="4"/>
                      <w:szCs w:val="21"/>
                      <w:highlight w:val="none"/>
                      <w:lang w:val="en-US" w:eastAsia="zh-CN"/>
                    </w:rPr>
                    <w:t>/</w:t>
                  </w:r>
                </w:p>
              </w:tc>
              <w:tc>
                <w:tcPr>
                  <w:tcW w:w="1761" w:type="dxa"/>
                  <w:tcBorders>
                    <w:tl2br w:val="nil"/>
                    <w:tr2bl w:val="nil"/>
                  </w:tcBorders>
                  <w:noWrap w:val="0"/>
                  <w:vAlign w:val="center"/>
                </w:tcPr>
                <w:p w14:paraId="03DFEA0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color w:val="auto"/>
                      <w:spacing w:val="4"/>
                      <w:szCs w:val="21"/>
                      <w:highlight w:val="none"/>
                      <w:lang w:val="en-US" w:eastAsia="zh-CN"/>
                    </w:rPr>
                    <w:t>依托现有市政供水管网</w:t>
                  </w:r>
                </w:p>
              </w:tc>
            </w:tr>
            <w:tr w14:paraId="7B7540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363" w:type="dxa"/>
                  <w:vMerge w:val="continue"/>
                  <w:tcBorders>
                    <w:tl2br w:val="nil"/>
                    <w:tr2bl w:val="nil"/>
                  </w:tcBorders>
                  <w:noWrap w:val="0"/>
                  <w:vAlign w:val="center"/>
                </w:tcPr>
                <w:p w14:paraId="55AE5BCA">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tcBorders>
                    <w:tl2br w:val="nil"/>
                    <w:tr2bl w:val="nil"/>
                  </w:tcBorders>
                  <w:noWrap w:val="0"/>
                  <w:vAlign w:val="center"/>
                </w:tcPr>
                <w:p w14:paraId="3AE4EE1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pacing w:val="-6"/>
                      <w:szCs w:val="21"/>
                      <w:highlight w:val="none"/>
                      <w:lang w:val="en-US" w:eastAsia="zh-CN"/>
                    </w:rPr>
                  </w:pPr>
                  <w:r>
                    <w:rPr>
                      <w:color w:val="auto"/>
                      <w:spacing w:val="-6"/>
                      <w:szCs w:val="21"/>
                      <w:highlight w:val="none"/>
                    </w:rPr>
                    <w:t>排水</w:t>
                  </w:r>
                  <w:r>
                    <w:rPr>
                      <w:rFonts w:hint="eastAsia"/>
                      <w:color w:val="auto"/>
                      <w:spacing w:val="-6"/>
                      <w:szCs w:val="21"/>
                      <w:highlight w:val="none"/>
                      <w:lang w:val="en-US" w:eastAsia="zh-CN"/>
                    </w:rPr>
                    <w:t>系统</w:t>
                  </w:r>
                </w:p>
              </w:tc>
              <w:tc>
                <w:tcPr>
                  <w:tcW w:w="2764" w:type="dxa"/>
                  <w:tcBorders>
                    <w:tl2br w:val="nil"/>
                    <w:tr2bl w:val="nil"/>
                  </w:tcBorders>
                  <w:noWrap w:val="0"/>
                  <w:vAlign w:val="center"/>
                </w:tcPr>
                <w:p w14:paraId="0A4F1C9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4"/>
                      <w:szCs w:val="21"/>
                      <w:highlight w:val="none"/>
                    </w:rPr>
                  </w:pPr>
                  <w:r>
                    <w:rPr>
                      <w:rFonts w:hint="eastAsia"/>
                      <w:color w:val="auto"/>
                      <w:spacing w:val="4"/>
                      <w:szCs w:val="21"/>
                      <w:highlight w:val="none"/>
                      <w:lang w:val="en-US" w:eastAsia="zh-CN"/>
                    </w:rPr>
                    <w:t>实行雨污分流，实验废水经酸碱中和+混凝沉淀预处理，食堂废水经隔油池处理后与生活污水及预处理后的实验废水一并进入化粪池处理，通过污水管网收集后排至沣东南污水处理厂</w:t>
                  </w:r>
                </w:p>
              </w:tc>
              <w:tc>
                <w:tcPr>
                  <w:tcW w:w="2508" w:type="dxa"/>
                  <w:tcBorders>
                    <w:tl2br w:val="nil"/>
                    <w:tr2bl w:val="nil"/>
                  </w:tcBorders>
                  <w:noWrap w:val="0"/>
                  <w:vAlign w:val="center"/>
                </w:tcPr>
                <w:p w14:paraId="14F94AA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color w:val="auto"/>
                      <w:spacing w:val="4"/>
                      <w:szCs w:val="21"/>
                      <w:highlight w:val="none"/>
                      <w:lang w:val="en-US" w:eastAsia="zh-CN"/>
                    </w:rPr>
                    <w:t>本项目不新增员工，</w:t>
                  </w:r>
                  <w:r>
                    <w:rPr>
                      <w:rFonts w:hint="eastAsia" w:ascii="Times New Roman" w:hAnsi="Times New Roman" w:cs="Times New Roman"/>
                      <w:color w:val="auto"/>
                      <w:sz w:val="21"/>
                      <w:szCs w:val="21"/>
                      <w:highlight w:val="none"/>
                      <w:lang w:val="en-US" w:eastAsia="zh-CN"/>
                    </w:rPr>
                    <w:t>不新增生活污水；新增</w:t>
                  </w:r>
                  <w:r>
                    <w:rPr>
                      <w:rFonts w:hint="eastAsia"/>
                      <w:color w:val="auto"/>
                      <w:spacing w:val="4"/>
                      <w:szCs w:val="21"/>
                      <w:highlight w:val="none"/>
                      <w:lang w:val="en-US" w:eastAsia="zh-CN"/>
                    </w:rPr>
                    <w:t>实验废水依托现有“酸碱中和+混凝沉淀”处理系统预处理后，与生活污水一并排入现有化粪池，最终排至沣东南污水处理厂</w:t>
                  </w:r>
                </w:p>
              </w:tc>
              <w:tc>
                <w:tcPr>
                  <w:tcW w:w="1761" w:type="dxa"/>
                  <w:tcBorders>
                    <w:tl2br w:val="nil"/>
                    <w:tr2bl w:val="nil"/>
                  </w:tcBorders>
                  <w:noWrap w:val="0"/>
                  <w:vAlign w:val="center"/>
                </w:tcPr>
                <w:p w14:paraId="59717D6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ascii="Times New Roman" w:hAnsi="Times New Roman" w:cs="Times New Roman"/>
                      <w:color w:val="auto"/>
                      <w:sz w:val="21"/>
                      <w:szCs w:val="21"/>
                      <w:highlight w:val="none"/>
                      <w:lang w:val="en-US" w:eastAsia="zh-CN"/>
                    </w:rPr>
                    <w:t>不新增生活污水；新增</w:t>
                  </w:r>
                  <w:r>
                    <w:rPr>
                      <w:rFonts w:hint="eastAsia"/>
                      <w:color w:val="auto"/>
                      <w:spacing w:val="4"/>
                      <w:szCs w:val="21"/>
                      <w:highlight w:val="none"/>
                      <w:lang w:val="en-US" w:eastAsia="zh-CN"/>
                    </w:rPr>
                    <w:t>实验废水依托现有废水处理系统</w:t>
                  </w:r>
                </w:p>
              </w:tc>
            </w:tr>
            <w:tr w14:paraId="68169A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0179F78A">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tcBorders>
                    <w:tl2br w:val="nil"/>
                    <w:tr2bl w:val="nil"/>
                  </w:tcBorders>
                  <w:noWrap w:val="0"/>
                  <w:vAlign w:val="center"/>
                </w:tcPr>
                <w:p w14:paraId="0747F76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pacing w:val="-6"/>
                      <w:szCs w:val="21"/>
                      <w:highlight w:val="none"/>
                      <w:lang w:val="en-US" w:eastAsia="zh-CN"/>
                    </w:rPr>
                  </w:pPr>
                  <w:r>
                    <w:rPr>
                      <w:color w:val="auto"/>
                      <w:spacing w:val="-6"/>
                      <w:szCs w:val="21"/>
                      <w:highlight w:val="none"/>
                    </w:rPr>
                    <w:t>供电</w:t>
                  </w:r>
                  <w:r>
                    <w:rPr>
                      <w:rFonts w:hint="eastAsia"/>
                      <w:color w:val="auto"/>
                      <w:spacing w:val="-6"/>
                      <w:szCs w:val="21"/>
                      <w:highlight w:val="none"/>
                      <w:lang w:val="en-US" w:eastAsia="zh-CN"/>
                    </w:rPr>
                    <w:t>系统</w:t>
                  </w:r>
                </w:p>
              </w:tc>
              <w:tc>
                <w:tcPr>
                  <w:tcW w:w="2764" w:type="dxa"/>
                  <w:tcBorders>
                    <w:tl2br w:val="nil"/>
                    <w:tr2bl w:val="nil"/>
                  </w:tcBorders>
                  <w:noWrap w:val="0"/>
                  <w:vAlign w:val="center"/>
                </w:tcPr>
                <w:p w14:paraId="0A18C0E1">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4"/>
                      <w:szCs w:val="21"/>
                      <w:highlight w:val="none"/>
                    </w:rPr>
                  </w:pPr>
                  <w:r>
                    <w:rPr>
                      <w:rFonts w:hint="default" w:ascii="Times New Roman" w:hAnsi="Times New Roman" w:eastAsia="宋体" w:cs="Times New Roman"/>
                      <w:color w:val="auto"/>
                      <w:sz w:val="21"/>
                      <w:szCs w:val="21"/>
                      <w:highlight w:val="none"/>
                      <w:lang w:val="en-US" w:eastAsia="zh-CN"/>
                    </w:rPr>
                    <w:t>项目供电电源来自城市电网</w:t>
                  </w:r>
                </w:p>
              </w:tc>
              <w:tc>
                <w:tcPr>
                  <w:tcW w:w="2508" w:type="dxa"/>
                  <w:tcBorders>
                    <w:tl2br w:val="nil"/>
                    <w:tr2bl w:val="nil"/>
                  </w:tcBorders>
                  <w:noWrap w:val="0"/>
                  <w:vAlign w:val="center"/>
                </w:tcPr>
                <w:p w14:paraId="2940791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color w:val="auto"/>
                      <w:spacing w:val="4"/>
                      <w:szCs w:val="21"/>
                      <w:highlight w:val="none"/>
                      <w:lang w:val="en-US" w:eastAsia="zh-CN"/>
                    </w:rPr>
                    <w:t>/</w:t>
                  </w:r>
                </w:p>
              </w:tc>
              <w:tc>
                <w:tcPr>
                  <w:tcW w:w="1761" w:type="dxa"/>
                  <w:tcBorders>
                    <w:tl2br w:val="nil"/>
                    <w:tr2bl w:val="nil"/>
                  </w:tcBorders>
                  <w:noWrap w:val="0"/>
                  <w:vAlign w:val="center"/>
                </w:tcPr>
                <w:p w14:paraId="27DC6FF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spacing w:val="4"/>
                      <w:szCs w:val="21"/>
                      <w:highlight w:val="none"/>
                      <w:lang w:val="en-US" w:eastAsia="zh-CN"/>
                    </w:rPr>
                  </w:pPr>
                  <w:r>
                    <w:rPr>
                      <w:rFonts w:hint="eastAsia"/>
                      <w:color w:val="auto"/>
                      <w:spacing w:val="4"/>
                      <w:szCs w:val="21"/>
                      <w:highlight w:val="none"/>
                      <w:lang w:val="en-US" w:eastAsia="zh-CN"/>
                    </w:rPr>
                    <w:t>依托</w:t>
                  </w:r>
                </w:p>
              </w:tc>
            </w:tr>
            <w:tr w14:paraId="38E3B9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2728B160">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tcBorders>
                    <w:tl2br w:val="nil"/>
                    <w:tr2bl w:val="nil"/>
                  </w:tcBorders>
                  <w:noWrap w:val="0"/>
                  <w:vAlign w:val="center"/>
                </w:tcPr>
                <w:p w14:paraId="0E6593D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zCs w:val="21"/>
                      <w:highlight w:val="none"/>
                      <w:lang w:val="en-US" w:eastAsia="zh-CN"/>
                    </w:rPr>
                  </w:pPr>
                  <w:r>
                    <w:rPr>
                      <w:color w:val="auto"/>
                      <w:spacing w:val="-6"/>
                      <w:szCs w:val="21"/>
                      <w:highlight w:val="none"/>
                    </w:rPr>
                    <w:t>供暖</w:t>
                  </w:r>
                  <w:r>
                    <w:rPr>
                      <w:rFonts w:hint="eastAsia"/>
                      <w:color w:val="auto"/>
                      <w:spacing w:val="-6"/>
                      <w:szCs w:val="21"/>
                      <w:highlight w:val="none"/>
                      <w:lang w:val="en-US" w:eastAsia="zh-CN"/>
                    </w:rPr>
                    <w:t>系统</w:t>
                  </w:r>
                </w:p>
              </w:tc>
              <w:tc>
                <w:tcPr>
                  <w:tcW w:w="2764" w:type="dxa"/>
                  <w:tcBorders>
                    <w:tl2br w:val="nil"/>
                    <w:tr2bl w:val="nil"/>
                  </w:tcBorders>
                  <w:noWrap w:val="0"/>
                  <w:vAlign w:val="center"/>
                </w:tcPr>
                <w:p w14:paraId="105624B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highlight w:val="none"/>
                    </w:rPr>
                  </w:pPr>
                  <w:r>
                    <w:rPr>
                      <w:rFonts w:hint="eastAsia"/>
                      <w:color w:val="auto"/>
                      <w:spacing w:val="4"/>
                      <w:szCs w:val="21"/>
                      <w:highlight w:val="none"/>
                      <w:lang w:val="en-US" w:eastAsia="zh-CN"/>
                    </w:rPr>
                    <w:t>采用</w:t>
                  </w:r>
                  <w:r>
                    <w:rPr>
                      <w:rFonts w:hint="eastAsia"/>
                      <w:color w:val="auto"/>
                      <w:szCs w:val="21"/>
                      <w:highlight w:val="none"/>
                    </w:rPr>
                    <w:t>中央空调制冷及制热</w:t>
                  </w:r>
                </w:p>
              </w:tc>
              <w:tc>
                <w:tcPr>
                  <w:tcW w:w="2508" w:type="dxa"/>
                  <w:tcBorders>
                    <w:tl2br w:val="nil"/>
                    <w:tr2bl w:val="nil"/>
                  </w:tcBorders>
                  <w:noWrap w:val="0"/>
                  <w:vAlign w:val="center"/>
                </w:tcPr>
                <w:p w14:paraId="333A517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color w:val="auto"/>
                      <w:spacing w:val="4"/>
                      <w:szCs w:val="21"/>
                      <w:highlight w:val="none"/>
                      <w:lang w:val="en-US" w:eastAsia="zh-CN"/>
                    </w:rPr>
                    <w:t>/</w:t>
                  </w:r>
                </w:p>
              </w:tc>
              <w:tc>
                <w:tcPr>
                  <w:tcW w:w="1761" w:type="dxa"/>
                  <w:tcBorders>
                    <w:tl2br w:val="nil"/>
                    <w:tr2bl w:val="nil"/>
                  </w:tcBorders>
                  <w:noWrap w:val="0"/>
                  <w:vAlign w:val="center"/>
                </w:tcPr>
                <w:p w14:paraId="2FE0A19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spacing w:val="4"/>
                      <w:szCs w:val="21"/>
                      <w:highlight w:val="none"/>
                      <w:lang w:val="en-US" w:eastAsia="zh-CN"/>
                    </w:rPr>
                  </w:pPr>
                  <w:r>
                    <w:rPr>
                      <w:rFonts w:hint="eastAsia"/>
                      <w:color w:val="auto"/>
                      <w:spacing w:val="4"/>
                      <w:szCs w:val="21"/>
                      <w:highlight w:val="none"/>
                      <w:lang w:val="en-US" w:eastAsia="zh-CN"/>
                    </w:rPr>
                    <w:t>依托</w:t>
                  </w:r>
                </w:p>
              </w:tc>
            </w:tr>
            <w:tr w14:paraId="0BF226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63" w:type="dxa"/>
                  <w:vMerge w:val="restart"/>
                  <w:tcBorders>
                    <w:tl2br w:val="nil"/>
                    <w:tr2bl w:val="nil"/>
                  </w:tcBorders>
                  <w:noWrap w:val="0"/>
                  <w:vAlign w:val="center"/>
                </w:tcPr>
                <w:p w14:paraId="2E927AB8">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r>
                    <w:rPr>
                      <w:rFonts w:hint="eastAsia"/>
                      <w:b/>
                      <w:color w:val="auto"/>
                      <w:spacing w:val="0"/>
                      <w:szCs w:val="21"/>
                      <w:highlight w:val="none"/>
                    </w:rPr>
                    <w:t>环保工程</w:t>
                  </w:r>
                </w:p>
              </w:tc>
              <w:tc>
                <w:tcPr>
                  <w:tcW w:w="741" w:type="dxa"/>
                  <w:gridSpan w:val="2"/>
                  <w:vMerge w:val="restart"/>
                  <w:tcBorders>
                    <w:tl2br w:val="nil"/>
                    <w:tr2bl w:val="nil"/>
                  </w:tcBorders>
                  <w:noWrap w:val="0"/>
                  <w:vAlign w:val="center"/>
                </w:tcPr>
                <w:p w14:paraId="4621508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6"/>
                      <w:szCs w:val="21"/>
                      <w:highlight w:val="none"/>
                    </w:rPr>
                  </w:pPr>
                  <w:r>
                    <w:rPr>
                      <w:color w:val="auto"/>
                      <w:spacing w:val="-6"/>
                      <w:szCs w:val="21"/>
                      <w:highlight w:val="none"/>
                    </w:rPr>
                    <w:t>废气治理设施</w:t>
                  </w:r>
                </w:p>
              </w:tc>
              <w:tc>
                <w:tcPr>
                  <w:tcW w:w="2764" w:type="dxa"/>
                  <w:tcBorders>
                    <w:tl2br w:val="nil"/>
                    <w:tr2bl w:val="nil"/>
                  </w:tcBorders>
                  <w:noWrap w:val="0"/>
                  <w:vAlign w:val="center"/>
                </w:tcPr>
                <w:p w14:paraId="2D0AB35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未设置碎样工序</w:t>
                  </w:r>
                </w:p>
              </w:tc>
              <w:tc>
                <w:tcPr>
                  <w:tcW w:w="2508" w:type="dxa"/>
                  <w:tcBorders>
                    <w:tl2br w:val="nil"/>
                    <w:tr2bl w:val="nil"/>
                  </w:tcBorders>
                  <w:noWrap w:val="0"/>
                  <w:vAlign w:val="center"/>
                </w:tcPr>
                <w:p w14:paraId="094C07E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highlight w:val="none"/>
                      <w:lang w:eastAsia="zh-CN"/>
                    </w:rPr>
                  </w:pPr>
                  <w:r>
                    <w:rPr>
                      <w:rFonts w:hint="eastAsia"/>
                      <w:color w:val="auto"/>
                      <w:szCs w:val="21"/>
                      <w:highlight w:val="none"/>
                      <w:lang w:val="en-US" w:eastAsia="zh-CN"/>
                    </w:rPr>
                    <w:t>科技综合楼</w:t>
                  </w:r>
                  <w:r>
                    <w:rPr>
                      <w:rFonts w:hint="default"/>
                      <w:color w:val="auto"/>
                      <w:szCs w:val="21"/>
                      <w:highlight w:val="none"/>
                      <w:lang w:val="en-US" w:eastAsia="zh-CN"/>
                    </w:rPr>
                    <w:t>B座</w:t>
                  </w:r>
                  <w:r>
                    <w:rPr>
                      <w:rFonts w:hint="eastAsia"/>
                      <w:color w:val="auto"/>
                      <w:highlight w:val="none"/>
                    </w:rPr>
                    <w:t>负</w:t>
                  </w:r>
                  <w:r>
                    <w:rPr>
                      <w:rFonts w:hint="eastAsia"/>
                      <w:color w:val="auto"/>
                      <w:highlight w:val="none"/>
                      <w:lang w:val="en-US" w:eastAsia="zh-CN"/>
                    </w:rPr>
                    <w:t>一</w:t>
                  </w:r>
                  <w:r>
                    <w:rPr>
                      <w:rFonts w:hint="eastAsia"/>
                      <w:color w:val="auto"/>
                      <w:highlight w:val="none"/>
                    </w:rPr>
                    <w:t>楼设置碎样间</w:t>
                  </w:r>
                  <w:r>
                    <w:rPr>
                      <w:rFonts w:hint="eastAsia"/>
                      <w:color w:val="auto"/>
                      <w:highlight w:val="none"/>
                      <w:lang w:eastAsia="zh-CN"/>
                    </w:rPr>
                    <w:t>，</w:t>
                  </w:r>
                  <w:r>
                    <w:rPr>
                      <w:rFonts w:hint="eastAsia"/>
                      <w:color w:val="auto"/>
                      <w:highlight w:val="none"/>
                    </w:rPr>
                    <w:t>实验室样品的破碎筛分粉尘设置</w:t>
                  </w:r>
                  <w:r>
                    <w:rPr>
                      <w:rFonts w:hint="eastAsia"/>
                      <w:color w:val="auto"/>
                      <w:highlight w:val="none"/>
                      <w:lang w:val="en-US" w:eastAsia="zh-CN"/>
                    </w:rPr>
                    <w:t>三面围挡集气罩</w:t>
                  </w:r>
                  <w:r>
                    <w:rPr>
                      <w:rFonts w:hint="eastAsia"/>
                      <w:color w:val="auto"/>
                      <w:highlight w:val="none"/>
                    </w:rPr>
                    <w:t>收集，收集后采用布袋除尘器处理后</w:t>
                  </w:r>
                  <w:r>
                    <w:rPr>
                      <w:rFonts w:hint="eastAsia"/>
                      <w:color w:val="auto"/>
                      <w:highlight w:val="none"/>
                      <w:lang w:eastAsia="zh-CN"/>
                    </w:rPr>
                    <w:t>，</w:t>
                  </w:r>
                  <w:r>
                    <w:rPr>
                      <w:rFonts w:hint="eastAsia"/>
                      <w:color w:val="auto"/>
                      <w:highlight w:val="none"/>
                    </w:rPr>
                    <w:t>由</w:t>
                  </w:r>
                  <w:r>
                    <w:rPr>
                      <w:rFonts w:hint="eastAsia"/>
                      <w:color w:val="auto"/>
                      <w:highlight w:val="none"/>
                      <w:lang w:val="en-US" w:eastAsia="zh-CN"/>
                    </w:rPr>
                    <w:t>1根</w:t>
                  </w:r>
                  <w:r>
                    <w:rPr>
                      <w:rFonts w:hint="eastAsia"/>
                      <w:color w:val="auto"/>
                      <w:highlight w:val="none"/>
                    </w:rPr>
                    <w:t>2</w:t>
                  </w:r>
                  <w:r>
                    <w:rPr>
                      <w:rFonts w:hint="eastAsia"/>
                      <w:color w:val="auto"/>
                      <w:highlight w:val="none"/>
                      <w:lang w:val="en-US" w:eastAsia="zh-CN"/>
                    </w:rPr>
                    <w:t>3</w:t>
                  </w:r>
                  <w:r>
                    <w:rPr>
                      <w:rFonts w:hint="eastAsia"/>
                      <w:color w:val="auto"/>
                      <w:highlight w:val="none"/>
                    </w:rPr>
                    <w:t>m</w:t>
                  </w:r>
                  <w:r>
                    <w:rPr>
                      <w:rFonts w:hint="eastAsia"/>
                      <w:color w:val="auto"/>
                      <w:highlight w:val="none"/>
                      <w:lang w:val="en-US" w:eastAsia="zh-CN"/>
                    </w:rPr>
                    <w:t>高</w:t>
                  </w:r>
                  <w:r>
                    <w:rPr>
                      <w:rFonts w:hint="eastAsia"/>
                      <w:color w:val="auto"/>
                      <w:highlight w:val="none"/>
                    </w:rPr>
                    <w:t>的排气筒排放</w:t>
                  </w:r>
                  <w:r>
                    <w:rPr>
                      <w:rFonts w:hint="eastAsia"/>
                      <w:color w:val="auto"/>
                      <w:highlight w:val="none"/>
                      <w:lang w:eastAsia="zh-CN"/>
                    </w:rPr>
                    <w:t>（</w:t>
                  </w:r>
                  <w:r>
                    <w:rPr>
                      <w:rFonts w:hint="eastAsia"/>
                      <w:color w:val="auto"/>
                      <w:highlight w:val="none"/>
                      <w:lang w:val="en-US" w:eastAsia="zh-CN"/>
                    </w:rPr>
                    <w:t>DA015</w:t>
                  </w:r>
                  <w:r>
                    <w:rPr>
                      <w:rFonts w:hint="eastAsia"/>
                      <w:color w:val="auto"/>
                      <w:highlight w:val="none"/>
                      <w:lang w:eastAsia="zh-CN"/>
                    </w:rPr>
                    <w:t>）</w:t>
                  </w:r>
                </w:p>
              </w:tc>
              <w:tc>
                <w:tcPr>
                  <w:tcW w:w="1761" w:type="dxa"/>
                  <w:tcBorders>
                    <w:tl2br w:val="nil"/>
                    <w:tr2bl w:val="nil"/>
                  </w:tcBorders>
                  <w:noWrap w:val="0"/>
                  <w:vAlign w:val="center"/>
                </w:tcPr>
                <w:p w14:paraId="38FEDFC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新增</w:t>
                  </w:r>
                </w:p>
              </w:tc>
            </w:tr>
            <w:tr w14:paraId="1EA7A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363" w:type="dxa"/>
                  <w:vMerge w:val="continue"/>
                  <w:tcBorders>
                    <w:tl2br w:val="nil"/>
                    <w:tr2bl w:val="nil"/>
                  </w:tcBorders>
                  <w:noWrap w:val="0"/>
                  <w:vAlign w:val="center"/>
                </w:tcPr>
                <w:p w14:paraId="3B5CE106">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0"/>
                      <w:highlight w:val="none"/>
                    </w:rPr>
                  </w:pPr>
                </w:p>
              </w:tc>
              <w:tc>
                <w:tcPr>
                  <w:tcW w:w="741" w:type="dxa"/>
                  <w:gridSpan w:val="2"/>
                  <w:vMerge w:val="continue"/>
                  <w:tcBorders>
                    <w:tl2br w:val="nil"/>
                    <w:tr2bl w:val="nil"/>
                  </w:tcBorders>
                  <w:noWrap w:val="0"/>
                  <w:vAlign w:val="center"/>
                </w:tcPr>
                <w:p w14:paraId="5A652F95">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highlight w:val="none"/>
                    </w:rPr>
                  </w:pPr>
                </w:p>
              </w:tc>
              <w:tc>
                <w:tcPr>
                  <w:tcW w:w="2764" w:type="dxa"/>
                  <w:tcBorders>
                    <w:tl2br w:val="nil"/>
                    <w:tr2bl w:val="nil"/>
                  </w:tcBorders>
                  <w:noWrap w:val="0"/>
                  <w:vAlign w:val="center"/>
                </w:tcPr>
                <w:p w14:paraId="2DE5E5D9">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highlight w:val="none"/>
                      <w:lang w:val="en-US" w:eastAsia="zh-CN"/>
                    </w:rPr>
                  </w:pPr>
                  <w:r>
                    <w:rPr>
                      <w:rFonts w:hint="eastAsia"/>
                      <w:color w:val="auto"/>
                      <w:highlight w:val="none"/>
                    </w:rPr>
                    <w:t>实验室酸性废气：经操作台</w:t>
                  </w:r>
                  <w:r>
                    <w:rPr>
                      <w:rFonts w:hint="eastAsia"/>
                      <w:color w:val="auto"/>
                      <w:highlight w:val="none"/>
                      <w:lang w:val="en-US" w:eastAsia="zh-CN"/>
                    </w:rPr>
                    <w:t>通风橱</w:t>
                  </w:r>
                  <w:r>
                    <w:rPr>
                      <w:rFonts w:hint="eastAsia"/>
                      <w:color w:val="auto"/>
                      <w:highlight w:val="none"/>
                    </w:rPr>
                    <w:t>收集后采用10套碱液洗涤塔</w:t>
                  </w:r>
                  <w:r>
                    <w:rPr>
                      <w:rFonts w:hint="eastAsia"/>
                      <w:color w:val="auto"/>
                      <w:highlight w:val="none"/>
                      <w:lang w:val="en-US" w:eastAsia="zh-CN"/>
                    </w:rPr>
                    <w:t>经23m高的排气筒排放</w:t>
                  </w:r>
                </w:p>
              </w:tc>
              <w:tc>
                <w:tcPr>
                  <w:tcW w:w="2508" w:type="dxa"/>
                  <w:tcBorders>
                    <w:tl2br w:val="nil"/>
                    <w:tr2bl w:val="nil"/>
                  </w:tcBorders>
                  <w:noWrap w:val="0"/>
                  <w:vAlign w:val="center"/>
                </w:tcPr>
                <w:p w14:paraId="3348BCC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highlight w:val="none"/>
                      <w:lang w:val="en-US" w:eastAsia="zh-CN"/>
                    </w:rPr>
                  </w:pPr>
                  <w:r>
                    <w:rPr>
                      <w:rFonts w:hint="eastAsia"/>
                      <w:color w:val="auto"/>
                      <w:highlight w:val="none"/>
                    </w:rPr>
                    <w:t>实验室酸性废气：</w:t>
                  </w:r>
                  <w:r>
                    <w:rPr>
                      <w:rFonts w:hint="eastAsia"/>
                      <w:color w:val="auto"/>
                      <w:highlight w:val="none"/>
                      <w:lang w:val="en-US" w:eastAsia="zh-CN"/>
                    </w:rPr>
                    <w:t>依托现有</w:t>
                  </w:r>
                  <w:r>
                    <w:rPr>
                      <w:rFonts w:hint="eastAsia"/>
                      <w:color w:val="auto"/>
                      <w:highlight w:val="none"/>
                    </w:rPr>
                    <w:t>操作台</w:t>
                  </w:r>
                  <w:r>
                    <w:rPr>
                      <w:rFonts w:hint="eastAsia"/>
                      <w:color w:val="auto"/>
                      <w:highlight w:val="none"/>
                      <w:lang w:val="en-US" w:eastAsia="zh-CN"/>
                    </w:rPr>
                    <w:t>通风橱</w:t>
                  </w:r>
                  <w:r>
                    <w:rPr>
                      <w:rFonts w:hint="eastAsia"/>
                      <w:color w:val="auto"/>
                      <w:highlight w:val="none"/>
                    </w:rPr>
                    <w:t>收集后</w:t>
                  </w:r>
                  <w:r>
                    <w:rPr>
                      <w:rFonts w:hint="eastAsia"/>
                      <w:color w:val="auto"/>
                      <w:highlight w:val="none"/>
                      <w:lang w:eastAsia="zh-CN"/>
                    </w:rPr>
                    <w:t>，</w:t>
                  </w:r>
                  <w:r>
                    <w:rPr>
                      <w:rFonts w:hint="eastAsia"/>
                      <w:color w:val="auto"/>
                      <w:highlight w:val="none"/>
                      <w:lang w:val="en-US" w:eastAsia="zh-CN"/>
                    </w:rPr>
                    <w:t>通过</w:t>
                  </w:r>
                  <w:r>
                    <w:rPr>
                      <w:rFonts w:hint="eastAsia"/>
                      <w:color w:val="auto"/>
                      <w:highlight w:val="none"/>
                    </w:rPr>
                    <w:t>10套碱液洗涤塔</w:t>
                  </w:r>
                  <w:r>
                    <w:rPr>
                      <w:rFonts w:hint="eastAsia"/>
                      <w:color w:val="auto"/>
                      <w:highlight w:val="none"/>
                      <w:lang w:val="en-US" w:eastAsia="zh-CN"/>
                    </w:rPr>
                    <w:t>处理，经10根23m高的排气筒排放（DA001~DA010）</w:t>
                  </w:r>
                </w:p>
              </w:tc>
              <w:tc>
                <w:tcPr>
                  <w:tcW w:w="1761" w:type="dxa"/>
                  <w:tcBorders>
                    <w:tl2br w:val="nil"/>
                    <w:tr2bl w:val="nil"/>
                  </w:tcBorders>
                  <w:noWrap w:val="0"/>
                  <w:vAlign w:val="center"/>
                </w:tcPr>
                <w:p w14:paraId="07AE70D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依托</w:t>
                  </w:r>
                </w:p>
              </w:tc>
            </w:tr>
            <w:tr w14:paraId="601389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363" w:type="dxa"/>
                  <w:vMerge w:val="continue"/>
                  <w:tcBorders>
                    <w:tl2br w:val="nil"/>
                    <w:tr2bl w:val="nil"/>
                  </w:tcBorders>
                  <w:noWrap w:val="0"/>
                  <w:vAlign w:val="center"/>
                </w:tcPr>
                <w:p w14:paraId="3FEB609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0"/>
                      <w:highlight w:val="none"/>
                    </w:rPr>
                  </w:pPr>
                </w:p>
              </w:tc>
              <w:tc>
                <w:tcPr>
                  <w:tcW w:w="741" w:type="dxa"/>
                  <w:gridSpan w:val="2"/>
                  <w:vMerge w:val="continue"/>
                  <w:tcBorders>
                    <w:tl2br w:val="nil"/>
                    <w:tr2bl w:val="nil"/>
                  </w:tcBorders>
                  <w:noWrap w:val="0"/>
                  <w:vAlign w:val="center"/>
                </w:tcPr>
                <w:p w14:paraId="3166C6B9">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highlight w:val="none"/>
                    </w:rPr>
                  </w:pPr>
                </w:p>
              </w:tc>
              <w:tc>
                <w:tcPr>
                  <w:tcW w:w="2764" w:type="dxa"/>
                  <w:tcBorders>
                    <w:tl2br w:val="nil"/>
                    <w:tr2bl w:val="nil"/>
                  </w:tcBorders>
                  <w:noWrap w:val="0"/>
                  <w:vAlign w:val="center"/>
                </w:tcPr>
                <w:p w14:paraId="2344D9F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实验室有机废气：经操作台通风橱收集采用4套二级活性炭吸附装置处理后，经23m高的排气筒排放</w:t>
                  </w:r>
                </w:p>
              </w:tc>
              <w:tc>
                <w:tcPr>
                  <w:tcW w:w="2508" w:type="dxa"/>
                  <w:tcBorders>
                    <w:tl2br w:val="nil"/>
                    <w:tr2bl w:val="nil"/>
                  </w:tcBorders>
                  <w:noWrap w:val="0"/>
                  <w:vAlign w:val="center"/>
                </w:tcPr>
                <w:p w14:paraId="510FAEB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highlight w:val="none"/>
                      <w:lang w:val="en-US" w:eastAsia="zh-CN"/>
                    </w:rPr>
                  </w:pPr>
                  <w:r>
                    <w:rPr>
                      <w:rFonts w:hint="eastAsia"/>
                      <w:color w:val="auto"/>
                      <w:highlight w:val="none"/>
                      <w:lang w:val="en-US" w:eastAsia="zh-CN"/>
                    </w:rPr>
                    <w:t>实验室有机废气：依托</w:t>
                  </w:r>
                  <w:r>
                    <w:rPr>
                      <w:rFonts w:hint="eastAsia"/>
                      <w:color w:val="auto"/>
                      <w:highlight w:val="none"/>
                    </w:rPr>
                    <w:t>操作台</w:t>
                  </w:r>
                  <w:r>
                    <w:rPr>
                      <w:rFonts w:hint="eastAsia"/>
                      <w:color w:val="auto"/>
                      <w:highlight w:val="none"/>
                      <w:lang w:val="en-US" w:eastAsia="zh-CN"/>
                    </w:rPr>
                    <w:t>通风橱</w:t>
                  </w:r>
                  <w:r>
                    <w:rPr>
                      <w:rFonts w:hint="eastAsia"/>
                      <w:color w:val="auto"/>
                      <w:highlight w:val="none"/>
                    </w:rPr>
                    <w:t>收集后</w:t>
                  </w:r>
                  <w:r>
                    <w:rPr>
                      <w:rFonts w:hint="eastAsia"/>
                      <w:color w:val="auto"/>
                      <w:highlight w:val="none"/>
                      <w:lang w:eastAsia="zh-CN"/>
                    </w:rPr>
                    <w:t>，</w:t>
                  </w:r>
                  <w:r>
                    <w:rPr>
                      <w:rFonts w:hint="eastAsia"/>
                      <w:color w:val="auto"/>
                      <w:highlight w:val="none"/>
                      <w:lang w:val="en-US" w:eastAsia="zh-CN"/>
                    </w:rPr>
                    <w:t>采用4套二级活性炭吸附装置处理，经4根23m高的排气筒排放（DA011~DA014）</w:t>
                  </w:r>
                </w:p>
              </w:tc>
              <w:tc>
                <w:tcPr>
                  <w:tcW w:w="1761" w:type="dxa"/>
                  <w:tcBorders>
                    <w:tl2br w:val="nil"/>
                    <w:tr2bl w:val="nil"/>
                  </w:tcBorders>
                  <w:noWrap w:val="0"/>
                  <w:vAlign w:val="center"/>
                </w:tcPr>
                <w:p w14:paraId="6D934FB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color w:val="auto"/>
                      <w:highlight w:val="none"/>
                      <w:lang w:val="en-US" w:eastAsia="zh-CN"/>
                    </w:rPr>
                  </w:pPr>
                  <w:r>
                    <w:rPr>
                      <w:rFonts w:hint="eastAsia"/>
                      <w:color w:val="auto"/>
                      <w:highlight w:val="none"/>
                      <w:lang w:val="en-US" w:eastAsia="zh-CN"/>
                    </w:rPr>
                    <w:t>依托</w:t>
                  </w:r>
                </w:p>
              </w:tc>
            </w:tr>
            <w:tr w14:paraId="2C417D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3" w:hRule="atLeast"/>
                <w:jc w:val="center"/>
              </w:trPr>
              <w:tc>
                <w:tcPr>
                  <w:tcW w:w="363" w:type="dxa"/>
                  <w:vMerge w:val="continue"/>
                  <w:tcBorders>
                    <w:tl2br w:val="nil"/>
                    <w:tr2bl w:val="nil"/>
                  </w:tcBorders>
                  <w:noWrap w:val="0"/>
                  <w:vAlign w:val="center"/>
                </w:tcPr>
                <w:p w14:paraId="0DCBF589">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tcBorders>
                    <w:tl2br w:val="nil"/>
                    <w:tr2bl w:val="nil"/>
                  </w:tcBorders>
                  <w:noWrap w:val="0"/>
                  <w:vAlign w:val="center"/>
                </w:tcPr>
                <w:p w14:paraId="5225B69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6"/>
                      <w:szCs w:val="21"/>
                      <w:highlight w:val="none"/>
                    </w:rPr>
                  </w:pPr>
                  <w:r>
                    <w:rPr>
                      <w:color w:val="auto"/>
                      <w:spacing w:val="-6"/>
                      <w:szCs w:val="21"/>
                      <w:highlight w:val="none"/>
                    </w:rPr>
                    <w:t>废水治理设施</w:t>
                  </w:r>
                </w:p>
              </w:tc>
              <w:tc>
                <w:tcPr>
                  <w:tcW w:w="2764" w:type="dxa"/>
                  <w:tcBorders>
                    <w:tl2br w:val="nil"/>
                    <w:tr2bl w:val="nil"/>
                  </w:tcBorders>
                  <w:noWrap w:val="0"/>
                  <w:vAlign w:val="center"/>
                </w:tcPr>
                <w:p w14:paraId="70B718D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zCs w:val="21"/>
                      <w:highlight w:val="none"/>
                      <w:lang w:eastAsia="zh-CN"/>
                    </w:rPr>
                  </w:pPr>
                  <w:r>
                    <w:rPr>
                      <w:rFonts w:hint="eastAsia"/>
                      <w:color w:val="auto"/>
                      <w:spacing w:val="4"/>
                      <w:szCs w:val="21"/>
                      <w:highlight w:val="none"/>
                      <w:lang w:val="en-US" w:eastAsia="zh-CN"/>
                    </w:rPr>
                    <w:t>实行雨污分流，实验废水经酸碱中和+混凝沉淀预处理，食堂废水经隔油池处理后与其它生活污水及预处理后的实验废水一并进入化粪池处理，通过市政污水管网收集后排至沣东南污水处理厂</w:t>
                  </w:r>
                </w:p>
              </w:tc>
              <w:tc>
                <w:tcPr>
                  <w:tcW w:w="2508" w:type="dxa"/>
                  <w:tcBorders>
                    <w:tl2br w:val="nil"/>
                    <w:tr2bl w:val="nil"/>
                  </w:tcBorders>
                  <w:noWrap w:val="0"/>
                  <w:vAlign w:val="center"/>
                </w:tcPr>
                <w:p w14:paraId="2F067CB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highlight w:val="none"/>
                      <w:lang w:val="en-US" w:eastAsia="zh-CN"/>
                    </w:rPr>
                  </w:pPr>
                  <w:r>
                    <w:rPr>
                      <w:rFonts w:hint="eastAsia"/>
                      <w:color w:val="auto"/>
                      <w:spacing w:val="4"/>
                      <w:szCs w:val="21"/>
                      <w:highlight w:val="none"/>
                      <w:lang w:val="en-US" w:eastAsia="zh-CN"/>
                    </w:rPr>
                    <w:t>本项目不新增员工，</w:t>
                  </w:r>
                  <w:r>
                    <w:rPr>
                      <w:rFonts w:hint="eastAsia" w:ascii="Times New Roman" w:hAnsi="Times New Roman" w:cs="Times New Roman"/>
                      <w:color w:val="auto"/>
                      <w:sz w:val="21"/>
                      <w:szCs w:val="21"/>
                      <w:highlight w:val="none"/>
                      <w:lang w:val="en-US" w:eastAsia="zh-CN"/>
                    </w:rPr>
                    <w:t>不新增生活污水；新增</w:t>
                  </w:r>
                  <w:r>
                    <w:rPr>
                      <w:rFonts w:hint="eastAsia"/>
                      <w:color w:val="auto"/>
                      <w:spacing w:val="4"/>
                      <w:szCs w:val="21"/>
                      <w:highlight w:val="none"/>
                      <w:lang w:val="en-US" w:eastAsia="zh-CN"/>
                    </w:rPr>
                    <w:t>实验废水依托现有“酸碱中和+混凝沉淀”处理系统预处理后，与生活污水一并排入现有化粪池，最终排至沣东南污水处理厂</w:t>
                  </w:r>
                </w:p>
              </w:tc>
              <w:tc>
                <w:tcPr>
                  <w:tcW w:w="1761" w:type="dxa"/>
                  <w:tcBorders>
                    <w:tl2br w:val="nil"/>
                    <w:tr2bl w:val="nil"/>
                  </w:tcBorders>
                  <w:noWrap w:val="0"/>
                  <w:vAlign w:val="center"/>
                </w:tcPr>
                <w:p w14:paraId="27385BD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szCs w:val="21"/>
                      <w:highlight w:val="none"/>
                      <w:lang w:val="en-US" w:eastAsia="zh-CN"/>
                    </w:rPr>
                  </w:pPr>
                  <w:r>
                    <w:rPr>
                      <w:rFonts w:hint="eastAsia" w:ascii="Times New Roman" w:hAnsi="Times New Roman" w:cs="Times New Roman"/>
                      <w:color w:val="auto"/>
                      <w:sz w:val="21"/>
                      <w:szCs w:val="21"/>
                      <w:highlight w:val="none"/>
                      <w:lang w:val="en-US" w:eastAsia="zh-CN"/>
                    </w:rPr>
                    <w:t>不新增生活污水；新增</w:t>
                  </w:r>
                  <w:r>
                    <w:rPr>
                      <w:rFonts w:hint="eastAsia"/>
                      <w:color w:val="auto"/>
                      <w:spacing w:val="4"/>
                      <w:szCs w:val="21"/>
                      <w:highlight w:val="none"/>
                      <w:lang w:val="en-US" w:eastAsia="zh-CN"/>
                    </w:rPr>
                    <w:t>实验废水依托现有废水处理系统</w:t>
                  </w:r>
                </w:p>
              </w:tc>
            </w:tr>
            <w:tr w14:paraId="2DCCE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vMerge w:val="continue"/>
                  <w:tcBorders>
                    <w:tl2br w:val="nil"/>
                    <w:tr2bl w:val="nil"/>
                  </w:tcBorders>
                  <w:noWrap w:val="0"/>
                  <w:vAlign w:val="center"/>
                </w:tcPr>
                <w:p w14:paraId="540A5F88">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tcBorders>
                    <w:tl2br w:val="nil"/>
                    <w:tr2bl w:val="nil"/>
                  </w:tcBorders>
                  <w:noWrap w:val="0"/>
                  <w:vAlign w:val="center"/>
                </w:tcPr>
                <w:p w14:paraId="453AB46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6"/>
                      <w:szCs w:val="21"/>
                      <w:highlight w:val="none"/>
                    </w:rPr>
                  </w:pPr>
                  <w:r>
                    <w:rPr>
                      <w:color w:val="auto"/>
                      <w:spacing w:val="-6"/>
                      <w:szCs w:val="21"/>
                      <w:highlight w:val="none"/>
                    </w:rPr>
                    <w:t>噪声治理设施</w:t>
                  </w:r>
                </w:p>
              </w:tc>
              <w:tc>
                <w:tcPr>
                  <w:tcW w:w="2764" w:type="dxa"/>
                  <w:tcBorders>
                    <w:tl2br w:val="nil"/>
                    <w:tr2bl w:val="nil"/>
                  </w:tcBorders>
                  <w:noWrap w:val="0"/>
                  <w:vAlign w:val="center"/>
                </w:tcPr>
                <w:p w14:paraId="7578F95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zCs w:val="21"/>
                      <w:highlight w:val="none"/>
                      <w:lang w:eastAsia="zh-CN"/>
                    </w:rPr>
                  </w:pPr>
                  <w:r>
                    <w:rPr>
                      <w:rFonts w:hint="eastAsia"/>
                      <w:color w:val="auto"/>
                      <w:szCs w:val="21"/>
                      <w:highlight w:val="none"/>
                    </w:rPr>
                    <w:t>低噪声设备、车间隔声、基础减振、绿化等综合防治措施</w:t>
                  </w:r>
                </w:p>
              </w:tc>
              <w:tc>
                <w:tcPr>
                  <w:tcW w:w="2508" w:type="dxa"/>
                  <w:tcBorders>
                    <w:tl2br w:val="nil"/>
                    <w:tr2bl w:val="nil"/>
                  </w:tcBorders>
                  <w:noWrap w:val="0"/>
                  <w:vAlign w:val="center"/>
                </w:tcPr>
                <w:p w14:paraId="5B6E37C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highlight w:val="none"/>
                      <w:lang w:val="en-US" w:eastAsia="zh-CN"/>
                    </w:rPr>
                  </w:pPr>
                  <w:r>
                    <w:rPr>
                      <w:rFonts w:hint="eastAsia"/>
                      <w:color w:val="auto"/>
                      <w:szCs w:val="21"/>
                      <w:highlight w:val="none"/>
                      <w:lang w:val="en-US" w:eastAsia="zh-CN"/>
                    </w:rPr>
                    <w:t>碎样间采取低噪声设备、厂房隔声等防治措施</w:t>
                  </w:r>
                </w:p>
              </w:tc>
              <w:tc>
                <w:tcPr>
                  <w:tcW w:w="1761" w:type="dxa"/>
                  <w:tcBorders>
                    <w:tl2br w:val="nil"/>
                    <w:tr2bl w:val="nil"/>
                  </w:tcBorders>
                  <w:noWrap w:val="0"/>
                  <w:vAlign w:val="center"/>
                </w:tcPr>
                <w:p w14:paraId="3F07FEB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highlight w:val="none"/>
                      <w:lang w:val="en-US" w:eastAsia="zh-CN"/>
                    </w:rPr>
                  </w:pPr>
                  <w:r>
                    <w:rPr>
                      <w:rFonts w:hint="eastAsia"/>
                      <w:color w:val="auto"/>
                      <w:szCs w:val="21"/>
                      <w:highlight w:val="none"/>
                      <w:lang w:val="en-US" w:eastAsia="zh-CN"/>
                    </w:rPr>
                    <w:t>新增</w:t>
                  </w:r>
                </w:p>
              </w:tc>
            </w:tr>
            <w:tr w14:paraId="26D73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63" w:type="dxa"/>
                  <w:vMerge w:val="continue"/>
                  <w:tcBorders>
                    <w:tl2br w:val="nil"/>
                    <w:tr2bl w:val="nil"/>
                  </w:tcBorders>
                  <w:noWrap w:val="0"/>
                  <w:vAlign w:val="center"/>
                </w:tcPr>
                <w:p w14:paraId="2F1CB490">
                  <w:pPr>
                    <w:keepNext w:val="0"/>
                    <w:keepLines w:val="0"/>
                    <w:pageBreakBefore w:val="0"/>
                    <w:kinsoku/>
                    <w:wordWrap/>
                    <w:overflowPunct/>
                    <w:topLinePunct w:val="0"/>
                    <w:autoSpaceDE/>
                    <w:autoSpaceDN/>
                    <w:bidi w:val="0"/>
                    <w:adjustRightInd w:val="0"/>
                    <w:snapToGrid w:val="0"/>
                    <w:ind w:firstLine="0" w:firstLineChars="0"/>
                    <w:jc w:val="center"/>
                    <w:textAlignment w:val="auto"/>
                    <w:rPr>
                      <w:b/>
                      <w:color w:val="auto"/>
                      <w:spacing w:val="0"/>
                      <w:szCs w:val="21"/>
                      <w:highlight w:val="none"/>
                    </w:rPr>
                  </w:pPr>
                </w:p>
              </w:tc>
              <w:tc>
                <w:tcPr>
                  <w:tcW w:w="741" w:type="dxa"/>
                  <w:gridSpan w:val="2"/>
                  <w:vMerge w:val="restart"/>
                  <w:tcBorders>
                    <w:tl2br w:val="nil"/>
                    <w:tr2bl w:val="nil"/>
                  </w:tcBorders>
                  <w:noWrap w:val="0"/>
                  <w:vAlign w:val="center"/>
                </w:tcPr>
                <w:p w14:paraId="29387C4B">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pacing w:val="-6"/>
                      <w:szCs w:val="21"/>
                      <w:highlight w:val="none"/>
                    </w:rPr>
                  </w:pPr>
                  <w:r>
                    <w:rPr>
                      <w:color w:val="auto"/>
                      <w:spacing w:val="-6"/>
                      <w:szCs w:val="21"/>
                      <w:highlight w:val="none"/>
                    </w:rPr>
                    <w:t>固废处置设施</w:t>
                  </w:r>
                </w:p>
              </w:tc>
              <w:tc>
                <w:tcPr>
                  <w:tcW w:w="2764" w:type="dxa"/>
                  <w:tcBorders>
                    <w:tl2br w:val="nil"/>
                    <w:tr2bl w:val="nil"/>
                  </w:tcBorders>
                  <w:noWrap w:val="0"/>
                  <w:vAlign w:val="center"/>
                </w:tcPr>
                <w:p w14:paraId="52C5AFF6">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rPr>
                    <w:t>生活垃圾</w:t>
                  </w:r>
                  <w:r>
                    <w:rPr>
                      <w:rFonts w:hint="eastAsia"/>
                      <w:color w:val="auto"/>
                      <w:sz w:val="21"/>
                      <w:szCs w:val="21"/>
                      <w:highlight w:val="none"/>
                      <w:lang w:val="en-US" w:eastAsia="zh-CN"/>
                    </w:rPr>
                    <w:t>经垃圾桶收集，由市政环卫部门统一清运</w:t>
                  </w:r>
                </w:p>
              </w:tc>
              <w:tc>
                <w:tcPr>
                  <w:tcW w:w="2508" w:type="dxa"/>
                  <w:tcBorders>
                    <w:tl2br w:val="nil"/>
                    <w:tr2bl w:val="nil"/>
                  </w:tcBorders>
                  <w:noWrap w:val="0"/>
                  <w:vAlign w:val="center"/>
                </w:tcPr>
                <w:p w14:paraId="608E32D1">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761" w:type="dxa"/>
                  <w:tcBorders>
                    <w:tl2br w:val="nil"/>
                    <w:tr2bl w:val="nil"/>
                  </w:tcBorders>
                  <w:noWrap w:val="0"/>
                  <w:vAlign w:val="center"/>
                </w:tcPr>
                <w:p w14:paraId="4854384A">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不新增员工，无新增生活垃圾</w:t>
                  </w:r>
                </w:p>
              </w:tc>
            </w:tr>
            <w:tr w14:paraId="0F842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vMerge w:val="continue"/>
                  <w:tcBorders>
                    <w:tl2br w:val="nil"/>
                    <w:tr2bl w:val="nil"/>
                  </w:tcBorders>
                  <w:noWrap w:val="0"/>
                  <w:vAlign w:val="center"/>
                </w:tcPr>
                <w:p w14:paraId="7011A32A">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highlight w:val="none"/>
                    </w:rPr>
                  </w:pPr>
                </w:p>
              </w:tc>
              <w:tc>
                <w:tcPr>
                  <w:tcW w:w="741" w:type="dxa"/>
                  <w:gridSpan w:val="2"/>
                  <w:vMerge w:val="continue"/>
                  <w:tcBorders>
                    <w:tl2br w:val="nil"/>
                    <w:tr2bl w:val="nil"/>
                  </w:tcBorders>
                  <w:noWrap w:val="0"/>
                  <w:vAlign w:val="center"/>
                </w:tcPr>
                <w:p w14:paraId="183039A7">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highlight w:val="none"/>
                    </w:rPr>
                  </w:pPr>
                </w:p>
              </w:tc>
              <w:tc>
                <w:tcPr>
                  <w:tcW w:w="2764" w:type="dxa"/>
                  <w:tcBorders>
                    <w:tl2br w:val="nil"/>
                    <w:tr2bl w:val="nil"/>
                  </w:tcBorders>
                  <w:noWrap w:val="0"/>
                  <w:vAlign w:val="center"/>
                </w:tcPr>
                <w:p w14:paraId="1A4502E0">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rPr>
                    <w:t>一般工业固废：废样品、废纸屑及废包装材料、废滤芯</w:t>
                  </w:r>
                  <w:r>
                    <w:rPr>
                      <w:rFonts w:hint="eastAsia"/>
                      <w:color w:val="auto"/>
                      <w:sz w:val="21"/>
                      <w:szCs w:val="21"/>
                      <w:highlight w:val="none"/>
                      <w:lang w:eastAsia="zh-CN"/>
                    </w:rPr>
                    <w:t>，废样品</w:t>
                  </w:r>
                  <w:r>
                    <w:rPr>
                      <w:rFonts w:hint="eastAsia"/>
                      <w:color w:val="auto"/>
                      <w:sz w:val="21"/>
                      <w:szCs w:val="21"/>
                      <w:highlight w:val="none"/>
                      <w:lang w:val="en-US" w:eastAsia="zh-CN"/>
                    </w:rPr>
                    <w:t>收集后定期委托物资回收单位处理；</w:t>
                  </w:r>
                  <w:r>
                    <w:rPr>
                      <w:rFonts w:hint="eastAsia"/>
                      <w:color w:val="auto"/>
                      <w:sz w:val="21"/>
                      <w:szCs w:val="21"/>
                      <w:highlight w:val="none"/>
                      <w:lang w:eastAsia="zh-CN"/>
                    </w:rPr>
                    <w:t>废纸屑及废包装材料全部出售给废品回收公司；废滤芯由纯水机厂家更换后带走处置。</w:t>
                  </w:r>
                </w:p>
              </w:tc>
              <w:tc>
                <w:tcPr>
                  <w:tcW w:w="2508" w:type="dxa"/>
                  <w:tcBorders>
                    <w:tl2br w:val="nil"/>
                    <w:tr2bl w:val="nil"/>
                  </w:tcBorders>
                  <w:noWrap w:val="0"/>
                  <w:vAlign w:val="center"/>
                </w:tcPr>
                <w:p w14:paraId="0F323904">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新增废样品、废纸屑及未被污染的废包装材料、收尘灰、废滤芯、灭菌后的废培养皿、污泥，其中废样品、收尘灰收集后定期委托物资回收单位处理；废纸屑及未被污染的废包装材料收集后交废品回收站回收处理；废滤芯由纯水机厂家更换后带走处置；灭菌后的废培养基、污泥收集后由环卫部门定期清运。</w:t>
                  </w:r>
                </w:p>
              </w:tc>
              <w:tc>
                <w:tcPr>
                  <w:tcW w:w="1761" w:type="dxa"/>
                  <w:tcBorders>
                    <w:tl2br w:val="nil"/>
                    <w:tr2bl w:val="nil"/>
                  </w:tcBorders>
                  <w:noWrap w:val="0"/>
                  <w:vAlign w:val="center"/>
                </w:tcPr>
                <w:p w14:paraId="7B9C029F">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依托</w:t>
                  </w:r>
                </w:p>
              </w:tc>
            </w:tr>
            <w:tr w14:paraId="55799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363" w:type="dxa"/>
                  <w:vMerge w:val="continue"/>
                  <w:tcBorders>
                    <w:tl2br w:val="nil"/>
                    <w:tr2bl w:val="nil"/>
                  </w:tcBorders>
                  <w:noWrap w:val="0"/>
                  <w:vAlign w:val="center"/>
                </w:tcPr>
                <w:p w14:paraId="7132ABFD">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pacing w:val="0"/>
                      <w:sz w:val="21"/>
                      <w:szCs w:val="21"/>
                      <w:highlight w:val="none"/>
                    </w:rPr>
                  </w:pPr>
                </w:p>
              </w:tc>
              <w:tc>
                <w:tcPr>
                  <w:tcW w:w="741" w:type="dxa"/>
                  <w:gridSpan w:val="2"/>
                  <w:vMerge w:val="continue"/>
                  <w:tcBorders>
                    <w:tl2br w:val="nil"/>
                    <w:tr2bl w:val="nil"/>
                  </w:tcBorders>
                  <w:noWrap w:val="0"/>
                  <w:vAlign w:val="center"/>
                </w:tcPr>
                <w:p w14:paraId="16382298">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764" w:type="dxa"/>
                  <w:tcBorders>
                    <w:tl2br w:val="nil"/>
                    <w:tr2bl w:val="nil"/>
                  </w:tcBorders>
                  <w:noWrap w:val="0"/>
                  <w:vAlign w:val="center"/>
                </w:tcPr>
                <w:p w14:paraId="64F33FCB">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rPr>
                    <w:t>危险废物：</w:t>
                  </w:r>
                  <w:r>
                    <w:rPr>
                      <w:rFonts w:hint="eastAsia"/>
                      <w:color w:val="auto"/>
                      <w:sz w:val="21"/>
                      <w:szCs w:val="21"/>
                      <w:highlight w:val="none"/>
                      <w:lang w:val="en-US" w:eastAsia="zh-CN"/>
                    </w:rPr>
                    <w:t>主要为实验室废液、废试剂包装物等沾染物、废活性炭、废试剂，经危废贮存库（-1F）暂存后，</w:t>
                  </w:r>
                  <w:r>
                    <w:rPr>
                      <w:rFonts w:hint="eastAsia"/>
                      <w:color w:val="auto"/>
                      <w:sz w:val="21"/>
                      <w:szCs w:val="21"/>
                      <w:highlight w:val="none"/>
                    </w:rPr>
                    <w:t>委托有资质单位</w:t>
                  </w:r>
                  <w:r>
                    <w:rPr>
                      <w:rFonts w:hint="eastAsia"/>
                      <w:color w:val="auto"/>
                      <w:sz w:val="21"/>
                      <w:szCs w:val="21"/>
                      <w:highlight w:val="none"/>
                      <w:lang w:eastAsia="zh-CN"/>
                    </w:rPr>
                    <w:t>（</w:t>
                  </w:r>
                  <w:r>
                    <w:rPr>
                      <w:rFonts w:hint="eastAsia"/>
                      <w:color w:val="auto"/>
                      <w:sz w:val="21"/>
                      <w:szCs w:val="21"/>
                      <w:highlight w:val="none"/>
                      <w:lang w:val="en-US" w:eastAsia="zh-CN"/>
                    </w:rPr>
                    <w:t>陕西新天地固体废物综合处置有限公司</w:t>
                  </w:r>
                  <w:r>
                    <w:rPr>
                      <w:rFonts w:hint="eastAsia"/>
                      <w:color w:val="auto"/>
                      <w:sz w:val="21"/>
                      <w:szCs w:val="21"/>
                      <w:highlight w:val="none"/>
                      <w:lang w:eastAsia="zh-CN"/>
                    </w:rPr>
                    <w:t>）</w:t>
                  </w:r>
                  <w:r>
                    <w:rPr>
                      <w:rFonts w:hint="eastAsia"/>
                      <w:color w:val="auto"/>
                      <w:sz w:val="21"/>
                      <w:szCs w:val="21"/>
                      <w:highlight w:val="none"/>
                    </w:rPr>
                    <w:t>进行处置</w:t>
                  </w:r>
                  <w:r>
                    <w:rPr>
                      <w:rFonts w:hint="eastAsia"/>
                      <w:color w:val="auto"/>
                      <w:sz w:val="21"/>
                      <w:szCs w:val="21"/>
                      <w:highlight w:val="none"/>
                      <w:lang w:eastAsia="zh-CN"/>
                    </w:rPr>
                    <w:t>。</w:t>
                  </w:r>
                </w:p>
              </w:tc>
              <w:tc>
                <w:tcPr>
                  <w:tcW w:w="2508" w:type="dxa"/>
                  <w:tcBorders>
                    <w:tl2br w:val="nil"/>
                    <w:tr2bl w:val="nil"/>
                  </w:tcBorders>
                  <w:noWrap w:val="0"/>
                  <w:vAlign w:val="center"/>
                </w:tcPr>
                <w:p w14:paraId="5783D183">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危险废物：</w:t>
                  </w:r>
                  <w:r>
                    <w:rPr>
                      <w:rFonts w:hint="eastAsia"/>
                      <w:color w:val="auto"/>
                      <w:sz w:val="21"/>
                      <w:szCs w:val="21"/>
                      <w:highlight w:val="none"/>
                      <w:lang w:val="en-US" w:eastAsia="zh-CN"/>
                    </w:rPr>
                    <w:t>主要为实验室废液、废试剂包装物等沾染物、废活性炭、废试剂、废过滤介质，企业现有一间危废贮存库（-1F），因危废分类贮存管理的需要扩建第二间危废贮存库（5F）进行贮存，定期</w:t>
                  </w:r>
                  <w:r>
                    <w:rPr>
                      <w:rFonts w:hint="eastAsia"/>
                      <w:color w:val="auto"/>
                      <w:sz w:val="21"/>
                      <w:szCs w:val="21"/>
                      <w:highlight w:val="none"/>
                    </w:rPr>
                    <w:t>委托有资质单位进行处置</w:t>
                  </w:r>
                  <w:r>
                    <w:rPr>
                      <w:rFonts w:hint="eastAsia"/>
                      <w:color w:val="auto"/>
                      <w:sz w:val="21"/>
                      <w:szCs w:val="21"/>
                      <w:highlight w:val="none"/>
                      <w:lang w:eastAsia="zh-CN"/>
                    </w:rPr>
                    <w:t>。</w:t>
                  </w:r>
                </w:p>
              </w:tc>
              <w:tc>
                <w:tcPr>
                  <w:tcW w:w="1761" w:type="dxa"/>
                  <w:tcBorders>
                    <w:tl2br w:val="nil"/>
                    <w:tr2bl w:val="nil"/>
                  </w:tcBorders>
                  <w:noWrap w:val="0"/>
                  <w:vAlign w:val="center"/>
                </w:tcPr>
                <w:p w14:paraId="194CE39E">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新增1座危废贮存库（科技综合楼B座5F）</w:t>
                  </w:r>
                </w:p>
              </w:tc>
            </w:tr>
            <w:tr w14:paraId="4BFC0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363" w:type="dxa"/>
                  <w:vMerge w:val="continue"/>
                  <w:tcBorders>
                    <w:tl2br w:val="nil"/>
                    <w:tr2bl w:val="nil"/>
                  </w:tcBorders>
                  <w:noWrap w:val="0"/>
                  <w:vAlign w:val="center"/>
                </w:tcPr>
                <w:p w14:paraId="44603B24">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pacing w:val="0"/>
                      <w:sz w:val="21"/>
                      <w:szCs w:val="21"/>
                      <w:highlight w:val="none"/>
                    </w:rPr>
                  </w:pPr>
                </w:p>
              </w:tc>
              <w:tc>
                <w:tcPr>
                  <w:tcW w:w="741" w:type="dxa"/>
                  <w:gridSpan w:val="2"/>
                  <w:tcBorders>
                    <w:tl2br w:val="nil"/>
                    <w:tr2bl w:val="nil"/>
                  </w:tcBorders>
                  <w:noWrap w:val="0"/>
                  <w:vAlign w:val="center"/>
                </w:tcPr>
                <w:p w14:paraId="6F34B350">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环境风险</w:t>
                  </w:r>
                </w:p>
              </w:tc>
              <w:tc>
                <w:tcPr>
                  <w:tcW w:w="2764" w:type="dxa"/>
                  <w:tcBorders>
                    <w:tl2br w:val="nil"/>
                    <w:tr2bl w:val="nil"/>
                  </w:tcBorders>
                  <w:noWrap w:val="0"/>
                  <w:vAlign w:val="center"/>
                </w:tcPr>
                <w:p w14:paraId="461A1418">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地面做好防渗措施，制定完善的环境风险应急管理措施。</w:t>
                  </w:r>
                </w:p>
              </w:tc>
              <w:tc>
                <w:tcPr>
                  <w:tcW w:w="2508" w:type="dxa"/>
                  <w:tcBorders>
                    <w:tl2br w:val="nil"/>
                    <w:tr2bl w:val="nil"/>
                  </w:tcBorders>
                  <w:noWrap w:val="0"/>
                  <w:vAlign w:val="center"/>
                </w:tcPr>
                <w:p w14:paraId="1EF92F65">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新建1座危废贮存库地面做好防渗措施等。</w:t>
                  </w:r>
                </w:p>
              </w:tc>
              <w:tc>
                <w:tcPr>
                  <w:tcW w:w="1761" w:type="dxa"/>
                  <w:tcBorders>
                    <w:tl2br w:val="nil"/>
                    <w:tr2bl w:val="nil"/>
                  </w:tcBorders>
                  <w:noWrap w:val="0"/>
                  <w:vAlign w:val="center"/>
                </w:tcPr>
                <w:p w14:paraId="384D956E">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新增</w:t>
                  </w:r>
                </w:p>
              </w:tc>
            </w:tr>
            <w:tr w14:paraId="23826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restart"/>
                  <w:tcBorders>
                    <w:tl2br w:val="nil"/>
                    <w:tr2bl w:val="nil"/>
                  </w:tcBorders>
                  <w:noWrap w:val="0"/>
                  <w:vAlign w:val="center"/>
                </w:tcPr>
                <w:p w14:paraId="6A42F76F">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pacing w:val="0"/>
                      <w:sz w:val="21"/>
                      <w:szCs w:val="21"/>
                      <w:highlight w:val="none"/>
                      <w:lang w:val="en-US" w:eastAsia="zh-CN"/>
                    </w:rPr>
                  </w:pPr>
                  <w:r>
                    <w:rPr>
                      <w:rFonts w:hint="eastAsia"/>
                      <w:b/>
                      <w:bCs/>
                      <w:color w:val="auto"/>
                      <w:spacing w:val="0"/>
                      <w:sz w:val="21"/>
                      <w:szCs w:val="21"/>
                      <w:highlight w:val="none"/>
                      <w:lang w:val="en-US" w:eastAsia="zh-CN"/>
                    </w:rPr>
                    <w:t>依托工程</w:t>
                  </w:r>
                </w:p>
              </w:tc>
              <w:tc>
                <w:tcPr>
                  <w:tcW w:w="346" w:type="dxa"/>
                  <w:vMerge w:val="restart"/>
                  <w:tcBorders>
                    <w:tl2br w:val="nil"/>
                    <w:tr2bl w:val="nil"/>
                  </w:tcBorders>
                  <w:noWrap w:val="0"/>
                  <w:vAlign w:val="center"/>
                </w:tcPr>
                <w:p w14:paraId="410BC652">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公用工程</w:t>
                  </w:r>
                </w:p>
              </w:tc>
              <w:tc>
                <w:tcPr>
                  <w:tcW w:w="395" w:type="dxa"/>
                  <w:tcBorders>
                    <w:tl2br w:val="nil"/>
                    <w:tr2bl w:val="nil"/>
                  </w:tcBorders>
                  <w:shd w:val="clear" w:color="auto" w:fill="auto"/>
                  <w:noWrap w:val="0"/>
                  <w:vAlign w:val="center"/>
                </w:tcPr>
                <w:p w14:paraId="2264ED19">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给水</w:t>
                  </w:r>
                </w:p>
              </w:tc>
              <w:tc>
                <w:tcPr>
                  <w:tcW w:w="2764" w:type="dxa"/>
                  <w:tcBorders>
                    <w:tl2br w:val="nil"/>
                    <w:tr2bl w:val="nil"/>
                  </w:tcBorders>
                  <w:shd w:val="clear" w:color="auto" w:fill="auto"/>
                  <w:noWrap w:val="0"/>
                  <w:vAlign w:val="center"/>
                </w:tcPr>
                <w:p w14:paraId="08916A55">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508" w:type="dxa"/>
                  <w:tcBorders>
                    <w:tl2br w:val="nil"/>
                    <w:tr2bl w:val="nil"/>
                  </w:tcBorders>
                  <w:noWrap w:val="0"/>
                  <w:vAlign w:val="center"/>
                </w:tcPr>
                <w:p w14:paraId="329254DF">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本项目供水为市政管网</w:t>
                  </w:r>
                </w:p>
              </w:tc>
              <w:tc>
                <w:tcPr>
                  <w:tcW w:w="1761" w:type="dxa"/>
                  <w:vMerge w:val="restart"/>
                  <w:tcBorders>
                    <w:tl2br w:val="nil"/>
                    <w:tr2bl w:val="nil"/>
                  </w:tcBorders>
                  <w:noWrap w:val="0"/>
                  <w:vAlign w:val="center"/>
                </w:tcPr>
                <w:p w14:paraId="1EA1661C">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依托核工业二0三研究所现有</w:t>
                  </w:r>
                </w:p>
              </w:tc>
            </w:tr>
            <w:tr w14:paraId="15F580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198E60CE">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highlight w:val="none"/>
                      <w:lang w:val="en-US" w:eastAsia="zh-CN"/>
                    </w:rPr>
                  </w:pPr>
                </w:p>
              </w:tc>
              <w:tc>
                <w:tcPr>
                  <w:tcW w:w="346" w:type="dxa"/>
                  <w:vMerge w:val="continue"/>
                  <w:tcBorders>
                    <w:tl2br w:val="nil"/>
                    <w:tr2bl w:val="nil"/>
                  </w:tcBorders>
                  <w:noWrap w:val="0"/>
                  <w:vAlign w:val="center"/>
                </w:tcPr>
                <w:p w14:paraId="27D36D61">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highlight w:val="none"/>
                      <w:lang w:val="en-US" w:eastAsia="zh-CN"/>
                    </w:rPr>
                  </w:pPr>
                </w:p>
              </w:tc>
              <w:tc>
                <w:tcPr>
                  <w:tcW w:w="395" w:type="dxa"/>
                  <w:tcBorders>
                    <w:tl2br w:val="nil"/>
                    <w:tr2bl w:val="nil"/>
                  </w:tcBorders>
                  <w:shd w:val="clear" w:color="auto" w:fill="auto"/>
                  <w:noWrap w:val="0"/>
                  <w:vAlign w:val="center"/>
                </w:tcPr>
                <w:p w14:paraId="085937D7">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供电</w:t>
                  </w:r>
                </w:p>
              </w:tc>
              <w:tc>
                <w:tcPr>
                  <w:tcW w:w="2764" w:type="dxa"/>
                  <w:tcBorders>
                    <w:tl2br w:val="nil"/>
                    <w:tr2bl w:val="nil"/>
                  </w:tcBorders>
                  <w:shd w:val="clear" w:color="auto" w:fill="auto"/>
                  <w:noWrap w:val="0"/>
                  <w:vAlign w:val="center"/>
                </w:tcPr>
                <w:p w14:paraId="57D8C790">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508" w:type="dxa"/>
                  <w:tcBorders>
                    <w:tl2br w:val="nil"/>
                    <w:tr2bl w:val="nil"/>
                  </w:tcBorders>
                  <w:noWrap w:val="0"/>
                  <w:vAlign w:val="center"/>
                </w:tcPr>
                <w:p w14:paraId="5909D23C">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本项目采用市政供电</w:t>
                  </w:r>
                </w:p>
              </w:tc>
              <w:tc>
                <w:tcPr>
                  <w:tcW w:w="1761" w:type="dxa"/>
                  <w:vMerge w:val="continue"/>
                  <w:tcBorders>
                    <w:tl2br w:val="nil"/>
                    <w:tr2bl w:val="nil"/>
                  </w:tcBorders>
                  <w:noWrap w:val="0"/>
                  <w:vAlign w:val="center"/>
                </w:tcPr>
                <w:p w14:paraId="51D176C6">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p>
              </w:tc>
            </w:tr>
            <w:tr w14:paraId="78B5F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639DEBEF">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highlight w:val="none"/>
                      <w:lang w:val="en-US" w:eastAsia="zh-CN"/>
                    </w:rPr>
                  </w:pPr>
                </w:p>
              </w:tc>
              <w:tc>
                <w:tcPr>
                  <w:tcW w:w="346" w:type="dxa"/>
                  <w:vMerge w:val="continue"/>
                  <w:tcBorders>
                    <w:tl2br w:val="nil"/>
                    <w:tr2bl w:val="nil"/>
                  </w:tcBorders>
                  <w:noWrap w:val="0"/>
                  <w:vAlign w:val="center"/>
                </w:tcPr>
                <w:p w14:paraId="14A96B13">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highlight w:val="none"/>
                      <w:lang w:val="en-US" w:eastAsia="zh-CN"/>
                    </w:rPr>
                  </w:pPr>
                </w:p>
              </w:tc>
              <w:tc>
                <w:tcPr>
                  <w:tcW w:w="395" w:type="dxa"/>
                  <w:tcBorders>
                    <w:tl2br w:val="nil"/>
                    <w:tr2bl w:val="nil"/>
                  </w:tcBorders>
                  <w:noWrap w:val="0"/>
                  <w:vAlign w:val="center"/>
                </w:tcPr>
                <w:p w14:paraId="127D94EA">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供暖</w:t>
                  </w:r>
                </w:p>
              </w:tc>
              <w:tc>
                <w:tcPr>
                  <w:tcW w:w="2764" w:type="dxa"/>
                  <w:tcBorders>
                    <w:tl2br w:val="nil"/>
                    <w:tr2bl w:val="nil"/>
                  </w:tcBorders>
                  <w:noWrap w:val="0"/>
                  <w:vAlign w:val="center"/>
                </w:tcPr>
                <w:p w14:paraId="3F4C868A">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508" w:type="dxa"/>
                  <w:tcBorders>
                    <w:tl2br w:val="nil"/>
                    <w:tr2bl w:val="nil"/>
                  </w:tcBorders>
                  <w:noWrap w:val="0"/>
                  <w:vAlign w:val="center"/>
                </w:tcPr>
                <w:p w14:paraId="5451281F">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本项目采用中央空调制冷及制热</w:t>
                  </w:r>
                </w:p>
              </w:tc>
              <w:tc>
                <w:tcPr>
                  <w:tcW w:w="1761" w:type="dxa"/>
                  <w:vMerge w:val="continue"/>
                  <w:tcBorders>
                    <w:tl2br w:val="nil"/>
                    <w:tr2bl w:val="nil"/>
                  </w:tcBorders>
                  <w:noWrap w:val="0"/>
                  <w:vAlign w:val="center"/>
                </w:tcPr>
                <w:p w14:paraId="4B2F7D9B">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p>
              </w:tc>
            </w:tr>
            <w:tr w14:paraId="187317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3" w:type="dxa"/>
                  <w:vMerge w:val="continue"/>
                  <w:tcBorders>
                    <w:tl2br w:val="nil"/>
                    <w:tr2bl w:val="nil"/>
                  </w:tcBorders>
                  <w:noWrap w:val="0"/>
                  <w:vAlign w:val="center"/>
                </w:tcPr>
                <w:p w14:paraId="3FB0BC06">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highlight w:val="none"/>
                      <w:lang w:val="en-US" w:eastAsia="zh-CN"/>
                    </w:rPr>
                  </w:pPr>
                </w:p>
              </w:tc>
              <w:tc>
                <w:tcPr>
                  <w:tcW w:w="346" w:type="dxa"/>
                  <w:vMerge w:val="restart"/>
                  <w:tcBorders>
                    <w:tl2br w:val="nil"/>
                    <w:tr2bl w:val="nil"/>
                  </w:tcBorders>
                  <w:noWrap w:val="0"/>
                  <w:vAlign w:val="center"/>
                </w:tcPr>
                <w:p w14:paraId="1C615112">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环保工程</w:t>
                  </w:r>
                </w:p>
              </w:tc>
              <w:tc>
                <w:tcPr>
                  <w:tcW w:w="395" w:type="dxa"/>
                  <w:vMerge w:val="restart"/>
                  <w:tcBorders>
                    <w:tl2br w:val="nil"/>
                    <w:tr2bl w:val="nil"/>
                  </w:tcBorders>
                  <w:noWrap w:val="0"/>
                  <w:vAlign w:val="center"/>
                </w:tcPr>
                <w:p w14:paraId="252C440E">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废气</w:t>
                  </w:r>
                </w:p>
              </w:tc>
              <w:tc>
                <w:tcPr>
                  <w:tcW w:w="2764" w:type="dxa"/>
                  <w:tcBorders>
                    <w:tl2br w:val="nil"/>
                    <w:tr2bl w:val="nil"/>
                  </w:tcBorders>
                  <w:noWrap w:val="0"/>
                  <w:vAlign w:val="center"/>
                </w:tcPr>
                <w:p w14:paraId="1C9F7EA4">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508" w:type="dxa"/>
                  <w:tcBorders>
                    <w:tl2br w:val="nil"/>
                    <w:tr2bl w:val="nil"/>
                  </w:tcBorders>
                  <w:shd w:val="clear" w:color="auto" w:fill="auto"/>
                  <w:noWrap w:val="0"/>
                  <w:vAlign w:val="center"/>
                </w:tcPr>
                <w:p w14:paraId="35FA839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本项目</w:t>
                  </w:r>
                  <w:r>
                    <w:rPr>
                      <w:rFonts w:hint="eastAsia"/>
                      <w:color w:val="auto"/>
                      <w:highlight w:val="none"/>
                    </w:rPr>
                    <w:t>实验室酸性废气</w:t>
                  </w:r>
                  <w:r>
                    <w:rPr>
                      <w:rFonts w:hint="eastAsia"/>
                      <w:color w:val="auto"/>
                      <w:highlight w:val="none"/>
                      <w:lang w:val="en-US" w:eastAsia="zh-CN"/>
                    </w:rPr>
                    <w:t>依托现有</w:t>
                  </w:r>
                  <w:r>
                    <w:rPr>
                      <w:rFonts w:hint="eastAsia"/>
                      <w:color w:val="auto"/>
                      <w:highlight w:val="none"/>
                    </w:rPr>
                    <w:t>操作台</w:t>
                  </w:r>
                  <w:r>
                    <w:rPr>
                      <w:rFonts w:hint="eastAsia"/>
                      <w:color w:val="auto"/>
                      <w:highlight w:val="none"/>
                      <w:lang w:val="en-US" w:eastAsia="zh-CN"/>
                    </w:rPr>
                    <w:t>通风橱</w:t>
                  </w:r>
                  <w:r>
                    <w:rPr>
                      <w:rFonts w:hint="eastAsia"/>
                      <w:color w:val="auto"/>
                      <w:highlight w:val="none"/>
                    </w:rPr>
                    <w:t>收集后</w:t>
                  </w:r>
                  <w:r>
                    <w:rPr>
                      <w:rFonts w:hint="eastAsia"/>
                      <w:color w:val="auto"/>
                      <w:highlight w:val="none"/>
                      <w:lang w:eastAsia="zh-CN"/>
                    </w:rPr>
                    <w:t>，</w:t>
                  </w:r>
                  <w:r>
                    <w:rPr>
                      <w:rFonts w:hint="eastAsia"/>
                      <w:color w:val="auto"/>
                      <w:highlight w:val="none"/>
                      <w:lang w:val="en-US" w:eastAsia="zh-CN"/>
                    </w:rPr>
                    <w:t>通过</w:t>
                  </w:r>
                  <w:r>
                    <w:rPr>
                      <w:rFonts w:hint="eastAsia"/>
                      <w:color w:val="auto"/>
                      <w:highlight w:val="none"/>
                    </w:rPr>
                    <w:t>10套碱液洗涤塔</w:t>
                  </w:r>
                  <w:r>
                    <w:rPr>
                      <w:rFonts w:hint="eastAsia"/>
                      <w:color w:val="auto"/>
                      <w:highlight w:val="none"/>
                      <w:lang w:val="en-US" w:eastAsia="zh-CN"/>
                    </w:rPr>
                    <w:t>处理，经10根23m高的排气筒排放</w:t>
                  </w:r>
                </w:p>
              </w:tc>
              <w:tc>
                <w:tcPr>
                  <w:tcW w:w="1761" w:type="dxa"/>
                  <w:vMerge w:val="restart"/>
                  <w:tcBorders>
                    <w:tl2br w:val="nil"/>
                    <w:tr2bl w:val="nil"/>
                  </w:tcBorders>
                  <w:noWrap w:val="0"/>
                  <w:vAlign w:val="center"/>
                </w:tcPr>
                <w:p w14:paraId="08B2C2E5">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依托核工业二0三研究所现有废气处理系统，本项目仅在现有科技综合楼B座内新增试验设备及操作平台，相应的通风橱收集系统、废气处理系统均运行良好</w:t>
                  </w:r>
                </w:p>
              </w:tc>
            </w:tr>
            <w:tr w14:paraId="4EB44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363" w:type="dxa"/>
                  <w:vMerge w:val="continue"/>
                  <w:tcBorders>
                    <w:tl2br w:val="nil"/>
                    <w:tr2bl w:val="nil"/>
                  </w:tcBorders>
                  <w:noWrap w:val="0"/>
                  <w:vAlign w:val="center"/>
                </w:tcPr>
                <w:p w14:paraId="5D5254B6">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highlight w:val="none"/>
                      <w:lang w:val="en-US" w:eastAsia="zh-CN"/>
                    </w:rPr>
                  </w:pPr>
                </w:p>
              </w:tc>
              <w:tc>
                <w:tcPr>
                  <w:tcW w:w="346" w:type="dxa"/>
                  <w:vMerge w:val="continue"/>
                  <w:tcBorders>
                    <w:tl2br w:val="nil"/>
                    <w:tr2bl w:val="nil"/>
                  </w:tcBorders>
                  <w:noWrap w:val="0"/>
                  <w:vAlign w:val="center"/>
                </w:tcPr>
                <w:p w14:paraId="380BA86F">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highlight w:val="none"/>
                      <w:lang w:val="en-US" w:eastAsia="zh-CN"/>
                    </w:rPr>
                  </w:pPr>
                </w:p>
              </w:tc>
              <w:tc>
                <w:tcPr>
                  <w:tcW w:w="395" w:type="dxa"/>
                  <w:vMerge w:val="continue"/>
                  <w:tcBorders>
                    <w:tl2br w:val="nil"/>
                    <w:tr2bl w:val="nil"/>
                  </w:tcBorders>
                  <w:noWrap w:val="0"/>
                  <w:vAlign w:val="center"/>
                </w:tcPr>
                <w:p w14:paraId="7EC31B92">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highlight w:val="none"/>
                      <w:lang w:val="en-US" w:eastAsia="zh-CN"/>
                    </w:rPr>
                  </w:pPr>
                </w:p>
              </w:tc>
              <w:tc>
                <w:tcPr>
                  <w:tcW w:w="2764" w:type="dxa"/>
                  <w:tcBorders>
                    <w:tl2br w:val="nil"/>
                    <w:tr2bl w:val="nil"/>
                  </w:tcBorders>
                  <w:noWrap w:val="0"/>
                  <w:vAlign w:val="center"/>
                </w:tcPr>
                <w:p w14:paraId="4DDB9B0F">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508" w:type="dxa"/>
                  <w:tcBorders>
                    <w:tl2br w:val="nil"/>
                    <w:tr2bl w:val="nil"/>
                  </w:tcBorders>
                  <w:shd w:val="clear" w:color="auto" w:fill="auto"/>
                  <w:noWrap w:val="0"/>
                  <w:vAlign w:val="center"/>
                </w:tcPr>
                <w:p w14:paraId="693EF72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本项目实验室有机废气依托</w:t>
                  </w:r>
                  <w:r>
                    <w:rPr>
                      <w:rFonts w:hint="eastAsia"/>
                      <w:color w:val="auto"/>
                      <w:highlight w:val="none"/>
                    </w:rPr>
                    <w:t>操作台</w:t>
                  </w:r>
                  <w:r>
                    <w:rPr>
                      <w:rFonts w:hint="eastAsia"/>
                      <w:color w:val="auto"/>
                      <w:highlight w:val="none"/>
                      <w:lang w:val="en-US" w:eastAsia="zh-CN"/>
                    </w:rPr>
                    <w:t>通风橱</w:t>
                  </w:r>
                  <w:r>
                    <w:rPr>
                      <w:rFonts w:hint="eastAsia"/>
                      <w:color w:val="auto"/>
                      <w:highlight w:val="none"/>
                    </w:rPr>
                    <w:t>收集后</w:t>
                  </w:r>
                  <w:r>
                    <w:rPr>
                      <w:rFonts w:hint="eastAsia"/>
                      <w:color w:val="auto"/>
                      <w:highlight w:val="none"/>
                      <w:lang w:eastAsia="zh-CN"/>
                    </w:rPr>
                    <w:t>，</w:t>
                  </w:r>
                  <w:r>
                    <w:rPr>
                      <w:rFonts w:hint="eastAsia"/>
                      <w:color w:val="auto"/>
                      <w:highlight w:val="none"/>
                      <w:lang w:val="en-US" w:eastAsia="zh-CN"/>
                    </w:rPr>
                    <w:t>采用4套二级活性炭吸附装置处理，经4根23m高的排气筒排放</w:t>
                  </w:r>
                </w:p>
              </w:tc>
              <w:tc>
                <w:tcPr>
                  <w:tcW w:w="1761" w:type="dxa"/>
                  <w:vMerge w:val="continue"/>
                  <w:tcBorders>
                    <w:tl2br w:val="nil"/>
                    <w:tr2bl w:val="nil"/>
                  </w:tcBorders>
                  <w:noWrap w:val="0"/>
                  <w:vAlign w:val="center"/>
                </w:tcPr>
                <w:p w14:paraId="515F3C85">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p>
              </w:tc>
            </w:tr>
            <w:tr w14:paraId="5FB08F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363" w:type="dxa"/>
                  <w:vMerge w:val="continue"/>
                  <w:tcBorders>
                    <w:tl2br w:val="nil"/>
                    <w:tr2bl w:val="nil"/>
                  </w:tcBorders>
                  <w:noWrap w:val="0"/>
                  <w:vAlign w:val="center"/>
                </w:tcPr>
                <w:p w14:paraId="05A38539">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highlight w:val="none"/>
                      <w:lang w:val="en-US" w:eastAsia="zh-CN"/>
                    </w:rPr>
                  </w:pPr>
                </w:p>
              </w:tc>
              <w:tc>
                <w:tcPr>
                  <w:tcW w:w="346" w:type="dxa"/>
                  <w:vMerge w:val="continue"/>
                  <w:tcBorders>
                    <w:tl2br w:val="nil"/>
                    <w:tr2bl w:val="nil"/>
                  </w:tcBorders>
                  <w:noWrap w:val="0"/>
                  <w:vAlign w:val="center"/>
                </w:tcPr>
                <w:p w14:paraId="5F0B93B7">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highlight w:val="none"/>
                      <w:lang w:val="en-US" w:eastAsia="zh-CN"/>
                    </w:rPr>
                  </w:pPr>
                </w:p>
              </w:tc>
              <w:tc>
                <w:tcPr>
                  <w:tcW w:w="395" w:type="dxa"/>
                  <w:tcBorders>
                    <w:tl2br w:val="nil"/>
                    <w:tr2bl w:val="nil"/>
                  </w:tcBorders>
                  <w:noWrap w:val="0"/>
                  <w:vAlign w:val="center"/>
                </w:tcPr>
                <w:p w14:paraId="4654C7F4">
                  <w:pPr>
                    <w:pStyle w:val="90"/>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废水</w:t>
                  </w:r>
                </w:p>
              </w:tc>
              <w:tc>
                <w:tcPr>
                  <w:tcW w:w="2764" w:type="dxa"/>
                  <w:tcBorders>
                    <w:tl2br w:val="nil"/>
                    <w:tr2bl w:val="nil"/>
                  </w:tcBorders>
                  <w:noWrap w:val="0"/>
                  <w:vAlign w:val="center"/>
                </w:tcPr>
                <w:p w14:paraId="45EDFB4C">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508" w:type="dxa"/>
                  <w:tcBorders>
                    <w:tl2br w:val="nil"/>
                    <w:tr2bl w:val="nil"/>
                  </w:tcBorders>
                  <w:noWrap w:val="0"/>
                  <w:vAlign w:val="center"/>
                </w:tcPr>
                <w:p w14:paraId="097CBA09">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本项目不新增员工，不新增生活污水；新增实验废水依托现有“酸碱中和+混凝沉淀”处理系统预处理后，与生活污水一并排入现有化粪池，最终排至沣东南污水处理厂</w:t>
                  </w:r>
                </w:p>
              </w:tc>
              <w:tc>
                <w:tcPr>
                  <w:tcW w:w="1761" w:type="dxa"/>
                  <w:tcBorders>
                    <w:tl2br w:val="nil"/>
                    <w:tr2bl w:val="nil"/>
                  </w:tcBorders>
                  <w:noWrap w:val="0"/>
                  <w:vAlign w:val="center"/>
                </w:tcPr>
                <w:p w14:paraId="37D368D3">
                  <w:pPr>
                    <w:pStyle w:val="90"/>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依托核工业二0三研究所现有“酸碱中和+混凝沉淀”预处理系统</w:t>
                  </w:r>
                </w:p>
              </w:tc>
            </w:tr>
          </w:tbl>
          <w:p w14:paraId="2E95D103">
            <w:pPr>
              <w:adjustRightInd w:val="0"/>
              <w:snapToGrid w:val="0"/>
              <w:spacing w:before="120" w:beforeLines="50" w:line="360" w:lineRule="auto"/>
              <w:ind w:firstLine="482" w:firstLineChars="200"/>
              <w:rPr>
                <w:b/>
                <w:color w:val="auto"/>
                <w:sz w:val="24"/>
                <w:highlight w:val="none"/>
              </w:rPr>
            </w:pPr>
            <w:r>
              <w:rPr>
                <w:rFonts w:hint="eastAsia"/>
                <w:b/>
                <w:color w:val="auto"/>
                <w:sz w:val="24"/>
                <w:highlight w:val="none"/>
                <w:lang w:val="en-US" w:eastAsia="zh-CN"/>
              </w:rPr>
              <w:t>4</w:t>
            </w:r>
            <w:r>
              <w:rPr>
                <w:b/>
                <w:color w:val="auto"/>
                <w:sz w:val="24"/>
                <w:highlight w:val="none"/>
              </w:rPr>
              <w:t>.建设</w:t>
            </w:r>
            <w:r>
              <w:rPr>
                <w:rFonts w:hint="eastAsia"/>
                <w:b/>
                <w:color w:val="auto"/>
                <w:sz w:val="24"/>
                <w:highlight w:val="none"/>
                <w:lang w:val="en-US" w:eastAsia="zh-CN"/>
              </w:rPr>
              <w:t>内容及</w:t>
            </w:r>
            <w:r>
              <w:rPr>
                <w:b/>
                <w:color w:val="auto"/>
                <w:sz w:val="24"/>
                <w:highlight w:val="none"/>
              </w:rPr>
              <w:t>规模</w:t>
            </w:r>
          </w:p>
          <w:p w14:paraId="408041DC">
            <w:pPr>
              <w:adjustRightInd w:val="0"/>
              <w:snapToGrid w:val="0"/>
              <w:spacing w:line="360" w:lineRule="auto"/>
              <w:ind w:firstLine="480" w:firstLineChars="200"/>
              <w:rPr>
                <w:rFonts w:hint="eastAsia" w:eastAsia="宋体"/>
                <w:color w:val="auto"/>
                <w:sz w:val="24"/>
                <w:highlight w:val="none"/>
                <w:lang w:val="en-US" w:eastAsia="zh-CN"/>
              </w:rPr>
            </w:pPr>
            <w:r>
              <w:rPr>
                <w:rFonts w:hint="eastAsia"/>
                <w:color w:val="auto"/>
                <w:sz w:val="24"/>
                <w:highlight w:val="none"/>
                <w:lang w:val="en-US" w:eastAsia="zh-CN"/>
              </w:rPr>
              <w:t>本项目是在现有实验室的基础上进行扩建，依托现有科技综合楼B座仅新增设备、药剂等，现有实验内容为酸（碱）熔矿分析实验，已在上一阶段开展环评并验收，不纳入本次评价范围。本</w:t>
            </w:r>
            <w:r>
              <w:rPr>
                <w:rFonts w:hint="eastAsia"/>
                <w:color w:val="auto"/>
                <w:sz w:val="24"/>
                <w:highlight w:val="none"/>
              </w:rPr>
              <w:t>项目</w:t>
            </w:r>
            <w:r>
              <w:rPr>
                <w:rFonts w:hint="eastAsia"/>
                <w:color w:val="auto"/>
                <w:sz w:val="24"/>
                <w:highlight w:val="none"/>
                <w:lang w:val="en-US" w:eastAsia="zh-CN"/>
              </w:rPr>
              <w:t>依托现有实验室内部的废气收集处理设施，仅在现有建筑物内进行实验项目的扩建，实验扩项主要内容包括：水质常规理化检测、环境空气常规理化检测、废气常规理化检测、土壤常规理化检测、岩矿熔矿检测实验、噪声检测实验等。实验室细分为常量实验室、微量实验室、高温实验室、有机实验室等。新增实验设备、实验试剂及实验样品</w:t>
            </w:r>
            <w:r>
              <w:rPr>
                <w:rFonts w:hint="eastAsia"/>
                <w:color w:val="auto"/>
                <w:sz w:val="24"/>
                <w:highlight w:val="none"/>
                <w:lang w:eastAsia="zh-CN"/>
              </w:rPr>
              <w:t>（</w:t>
            </w:r>
            <w:r>
              <w:rPr>
                <w:rFonts w:hint="eastAsia"/>
                <w:color w:val="auto"/>
                <w:sz w:val="24"/>
                <w:highlight w:val="none"/>
                <w:lang w:val="en-US" w:eastAsia="zh-CN"/>
              </w:rPr>
              <w:t>约</w:t>
            </w:r>
            <w:r>
              <w:rPr>
                <w:rFonts w:hint="eastAsia"/>
                <w:color w:val="auto"/>
                <w:sz w:val="24"/>
                <w:highlight w:val="none"/>
              </w:rPr>
              <w:t>115件/月）</w:t>
            </w:r>
            <w:r>
              <w:rPr>
                <w:rFonts w:hint="eastAsia"/>
                <w:color w:val="auto"/>
                <w:sz w:val="24"/>
                <w:highlight w:val="none"/>
                <w:lang w:eastAsia="zh-CN"/>
              </w:rPr>
              <w:t>，</w:t>
            </w:r>
            <w:r>
              <w:rPr>
                <w:rFonts w:hint="eastAsia"/>
                <w:color w:val="auto"/>
                <w:sz w:val="24"/>
                <w:highlight w:val="none"/>
                <w:lang w:val="en-US" w:eastAsia="zh-CN"/>
              </w:rPr>
              <w:t>实验试剂集中存放在四层有机试剂间、无机试剂间</w:t>
            </w:r>
            <w:r>
              <w:rPr>
                <w:rFonts w:hint="eastAsia"/>
                <w:color w:val="auto"/>
                <w:sz w:val="24"/>
                <w:highlight w:val="none"/>
              </w:rPr>
              <w:t>。</w:t>
            </w:r>
            <w:r>
              <w:rPr>
                <w:rFonts w:hint="eastAsia"/>
                <w:color w:val="auto"/>
                <w:sz w:val="24"/>
                <w:highlight w:val="none"/>
                <w:lang w:val="en-US" w:eastAsia="zh-CN"/>
              </w:rPr>
              <w:t>企业最终</w:t>
            </w:r>
            <w:r>
              <w:rPr>
                <w:rFonts w:hint="eastAsia"/>
                <w:color w:val="auto"/>
                <w:sz w:val="24"/>
                <w:highlight w:val="none"/>
              </w:rPr>
              <w:t>检测内容具体以实验室资质认定结果为准</w:t>
            </w:r>
            <w:r>
              <w:rPr>
                <w:rFonts w:hint="eastAsia"/>
                <w:color w:val="auto"/>
                <w:sz w:val="24"/>
                <w:highlight w:val="none"/>
                <w:lang w:eastAsia="zh-CN"/>
              </w:rPr>
              <w:t>。</w:t>
            </w:r>
          </w:p>
          <w:p w14:paraId="0001ECB4">
            <w:pPr>
              <w:adjustRightInd w:val="0"/>
              <w:snapToGrid w:val="0"/>
              <w:spacing w:line="360" w:lineRule="auto"/>
              <w:ind w:firstLine="482" w:firstLineChars="200"/>
              <w:rPr>
                <w:color w:val="auto"/>
                <w:sz w:val="24"/>
                <w:highlight w:val="none"/>
              </w:rPr>
            </w:pPr>
            <w:r>
              <w:rPr>
                <w:rFonts w:hint="eastAsia"/>
                <w:b/>
                <w:color w:val="auto"/>
                <w:sz w:val="24"/>
                <w:highlight w:val="none"/>
                <w:lang w:val="en-US" w:eastAsia="zh-CN"/>
              </w:rPr>
              <w:t>5</w:t>
            </w:r>
            <w:r>
              <w:rPr>
                <w:b/>
                <w:color w:val="auto"/>
                <w:sz w:val="24"/>
                <w:highlight w:val="none"/>
              </w:rPr>
              <w:t>.原辅材料及能源消耗</w:t>
            </w:r>
          </w:p>
          <w:p w14:paraId="216BF505">
            <w:pPr>
              <w:adjustRightInd w:val="0"/>
              <w:snapToGrid w:val="0"/>
              <w:spacing w:line="360" w:lineRule="auto"/>
              <w:ind w:firstLine="480" w:firstLineChars="200"/>
              <w:rPr>
                <w:color w:val="auto"/>
                <w:sz w:val="24"/>
                <w:highlight w:val="none"/>
                <w:shd w:val="clear" w:color="auto" w:fill="FFFF00"/>
              </w:rPr>
            </w:pPr>
            <w:r>
              <w:rPr>
                <w:color w:val="auto"/>
                <w:sz w:val="24"/>
                <w:highlight w:val="none"/>
              </w:rPr>
              <w:t>本项目</w:t>
            </w:r>
            <w:r>
              <w:rPr>
                <w:rFonts w:hint="eastAsia"/>
                <w:color w:val="auto"/>
                <w:sz w:val="24"/>
                <w:highlight w:val="none"/>
                <w:lang w:val="en-US" w:eastAsia="zh-CN"/>
              </w:rPr>
              <w:t>主要原辅材料用量见表2-2，</w:t>
            </w:r>
            <w:r>
              <w:rPr>
                <w:bCs/>
                <w:color w:val="auto"/>
                <w:sz w:val="24"/>
                <w:highlight w:val="none"/>
              </w:rPr>
              <w:t>本项目涉及的化学品种类较多，本次评价根据使用化学品的危险性、易产生污染性和用量，对本项目涉及的主要化学品性质列举</w:t>
            </w:r>
            <w:r>
              <w:rPr>
                <w:rFonts w:hint="eastAsia"/>
                <w:color w:val="auto"/>
                <w:sz w:val="24"/>
                <w:highlight w:val="none"/>
                <w:lang w:val="en-US" w:eastAsia="zh-CN"/>
              </w:rPr>
              <w:t>详见表2-3</w:t>
            </w:r>
            <w:r>
              <w:rPr>
                <w:color w:val="auto"/>
                <w:sz w:val="24"/>
                <w:highlight w:val="none"/>
                <w:shd w:val="clear" w:color="auto" w:fill="auto"/>
              </w:rPr>
              <w:t>。</w:t>
            </w:r>
          </w:p>
          <w:p w14:paraId="78A8ABFF">
            <w:pPr>
              <w:adjustRightInd w:val="0"/>
              <w:snapToGrid w:val="0"/>
              <w:jc w:val="center"/>
              <w:rPr>
                <w:b/>
                <w:color w:val="auto"/>
                <w:szCs w:val="21"/>
                <w:highlight w:val="none"/>
              </w:rPr>
            </w:pPr>
            <w:r>
              <w:rPr>
                <w:b/>
                <w:color w:val="auto"/>
                <w:szCs w:val="21"/>
                <w:highlight w:val="none"/>
              </w:rPr>
              <w:t>表2-</w:t>
            </w:r>
            <w:r>
              <w:rPr>
                <w:rFonts w:hint="eastAsia"/>
                <w:b/>
                <w:color w:val="auto"/>
                <w:szCs w:val="21"/>
                <w:highlight w:val="none"/>
                <w:lang w:val="en-US" w:eastAsia="zh-CN"/>
              </w:rPr>
              <w:t>2</w:t>
            </w:r>
            <w:r>
              <w:rPr>
                <w:b/>
                <w:color w:val="auto"/>
                <w:szCs w:val="21"/>
                <w:highlight w:val="none"/>
              </w:rPr>
              <w:t xml:space="preserve">  主要原辅材料消耗情况</w:t>
            </w:r>
            <w:r>
              <w:rPr>
                <w:rFonts w:hint="eastAsia"/>
                <w:b/>
                <w:color w:val="auto"/>
                <w:szCs w:val="21"/>
                <w:highlight w:val="none"/>
              </w:rPr>
              <w:t>表</w:t>
            </w:r>
          </w:p>
          <w:tbl>
            <w:tblPr>
              <w:tblStyle w:val="27"/>
              <w:tblW w:w="492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9"/>
              <w:gridCol w:w="1965"/>
              <w:gridCol w:w="833"/>
              <w:gridCol w:w="655"/>
              <w:gridCol w:w="1175"/>
              <w:gridCol w:w="1065"/>
              <w:gridCol w:w="951"/>
              <w:gridCol w:w="784"/>
            </w:tblGrid>
            <w:tr w14:paraId="1CED9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F33262B">
                  <w:pPr>
                    <w:keepNext w:val="0"/>
                    <w:keepLines w:val="0"/>
                    <w:pageBreakBefore w:val="0"/>
                    <w:widowControl w:val="0"/>
                    <w:numPr>
                      <w:ilvl w:val="0"/>
                      <w:numId w:val="0"/>
                    </w:numPr>
                    <w:kinsoku/>
                    <w:wordWrap/>
                    <w:overflowPunct/>
                    <w:topLinePunct w:val="0"/>
                    <w:autoSpaceDE/>
                    <w:autoSpaceDN/>
                    <w:bidi w:val="0"/>
                    <w:adjustRightInd/>
                    <w:snapToGrid/>
                    <w:ind w:left="0" w:leftChars="0" w:firstLine="0"/>
                    <w:jc w:val="center"/>
                    <w:textAlignment w:val="auto"/>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序号</w:t>
                  </w:r>
                </w:p>
              </w:tc>
              <w:tc>
                <w:tcPr>
                  <w:tcW w:w="1228" w:type="pct"/>
                  <w:tcBorders>
                    <w:tl2br w:val="nil"/>
                    <w:tr2bl w:val="nil"/>
                  </w:tcBorders>
                  <w:noWrap w:val="0"/>
                  <w:vAlign w:val="center"/>
                </w:tcPr>
                <w:p w14:paraId="7C681348">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原辅材料</w:t>
                  </w:r>
                </w:p>
              </w:tc>
              <w:tc>
                <w:tcPr>
                  <w:tcW w:w="520" w:type="pct"/>
                  <w:tcBorders>
                    <w:tl2br w:val="nil"/>
                    <w:tr2bl w:val="nil"/>
                  </w:tcBorders>
                  <w:noWrap w:val="0"/>
                  <w:vAlign w:val="center"/>
                </w:tcPr>
                <w:p w14:paraId="6D5189A2">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种类</w:t>
                  </w:r>
                </w:p>
              </w:tc>
              <w:tc>
                <w:tcPr>
                  <w:tcW w:w="409" w:type="pct"/>
                  <w:tcBorders>
                    <w:tl2br w:val="nil"/>
                    <w:tr2bl w:val="nil"/>
                  </w:tcBorders>
                  <w:noWrap w:val="0"/>
                  <w:vAlign w:val="center"/>
                </w:tcPr>
                <w:p w14:paraId="5E733AD4">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现有量</w:t>
                  </w:r>
                </w:p>
              </w:tc>
              <w:tc>
                <w:tcPr>
                  <w:tcW w:w="734" w:type="pct"/>
                  <w:tcBorders>
                    <w:tl2br w:val="nil"/>
                    <w:tr2bl w:val="nil"/>
                  </w:tcBorders>
                  <w:noWrap w:val="0"/>
                  <w:vAlign w:val="center"/>
                </w:tcPr>
                <w:p w14:paraId="2B021BE8">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扩建后</w:t>
                  </w:r>
                </w:p>
                <w:p w14:paraId="5C36C32E">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年用量</w:t>
                  </w:r>
                </w:p>
              </w:tc>
              <w:tc>
                <w:tcPr>
                  <w:tcW w:w="665" w:type="pct"/>
                  <w:tcBorders>
                    <w:tl2br w:val="nil"/>
                    <w:tr2bl w:val="nil"/>
                  </w:tcBorders>
                  <w:noWrap w:val="0"/>
                  <w:vAlign w:val="center"/>
                </w:tcPr>
                <w:p w14:paraId="4376B1B3">
                  <w:pPr>
                    <w:jc w:val="center"/>
                    <w:rPr>
                      <w:rFonts w:hint="default" w:ascii="Times New Roman" w:hAnsi="Times New Roman" w:cs="Times New Roman" w:eastAsiaTheme="minorEastAsia"/>
                      <w:b/>
                      <w:color w:val="auto"/>
                      <w:sz w:val="21"/>
                      <w:szCs w:val="21"/>
                      <w:highlight w:val="none"/>
                      <w:lang w:eastAsia="zh-CN"/>
                    </w:rPr>
                  </w:pPr>
                  <w:r>
                    <w:rPr>
                      <w:rFonts w:hint="default" w:ascii="Times New Roman" w:hAnsi="Times New Roman" w:cs="Times New Roman" w:eastAsiaTheme="minorEastAsia"/>
                      <w:b/>
                      <w:color w:val="auto"/>
                      <w:sz w:val="21"/>
                      <w:szCs w:val="21"/>
                      <w:highlight w:val="none"/>
                      <w:lang w:val="en-US" w:eastAsia="zh-CN"/>
                    </w:rPr>
                    <w:t>项目内最大储存量</w:t>
                  </w:r>
                </w:p>
              </w:tc>
              <w:tc>
                <w:tcPr>
                  <w:tcW w:w="594" w:type="pct"/>
                  <w:tcBorders>
                    <w:tl2br w:val="nil"/>
                    <w:tr2bl w:val="nil"/>
                  </w:tcBorders>
                  <w:noWrap w:val="0"/>
                  <w:vAlign w:val="center"/>
                </w:tcPr>
                <w:p w14:paraId="7C84AC0E">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单位</w:t>
                  </w:r>
                </w:p>
              </w:tc>
              <w:tc>
                <w:tcPr>
                  <w:tcW w:w="490" w:type="pct"/>
                  <w:tcBorders>
                    <w:tl2br w:val="nil"/>
                    <w:tr2bl w:val="nil"/>
                  </w:tcBorders>
                  <w:noWrap w:val="0"/>
                  <w:vAlign w:val="center"/>
                </w:tcPr>
                <w:p w14:paraId="1EA1FD56">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变化情况</w:t>
                  </w:r>
                </w:p>
              </w:tc>
            </w:tr>
            <w:tr w14:paraId="11BE5A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73086B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1</w:t>
                  </w:r>
                </w:p>
              </w:tc>
              <w:tc>
                <w:tcPr>
                  <w:tcW w:w="1228" w:type="pct"/>
                  <w:tcBorders>
                    <w:tl2br w:val="nil"/>
                    <w:tr2bl w:val="nil"/>
                  </w:tcBorders>
                  <w:noWrap w:val="0"/>
                  <w:vAlign w:val="center"/>
                </w:tcPr>
                <w:p w14:paraId="45DC354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硝酸（68%）</w:t>
                  </w:r>
                </w:p>
              </w:tc>
              <w:tc>
                <w:tcPr>
                  <w:tcW w:w="520" w:type="pct"/>
                  <w:tcBorders>
                    <w:tl2br w:val="nil"/>
                    <w:tr2bl w:val="nil"/>
                  </w:tcBorders>
                  <w:noWrap w:val="0"/>
                  <w:vAlign w:val="center"/>
                </w:tcPr>
                <w:p w14:paraId="4E97EF21">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79947C3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0106589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1000</w:t>
                  </w:r>
                </w:p>
              </w:tc>
              <w:tc>
                <w:tcPr>
                  <w:tcW w:w="665" w:type="pct"/>
                  <w:tcBorders>
                    <w:tl2br w:val="nil"/>
                    <w:tr2bl w:val="nil"/>
                  </w:tcBorders>
                  <w:noWrap w:val="0"/>
                  <w:vAlign w:val="center"/>
                </w:tcPr>
                <w:p w14:paraId="6B76C72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200</w:t>
                  </w:r>
                </w:p>
              </w:tc>
              <w:tc>
                <w:tcPr>
                  <w:tcW w:w="594" w:type="pct"/>
                  <w:tcBorders>
                    <w:tl2br w:val="nil"/>
                    <w:tr2bl w:val="nil"/>
                  </w:tcBorders>
                  <w:noWrap w:val="0"/>
                  <w:vAlign w:val="center"/>
                </w:tcPr>
                <w:p w14:paraId="492D888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1085433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+1000</w:t>
                  </w:r>
                </w:p>
              </w:tc>
            </w:tr>
            <w:tr w14:paraId="6706F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0CE72B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1228" w:type="pct"/>
                  <w:tcBorders>
                    <w:tl2br w:val="nil"/>
                    <w:tr2bl w:val="nil"/>
                  </w:tcBorders>
                  <w:noWrap w:val="0"/>
                  <w:vAlign w:val="center"/>
                </w:tcPr>
                <w:p w14:paraId="29A8DAC2">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硫酸（98%）</w:t>
                  </w:r>
                </w:p>
              </w:tc>
              <w:tc>
                <w:tcPr>
                  <w:tcW w:w="520" w:type="pct"/>
                  <w:tcBorders>
                    <w:tl2br w:val="nil"/>
                    <w:tr2bl w:val="nil"/>
                  </w:tcBorders>
                  <w:noWrap w:val="0"/>
                  <w:vAlign w:val="center"/>
                </w:tcPr>
                <w:p w14:paraId="289E4CEA">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7F66CC9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72B6E5A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1764D3A9">
                  <w:pPr>
                    <w:jc w:val="center"/>
                    <w:rPr>
                      <w:rFonts w:hint="default" w:ascii="Times New Roman" w:hAnsi="Times New Roman" w:cs="Times New Roman" w:eastAsiaTheme="minorEastAsia"/>
                      <w:bCs/>
                      <w:color w:val="auto"/>
                      <w:sz w:val="21"/>
                      <w:szCs w:val="21"/>
                      <w:highlight w:val="none"/>
                      <w:lang w:val="en-US"/>
                    </w:rPr>
                  </w:pPr>
                  <w:r>
                    <w:rPr>
                      <w:rFonts w:hint="default" w:ascii="Times New Roman" w:hAnsi="Times New Roman" w:cs="Times New Roman" w:eastAsiaTheme="minorEastAsia"/>
                      <w:bCs/>
                      <w:color w:val="auto"/>
                      <w:sz w:val="21"/>
                      <w:szCs w:val="21"/>
                      <w:highlight w:val="none"/>
                      <w:lang w:val="en-US" w:eastAsia="zh-CN"/>
                    </w:rPr>
                    <w:t>20</w:t>
                  </w:r>
                </w:p>
              </w:tc>
              <w:tc>
                <w:tcPr>
                  <w:tcW w:w="594" w:type="pct"/>
                  <w:tcBorders>
                    <w:tl2br w:val="nil"/>
                    <w:tr2bl w:val="nil"/>
                  </w:tcBorders>
                  <w:noWrap w:val="0"/>
                  <w:vAlign w:val="center"/>
                </w:tcPr>
                <w:p w14:paraId="1EB3F8D6">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73328E9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294C1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12FD68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3</w:t>
                  </w:r>
                </w:p>
              </w:tc>
              <w:tc>
                <w:tcPr>
                  <w:tcW w:w="1228" w:type="pct"/>
                  <w:tcBorders>
                    <w:tl2br w:val="nil"/>
                    <w:tr2bl w:val="nil"/>
                  </w:tcBorders>
                  <w:noWrap w:val="0"/>
                  <w:vAlign w:val="center"/>
                </w:tcPr>
                <w:p w14:paraId="2F25E41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盐酸（38%）</w:t>
                  </w:r>
                </w:p>
              </w:tc>
              <w:tc>
                <w:tcPr>
                  <w:tcW w:w="520" w:type="pct"/>
                  <w:tcBorders>
                    <w:tl2br w:val="nil"/>
                    <w:tr2bl w:val="nil"/>
                  </w:tcBorders>
                  <w:noWrap w:val="0"/>
                  <w:vAlign w:val="center"/>
                </w:tcPr>
                <w:p w14:paraId="2D9ECBA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3FF6D47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500</w:t>
                  </w:r>
                </w:p>
              </w:tc>
              <w:tc>
                <w:tcPr>
                  <w:tcW w:w="734" w:type="pct"/>
                  <w:tcBorders>
                    <w:tl2br w:val="nil"/>
                    <w:tr2bl w:val="nil"/>
                  </w:tcBorders>
                  <w:noWrap w:val="0"/>
                  <w:vAlign w:val="center"/>
                </w:tcPr>
                <w:p w14:paraId="7644CC4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2000</w:t>
                  </w:r>
                </w:p>
              </w:tc>
              <w:tc>
                <w:tcPr>
                  <w:tcW w:w="665" w:type="pct"/>
                  <w:tcBorders>
                    <w:tl2br w:val="nil"/>
                    <w:tr2bl w:val="nil"/>
                  </w:tcBorders>
                  <w:noWrap w:val="0"/>
                  <w:vAlign w:val="center"/>
                </w:tcPr>
                <w:p w14:paraId="4408ACF7">
                  <w:pPr>
                    <w:jc w:val="center"/>
                    <w:rPr>
                      <w:rFonts w:hint="default" w:ascii="Times New Roman" w:hAnsi="Times New Roman" w:cs="Times New Roman" w:eastAsiaTheme="minorEastAsia"/>
                      <w:bCs/>
                      <w:color w:val="auto"/>
                      <w:sz w:val="21"/>
                      <w:szCs w:val="21"/>
                      <w:highlight w:val="none"/>
                      <w:lang w:val="en-US"/>
                    </w:rPr>
                  </w:pPr>
                  <w:r>
                    <w:rPr>
                      <w:rFonts w:hint="default" w:ascii="Times New Roman" w:hAnsi="Times New Roman" w:cs="Times New Roman" w:eastAsiaTheme="minorEastAsia"/>
                      <w:bCs/>
                      <w:color w:val="auto"/>
                      <w:sz w:val="21"/>
                      <w:szCs w:val="21"/>
                      <w:highlight w:val="none"/>
                      <w:lang w:val="en-US" w:eastAsia="zh-CN"/>
                    </w:rPr>
                    <w:t>500</w:t>
                  </w:r>
                </w:p>
              </w:tc>
              <w:tc>
                <w:tcPr>
                  <w:tcW w:w="594" w:type="pct"/>
                  <w:tcBorders>
                    <w:tl2br w:val="nil"/>
                    <w:tr2bl w:val="nil"/>
                  </w:tcBorders>
                  <w:noWrap w:val="0"/>
                  <w:vAlign w:val="center"/>
                </w:tcPr>
                <w:p w14:paraId="78DAC01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4303769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+1500</w:t>
                  </w:r>
                </w:p>
              </w:tc>
            </w:tr>
            <w:tr w14:paraId="777FE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3F1784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4</w:t>
                  </w:r>
                </w:p>
              </w:tc>
              <w:tc>
                <w:tcPr>
                  <w:tcW w:w="1228" w:type="pct"/>
                  <w:tcBorders>
                    <w:tl2br w:val="nil"/>
                    <w:tr2bl w:val="nil"/>
                  </w:tcBorders>
                  <w:noWrap w:val="0"/>
                  <w:vAlign w:val="center"/>
                </w:tcPr>
                <w:p w14:paraId="48B604F8">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氢氟酸（40%）</w:t>
                  </w:r>
                </w:p>
              </w:tc>
              <w:tc>
                <w:tcPr>
                  <w:tcW w:w="520" w:type="pct"/>
                  <w:tcBorders>
                    <w:tl2br w:val="nil"/>
                    <w:tr2bl w:val="nil"/>
                  </w:tcBorders>
                  <w:noWrap w:val="0"/>
                  <w:vAlign w:val="center"/>
                </w:tcPr>
                <w:p w14:paraId="2E8B83E3">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036E8D7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1E83224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300</w:t>
                  </w:r>
                </w:p>
              </w:tc>
              <w:tc>
                <w:tcPr>
                  <w:tcW w:w="665" w:type="pct"/>
                  <w:tcBorders>
                    <w:tl2br w:val="nil"/>
                    <w:tr2bl w:val="nil"/>
                  </w:tcBorders>
                  <w:noWrap w:val="0"/>
                  <w:vAlign w:val="center"/>
                </w:tcPr>
                <w:p w14:paraId="5BECB45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w:t>
                  </w:r>
                </w:p>
              </w:tc>
              <w:tc>
                <w:tcPr>
                  <w:tcW w:w="594" w:type="pct"/>
                  <w:tcBorders>
                    <w:tl2br w:val="nil"/>
                    <w:tr2bl w:val="nil"/>
                  </w:tcBorders>
                  <w:noWrap w:val="0"/>
                  <w:vAlign w:val="center"/>
                </w:tcPr>
                <w:p w14:paraId="077CA01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48E73C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+300</w:t>
                  </w:r>
                </w:p>
              </w:tc>
            </w:tr>
            <w:tr w14:paraId="44C65E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15ADC9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5</w:t>
                  </w:r>
                </w:p>
              </w:tc>
              <w:tc>
                <w:tcPr>
                  <w:tcW w:w="1228" w:type="pct"/>
                  <w:tcBorders>
                    <w:tl2br w:val="nil"/>
                    <w:tr2bl w:val="nil"/>
                  </w:tcBorders>
                  <w:noWrap w:val="0"/>
                  <w:vAlign w:val="center"/>
                </w:tcPr>
                <w:p w14:paraId="710A08F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氢氧化钠</w:t>
                  </w:r>
                </w:p>
              </w:tc>
              <w:tc>
                <w:tcPr>
                  <w:tcW w:w="520" w:type="pct"/>
                  <w:tcBorders>
                    <w:tl2br w:val="nil"/>
                    <w:tr2bl w:val="nil"/>
                  </w:tcBorders>
                  <w:shd w:val="clear" w:color="auto" w:fill="auto"/>
                  <w:noWrap w:val="0"/>
                  <w:vAlign w:val="center"/>
                </w:tcPr>
                <w:p w14:paraId="48FAA25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noWrap w:val="0"/>
                  <w:vAlign w:val="center"/>
                </w:tcPr>
                <w:p w14:paraId="202E53E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7A38F27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w:t>
                  </w:r>
                </w:p>
              </w:tc>
              <w:tc>
                <w:tcPr>
                  <w:tcW w:w="665" w:type="pct"/>
                  <w:tcBorders>
                    <w:tl2br w:val="nil"/>
                    <w:tr2bl w:val="nil"/>
                  </w:tcBorders>
                  <w:noWrap w:val="0"/>
                  <w:vAlign w:val="center"/>
                </w:tcPr>
                <w:p w14:paraId="3FF1118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1CC166A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317F802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r>
            <w:tr w14:paraId="70DD3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348C53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kern w:val="2"/>
                      <w:sz w:val="21"/>
                      <w:szCs w:val="21"/>
                      <w:highlight w:val="none"/>
                      <w:lang w:val="en-US" w:eastAsia="zh-CN" w:bidi="ar-SA"/>
                    </w:rPr>
                    <w:t>6</w:t>
                  </w:r>
                </w:p>
              </w:tc>
              <w:tc>
                <w:tcPr>
                  <w:tcW w:w="1228" w:type="pct"/>
                  <w:tcBorders>
                    <w:tl2br w:val="nil"/>
                    <w:tr2bl w:val="nil"/>
                  </w:tcBorders>
                  <w:noWrap w:val="0"/>
                  <w:vAlign w:val="center"/>
                </w:tcPr>
                <w:p w14:paraId="4D2C615A">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碳酸钠</w:t>
                  </w:r>
                </w:p>
              </w:tc>
              <w:tc>
                <w:tcPr>
                  <w:tcW w:w="520" w:type="pct"/>
                  <w:tcBorders>
                    <w:tl2br w:val="nil"/>
                    <w:tr2bl w:val="nil"/>
                  </w:tcBorders>
                  <w:shd w:val="clear" w:color="auto" w:fill="auto"/>
                  <w:noWrap w:val="0"/>
                  <w:vAlign w:val="center"/>
                </w:tcPr>
                <w:p w14:paraId="2F798CB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noWrap w:val="0"/>
                  <w:vAlign w:val="center"/>
                </w:tcPr>
                <w:p w14:paraId="4E3B2BA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4840B95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5894086F">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100</w:t>
                  </w:r>
                </w:p>
              </w:tc>
              <w:tc>
                <w:tcPr>
                  <w:tcW w:w="594" w:type="pct"/>
                  <w:tcBorders>
                    <w:tl2br w:val="nil"/>
                    <w:tr2bl w:val="nil"/>
                  </w:tcBorders>
                  <w:noWrap w:val="0"/>
                  <w:vAlign w:val="center"/>
                </w:tcPr>
                <w:p w14:paraId="6AD95981">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kg</w:t>
                  </w:r>
                </w:p>
              </w:tc>
              <w:tc>
                <w:tcPr>
                  <w:tcW w:w="490" w:type="pct"/>
                  <w:tcBorders>
                    <w:tl2br w:val="nil"/>
                    <w:tr2bl w:val="nil"/>
                  </w:tcBorders>
                  <w:shd w:val="clear" w:color="auto" w:fill="auto"/>
                  <w:noWrap w:val="0"/>
                  <w:vAlign w:val="center"/>
                </w:tcPr>
                <w:p w14:paraId="21729FF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1137A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AE0ACB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w:t>
                  </w:r>
                </w:p>
              </w:tc>
              <w:tc>
                <w:tcPr>
                  <w:tcW w:w="1228" w:type="pct"/>
                  <w:tcBorders>
                    <w:tl2br w:val="nil"/>
                    <w:tr2bl w:val="nil"/>
                  </w:tcBorders>
                  <w:noWrap w:val="0"/>
                  <w:vAlign w:val="center"/>
                </w:tcPr>
                <w:p w14:paraId="0B585FA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氢氧化钾</w:t>
                  </w:r>
                </w:p>
              </w:tc>
              <w:tc>
                <w:tcPr>
                  <w:tcW w:w="520" w:type="pct"/>
                  <w:tcBorders>
                    <w:tl2br w:val="nil"/>
                    <w:tr2bl w:val="nil"/>
                  </w:tcBorders>
                  <w:noWrap w:val="0"/>
                  <w:vAlign w:val="center"/>
                </w:tcPr>
                <w:p w14:paraId="1AAFD97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noWrap w:val="0"/>
                  <w:vAlign w:val="center"/>
                </w:tcPr>
                <w:p w14:paraId="2FF7862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5B061431">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500</w:t>
                  </w:r>
                </w:p>
              </w:tc>
              <w:tc>
                <w:tcPr>
                  <w:tcW w:w="665" w:type="pct"/>
                  <w:tcBorders>
                    <w:tl2br w:val="nil"/>
                    <w:tr2bl w:val="nil"/>
                  </w:tcBorders>
                  <w:noWrap w:val="0"/>
                  <w:vAlign w:val="center"/>
                </w:tcPr>
                <w:p w14:paraId="6BC8BD1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500</w:t>
                  </w:r>
                </w:p>
              </w:tc>
              <w:tc>
                <w:tcPr>
                  <w:tcW w:w="594" w:type="pct"/>
                  <w:tcBorders>
                    <w:tl2br w:val="nil"/>
                    <w:tr2bl w:val="nil"/>
                  </w:tcBorders>
                  <w:noWrap w:val="0"/>
                  <w:vAlign w:val="center"/>
                </w:tcPr>
                <w:p w14:paraId="4945DEF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7D0609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+500</w:t>
                  </w:r>
                </w:p>
              </w:tc>
            </w:tr>
            <w:tr w14:paraId="7083C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CA77E9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w:t>
                  </w:r>
                </w:p>
              </w:tc>
              <w:tc>
                <w:tcPr>
                  <w:tcW w:w="1228" w:type="pct"/>
                  <w:tcBorders>
                    <w:tl2br w:val="nil"/>
                    <w:tr2bl w:val="nil"/>
                  </w:tcBorders>
                  <w:noWrap w:val="0"/>
                  <w:vAlign w:val="center"/>
                </w:tcPr>
                <w:p w14:paraId="6C4C59E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过氧化钠</w:t>
                  </w:r>
                </w:p>
              </w:tc>
              <w:tc>
                <w:tcPr>
                  <w:tcW w:w="520" w:type="pct"/>
                  <w:tcBorders>
                    <w:tl2br w:val="nil"/>
                    <w:tr2bl w:val="nil"/>
                  </w:tcBorders>
                  <w:noWrap w:val="0"/>
                  <w:vAlign w:val="center"/>
                </w:tcPr>
                <w:p w14:paraId="2AFB669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noWrap w:val="0"/>
                  <w:vAlign w:val="center"/>
                </w:tcPr>
                <w:p w14:paraId="4FD03D7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35DB620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5000</w:t>
                  </w:r>
                </w:p>
              </w:tc>
              <w:tc>
                <w:tcPr>
                  <w:tcW w:w="665" w:type="pct"/>
                  <w:tcBorders>
                    <w:tl2br w:val="nil"/>
                    <w:tr2bl w:val="nil"/>
                  </w:tcBorders>
                  <w:noWrap w:val="0"/>
                  <w:vAlign w:val="center"/>
                </w:tcPr>
                <w:p w14:paraId="6506DA5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5000</w:t>
                  </w:r>
                </w:p>
              </w:tc>
              <w:tc>
                <w:tcPr>
                  <w:tcW w:w="594" w:type="pct"/>
                  <w:tcBorders>
                    <w:tl2br w:val="nil"/>
                    <w:tr2bl w:val="nil"/>
                  </w:tcBorders>
                  <w:noWrap w:val="0"/>
                  <w:vAlign w:val="center"/>
                </w:tcPr>
                <w:p w14:paraId="3C55C26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ml</w:t>
                  </w:r>
                </w:p>
              </w:tc>
              <w:tc>
                <w:tcPr>
                  <w:tcW w:w="490" w:type="pct"/>
                  <w:tcBorders>
                    <w:tl2br w:val="nil"/>
                    <w:tr2bl w:val="nil"/>
                  </w:tcBorders>
                  <w:shd w:val="clear" w:color="auto" w:fill="auto"/>
                  <w:noWrap w:val="0"/>
                  <w:vAlign w:val="center"/>
                </w:tcPr>
                <w:p w14:paraId="492A2F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+5000</w:t>
                  </w:r>
                </w:p>
              </w:tc>
            </w:tr>
            <w:tr w14:paraId="55F64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937B36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w:t>
                  </w:r>
                </w:p>
              </w:tc>
              <w:tc>
                <w:tcPr>
                  <w:tcW w:w="1228" w:type="pct"/>
                  <w:tcBorders>
                    <w:tl2br w:val="nil"/>
                    <w:tr2bl w:val="nil"/>
                  </w:tcBorders>
                  <w:noWrap w:val="0"/>
                  <w:vAlign w:val="center"/>
                </w:tcPr>
                <w:p w14:paraId="18AE59A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氨水（25%）</w:t>
                  </w:r>
                </w:p>
              </w:tc>
              <w:tc>
                <w:tcPr>
                  <w:tcW w:w="520" w:type="pct"/>
                  <w:tcBorders>
                    <w:tl2br w:val="nil"/>
                    <w:tr2bl w:val="nil"/>
                  </w:tcBorders>
                  <w:noWrap w:val="0"/>
                  <w:vAlign w:val="center"/>
                </w:tcPr>
                <w:p w14:paraId="0A002C3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5C78878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52956C2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25</w:t>
                  </w:r>
                </w:p>
              </w:tc>
              <w:tc>
                <w:tcPr>
                  <w:tcW w:w="665" w:type="pct"/>
                  <w:tcBorders>
                    <w:tl2br w:val="nil"/>
                    <w:tr2bl w:val="nil"/>
                  </w:tcBorders>
                  <w:noWrap w:val="0"/>
                  <w:vAlign w:val="center"/>
                </w:tcPr>
                <w:p w14:paraId="58E00A0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4544E77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19323B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+25</w:t>
                  </w:r>
                </w:p>
              </w:tc>
            </w:tr>
            <w:tr w14:paraId="3486FF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CA36B3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w:t>
                  </w:r>
                </w:p>
              </w:tc>
              <w:tc>
                <w:tcPr>
                  <w:tcW w:w="1228" w:type="pct"/>
                  <w:tcBorders>
                    <w:tl2br w:val="nil"/>
                    <w:tr2bl w:val="nil"/>
                  </w:tcBorders>
                  <w:noWrap w:val="0"/>
                  <w:vAlign w:val="center"/>
                </w:tcPr>
                <w:p w14:paraId="1C0FA3F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甲醇</w:t>
                  </w:r>
                </w:p>
              </w:tc>
              <w:tc>
                <w:tcPr>
                  <w:tcW w:w="520" w:type="pct"/>
                  <w:tcBorders>
                    <w:tl2br w:val="nil"/>
                    <w:tr2bl w:val="nil"/>
                  </w:tcBorders>
                  <w:noWrap w:val="0"/>
                  <w:vAlign w:val="center"/>
                </w:tcPr>
                <w:p w14:paraId="4A55475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05EA335E">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16</w:t>
                  </w:r>
                </w:p>
              </w:tc>
              <w:tc>
                <w:tcPr>
                  <w:tcW w:w="734" w:type="pct"/>
                  <w:tcBorders>
                    <w:tl2br w:val="nil"/>
                    <w:tr2bl w:val="nil"/>
                  </w:tcBorders>
                  <w:noWrap w:val="0"/>
                  <w:vAlign w:val="center"/>
                </w:tcPr>
                <w:p w14:paraId="1D8D8EE7">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20</w:t>
                  </w:r>
                </w:p>
              </w:tc>
              <w:tc>
                <w:tcPr>
                  <w:tcW w:w="665" w:type="pct"/>
                  <w:tcBorders>
                    <w:tl2br w:val="nil"/>
                    <w:tr2bl w:val="nil"/>
                  </w:tcBorders>
                  <w:noWrap w:val="0"/>
                  <w:vAlign w:val="center"/>
                </w:tcPr>
                <w:p w14:paraId="1B6F15C7">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w:t>
                  </w:r>
                </w:p>
              </w:tc>
              <w:tc>
                <w:tcPr>
                  <w:tcW w:w="594" w:type="pct"/>
                  <w:tcBorders>
                    <w:tl2br w:val="nil"/>
                    <w:tr2bl w:val="nil"/>
                  </w:tcBorders>
                  <w:noWrap w:val="0"/>
                  <w:vAlign w:val="center"/>
                </w:tcPr>
                <w:p w14:paraId="7700364E">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07A392F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eastAsia" w:cs="Times New Roman" w:eastAsiaTheme="minorEastAsia"/>
                      <w:bCs/>
                      <w:color w:val="auto"/>
                      <w:sz w:val="21"/>
                      <w:szCs w:val="21"/>
                      <w:highlight w:val="none"/>
                      <w:lang w:val="en-US" w:eastAsia="zh-CN"/>
                    </w:rPr>
                    <w:t>4</w:t>
                  </w:r>
                </w:p>
              </w:tc>
            </w:tr>
            <w:tr w14:paraId="6A3C47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A6AA25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11</w:t>
                  </w:r>
                </w:p>
              </w:tc>
              <w:tc>
                <w:tcPr>
                  <w:tcW w:w="1228" w:type="pct"/>
                  <w:tcBorders>
                    <w:tl2br w:val="nil"/>
                    <w:tr2bl w:val="nil"/>
                  </w:tcBorders>
                  <w:noWrap w:val="0"/>
                  <w:vAlign w:val="center"/>
                </w:tcPr>
                <w:p w14:paraId="5C23E0E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异丙醇</w:t>
                  </w:r>
                </w:p>
              </w:tc>
              <w:tc>
                <w:tcPr>
                  <w:tcW w:w="520" w:type="pct"/>
                  <w:tcBorders>
                    <w:tl2br w:val="nil"/>
                    <w:tr2bl w:val="nil"/>
                  </w:tcBorders>
                  <w:noWrap w:val="0"/>
                  <w:vAlign w:val="center"/>
                </w:tcPr>
                <w:p w14:paraId="4A76654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2E74685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0ED0EA1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02E5F6F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0C15DAB0">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6A4F562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2B172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CFC99F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12</w:t>
                  </w:r>
                </w:p>
              </w:tc>
              <w:tc>
                <w:tcPr>
                  <w:tcW w:w="1228" w:type="pct"/>
                  <w:tcBorders>
                    <w:tl2br w:val="nil"/>
                    <w:tr2bl w:val="nil"/>
                  </w:tcBorders>
                  <w:noWrap w:val="0"/>
                  <w:vAlign w:val="center"/>
                </w:tcPr>
                <w:p w14:paraId="5493E85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二碘甲烷</w:t>
                  </w:r>
                </w:p>
              </w:tc>
              <w:tc>
                <w:tcPr>
                  <w:tcW w:w="520" w:type="pct"/>
                  <w:tcBorders>
                    <w:tl2br w:val="nil"/>
                    <w:tr2bl w:val="nil"/>
                  </w:tcBorders>
                  <w:noWrap w:val="0"/>
                  <w:vAlign w:val="center"/>
                </w:tcPr>
                <w:p w14:paraId="08DB4F01">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4F5657F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5835897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10D4DF6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1789D54E">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4237BE6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08DEB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679407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13</w:t>
                  </w:r>
                </w:p>
              </w:tc>
              <w:tc>
                <w:tcPr>
                  <w:tcW w:w="1228" w:type="pct"/>
                  <w:tcBorders>
                    <w:tl2br w:val="nil"/>
                    <w:tr2bl w:val="nil"/>
                  </w:tcBorders>
                  <w:noWrap w:val="0"/>
                  <w:vAlign w:val="center"/>
                </w:tcPr>
                <w:p w14:paraId="1A697C3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正戊烷</w:t>
                  </w:r>
                </w:p>
              </w:tc>
              <w:tc>
                <w:tcPr>
                  <w:tcW w:w="520" w:type="pct"/>
                  <w:tcBorders>
                    <w:tl2br w:val="nil"/>
                    <w:tr2bl w:val="nil"/>
                  </w:tcBorders>
                  <w:noWrap w:val="0"/>
                  <w:vAlign w:val="center"/>
                </w:tcPr>
                <w:p w14:paraId="005F2C5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542C77C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46D55A7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61D78C9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3458D7B0">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5A97DEC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661A65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BB0F8B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14</w:t>
                  </w:r>
                </w:p>
              </w:tc>
              <w:tc>
                <w:tcPr>
                  <w:tcW w:w="1228" w:type="pct"/>
                  <w:tcBorders>
                    <w:tl2br w:val="nil"/>
                    <w:tr2bl w:val="nil"/>
                  </w:tcBorders>
                  <w:noWrap w:val="0"/>
                  <w:vAlign w:val="center"/>
                </w:tcPr>
                <w:p w14:paraId="6EB3391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正丁醇</w:t>
                  </w:r>
                </w:p>
              </w:tc>
              <w:tc>
                <w:tcPr>
                  <w:tcW w:w="520" w:type="pct"/>
                  <w:tcBorders>
                    <w:tl2br w:val="nil"/>
                    <w:tr2bl w:val="nil"/>
                  </w:tcBorders>
                  <w:noWrap w:val="0"/>
                  <w:vAlign w:val="center"/>
                </w:tcPr>
                <w:p w14:paraId="5BD30D3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467CE79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029E5F6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29C75FD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302DE542">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36973C1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4C9D3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E506C0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15</w:t>
                  </w:r>
                </w:p>
              </w:tc>
              <w:tc>
                <w:tcPr>
                  <w:tcW w:w="1228" w:type="pct"/>
                  <w:tcBorders>
                    <w:tl2br w:val="nil"/>
                    <w:tr2bl w:val="nil"/>
                  </w:tcBorders>
                  <w:noWrap w:val="0"/>
                  <w:vAlign w:val="center"/>
                </w:tcPr>
                <w:p w14:paraId="475BCB6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乙酸丁酯</w:t>
                  </w:r>
                </w:p>
              </w:tc>
              <w:tc>
                <w:tcPr>
                  <w:tcW w:w="520" w:type="pct"/>
                  <w:tcBorders>
                    <w:tl2br w:val="nil"/>
                    <w:tr2bl w:val="nil"/>
                  </w:tcBorders>
                  <w:noWrap w:val="0"/>
                  <w:vAlign w:val="center"/>
                </w:tcPr>
                <w:p w14:paraId="5FCA800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163B95D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70E8798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2C1A1FF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0AE38203">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19F48CC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2D2310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64C497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16</w:t>
                  </w:r>
                </w:p>
              </w:tc>
              <w:tc>
                <w:tcPr>
                  <w:tcW w:w="1228" w:type="pct"/>
                  <w:tcBorders>
                    <w:tl2br w:val="nil"/>
                    <w:tr2bl w:val="nil"/>
                  </w:tcBorders>
                  <w:noWrap w:val="0"/>
                  <w:vAlign w:val="center"/>
                </w:tcPr>
                <w:p w14:paraId="79606A4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三氯甲烷</w:t>
                  </w:r>
                </w:p>
              </w:tc>
              <w:tc>
                <w:tcPr>
                  <w:tcW w:w="520" w:type="pct"/>
                  <w:tcBorders>
                    <w:tl2br w:val="nil"/>
                    <w:tr2bl w:val="nil"/>
                  </w:tcBorders>
                  <w:noWrap w:val="0"/>
                  <w:vAlign w:val="center"/>
                </w:tcPr>
                <w:p w14:paraId="66B0103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25FD00C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05D64D7C">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10</w:t>
                  </w:r>
                </w:p>
              </w:tc>
              <w:tc>
                <w:tcPr>
                  <w:tcW w:w="665" w:type="pct"/>
                  <w:tcBorders>
                    <w:tl2br w:val="nil"/>
                    <w:tr2bl w:val="nil"/>
                  </w:tcBorders>
                  <w:noWrap w:val="0"/>
                  <w:vAlign w:val="center"/>
                </w:tcPr>
                <w:p w14:paraId="3B7C9BE8">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w:t>
                  </w:r>
                </w:p>
              </w:tc>
              <w:tc>
                <w:tcPr>
                  <w:tcW w:w="594" w:type="pct"/>
                  <w:tcBorders>
                    <w:tl2br w:val="nil"/>
                    <w:tr2bl w:val="nil"/>
                  </w:tcBorders>
                  <w:noWrap w:val="0"/>
                  <w:vAlign w:val="center"/>
                </w:tcPr>
                <w:p w14:paraId="14DC67D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31774A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eastAsia" w:cs="Times New Roman" w:eastAsiaTheme="minorEastAsia"/>
                      <w:bCs/>
                      <w:color w:val="auto"/>
                      <w:sz w:val="21"/>
                      <w:szCs w:val="21"/>
                      <w:highlight w:val="none"/>
                      <w:lang w:val="en-US" w:eastAsia="zh-CN"/>
                    </w:rPr>
                    <w:t>10</w:t>
                  </w:r>
                </w:p>
              </w:tc>
            </w:tr>
            <w:tr w14:paraId="04A5B0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F92112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17</w:t>
                  </w:r>
                </w:p>
              </w:tc>
              <w:tc>
                <w:tcPr>
                  <w:tcW w:w="1228" w:type="pct"/>
                  <w:tcBorders>
                    <w:tl2br w:val="nil"/>
                    <w:tr2bl w:val="nil"/>
                  </w:tcBorders>
                  <w:noWrap w:val="0"/>
                  <w:vAlign w:val="center"/>
                </w:tcPr>
                <w:p w14:paraId="6E2DF26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四氯化碳</w:t>
                  </w:r>
                </w:p>
              </w:tc>
              <w:tc>
                <w:tcPr>
                  <w:tcW w:w="520" w:type="pct"/>
                  <w:tcBorders>
                    <w:tl2br w:val="nil"/>
                    <w:tr2bl w:val="nil"/>
                  </w:tcBorders>
                  <w:noWrap w:val="0"/>
                  <w:vAlign w:val="center"/>
                </w:tcPr>
                <w:p w14:paraId="697E306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noWrap w:val="0"/>
                  <w:vAlign w:val="center"/>
                </w:tcPr>
                <w:p w14:paraId="2674827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noWrap w:val="0"/>
                  <w:vAlign w:val="center"/>
                </w:tcPr>
                <w:p w14:paraId="5487443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100</w:t>
                  </w:r>
                </w:p>
              </w:tc>
              <w:tc>
                <w:tcPr>
                  <w:tcW w:w="665" w:type="pct"/>
                  <w:tcBorders>
                    <w:tl2br w:val="nil"/>
                    <w:tr2bl w:val="nil"/>
                  </w:tcBorders>
                  <w:noWrap w:val="0"/>
                  <w:vAlign w:val="center"/>
                </w:tcPr>
                <w:p w14:paraId="4A07F14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594" w:type="pct"/>
                  <w:tcBorders>
                    <w:tl2br w:val="nil"/>
                    <w:tr2bl w:val="nil"/>
                  </w:tcBorders>
                  <w:noWrap w:val="0"/>
                  <w:vAlign w:val="center"/>
                </w:tcPr>
                <w:p w14:paraId="1E6F936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39635E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p>
              </w:tc>
            </w:tr>
            <w:tr w14:paraId="7688C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90E675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18</w:t>
                  </w:r>
                </w:p>
              </w:tc>
              <w:tc>
                <w:tcPr>
                  <w:tcW w:w="1228" w:type="pct"/>
                  <w:tcBorders>
                    <w:tl2br w:val="nil"/>
                    <w:tr2bl w:val="nil"/>
                  </w:tcBorders>
                  <w:shd w:val="clear" w:color="auto" w:fill="auto"/>
                  <w:noWrap w:val="0"/>
                  <w:vAlign w:val="center"/>
                </w:tcPr>
                <w:p w14:paraId="5CA7BD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甲苯</w:t>
                  </w:r>
                </w:p>
              </w:tc>
              <w:tc>
                <w:tcPr>
                  <w:tcW w:w="520" w:type="pct"/>
                  <w:tcBorders>
                    <w:tl2br w:val="nil"/>
                    <w:tr2bl w:val="nil"/>
                  </w:tcBorders>
                  <w:shd w:val="clear" w:color="auto" w:fill="auto"/>
                  <w:noWrap w:val="0"/>
                  <w:vAlign w:val="center"/>
                </w:tcPr>
                <w:p w14:paraId="32EA73C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1354D4E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E7072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c>
                <w:tcPr>
                  <w:tcW w:w="665" w:type="pct"/>
                  <w:tcBorders>
                    <w:tl2br w:val="nil"/>
                    <w:tr2bl w:val="nil"/>
                  </w:tcBorders>
                  <w:shd w:val="clear" w:color="auto" w:fill="auto"/>
                  <w:noWrap w:val="0"/>
                  <w:vAlign w:val="center"/>
                </w:tcPr>
                <w:p w14:paraId="42ADAF5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5</w:t>
                  </w:r>
                </w:p>
              </w:tc>
              <w:tc>
                <w:tcPr>
                  <w:tcW w:w="594" w:type="pct"/>
                  <w:tcBorders>
                    <w:tl2br w:val="nil"/>
                    <w:tr2bl w:val="nil"/>
                  </w:tcBorders>
                  <w:shd w:val="clear" w:color="auto" w:fill="auto"/>
                  <w:noWrap w:val="0"/>
                  <w:vAlign w:val="center"/>
                </w:tcPr>
                <w:p w14:paraId="5FD601E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69EA9CD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r>
            <w:tr w14:paraId="1435D3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649D7D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19</w:t>
                  </w:r>
                </w:p>
              </w:tc>
              <w:tc>
                <w:tcPr>
                  <w:tcW w:w="1228" w:type="pct"/>
                  <w:tcBorders>
                    <w:tl2br w:val="nil"/>
                    <w:tr2bl w:val="nil"/>
                  </w:tcBorders>
                  <w:shd w:val="clear" w:color="auto" w:fill="auto"/>
                  <w:noWrap w:val="0"/>
                  <w:vAlign w:val="center"/>
                </w:tcPr>
                <w:p w14:paraId="0BEA5FB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异丙苯</w:t>
                  </w:r>
                </w:p>
              </w:tc>
              <w:tc>
                <w:tcPr>
                  <w:tcW w:w="520" w:type="pct"/>
                  <w:tcBorders>
                    <w:tl2br w:val="nil"/>
                    <w:tr2bl w:val="nil"/>
                  </w:tcBorders>
                  <w:shd w:val="clear" w:color="auto" w:fill="auto"/>
                  <w:noWrap w:val="0"/>
                  <w:vAlign w:val="center"/>
                </w:tcPr>
                <w:p w14:paraId="16F9125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38261DE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FD0E74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c>
                <w:tcPr>
                  <w:tcW w:w="665" w:type="pct"/>
                  <w:tcBorders>
                    <w:tl2br w:val="nil"/>
                    <w:tr2bl w:val="nil"/>
                  </w:tcBorders>
                  <w:shd w:val="clear" w:color="auto" w:fill="auto"/>
                  <w:noWrap w:val="0"/>
                  <w:vAlign w:val="center"/>
                </w:tcPr>
                <w:p w14:paraId="3D8237E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c>
                <w:tcPr>
                  <w:tcW w:w="594" w:type="pct"/>
                  <w:tcBorders>
                    <w:tl2br w:val="nil"/>
                    <w:tr2bl w:val="nil"/>
                  </w:tcBorders>
                  <w:shd w:val="clear" w:color="auto" w:fill="auto"/>
                  <w:noWrap w:val="0"/>
                  <w:vAlign w:val="center"/>
                </w:tcPr>
                <w:p w14:paraId="567E2A4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5ECB81B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p>
              </w:tc>
            </w:tr>
            <w:tr w14:paraId="70736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5F58E0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20</w:t>
                  </w:r>
                </w:p>
              </w:tc>
              <w:tc>
                <w:tcPr>
                  <w:tcW w:w="1228" w:type="pct"/>
                  <w:tcBorders>
                    <w:tl2br w:val="nil"/>
                    <w:tr2bl w:val="nil"/>
                  </w:tcBorders>
                  <w:shd w:val="clear" w:color="auto" w:fill="auto"/>
                  <w:noWrap w:val="0"/>
                  <w:vAlign w:val="center"/>
                </w:tcPr>
                <w:p w14:paraId="08C2C47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石油醚</w:t>
                  </w:r>
                </w:p>
              </w:tc>
              <w:tc>
                <w:tcPr>
                  <w:tcW w:w="520" w:type="pct"/>
                  <w:tcBorders>
                    <w:tl2br w:val="nil"/>
                    <w:tr2bl w:val="nil"/>
                  </w:tcBorders>
                  <w:shd w:val="clear" w:color="auto" w:fill="auto"/>
                  <w:noWrap w:val="0"/>
                  <w:vAlign w:val="center"/>
                </w:tcPr>
                <w:p w14:paraId="25924DE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50772F1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30</w:t>
                  </w:r>
                </w:p>
              </w:tc>
              <w:tc>
                <w:tcPr>
                  <w:tcW w:w="734" w:type="pct"/>
                  <w:tcBorders>
                    <w:tl2br w:val="nil"/>
                    <w:tr2bl w:val="nil"/>
                  </w:tcBorders>
                  <w:shd w:val="clear" w:color="auto" w:fill="auto"/>
                  <w:noWrap w:val="0"/>
                  <w:vAlign w:val="center"/>
                </w:tcPr>
                <w:p w14:paraId="0FF7041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35</w:t>
                  </w:r>
                </w:p>
              </w:tc>
              <w:tc>
                <w:tcPr>
                  <w:tcW w:w="665" w:type="pct"/>
                  <w:tcBorders>
                    <w:tl2br w:val="nil"/>
                    <w:tr2bl w:val="nil"/>
                  </w:tcBorders>
                  <w:shd w:val="clear" w:color="auto" w:fill="auto"/>
                  <w:noWrap w:val="0"/>
                  <w:vAlign w:val="center"/>
                </w:tcPr>
                <w:p w14:paraId="0862B65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w:t>
                  </w:r>
                </w:p>
              </w:tc>
              <w:tc>
                <w:tcPr>
                  <w:tcW w:w="594" w:type="pct"/>
                  <w:tcBorders>
                    <w:tl2br w:val="nil"/>
                    <w:tr2bl w:val="nil"/>
                  </w:tcBorders>
                  <w:shd w:val="clear" w:color="auto" w:fill="auto"/>
                  <w:noWrap w:val="0"/>
                  <w:vAlign w:val="center"/>
                </w:tcPr>
                <w:p w14:paraId="3CDC645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6582BA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w:t>
                  </w:r>
                </w:p>
              </w:tc>
            </w:tr>
            <w:tr w14:paraId="3A6FB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AC04D0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21</w:t>
                  </w:r>
                </w:p>
              </w:tc>
              <w:tc>
                <w:tcPr>
                  <w:tcW w:w="1228" w:type="pct"/>
                  <w:tcBorders>
                    <w:tl2br w:val="nil"/>
                    <w:tr2bl w:val="nil"/>
                  </w:tcBorders>
                  <w:shd w:val="clear" w:color="auto" w:fill="auto"/>
                  <w:noWrap w:val="0"/>
                  <w:vAlign w:val="center"/>
                </w:tcPr>
                <w:p w14:paraId="0944BA5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硼酸</w:t>
                  </w:r>
                </w:p>
              </w:tc>
              <w:tc>
                <w:tcPr>
                  <w:tcW w:w="520" w:type="pct"/>
                  <w:tcBorders>
                    <w:tl2br w:val="nil"/>
                    <w:tr2bl w:val="nil"/>
                  </w:tcBorders>
                  <w:shd w:val="clear" w:color="auto" w:fill="auto"/>
                  <w:noWrap w:val="0"/>
                  <w:vAlign w:val="center"/>
                </w:tcPr>
                <w:p w14:paraId="050BE71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7BC698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7B97F1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w:t>
                  </w:r>
                </w:p>
              </w:tc>
              <w:tc>
                <w:tcPr>
                  <w:tcW w:w="665" w:type="pct"/>
                  <w:tcBorders>
                    <w:tl2br w:val="nil"/>
                    <w:tr2bl w:val="nil"/>
                  </w:tcBorders>
                  <w:shd w:val="clear" w:color="auto" w:fill="auto"/>
                  <w:noWrap w:val="0"/>
                  <w:vAlign w:val="center"/>
                </w:tcPr>
                <w:p w14:paraId="5DD66AF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w:t>
                  </w:r>
                </w:p>
              </w:tc>
              <w:tc>
                <w:tcPr>
                  <w:tcW w:w="594" w:type="pct"/>
                  <w:tcBorders>
                    <w:tl2br w:val="nil"/>
                    <w:tr2bl w:val="nil"/>
                  </w:tcBorders>
                  <w:shd w:val="clear" w:color="auto" w:fill="auto"/>
                  <w:noWrap w:val="0"/>
                  <w:vAlign w:val="center"/>
                </w:tcPr>
                <w:p w14:paraId="0D89F1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4EFE8C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w:t>
                  </w:r>
                </w:p>
              </w:tc>
            </w:tr>
            <w:tr w14:paraId="494E99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1E5897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22</w:t>
                  </w:r>
                </w:p>
              </w:tc>
              <w:tc>
                <w:tcPr>
                  <w:tcW w:w="1228" w:type="pct"/>
                  <w:tcBorders>
                    <w:tl2br w:val="nil"/>
                    <w:tr2bl w:val="nil"/>
                  </w:tcBorders>
                  <w:shd w:val="clear" w:color="auto" w:fill="auto"/>
                  <w:noWrap w:val="0"/>
                  <w:vAlign w:val="center"/>
                </w:tcPr>
                <w:p w14:paraId="075A17C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二氯甲烷</w:t>
                  </w:r>
                </w:p>
              </w:tc>
              <w:tc>
                <w:tcPr>
                  <w:tcW w:w="520" w:type="pct"/>
                  <w:tcBorders>
                    <w:tl2br w:val="nil"/>
                    <w:tr2bl w:val="nil"/>
                  </w:tcBorders>
                  <w:shd w:val="clear" w:color="auto" w:fill="auto"/>
                  <w:noWrap w:val="0"/>
                  <w:vAlign w:val="center"/>
                </w:tcPr>
                <w:p w14:paraId="168C899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26238BD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17E5C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10</w:t>
                  </w:r>
                </w:p>
              </w:tc>
              <w:tc>
                <w:tcPr>
                  <w:tcW w:w="665" w:type="pct"/>
                  <w:tcBorders>
                    <w:tl2br w:val="nil"/>
                    <w:tr2bl w:val="nil"/>
                  </w:tcBorders>
                  <w:shd w:val="clear" w:color="auto" w:fill="auto"/>
                  <w:noWrap w:val="0"/>
                  <w:vAlign w:val="center"/>
                </w:tcPr>
                <w:p w14:paraId="26FCB0B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1</w:t>
                  </w:r>
                </w:p>
              </w:tc>
              <w:tc>
                <w:tcPr>
                  <w:tcW w:w="594" w:type="pct"/>
                  <w:tcBorders>
                    <w:tl2br w:val="nil"/>
                    <w:tr2bl w:val="nil"/>
                  </w:tcBorders>
                  <w:shd w:val="clear" w:color="auto" w:fill="auto"/>
                  <w:noWrap w:val="0"/>
                  <w:vAlign w:val="center"/>
                </w:tcPr>
                <w:p w14:paraId="776C84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30A5CAC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eastAsia" w:cs="Times New Roman" w:eastAsiaTheme="minorEastAsia"/>
                      <w:bCs/>
                      <w:color w:val="auto"/>
                      <w:kern w:val="2"/>
                      <w:sz w:val="21"/>
                      <w:szCs w:val="21"/>
                      <w:highlight w:val="none"/>
                      <w:lang w:val="en-US" w:eastAsia="zh-CN" w:bidi="ar-SA"/>
                    </w:rPr>
                    <w:t>1</w:t>
                  </w:r>
                  <w:r>
                    <w:rPr>
                      <w:rFonts w:hint="default" w:ascii="Times New Roman" w:hAnsi="Times New Roman" w:cs="Times New Roman" w:eastAsiaTheme="minorEastAsia"/>
                      <w:bCs/>
                      <w:color w:val="auto"/>
                      <w:kern w:val="2"/>
                      <w:sz w:val="21"/>
                      <w:szCs w:val="21"/>
                      <w:highlight w:val="none"/>
                      <w:lang w:val="en-US" w:eastAsia="zh-CN" w:bidi="ar-SA"/>
                    </w:rPr>
                    <w:t>0</w:t>
                  </w:r>
                </w:p>
              </w:tc>
            </w:tr>
            <w:tr w14:paraId="61283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44B442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23</w:t>
                  </w:r>
                </w:p>
              </w:tc>
              <w:tc>
                <w:tcPr>
                  <w:tcW w:w="1228" w:type="pct"/>
                  <w:tcBorders>
                    <w:tl2br w:val="nil"/>
                    <w:tr2bl w:val="nil"/>
                  </w:tcBorders>
                  <w:shd w:val="clear" w:color="auto" w:fill="auto"/>
                  <w:noWrap w:val="0"/>
                  <w:vAlign w:val="center"/>
                </w:tcPr>
                <w:p w14:paraId="04848CB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正己烷</w:t>
                  </w:r>
                </w:p>
              </w:tc>
              <w:tc>
                <w:tcPr>
                  <w:tcW w:w="520" w:type="pct"/>
                  <w:tcBorders>
                    <w:tl2br w:val="nil"/>
                    <w:tr2bl w:val="nil"/>
                  </w:tcBorders>
                  <w:shd w:val="clear" w:color="auto" w:fill="auto"/>
                  <w:noWrap w:val="0"/>
                  <w:vAlign w:val="center"/>
                </w:tcPr>
                <w:p w14:paraId="6389D59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1C43439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ABD8BE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w:t>
                  </w:r>
                </w:p>
              </w:tc>
              <w:tc>
                <w:tcPr>
                  <w:tcW w:w="665" w:type="pct"/>
                  <w:tcBorders>
                    <w:tl2br w:val="nil"/>
                    <w:tr2bl w:val="nil"/>
                  </w:tcBorders>
                  <w:shd w:val="clear" w:color="auto" w:fill="auto"/>
                  <w:noWrap w:val="0"/>
                  <w:vAlign w:val="center"/>
                </w:tcPr>
                <w:p w14:paraId="50CA5E3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w:t>
                  </w:r>
                </w:p>
              </w:tc>
              <w:tc>
                <w:tcPr>
                  <w:tcW w:w="594" w:type="pct"/>
                  <w:tcBorders>
                    <w:tl2br w:val="nil"/>
                    <w:tr2bl w:val="nil"/>
                  </w:tcBorders>
                  <w:shd w:val="clear" w:color="auto" w:fill="auto"/>
                  <w:noWrap w:val="0"/>
                  <w:vAlign w:val="center"/>
                </w:tcPr>
                <w:p w14:paraId="744880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0350242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40</w:t>
                  </w:r>
                </w:p>
              </w:tc>
            </w:tr>
            <w:tr w14:paraId="4E60E8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253FFD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24</w:t>
                  </w:r>
                </w:p>
              </w:tc>
              <w:tc>
                <w:tcPr>
                  <w:tcW w:w="1228" w:type="pct"/>
                  <w:tcBorders>
                    <w:tl2br w:val="nil"/>
                    <w:tr2bl w:val="nil"/>
                  </w:tcBorders>
                  <w:shd w:val="clear" w:color="auto" w:fill="auto"/>
                  <w:noWrap w:val="0"/>
                  <w:vAlign w:val="center"/>
                </w:tcPr>
                <w:p w14:paraId="45D6C9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丙酮</w:t>
                  </w:r>
                </w:p>
              </w:tc>
              <w:tc>
                <w:tcPr>
                  <w:tcW w:w="520" w:type="pct"/>
                  <w:tcBorders>
                    <w:tl2br w:val="nil"/>
                    <w:tr2bl w:val="nil"/>
                  </w:tcBorders>
                  <w:shd w:val="clear" w:color="auto" w:fill="auto"/>
                  <w:noWrap w:val="0"/>
                  <w:vAlign w:val="center"/>
                </w:tcPr>
                <w:p w14:paraId="77DE4C2D">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2742E0E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10CB04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20</w:t>
                  </w:r>
                </w:p>
              </w:tc>
              <w:tc>
                <w:tcPr>
                  <w:tcW w:w="665" w:type="pct"/>
                  <w:tcBorders>
                    <w:tl2br w:val="nil"/>
                    <w:tr2bl w:val="nil"/>
                  </w:tcBorders>
                  <w:shd w:val="clear" w:color="auto" w:fill="auto"/>
                  <w:noWrap w:val="0"/>
                  <w:vAlign w:val="center"/>
                </w:tcPr>
                <w:p w14:paraId="175AB59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20</w:t>
                  </w:r>
                </w:p>
              </w:tc>
              <w:tc>
                <w:tcPr>
                  <w:tcW w:w="594" w:type="pct"/>
                  <w:tcBorders>
                    <w:tl2br w:val="nil"/>
                    <w:tr2bl w:val="nil"/>
                  </w:tcBorders>
                  <w:shd w:val="clear" w:color="auto" w:fill="auto"/>
                  <w:noWrap w:val="0"/>
                  <w:vAlign w:val="center"/>
                </w:tcPr>
                <w:p w14:paraId="1E32AAC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2F7A2E1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w:t>
                  </w:r>
                </w:p>
              </w:tc>
            </w:tr>
            <w:tr w14:paraId="66B930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A10182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25</w:t>
                  </w:r>
                </w:p>
              </w:tc>
              <w:tc>
                <w:tcPr>
                  <w:tcW w:w="1228" w:type="pct"/>
                  <w:tcBorders>
                    <w:tl2br w:val="nil"/>
                    <w:tr2bl w:val="nil"/>
                  </w:tcBorders>
                  <w:shd w:val="clear" w:color="auto" w:fill="auto"/>
                  <w:noWrap w:val="0"/>
                  <w:vAlign w:val="center"/>
                </w:tcPr>
                <w:p w14:paraId="3C219D1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环己烷</w:t>
                  </w:r>
                </w:p>
              </w:tc>
              <w:tc>
                <w:tcPr>
                  <w:tcW w:w="520" w:type="pct"/>
                  <w:tcBorders>
                    <w:tl2br w:val="nil"/>
                    <w:tr2bl w:val="nil"/>
                  </w:tcBorders>
                  <w:shd w:val="clear" w:color="auto" w:fill="auto"/>
                  <w:noWrap w:val="0"/>
                  <w:vAlign w:val="center"/>
                </w:tcPr>
                <w:p w14:paraId="49029CE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5964BB3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114F0E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w:t>
                  </w:r>
                </w:p>
              </w:tc>
              <w:tc>
                <w:tcPr>
                  <w:tcW w:w="665" w:type="pct"/>
                  <w:tcBorders>
                    <w:tl2br w:val="nil"/>
                    <w:tr2bl w:val="nil"/>
                  </w:tcBorders>
                  <w:shd w:val="clear" w:color="auto" w:fill="auto"/>
                  <w:noWrap w:val="0"/>
                  <w:vAlign w:val="center"/>
                </w:tcPr>
                <w:p w14:paraId="45A519B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w:t>
                  </w:r>
                </w:p>
              </w:tc>
              <w:tc>
                <w:tcPr>
                  <w:tcW w:w="594" w:type="pct"/>
                  <w:tcBorders>
                    <w:tl2br w:val="nil"/>
                    <w:tr2bl w:val="nil"/>
                  </w:tcBorders>
                  <w:shd w:val="clear" w:color="auto" w:fill="auto"/>
                  <w:noWrap w:val="0"/>
                  <w:vAlign w:val="center"/>
                </w:tcPr>
                <w:p w14:paraId="3544D55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7DCC72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w:t>
                  </w:r>
                </w:p>
              </w:tc>
            </w:tr>
            <w:tr w14:paraId="35CBB9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C2A0D4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26</w:t>
                  </w:r>
                </w:p>
              </w:tc>
              <w:tc>
                <w:tcPr>
                  <w:tcW w:w="1228" w:type="pct"/>
                  <w:tcBorders>
                    <w:tl2br w:val="nil"/>
                    <w:tr2bl w:val="nil"/>
                  </w:tcBorders>
                  <w:shd w:val="clear" w:color="auto" w:fill="auto"/>
                  <w:noWrap w:val="0"/>
                  <w:vAlign w:val="center"/>
                </w:tcPr>
                <w:p w14:paraId="68B5F04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乙酸乙酯</w:t>
                  </w:r>
                </w:p>
              </w:tc>
              <w:tc>
                <w:tcPr>
                  <w:tcW w:w="520" w:type="pct"/>
                  <w:tcBorders>
                    <w:tl2br w:val="nil"/>
                    <w:tr2bl w:val="nil"/>
                  </w:tcBorders>
                  <w:shd w:val="clear" w:color="auto" w:fill="auto"/>
                  <w:noWrap w:val="0"/>
                  <w:vAlign w:val="center"/>
                </w:tcPr>
                <w:p w14:paraId="601DD6E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452B3A6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DFDD09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16</w:t>
                  </w:r>
                </w:p>
              </w:tc>
              <w:tc>
                <w:tcPr>
                  <w:tcW w:w="665" w:type="pct"/>
                  <w:tcBorders>
                    <w:tl2br w:val="nil"/>
                    <w:tr2bl w:val="nil"/>
                  </w:tcBorders>
                  <w:shd w:val="clear" w:color="auto" w:fill="auto"/>
                  <w:noWrap w:val="0"/>
                  <w:vAlign w:val="center"/>
                </w:tcPr>
                <w:p w14:paraId="42B5353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16</w:t>
                  </w:r>
                </w:p>
              </w:tc>
              <w:tc>
                <w:tcPr>
                  <w:tcW w:w="594" w:type="pct"/>
                  <w:tcBorders>
                    <w:tl2br w:val="nil"/>
                    <w:tr2bl w:val="nil"/>
                  </w:tcBorders>
                  <w:shd w:val="clear" w:color="auto" w:fill="auto"/>
                  <w:noWrap w:val="0"/>
                  <w:vAlign w:val="center"/>
                </w:tcPr>
                <w:p w14:paraId="2C4E37D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49D4BD8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16</w:t>
                  </w:r>
                </w:p>
              </w:tc>
            </w:tr>
            <w:tr w14:paraId="0759D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0FEAB6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27</w:t>
                  </w:r>
                </w:p>
              </w:tc>
              <w:tc>
                <w:tcPr>
                  <w:tcW w:w="1228" w:type="pct"/>
                  <w:tcBorders>
                    <w:tl2br w:val="nil"/>
                    <w:tr2bl w:val="nil"/>
                  </w:tcBorders>
                  <w:shd w:val="clear" w:color="auto" w:fill="auto"/>
                  <w:noWrap w:val="0"/>
                  <w:vAlign w:val="center"/>
                </w:tcPr>
                <w:p w14:paraId="6256223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乙腈</w:t>
                  </w:r>
                </w:p>
              </w:tc>
              <w:tc>
                <w:tcPr>
                  <w:tcW w:w="520" w:type="pct"/>
                  <w:tcBorders>
                    <w:tl2br w:val="nil"/>
                    <w:tr2bl w:val="nil"/>
                  </w:tcBorders>
                  <w:shd w:val="clear" w:color="auto" w:fill="auto"/>
                  <w:noWrap w:val="0"/>
                  <w:vAlign w:val="center"/>
                </w:tcPr>
                <w:p w14:paraId="42B498A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57AF23A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AA721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12</w:t>
                  </w:r>
                </w:p>
              </w:tc>
              <w:tc>
                <w:tcPr>
                  <w:tcW w:w="665" w:type="pct"/>
                  <w:tcBorders>
                    <w:tl2br w:val="nil"/>
                    <w:tr2bl w:val="nil"/>
                  </w:tcBorders>
                  <w:shd w:val="clear" w:color="auto" w:fill="auto"/>
                  <w:noWrap w:val="0"/>
                  <w:vAlign w:val="center"/>
                </w:tcPr>
                <w:p w14:paraId="2E916EA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12</w:t>
                  </w:r>
                </w:p>
              </w:tc>
              <w:tc>
                <w:tcPr>
                  <w:tcW w:w="594" w:type="pct"/>
                  <w:tcBorders>
                    <w:tl2br w:val="nil"/>
                    <w:tr2bl w:val="nil"/>
                  </w:tcBorders>
                  <w:shd w:val="clear" w:color="auto" w:fill="auto"/>
                  <w:noWrap w:val="0"/>
                  <w:vAlign w:val="center"/>
                </w:tcPr>
                <w:p w14:paraId="4B0F3B0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w:t>
                  </w:r>
                </w:p>
              </w:tc>
              <w:tc>
                <w:tcPr>
                  <w:tcW w:w="490" w:type="pct"/>
                  <w:tcBorders>
                    <w:tl2br w:val="nil"/>
                    <w:tr2bl w:val="nil"/>
                  </w:tcBorders>
                  <w:shd w:val="clear" w:color="auto" w:fill="auto"/>
                  <w:noWrap w:val="0"/>
                  <w:vAlign w:val="center"/>
                </w:tcPr>
                <w:p w14:paraId="025BE4A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12</w:t>
                  </w:r>
                </w:p>
              </w:tc>
            </w:tr>
            <w:tr w14:paraId="243E2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D622CD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28</w:t>
                  </w:r>
                </w:p>
              </w:tc>
              <w:tc>
                <w:tcPr>
                  <w:tcW w:w="1228" w:type="pct"/>
                  <w:tcBorders>
                    <w:tl2br w:val="nil"/>
                    <w:tr2bl w:val="nil"/>
                  </w:tcBorders>
                  <w:shd w:val="clear" w:color="auto" w:fill="auto"/>
                  <w:noWrap w:val="0"/>
                  <w:vAlign w:val="center"/>
                </w:tcPr>
                <w:p w14:paraId="026D59B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焦硫酸钾</w:t>
                  </w:r>
                </w:p>
              </w:tc>
              <w:tc>
                <w:tcPr>
                  <w:tcW w:w="520" w:type="pct"/>
                  <w:tcBorders>
                    <w:tl2br w:val="nil"/>
                    <w:tr2bl w:val="nil"/>
                  </w:tcBorders>
                  <w:shd w:val="clear" w:color="auto" w:fill="auto"/>
                  <w:noWrap w:val="0"/>
                  <w:vAlign w:val="center"/>
                </w:tcPr>
                <w:p w14:paraId="7750702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92B2AA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04AE6B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5ECDA5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2D76737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65FC62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2698D8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DFD4CC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29</w:t>
                  </w:r>
                </w:p>
              </w:tc>
              <w:tc>
                <w:tcPr>
                  <w:tcW w:w="1228" w:type="pct"/>
                  <w:tcBorders>
                    <w:tl2br w:val="nil"/>
                    <w:tr2bl w:val="nil"/>
                  </w:tcBorders>
                  <w:shd w:val="clear" w:color="auto" w:fill="auto"/>
                  <w:noWrap w:val="0"/>
                  <w:vAlign w:val="center"/>
                </w:tcPr>
                <w:p w14:paraId="32BAE87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苯二甲酸氢钾</w:t>
                  </w:r>
                </w:p>
              </w:tc>
              <w:tc>
                <w:tcPr>
                  <w:tcW w:w="520" w:type="pct"/>
                  <w:tcBorders>
                    <w:tl2br w:val="nil"/>
                    <w:tr2bl w:val="nil"/>
                  </w:tcBorders>
                  <w:shd w:val="clear" w:color="auto" w:fill="auto"/>
                  <w:noWrap w:val="0"/>
                  <w:vAlign w:val="center"/>
                </w:tcPr>
                <w:p w14:paraId="4872B82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F7927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2E5A80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5EB1CA2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25A32F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E55F71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32AC90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17553B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30</w:t>
                  </w:r>
                </w:p>
              </w:tc>
              <w:tc>
                <w:tcPr>
                  <w:tcW w:w="1228" w:type="pct"/>
                  <w:tcBorders>
                    <w:tl2br w:val="nil"/>
                    <w:tr2bl w:val="nil"/>
                  </w:tcBorders>
                  <w:shd w:val="clear" w:color="auto" w:fill="auto"/>
                  <w:noWrap w:val="0"/>
                  <w:vAlign w:val="center"/>
                </w:tcPr>
                <w:p w14:paraId="0098A2D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溴化锂</w:t>
                  </w:r>
                </w:p>
              </w:tc>
              <w:tc>
                <w:tcPr>
                  <w:tcW w:w="520" w:type="pct"/>
                  <w:tcBorders>
                    <w:tl2br w:val="nil"/>
                    <w:tr2bl w:val="nil"/>
                  </w:tcBorders>
                  <w:shd w:val="clear" w:color="auto" w:fill="auto"/>
                  <w:noWrap w:val="0"/>
                  <w:vAlign w:val="center"/>
                </w:tcPr>
                <w:p w14:paraId="0FF63A4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DC9F44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E8A4C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11B02C6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181FA73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E119A2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32B2D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A27189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31</w:t>
                  </w:r>
                </w:p>
              </w:tc>
              <w:tc>
                <w:tcPr>
                  <w:tcW w:w="1228" w:type="pct"/>
                  <w:tcBorders>
                    <w:tl2br w:val="nil"/>
                    <w:tr2bl w:val="nil"/>
                  </w:tcBorders>
                  <w:shd w:val="clear" w:color="auto" w:fill="auto"/>
                  <w:noWrap w:val="0"/>
                  <w:vAlign w:val="center"/>
                </w:tcPr>
                <w:p w14:paraId="24F5D6B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邻苯二甲酸氢钾</w:t>
                  </w:r>
                </w:p>
              </w:tc>
              <w:tc>
                <w:tcPr>
                  <w:tcW w:w="520" w:type="pct"/>
                  <w:tcBorders>
                    <w:tl2br w:val="nil"/>
                    <w:tr2bl w:val="nil"/>
                  </w:tcBorders>
                  <w:shd w:val="clear" w:color="auto" w:fill="auto"/>
                  <w:noWrap w:val="0"/>
                  <w:vAlign w:val="center"/>
                </w:tcPr>
                <w:p w14:paraId="3828EF3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53C9D9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6522A8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556D9AE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6A017AD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9B1B6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1F2BFD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7F66D5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32</w:t>
                  </w:r>
                </w:p>
              </w:tc>
              <w:tc>
                <w:tcPr>
                  <w:tcW w:w="1228" w:type="pct"/>
                  <w:tcBorders>
                    <w:tl2br w:val="nil"/>
                    <w:tr2bl w:val="nil"/>
                  </w:tcBorders>
                  <w:shd w:val="clear" w:color="auto" w:fill="auto"/>
                  <w:noWrap w:val="0"/>
                  <w:vAlign w:val="center"/>
                </w:tcPr>
                <w:p w14:paraId="2713EE6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碘化钾</w:t>
                  </w:r>
                </w:p>
              </w:tc>
              <w:tc>
                <w:tcPr>
                  <w:tcW w:w="520" w:type="pct"/>
                  <w:tcBorders>
                    <w:tl2br w:val="nil"/>
                    <w:tr2bl w:val="nil"/>
                  </w:tcBorders>
                  <w:shd w:val="clear" w:color="auto" w:fill="auto"/>
                  <w:noWrap w:val="0"/>
                  <w:vAlign w:val="center"/>
                </w:tcPr>
                <w:p w14:paraId="041FB48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EED78A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AC15CF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6DF1713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4C16021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BA20A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4F329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EA8FACE">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33</w:t>
                  </w:r>
                </w:p>
              </w:tc>
              <w:tc>
                <w:tcPr>
                  <w:tcW w:w="1228" w:type="pct"/>
                  <w:tcBorders>
                    <w:tl2br w:val="nil"/>
                    <w:tr2bl w:val="nil"/>
                  </w:tcBorders>
                  <w:shd w:val="clear" w:color="auto" w:fill="auto"/>
                  <w:noWrap w:val="0"/>
                  <w:vAlign w:val="center"/>
                </w:tcPr>
                <w:p w14:paraId="583D21D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氯酸钾</w:t>
                  </w:r>
                </w:p>
              </w:tc>
              <w:tc>
                <w:tcPr>
                  <w:tcW w:w="520" w:type="pct"/>
                  <w:tcBorders>
                    <w:tl2br w:val="nil"/>
                    <w:tr2bl w:val="nil"/>
                  </w:tcBorders>
                  <w:shd w:val="clear" w:color="auto" w:fill="auto"/>
                  <w:noWrap w:val="0"/>
                  <w:vAlign w:val="center"/>
                </w:tcPr>
                <w:p w14:paraId="6E2B6F5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308B56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E60855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FA4D1F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05E97DC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C12AAE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59A2C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2F3560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34</w:t>
                  </w:r>
                </w:p>
              </w:tc>
              <w:tc>
                <w:tcPr>
                  <w:tcW w:w="1228" w:type="pct"/>
                  <w:tcBorders>
                    <w:tl2br w:val="nil"/>
                    <w:tr2bl w:val="nil"/>
                  </w:tcBorders>
                  <w:shd w:val="clear" w:color="auto" w:fill="auto"/>
                  <w:noWrap w:val="0"/>
                  <w:vAlign w:val="center"/>
                </w:tcPr>
                <w:p w14:paraId="2B74C54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硫酸钾</w:t>
                  </w:r>
                </w:p>
              </w:tc>
              <w:tc>
                <w:tcPr>
                  <w:tcW w:w="520" w:type="pct"/>
                  <w:tcBorders>
                    <w:tl2br w:val="nil"/>
                    <w:tr2bl w:val="nil"/>
                  </w:tcBorders>
                  <w:shd w:val="clear" w:color="auto" w:fill="auto"/>
                  <w:noWrap w:val="0"/>
                  <w:vAlign w:val="center"/>
                </w:tcPr>
                <w:p w14:paraId="3D3331C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384AD4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CF457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665" w:type="pct"/>
                  <w:tcBorders>
                    <w:tl2br w:val="nil"/>
                    <w:tr2bl w:val="nil"/>
                  </w:tcBorders>
                  <w:shd w:val="clear" w:color="auto" w:fill="auto"/>
                  <w:noWrap w:val="0"/>
                  <w:vAlign w:val="center"/>
                </w:tcPr>
                <w:p w14:paraId="410AB3D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594" w:type="pct"/>
                  <w:tcBorders>
                    <w:tl2br w:val="nil"/>
                    <w:tr2bl w:val="nil"/>
                  </w:tcBorders>
                  <w:shd w:val="clear" w:color="auto" w:fill="auto"/>
                  <w:noWrap w:val="0"/>
                  <w:vAlign w:val="center"/>
                </w:tcPr>
                <w:p w14:paraId="1B22E0A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4C2D84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4000</w:t>
                  </w:r>
                </w:p>
              </w:tc>
            </w:tr>
            <w:tr w14:paraId="2B7B0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BD1BA5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35</w:t>
                  </w:r>
                </w:p>
              </w:tc>
              <w:tc>
                <w:tcPr>
                  <w:tcW w:w="1228" w:type="pct"/>
                  <w:tcBorders>
                    <w:tl2br w:val="nil"/>
                    <w:tr2bl w:val="nil"/>
                  </w:tcBorders>
                  <w:shd w:val="clear" w:color="auto" w:fill="auto"/>
                  <w:noWrap w:val="0"/>
                  <w:vAlign w:val="center"/>
                </w:tcPr>
                <w:p w14:paraId="0AD60CF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硫氰酸钾</w:t>
                  </w:r>
                </w:p>
              </w:tc>
              <w:tc>
                <w:tcPr>
                  <w:tcW w:w="520" w:type="pct"/>
                  <w:tcBorders>
                    <w:tl2br w:val="nil"/>
                    <w:tr2bl w:val="nil"/>
                  </w:tcBorders>
                  <w:shd w:val="clear" w:color="auto" w:fill="auto"/>
                  <w:noWrap w:val="0"/>
                  <w:vAlign w:val="center"/>
                </w:tcPr>
                <w:p w14:paraId="71ED8E0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2CC7BC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FEA7E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7BACF80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566C831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6D11F8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402DC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BAEE3A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36</w:t>
                  </w:r>
                </w:p>
              </w:tc>
              <w:tc>
                <w:tcPr>
                  <w:tcW w:w="1228" w:type="pct"/>
                  <w:tcBorders>
                    <w:tl2br w:val="nil"/>
                    <w:tr2bl w:val="nil"/>
                  </w:tcBorders>
                  <w:shd w:val="clear" w:color="auto" w:fill="auto"/>
                  <w:noWrap w:val="0"/>
                  <w:vAlign w:val="center"/>
                </w:tcPr>
                <w:p w14:paraId="1DBA372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硫酸铝钾</w:t>
                  </w:r>
                </w:p>
              </w:tc>
              <w:tc>
                <w:tcPr>
                  <w:tcW w:w="520" w:type="pct"/>
                  <w:tcBorders>
                    <w:tl2br w:val="nil"/>
                    <w:tr2bl w:val="nil"/>
                  </w:tcBorders>
                  <w:shd w:val="clear" w:color="auto" w:fill="auto"/>
                  <w:noWrap w:val="0"/>
                  <w:vAlign w:val="center"/>
                </w:tcPr>
                <w:p w14:paraId="117CDC1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9AD62E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4A742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665" w:type="pct"/>
                  <w:tcBorders>
                    <w:tl2br w:val="nil"/>
                    <w:tr2bl w:val="nil"/>
                  </w:tcBorders>
                  <w:shd w:val="clear" w:color="auto" w:fill="auto"/>
                  <w:noWrap w:val="0"/>
                  <w:vAlign w:val="center"/>
                </w:tcPr>
                <w:p w14:paraId="0C4CD83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594" w:type="pct"/>
                  <w:tcBorders>
                    <w:tl2br w:val="nil"/>
                    <w:tr2bl w:val="nil"/>
                  </w:tcBorders>
                  <w:shd w:val="clear" w:color="auto" w:fill="auto"/>
                  <w:noWrap w:val="0"/>
                  <w:vAlign w:val="center"/>
                </w:tcPr>
                <w:p w14:paraId="666F0BD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9D955A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3000</w:t>
                  </w:r>
                </w:p>
              </w:tc>
            </w:tr>
            <w:tr w14:paraId="62C01D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7A2BBC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37</w:t>
                  </w:r>
                </w:p>
              </w:tc>
              <w:tc>
                <w:tcPr>
                  <w:tcW w:w="1228" w:type="pct"/>
                  <w:tcBorders>
                    <w:tl2br w:val="nil"/>
                    <w:tr2bl w:val="nil"/>
                  </w:tcBorders>
                  <w:shd w:val="clear" w:color="auto" w:fill="auto"/>
                  <w:noWrap w:val="0"/>
                  <w:vAlign w:val="center"/>
                </w:tcPr>
                <w:p w14:paraId="43EAC2F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高碘酸钾</w:t>
                  </w:r>
                </w:p>
              </w:tc>
              <w:tc>
                <w:tcPr>
                  <w:tcW w:w="520" w:type="pct"/>
                  <w:tcBorders>
                    <w:tl2br w:val="nil"/>
                    <w:tr2bl w:val="nil"/>
                  </w:tcBorders>
                  <w:shd w:val="clear" w:color="auto" w:fill="auto"/>
                  <w:noWrap w:val="0"/>
                  <w:vAlign w:val="center"/>
                </w:tcPr>
                <w:p w14:paraId="133716E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69E735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7E8421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221905D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6857C62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A4E089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1D3AC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EEF68A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38</w:t>
                  </w:r>
                </w:p>
              </w:tc>
              <w:tc>
                <w:tcPr>
                  <w:tcW w:w="1228" w:type="pct"/>
                  <w:tcBorders>
                    <w:tl2br w:val="nil"/>
                    <w:tr2bl w:val="nil"/>
                  </w:tcBorders>
                  <w:shd w:val="clear" w:color="auto" w:fill="auto"/>
                  <w:noWrap w:val="0"/>
                  <w:vAlign w:val="center"/>
                </w:tcPr>
                <w:p w14:paraId="6D93EEE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碘酸钾</w:t>
                  </w:r>
                </w:p>
              </w:tc>
              <w:tc>
                <w:tcPr>
                  <w:tcW w:w="520" w:type="pct"/>
                  <w:tcBorders>
                    <w:tl2br w:val="nil"/>
                    <w:tr2bl w:val="nil"/>
                  </w:tcBorders>
                  <w:shd w:val="clear" w:color="auto" w:fill="auto"/>
                  <w:noWrap w:val="0"/>
                  <w:vAlign w:val="center"/>
                </w:tcPr>
                <w:p w14:paraId="617FB7A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9A239F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98EC16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3E2DADD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71F7C2C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AEC97E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71600D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7CA7A9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39</w:t>
                  </w:r>
                </w:p>
              </w:tc>
              <w:tc>
                <w:tcPr>
                  <w:tcW w:w="1228" w:type="pct"/>
                  <w:tcBorders>
                    <w:tl2br w:val="nil"/>
                    <w:tr2bl w:val="nil"/>
                  </w:tcBorders>
                  <w:shd w:val="clear" w:color="auto" w:fill="auto"/>
                  <w:noWrap w:val="0"/>
                  <w:vAlign w:val="center"/>
                </w:tcPr>
                <w:p w14:paraId="51460E0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氯化钾</w:t>
                  </w:r>
                </w:p>
              </w:tc>
              <w:tc>
                <w:tcPr>
                  <w:tcW w:w="520" w:type="pct"/>
                  <w:tcBorders>
                    <w:tl2br w:val="nil"/>
                    <w:tr2bl w:val="nil"/>
                  </w:tcBorders>
                  <w:shd w:val="clear" w:color="auto" w:fill="auto"/>
                  <w:noWrap w:val="0"/>
                  <w:vAlign w:val="center"/>
                </w:tcPr>
                <w:p w14:paraId="34ADBA5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695BBD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B27247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w:t>
                  </w:r>
                </w:p>
              </w:tc>
              <w:tc>
                <w:tcPr>
                  <w:tcW w:w="665" w:type="pct"/>
                  <w:tcBorders>
                    <w:tl2br w:val="nil"/>
                    <w:tr2bl w:val="nil"/>
                  </w:tcBorders>
                  <w:shd w:val="clear" w:color="auto" w:fill="auto"/>
                  <w:noWrap w:val="0"/>
                  <w:vAlign w:val="center"/>
                </w:tcPr>
                <w:p w14:paraId="6FA0C80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w:t>
                  </w:r>
                </w:p>
              </w:tc>
              <w:tc>
                <w:tcPr>
                  <w:tcW w:w="594" w:type="pct"/>
                  <w:tcBorders>
                    <w:tl2br w:val="nil"/>
                    <w:tr2bl w:val="nil"/>
                  </w:tcBorders>
                  <w:shd w:val="clear" w:color="auto" w:fill="auto"/>
                  <w:noWrap w:val="0"/>
                  <w:vAlign w:val="center"/>
                </w:tcPr>
                <w:p w14:paraId="5025BF6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kg</w:t>
                  </w:r>
                </w:p>
              </w:tc>
              <w:tc>
                <w:tcPr>
                  <w:tcW w:w="490" w:type="pct"/>
                  <w:tcBorders>
                    <w:tl2br w:val="nil"/>
                    <w:tr2bl w:val="nil"/>
                  </w:tcBorders>
                  <w:shd w:val="clear" w:color="auto" w:fill="auto"/>
                  <w:noWrap w:val="0"/>
                  <w:vAlign w:val="center"/>
                </w:tcPr>
                <w:p w14:paraId="0B7616D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w:t>
                  </w:r>
                </w:p>
              </w:tc>
            </w:tr>
            <w:tr w14:paraId="5CFB20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9F7EEB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40</w:t>
                  </w:r>
                </w:p>
              </w:tc>
              <w:tc>
                <w:tcPr>
                  <w:tcW w:w="1228" w:type="pct"/>
                  <w:tcBorders>
                    <w:tl2br w:val="nil"/>
                    <w:tr2bl w:val="nil"/>
                  </w:tcBorders>
                  <w:shd w:val="clear" w:color="auto" w:fill="auto"/>
                  <w:noWrap w:val="0"/>
                  <w:vAlign w:val="center"/>
                </w:tcPr>
                <w:p w14:paraId="492C9D9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氟化钾</w:t>
                  </w:r>
                </w:p>
              </w:tc>
              <w:tc>
                <w:tcPr>
                  <w:tcW w:w="520" w:type="pct"/>
                  <w:tcBorders>
                    <w:tl2br w:val="nil"/>
                    <w:tr2bl w:val="nil"/>
                  </w:tcBorders>
                  <w:shd w:val="clear" w:color="auto" w:fill="auto"/>
                  <w:noWrap w:val="0"/>
                  <w:vAlign w:val="center"/>
                </w:tcPr>
                <w:p w14:paraId="49CE1C8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DB04B6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49CC52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2500</w:t>
                  </w:r>
                </w:p>
              </w:tc>
              <w:tc>
                <w:tcPr>
                  <w:tcW w:w="665" w:type="pct"/>
                  <w:tcBorders>
                    <w:tl2br w:val="nil"/>
                    <w:tr2bl w:val="nil"/>
                  </w:tcBorders>
                  <w:shd w:val="clear" w:color="auto" w:fill="auto"/>
                  <w:noWrap w:val="0"/>
                  <w:vAlign w:val="center"/>
                </w:tcPr>
                <w:p w14:paraId="6359AF8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2500</w:t>
                  </w:r>
                </w:p>
              </w:tc>
              <w:tc>
                <w:tcPr>
                  <w:tcW w:w="594" w:type="pct"/>
                  <w:tcBorders>
                    <w:tl2br w:val="nil"/>
                    <w:tr2bl w:val="nil"/>
                  </w:tcBorders>
                  <w:shd w:val="clear" w:color="auto" w:fill="auto"/>
                  <w:noWrap w:val="0"/>
                  <w:vAlign w:val="center"/>
                </w:tcPr>
                <w:p w14:paraId="246F11E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7DD799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2500</w:t>
                  </w:r>
                </w:p>
              </w:tc>
            </w:tr>
            <w:tr w14:paraId="190BD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7F27E2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41</w:t>
                  </w:r>
                </w:p>
              </w:tc>
              <w:tc>
                <w:tcPr>
                  <w:tcW w:w="1228" w:type="pct"/>
                  <w:tcBorders>
                    <w:tl2br w:val="nil"/>
                    <w:tr2bl w:val="nil"/>
                  </w:tcBorders>
                  <w:shd w:val="clear" w:color="auto" w:fill="auto"/>
                  <w:noWrap w:val="0"/>
                  <w:vAlign w:val="center"/>
                </w:tcPr>
                <w:p w14:paraId="3166973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过碘酸钾</w:t>
                  </w:r>
                </w:p>
              </w:tc>
              <w:tc>
                <w:tcPr>
                  <w:tcW w:w="520" w:type="pct"/>
                  <w:tcBorders>
                    <w:tl2br w:val="nil"/>
                    <w:tr2bl w:val="nil"/>
                  </w:tcBorders>
                  <w:shd w:val="clear" w:color="auto" w:fill="auto"/>
                  <w:noWrap w:val="0"/>
                  <w:vAlign w:val="center"/>
                </w:tcPr>
                <w:p w14:paraId="285FC8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24B200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AA9999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50493DB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42919B7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B60A4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77881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D28176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42</w:t>
                  </w:r>
                </w:p>
              </w:tc>
              <w:tc>
                <w:tcPr>
                  <w:tcW w:w="1228" w:type="pct"/>
                  <w:tcBorders>
                    <w:tl2br w:val="nil"/>
                    <w:tr2bl w:val="nil"/>
                  </w:tcBorders>
                  <w:shd w:val="clear" w:color="auto" w:fill="auto"/>
                  <w:noWrap w:val="0"/>
                  <w:vAlign w:val="center"/>
                </w:tcPr>
                <w:p w14:paraId="1B41D8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硫代硫酸钠</w:t>
                  </w:r>
                </w:p>
              </w:tc>
              <w:tc>
                <w:tcPr>
                  <w:tcW w:w="520" w:type="pct"/>
                  <w:tcBorders>
                    <w:tl2br w:val="nil"/>
                    <w:tr2bl w:val="nil"/>
                  </w:tcBorders>
                  <w:shd w:val="clear" w:color="auto" w:fill="auto"/>
                  <w:noWrap w:val="0"/>
                  <w:vAlign w:val="center"/>
                </w:tcPr>
                <w:p w14:paraId="2F02E5D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D9B5F4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CC7EB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665" w:type="pct"/>
                  <w:tcBorders>
                    <w:tl2br w:val="nil"/>
                    <w:tr2bl w:val="nil"/>
                  </w:tcBorders>
                  <w:shd w:val="clear" w:color="auto" w:fill="auto"/>
                  <w:noWrap w:val="0"/>
                  <w:vAlign w:val="center"/>
                </w:tcPr>
                <w:p w14:paraId="65E4886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594" w:type="pct"/>
                  <w:tcBorders>
                    <w:tl2br w:val="nil"/>
                    <w:tr2bl w:val="nil"/>
                  </w:tcBorders>
                  <w:shd w:val="clear" w:color="auto" w:fill="auto"/>
                  <w:noWrap w:val="0"/>
                  <w:vAlign w:val="center"/>
                </w:tcPr>
                <w:p w14:paraId="53E7061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467692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3000</w:t>
                  </w:r>
                </w:p>
              </w:tc>
            </w:tr>
            <w:tr w14:paraId="245E0E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A182EA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43</w:t>
                  </w:r>
                </w:p>
              </w:tc>
              <w:tc>
                <w:tcPr>
                  <w:tcW w:w="1228" w:type="pct"/>
                  <w:tcBorders>
                    <w:tl2br w:val="nil"/>
                    <w:tr2bl w:val="nil"/>
                  </w:tcBorders>
                  <w:shd w:val="clear" w:color="auto" w:fill="auto"/>
                  <w:noWrap w:val="0"/>
                  <w:vAlign w:val="center"/>
                </w:tcPr>
                <w:p w14:paraId="5BE8E73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酒石酸锑钾</w:t>
                  </w:r>
                </w:p>
              </w:tc>
              <w:tc>
                <w:tcPr>
                  <w:tcW w:w="520" w:type="pct"/>
                  <w:tcBorders>
                    <w:tl2br w:val="nil"/>
                    <w:tr2bl w:val="nil"/>
                  </w:tcBorders>
                  <w:shd w:val="clear" w:color="auto" w:fill="auto"/>
                  <w:noWrap w:val="0"/>
                  <w:vAlign w:val="center"/>
                </w:tcPr>
                <w:p w14:paraId="66E20BC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82EC06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3E469C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665" w:type="pct"/>
                  <w:tcBorders>
                    <w:tl2br w:val="nil"/>
                    <w:tr2bl w:val="nil"/>
                  </w:tcBorders>
                  <w:shd w:val="clear" w:color="auto" w:fill="auto"/>
                  <w:noWrap w:val="0"/>
                  <w:vAlign w:val="center"/>
                </w:tcPr>
                <w:p w14:paraId="234038D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594" w:type="pct"/>
                  <w:tcBorders>
                    <w:tl2br w:val="nil"/>
                    <w:tr2bl w:val="nil"/>
                  </w:tcBorders>
                  <w:shd w:val="clear" w:color="auto" w:fill="auto"/>
                  <w:noWrap w:val="0"/>
                  <w:vAlign w:val="center"/>
                </w:tcPr>
                <w:p w14:paraId="2A44ECA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7FFD69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2000</w:t>
                  </w:r>
                </w:p>
              </w:tc>
            </w:tr>
            <w:tr w14:paraId="1998BF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979A55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44</w:t>
                  </w:r>
                </w:p>
              </w:tc>
              <w:tc>
                <w:tcPr>
                  <w:tcW w:w="1228" w:type="pct"/>
                  <w:tcBorders>
                    <w:tl2br w:val="nil"/>
                    <w:tr2bl w:val="nil"/>
                  </w:tcBorders>
                  <w:shd w:val="clear" w:color="auto" w:fill="auto"/>
                  <w:noWrap w:val="0"/>
                  <w:vAlign w:val="center"/>
                </w:tcPr>
                <w:p w14:paraId="5B1E0AE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硼氢化钾</w:t>
                  </w:r>
                </w:p>
              </w:tc>
              <w:tc>
                <w:tcPr>
                  <w:tcW w:w="520" w:type="pct"/>
                  <w:tcBorders>
                    <w:tl2br w:val="nil"/>
                    <w:tr2bl w:val="nil"/>
                  </w:tcBorders>
                  <w:shd w:val="clear" w:color="auto" w:fill="auto"/>
                  <w:noWrap w:val="0"/>
                  <w:vAlign w:val="center"/>
                </w:tcPr>
                <w:p w14:paraId="0FC47CB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BF224A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EEDED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5000</w:t>
                  </w:r>
                </w:p>
              </w:tc>
              <w:tc>
                <w:tcPr>
                  <w:tcW w:w="665" w:type="pct"/>
                  <w:tcBorders>
                    <w:tl2br w:val="nil"/>
                    <w:tr2bl w:val="nil"/>
                  </w:tcBorders>
                  <w:shd w:val="clear" w:color="auto" w:fill="auto"/>
                  <w:noWrap w:val="0"/>
                  <w:vAlign w:val="center"/>
                </w:tcPr>
                <w:p w14:paraId="600AA2E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5000</w:t>
                  </w:r>
                </w:p>
              </w:tc>
              <w:tc>
                <w:tcPr>
                  <w:tcW w:w="594" w:type="pct"/>
                  <w:tcBorders>
                    <w:tl2br w:val="nil"/>
                    <w:tr2bl w:val="nil"/>
                  </w:tcBorders>
                  <w:shd w:val="clear" w:color="auto" w:fill="auto"/>
                  <w:noWrap w:val="0"/>
                  <w:vAlign w:val="center"/>
                </w:tcPr>
                <w:p w14:paraId="0B98359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AE972A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5000</w:t>
                  </w:r>
                </w:p>
              </w:tc>
            </w:tr>
            <w:tr w14:paraId="7B9598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97717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45</w:t>
                  </w:r>
                </w:p>
              </w:tc>
              <w:tc>
                <w:tcPr>
                  <w:tcW w:w="1228" w:type="pct"/>
                  <w:tcBorders>
                    <w:tl2br w:val="nil"/>
                    <w:tr2bl w:val="nil"/>
                  </w:tcBorders>
                  <w:shd w:val="clear" w:color="auto" w:fill="auto"/>
                  <w:noWrap w:val="0"/>
                  <w:vAlign w:val="center"/>
                </w:tcPr>
                <w:p w14:paraId="3336D6D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硫酸氢钾</w:t>
                  </w:r>
                </w:p>
              </w:tc>
              <w:tc>
                <w:tcPr>
                  <w:tcW w:w="520" w:type="pct"/>
                  <w:tcBorders>
                    <w:tl2br w:val="nil"/>
                    <w:tr2bl w:val="nil"/>
                  </w:tcBorders>
                  <w:shd w:val="clear" w:color="auto" w:fill="auto"/>
                  <w:noWrap w:val="0"/>
                  <w:vAlign w:val="center"/>
                </w:tcPr>
                <w:p w14:paraId="68E0431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26DEA0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22D689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03EFF9C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50FAB09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E181D9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14C9D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45D67C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46</w:t>
                  </w:r>
                </w:p>
              </w:tc>
              <w:tc>
                <w:tcPr>
                  <w:tcW w:w="1228" w:type="pct"/>
                  <w:tcBorders>
                    <w:tl2br w:val="nil"/>
                    <w:tr2bl w:val="nil"/>
                  </w:tcBorders>
                  <w:shd w:val="clear" w:color="auto" w:fill="auto"/>
                  <w:noWrap w:val="0"/>
                  <w:vAlign w:val="center"/>
                </w:tcPr>
                <w:p w14:paraId="12FE952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磷酸二氢钾</w:t>
                  </w:r>
                </w:p>
              </w:tc>
              <w:tc>
                <w:tcPr>
                  <w:tcW w:w="520" w:type="pct"/>
                  <w:tcBorders>
                    <w:tl2br w:val="nil"/>
                    <w:tr2bl w:val="nil"/>
                  </w:tcBorders>
                  <w:shd w:val="clear" w:color="auto" w:fill="auto"/>
                  <w:noWrap w:val="0"/>
                  <w:vAlign w:val="center"/>
                </w:tcPr>
                <w:p w14:paraId="5FD09C5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714D7F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24E4A4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15205F1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0F93838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4CA814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661B3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C7A0B0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47</w:t>
                  </w:r>
                </w:p>
              </w:tc>
              <w:tc>
                <w:tcPr>
                  <w:tcW w:w="1228" w:type="pct"/>
                  <w:tcBorders>
                    <w:tl2br w:val="nil"/>
                    <w:tr2bl w:val="nil"/>
                  </w:tcBorders>
                  <w:shd w:val="clear" w:color="auto" w:fill="auto"/>
                  <w:noWrap w:val="0"/>
                  <w:vAlign w:val="center"/>
                </w:tcPr>
                <w:p w14:paraId="41A9E6C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溴酸钾</w:t>
                  </w:r>
                </w:p>
              </w:tc>
              <w:tc>
                <w:tcPr>
                  <w:tcW w:w="520" w:type="pct"/>
                  <w:tcBorders>
                    <w:tl2br w:val="nil"/>
                    <w:tr2bl w:val="nil"/>
                  </w:tcBorders>
                  <w:shd w:val="clear" w:color="auto" w:fill="auto"/>
                  <w:noWrap w:val="0"/>
                  <w:vAlign w:val="center"/>
                </w:tcPr>
                <w:p w14:paraId="16968C3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A46AB0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3F56EC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2C6FC03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6CFF4CF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948975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3361E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5C5F32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48</w:t>
                  </w:r>
                </w:p>
              </w:tc>
              <w:tc>
                <w:tcPr>
                  <w:tcW w:w="1228" w:type="pct"/>
                  <w:tcBorders>
                    <w:tl2br w:val="nil"/>
                    <w:tr2bl w:val="nil"/>
                  </w:tcBorders>
                  <w:shd w:val="clear" w:color="auto" w:fill="auto"/>
                  <w:noWrap w:val="0"/>
                  <w:vAlign w:val="center"/>
                </w:tcPr>
                <w:p w14:paraId="45BD9FF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磷酸氢二钾</w:t>
                  </w:r>
                </w:p>
              </w:tc>
              <w:tc>
                <w:tcPr>
                  <w:tcW w:w="520" w:type="pct"/>
                  <w:tcBorders>
                    <w:tl2br w:val="nil"/>
                    <w:tr2bl w:val="nil"/>
                  </w:tcBorders>
                  <w:shd w:val="clear" w:color="auto" w:fill="auto"/>
                  <w:noWrap w:val="0"/>
                  <w:vAlign w:val="center"/>
                </w:tcPr>
                <w:p w14:paraId="549100A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675B8E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DFA67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4D373C3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5D90902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E94432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4122E6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1588C6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49</w:t>
                  </w:r>
                </w:p>
              </w:tc>
              <w:tc>
                <w:tcPr>
                  <w:tcW w:w="1228" w:type="pct"/>
                  <w:tcBorders>
                    <w:tl2br w:val="nil"/>
                    <w:tr2bl w:val="nil"/>
                  </w:tcBorders>
                  <w:shd w:val="clear" w:color="auto" w:fill="auto"/>
                  <w:noWrap w:val="0"/>
                  <w:vAlign w:val="center"/>
                </w:tcPr>
                <w:p w14:paraId="1C48E2A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硝酸钠</w:t>
                  </w:r>
                </w:p>
              </w:tc>
              <w:tc>
                <w:tcPr>
                  <w:tcW w:w="520" w:type="pct"/>
                  <w:tcBorders>
                    <w:tl2br w:val="nil"/>
                    <w:tr2bl w:val="nil"/>
                  </w:tcBorders>
                  <w:shd w:val="clear" w:color="auto" w:fill="auto"/>
                  <w:noWrap w:val="0"/>
                  <w:vAlign w:val="center"/>
                </w:tcPr>
                <w:p w14:paraId="3BA46DF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57FCB4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6414C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7D3F73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5A75330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65D39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6B608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CF8D4B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50</w:t>
                  </w:r>
                </w:p>
              </w:tc>
              <w:tc>
                <w:tcPr>
                  <w:tcW w:w="1228" w:type="pct"/>
                  <w:tcBorders>
                    <w:tl2br w:val="nil"/>
                    <w:tr2bl w:val="nil"/>
                  </w:tcBorders>
                  <w:shd w:val="clear" w:color="auto" w:fill="auto"/>
                  <w:noWrap w:val="0"/>
                  <w:vAlign w:val="center"/>
                </w:tcPr>
                <w:p w14:paraId="68151F0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硝酸钾</w:t>
                  </w:r>
                </w:p>
              </w:tc>
              <w:tc>
                <w:tcPr>
                  <w:tcW w:w="520" w:type="pct"/>
                  <w:tcBorders>
                    <w:tl2br w:val="nil"/>
                    <w:tr2bl w:val="nil"/>
                  </w:tcBorders>
                  <w:shd w:val="clear" w:color="auto" w:fill="auto"/>
                  <w:noWrap w:val="0"/>
                  <w:vAlign w:val="center"/>
                </w:tcPr>
                <w:p w14:paraId="47DCAB0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F43C50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F23AB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000C62B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40D4BCD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4CE92D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1AED3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7F081A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51</w:t>
                  </w:r>
                </w:p>
              </w:tc>
              <w:tc>
                <w:tcPr>
                  <w:tcW w:w="1228" w:type="pct"/>
                  <w:tcBorders>
                    <w:tl2br w:val="nil"/>
                    <w:tr2bl w:val="nil"/>
                  </w:tcBorders>
                  <w:shd w:val="clear" w:color="auto" w:fill="auto"/>
                  <w:noWrap w:val="0"/>
                  <w:vAlign w:val="center"/>
                </w:tcPr>
                <w:p w14:paraId="3566944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十二烷基苯磺酸钠</w:t>
                  </w:r>
                </w:p>
              </w:tc>
              <w:tc>
                <w:tcPr>
                  <w:tcW w:w="520" w:type="pct"/>
                  <w:tcBorders>
                    <w:tl2br w:val="nil"/>
                    <w:tr2bl w:val="nil"/>
                  </w:tcBorders>
                  <w:shd w:val="clear" w:color="auto" w:fill="auto"/>
                  <w:noWrap w:val="0"/>
                  <w:vAlign w:val="center"/>
                </w:tcPr>
                <w:p w14:paraId="7F9B7A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AAE216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307011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772215F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07FD64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EF277C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62761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8CB76B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52</w:t>
                  </w:r>
                </w:p>
              </w:tc>
              <w:tc>
                <w:tcPr>
                  <w:tcW w:w="1228" w:type="pct"/>
                  <w:tcBorders>
                    <w:tl2br w:val="nil"/>
                    <w:tr2bl w:val="nil"/>
                  </w:tcBorders>
                  <w:shd w:val="clear" w:color="auto" w:fill="auto"/>
                  <w:noWrap w:val="0"/>
                  <w:vAlign w:val="center"/>
                </w:tcPr>
                <w:p w14:paraId="186677F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硅酸钠</w:t>
                  </w:r>
                </w:p>
              </w:tc>
              <w:tc>
                <w:tcPr>
                  <w:tcW w:w="520" w:type="pct"/>
                  <w:tcBorders>
                    <w:tl2br w:val="nil"/>
                    <w:tr2bl w:val="nil"/>
                  </w:tcBorders>
                  <w:shd w:val="clear" w:color="auto" w:fill="auto"/>
                  <w:noWrap w:val="0"/>
                  <w:vAlign w:val="center"/>
                </w:tcPr>
                <w:p w14:paraId="7925043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84A786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9384B2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2A0DA78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6CABDDA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362337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63EB82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894BFB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53</w:t>
                  </w:r>
                </w:p>
              </w:tc>
              <w:tc>
                <w:tcPr>
                  <w:tcW w:w="1228" w:type="pct"/>
                  <w:tcBorders>
                    <w:tl2br w:val="nil"/>
                    <w:tr2bl w:val="nil"/>
                  </w:tcBorders>
                  <w:shd w:val="clear" w:color="auto" w:fill="auto"/>
                  <w:noWrap w:val="0"/>
                  <w:vAlign w:val="center"/>
                </w:tcPr>
                <w:p w14:paraId="51984B4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氯化钠</w:t>
                  </w:r>
                </w:p>
              </w:tc>
              <w:tc>
                <w:tcPr>
                  <w:tcW w:w="520" w:type="pct"/>
                  <w:tcBorders>
                    <w:tl2br w:val="nil"/>
                    <w:tr2bl w:val="nil"/>
                  </w:tcBorders>
                  <w:shd w:val="clear" w:color="auto" w:fill="auto"/>
                  <w:noWrap w:val="0"/>
                  <w:vAlign w:val="center"/>
                </w:tcPr>
                <w:p w14:paraId="3235B4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2013C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BFA0D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665" w:type="pct"/>
                  <w:tcBorders>
                    <w:tl2br w:val="nil"/>
                    <w:tr2bl w:val="nil"/>
                  </w:tcBorders>
                  <w:shd w:val="clear" w:color="auto" w:fill="auto"/>
                  <w:noWrap w:val="0"/>
                  <w:vAlign w:val="center"/>
                </w:tcPr>
                <w:p w14:paraId="258809F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594" w:type="pct"/>
                  <w:tcBorders>
                    <w:tl2br w:val="nil"/>
                    <w:tr2bl w:val="nil"/>
                  </w:tcBorders>
                  <w:shd w:val="clear" w:color="auto" w:fill="auto"/>
                  <w:noWrap w:val="0"/>
                  <w:vAlign w:val="center"/>
                </w:tcPr>
                <w:p w14:paraId="02490F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D4A79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2000</w:t>
                  </w:r>
                </w:p>
              </w:tc>
            </w:tr>
            <w:tr w14:paraId="011D44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4F6724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54</w:t>
                  </w:r>
                </w:p>
              </w:tc>
              <w:tc>
                <w:tcPr>
                  <w:tcW w:w="1228" w:type="pct"/>
                  <w:tcBorders>
                    <w:tl2br w:val="nil"/>
                    <w:tr2bl w:val="nil"/>
                  </w:tcBorders>
                  <w:shd w:val="clear" w:color="auto" w:fill="auto"/>
                  <w:noWrap w:val="0"/>
                  <w:vAlign w:val="center"/>
                </w:tcPr>
                <w:p w14:paraId="595909B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亚硫酸钠</w:t>
                  </w:r>
                </w:p>
              </w:tc>
              <w:tc>
                <w:tcPr>
                  <w:tcW w:w="520" w:type="pct"/>
                  <w:tcBorders>
                    <w:tl2br w:val="nil"/>
                    <w:tr2bl w:val="nil"/>
                  </w:tcBorders>
                  <w:shd w:val="clear" w:color="auto" w:fill="auto"/>
                  <w:noWrap w:val="0"/>
                  <w:vAlign w:val="center"/>
                </w:tcPr>
                <w:p w14:paraId="2E674CE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636BE0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C49857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091CF39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2BF3F68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9829A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30E559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1711A7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55</w:t>
                  </w:r>
                </w:p>
              </w:tc>
              <w:tc>
                <w:tcPr>
                  <w:tcW w:w="1228" w:type="pct"/>
                  <w:tcBorders>
                    <w:tl2br w:val="nil"/>
                    <w:tr2bl w:val="nil"/>
                  </w:tcBorders>
                  <w:shd w:val="clear" w:color="auto" w:fill="auto"/>
                  <w:noWrap w:val="0"/>
                  <w:vAlign w:val="center"/>
                </w:tcPr>
                <w:p w14:paraId="2F8D5F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乙酸钠</w:t>
                  </w:r>
                </w:p>
              </w:tc>
              <w:tc>
                <w:tcPr>
                  <w:tcW w:w="520" w:type="pct"/>
                  <w:tcBorders>
                    <w:tl2br w:val="nil"/>
                    <w:tr2bl w:val="nil"/>
                  </w:tcBorders>
                  <w:shd w:val="clear" w:color="auto" w:fill="auto"/>
                  <w:noWrap w:val="0"/>
                  <w:vAlign w:val="center"/>
                </w:tcPr>
                <w:p w14:paraId="32CD017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376B5A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5BBC70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665" w:type="pct"/>
                  <w:tcBorders>
                    <w:tl2br w:val="nil"/>
                    <w:tr2bl w:val="nil"/>
                  </w:tcBorders>
                  <w:shd w:val="clear" w:color="auto" w:fill="auto"/>
                  <w:noWrap w:val="0"/>
                  <w:vAlign w:val="center"/>
                </w:tcPr>
                <w:p w14:paraId="19C5D4E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594" w:type="pct"/>
                  <w:tcBorders>
                    <w:tl2br w:val="nil"/>
                    <w:tr2bl w:val="nil"/>
                  </w:tcBorders>
                  <w:shd w:val="clear" w:color="auto" w:fill="auto"/>
                  <w:noWrap w:val="0"/>
                  <w:vAlign w:val="center"/>
                </w:tcPr>
                <w:p w14:paraId="4DE42C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2D6BA5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2000</w:t>
                  </w:r>
                </w:p>
              </w:tc>
            </w:tr>
            <w:tr w14:paraId="35976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CEBF45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56</w:t>
                  </w:r>
                </w:p>
              </w:tc>
              <w:tc>
                <w:tcPr>
                  <w:tcW w:w="1228" w:type="pct"/>
                  <w:tcBorders>
                    <w:tl2br w:val="nil"/>
                    <w:tr2bl w:val="nil"/>
                  </w:tcBorders>
                  <w:shd w:val="clear" w:color="auto" w:fill="auto"/>
                  <w:noWrap w:val="0"/>
                  <w:vAlign w:val="center"/>
                </w:tcPr>
                <w:p w14:paraId="0BEF77C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亚硝基铁氰化钠</w:t>
                  </w:r>
                </w:p>
              </w:tc>
              <w:tc>
                <w:tcPr>
                  <w:tcW w:w="520" w:type="pct"/>
                  <w:tcBorders>
                    <w:tl2br w:val="nil"/>
                    <w:tr2bl w:val="nil"/>
                  </w:tcBorders>
                  <w:shd w:val="clear" w:color="auto" w:fill="auto"/>
                  <w:noWrap w:val="0"/>
                  <w:vAlign w:val="center"/>
                </w:tcPr>
                <w:p w14:paraId="4592DE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F09087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E0E80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746FB34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49027F3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B1099C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46EA0B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710FAB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57</w:t>
                  </w:r>
                </w:p>
              </w:tc>
              <w:tc>
                <w:tcPr>
                  <w:tcW w:w="1228" w:type="pct"/>
                  <w:tcBorders>
                    <w:tl2br w:val="nil"/>
                    <w:tr2bl w:val="nil"/>
                  </w:tcBorders>
                  <w:shd w:val="clear" w:color="auto" w:fill="auto"/>
                  <w:noWrap w:val="0"/>
                  <w:vAlign w:val="center"/>
                </w:tcPr>
                <w:p w14:paraId="349C69E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钼酸钠</w:t>
                  </w:r>
                </w:p>
              </w:tc>
              <w:tc>
                <w:tcPr>
                  <w:tcW w:w="520" w:type="pct"/>
                  <w:tcBorders>
                    <w:tl2br w:val="nil"/>
                    <w:tr2bl w:val="nil"/>
                  </w:tcBorders>
                  <w:shd w:val="clear" w:color="auto" w:fill="auto"/>
                  <w:noWrap w:val="0"/>
                  <w:vAlign w:val="center"/>
                </w:tcPr>
                <w:p w14:paraId="5B97FAB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B567C9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AE353B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55D056E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2C11FC2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A917CC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6BF76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5D4B96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58</w:t>
                  </w:r>
                </w:p>
              </w:tc>
              <w:tc>
                <w:tcPr>
                  <w:tcW w:w="1228" w:type="pct"/>
                  <w:tcBorders>
                    <w:tl2br w:val="nil"/>
                    <w:tr2bl w:val="nil"/>
                  </w:tcBorders>
                  <w:shd w:val="clear" w:color="auto" w:fill="auto"/>
                  <w:noWrap w:val="0"/>
                  <w:vAlign w:val="center"/>
                </w:tcPr>
                <w:p w14:paraId="4DFC00C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亚氯酸钠</w:t>
                  </w:r>
                </w:p>
              </w:tc>
              <w:tc>
                <w:tcPr>
                  <w:tcW w:w="520" w:type="pct"/>
                  <w:tcBorders>
                    <w:tl2br w:val="nil"/>
                    <w:tr2bl w:val="nil"/>
                  </w:tcBorders>
                  <w:shd w:val="clear" w:color="auto" w:fill="auto"/>
                  <w:noWrap w:val="0"/>
                  <w:vAlign w:val="center"/>
                </w:tcPr>
                <w:p w14:paraId="37E3F3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48450B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22294E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697254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BA7D45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96F1D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571B5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21FA71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59</w:t>
                  </w:r>
                </w:p>
              </w:tc>
              <w:tc>
                <w:tcPr>
                  <w:tcW w:w="1228" w:type="pct"/>
                  <w:tcBorders>
                    <w:tl2br w:val="nil"/>
                    <w:tr2bl w:val="nil"/>
                  </w:tcBorders>
                  <w:shd w:val="clear" w:color="auto" w:fill="auto"/>
                  <w:noWrap w:val="0"/>
                  <w:vAlign w:val="center"/>
                </w:tcPr>
                <w:p w14:paraId="407BF2F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柠檬酸钠</w:t>
                  </w:r>
                </w:p>
              </w:tc>
              <w:tc>
                <w:tcPr>
                  <w:tcW w:w="520" w:type="pct"/>
                  <w:tcBorders>
                    <w:tl2br w:val="nil"/>
                    <w:tr2bl w:val="nil"/>
                  </w:tcBorders>
                  <w:shd w:val="clear" w:color="auto" w:fill="auto"/>
                  <w:noWrap w:val="0"/>
                  <w:vAlign w:val="center"/>
                </w:tcPr>
                <w:p w14:paraId="1F6578A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C730DB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942FF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3500</w:t>
                  </w:r>
                </w:p>
              </w:tc>
              <w:tc>
                <w:tcPr>
                  <w:tcW w:w="665" w:type="pct"/>
                  <w:tcBorders>
                    <w:tl2br w:val="nil"/>
                    <w:tr2bl w:val="nil"/>
                  </w:tcBorders>
                  <w:shd w:val="clear" w:color="auto" w:fill="auto"/>
                  <w:noWrap w:val="0"/>
                  <w:vAlign w:val="center"/>
                </w:tcPr>
                <w:p w14:paraId="1EFFF9B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3500</w:t>
                  </w:r>
                </w:p>
              </w:tc>
              <w:tc>
                <w:tcPr>
                  <w:tcW w:w="594" w:type="pct"/>
                  <w:tcBorders>
                    <w:tl2br w:val="nil"/>
                    <w:tr2bl w:val="nil"/>
                  </w:tcBorders>
                  <w:shd w:val="clear" w:color="auto" w:fill="auto"/>
                  <w:noWrap w:val="0"/>
                  <w:vAlign w:val="center"/>
                </w:tcPr>
                <w:p w14:paraId="4FD7E21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BF453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3500</w:t>
                  </w:r>
                </w:p>
              </w:tc>
            </w:tr>
            <w:tr w14:paraId="02C2B2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29B8E6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60</w:t>
                  </w:r>
                </w:p>
              </w:tc>
              <w:tc>
                <w:tcPr>
                  <w:tcW w:w="1228" w:type="pct"/>
                  <w:tcBorders>
                    <w:tl2br w:val="nil"/>
                    <w:tr2bl w:val="nil"/>
                  </w:tcBorders>
                  <w:shd w:val="clear" w:color="auto" w:fill="auto"/>
                  <w:noWrap w:val="0"/>
                  <w:vAlign w:val="center"/>
                </w:tcPr>
                <w:p w14:paraId="74C526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酒石酸钾钠</w:t>
                  </w:r>
                </w:p>
              </w:tc>
              <w:tc>
                <w:tcPr>
                  <w:tcW w:w="520" w:type="pct"/>
                  <w:tcBorders>
                    <w:tl2br w:val="nil"/>
                    <w:tr2bl w:val="nil"/>
                  </w:tcBorders>
                  <w:shd w:val="clear" w:color="auto" w:fill="auto"/>
                  <w:noWrap w:val="0"/>
                  <w:vAlign w:val="center"/>
                </w:tcPr>
                <w:p w14:paraId="1517387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177255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8EA819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665" w:type="pct"/>
                  <w:tcBorders>
                    <w:tl2br w:val="nil"/>
                    <w:tr2bl w:val="nil"/>
                  </w:tcBorders>
                  <w:shd w:val="clear" w:color="auto" w:fill="auto"/>
                  <w:noWrap w:val="0"/>
                  <w:vAlign w:val="center"/>
                </w:tcPr>
                <w:p w14:paraId="33976F1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594" w:type="pct"/>
                  <w:tcBorders>
                    <w:tl2br w:val="nil"/>
                    <w:tr2bl w:val="nil"/>
                  </w:tcBorders>
                  <w:shd w:val="clear" w:color="auto" w:fill="auto"/>
                  <w:noWrap w:val="0"/>
                  <w:vAlign w:val="center"/>
                </w:tcPr>
                <w:p w14:paraId="3DD3E37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EF586F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2000</w:t>
                  </w:r>
                </w:p>
              </w:tc>
            </w:tr>
            <w:tr w14:paraId="438CD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DD3981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61</w:t>
                  </w:r>
                </w:p>
              </w:tc>
              <w:tc>
                <w:tcPr>
                  <w:tcW w:w="1228" w:type="pct"/>
                  <w:tcBorders>
                    <w:tl2br w:val="nil"/>
                    <w:tr2bl w:val="nil"/>
                  </w:tcBorders>
                  <w:shd w:val="clear" w:color="auto" w:fill="auto"/>
                  <w:noWrap w:val="0"/>
                  <w:vAlign w:val="center"/>
                </w:tcPr>
                <w:p w14:paraId="035E08B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磷酸氢二钠</w:t>
                  </w:r>
                </w:p>
              </w:tc>
              <w:tc>
                <w:tcPr>
                  <w:tcW w:w="520" w:type="pct"/>
                  <w:tcBorders>
                    <w:tl2br w:val="nil"/>
                    <w:tr2bl w:val="nil"/>
                  </w:tcBorders>
                  <w:shd w:val="clear" w:color="auto" w:fill="auto"/>
                  <w:noWrap w:val="0"/>
                  <w:vAlign w:val="center"/>
                </w:tcPr>
                <w:p w14:paraId="37DE902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AC89CE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C3AFA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2500</w:t>
                  </w:r>
                </w:p>
              </w:tc>
              <w:tc>
                <w:tcPr>
                  <w:tcW w:w="665" w:type="pct"/>
                  <w:tcBorders>
                    <w:tl2br w:val="nil"/>
                    <w:tr2bl w:val="nil"/>
                  </w:tcBorders>
                  <w:shd w:val="clear" w:color="auto" w:fill="auto"/>
                  <w:noWrap w:val="0"/>
                  <w:vAlign w:val="center"/>
                </w:tcPr>
                <w:p w14:paraId="0D57762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2500</w:t>
                  </w:r>
                </w:p>
              </w:tc>
              <w:tc>
                <w:tcPr>
                  <w:tcW w:w="594" w:type="pct"/>
                  <w:tcBorders>
                    <w:tl2br w:val="nil"/>
                    <w:tr2bl w:val="nil"/>
                  </w:tcBorders>
                  <w:shd w:val="clear" w:color="auto" w:fill="auto"/>
                  <w:noWrap w:val="0"/>
                  <w:vAlign w:val="center"/>
                </w:tcPr>
                <w:p w14:paraId="221E636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863D2A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2500</w:t>
                  </w:r>
                </w:p>
              </w:tc>
            </w:tr>
            <w:tr w14:paraId="36F5B2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CEE556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62</w:t>
                  </w:r>
                </w:p>
              </w:tc>
              <w:tc>
                <w:tcPr>
                  <w:tcW w:w="1228" w:type="pct"/>
                  <w:tcBorders>
                    <w:tl2br w:val="nil"/>
                    <w:tr2bl w:val="nil"/>
                  </w:tcBorders>
                  <w:shd w:val="clear" w:color="auto" w:fill="auto"/>
                  <w:noWrap w:val="0"/>
                  <w:vAlign w:val="center"/>
                </w:tcPr>
                <w:p w14:paraId="6F1E854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亚硝酸钠</w:t>
                  </w:r>
                </w:p>
              </w:tc>
              <w:tc>
                <w:tcPr>
                  <w:tcW w:w="520" w:type="pct"/>
                  <w:tcBorders>
                    <w:tl2br w:val="nil"/>
                    <w:tr2bl w:val="nil"/>
                  </w:tcBorders>
                  <w:shd w:val="clear" w:color="auto" w:fill="auto"/>
                  <w:noWrap w:val="0"/>
                  <w:vAlign w:val="center"/>
                </w:tcPr>
                <w:p w14:paraId="215835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A98DB9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E223B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1540322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01C8BB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04D228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5876F2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BEBFD0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63</w:t>
                  </w:r>
                </w:p>
              </w:tc>
              <w:tc>
                <w:tcPr>
                  <w:tcW w:w="1228" w:type="pct"/>
                  <w:tcBorders>
                    <w:tl2br w:val="nil"/>
                    <w:tr2bl w:val="nil"/>
                  </w:tcBorders>
                  <w:shd w:val="clear" w:color="auto" w:fill="auto"/>
                  <w:noWrap w:val="0"/>
                  <w:vAlign w:val="center"/>
                </w:tcPr>
                <w:p w14:paraId="669A09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草酸钠</w:t>
                  </w:r>
                </w:p>
              </w:tc>
              <w:tc>
                <w:tcPr>
                  <w:tcW w:w="520" w:type="pct"/>
                  <w:tcBorders>
                    <w:tl2br w:val="nil"/>
                    <w:tr2bl w:val="nil"/>
                  </w:tcBorders>
                  <w:shd w:val="clear" w:color="auto" w:fill="auto"/>
                  <w:noWrap w:val="0"/>
                  <w:vAlign w:val="center"/>
                </w:tcPr>
                <w:p w14:paraId="3538110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64F09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C57897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271975D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5BF8FBB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BEA0F2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775DC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4EDFA3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64</w:t>
                  </w:r>
                </w:p>
              </w:tc>
              <w:tc>
                <w:tcPr>
                  <w:tcW w:w="1228" w:type="pct"/>
                  <w:tcBorders>
                    <w:tl2br w:val="nil"/>
                    <w:tr2bl w:val="nil"/>
                  </w:tcBorders>
                  <w:shd w:val="clear" w:color="auto" w:fill="auto"/>
                  <w:noWrap w:val="0"/>
                  <w:vAlign w:val="center"/>
                </w:tcPr>
                <w:p w14:paraId="7A93EBE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溴化钠</w:t>
                  </w:r>
                </w:p>
              </w:tc>
              <w:tc>
                <w:tcPr>
                  <w:tcW w:w="520" w:type="pct"/>
                  <w:tcBorders>
                    <w:tl2br w:val="nil"/>
                    <w:tr2bl w:val="nil"/>
                  </w:tcBorders>
                  <w:shd w:val="clear" w:color="auto" w:fill="auto"/>
                  <w:noWrap w:val="0"/>
                  <w:vAlign w:val="center"/>
                </w:tcPr>
                <w:p w14:paraId="7F87BB6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07F8E9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74F04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295BF9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6D590F7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DD8150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0598A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62AE56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65</w:t>
                  </w:r>
                </w:p>
              </w:tc>
              <w:tc>
                <w:tcPr>
                  <w:tcW w:w="1228" w:type="pct"/>
                  <w:tcBorders>
                    <w:tl2br w:val="nil"/>
                    <w:tr2bl w:val="nil"/>
                  </w:tcBorders>
                  <w:shd w:val="clear" w:color="auto" w:fill="auto"/>
                  <w:noWrap w:val="0"/>
                  <w:vAlign w:val="center"/>
                </w:tcPr>
                <w:p w14:paraId="2AF0B7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磷酸钠</w:t>
                  </w:r>
                </w:p>
              </w:tc>
              <w:tc>
                <w:tcPr>
                  <w:tcW w:w="520" w:type="pct"/>
                  <w:tcBorders>
                    <w:tl2br w:val="nil"/>
                    <w:tr2bl w:val="nil"/>
                  </w:tcBorders>
                  <w:shd w:val="clear" w:color="auto" w:fill="auto"/>
                  <w:noWrap w:val="0"/>
                  <w:vAlign w:val="center"/>
                </w:tcPr>
                <w:p w14:paraId="30B81B5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80FCAF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C9FE68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4B97A66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6D26EBD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A93FEC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CD73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5BF198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66</w:t>
                  </w:r>
                </w:p>
              </w:tc>
              <w:tc>
                <w:tcPr>
                  <w:tcW w:w="1228" w:type="pct"/>
                  <w:tcBorders>
                    <w:tl2br w:val="nil"/>
                    <w:tr2bl w:val="nil"/>
                  </w:tcBorders>
                  <w:shd w:val="clear" w:color="auto" w:fill="auto"/>
                  <w:noWrap w:val="0"/>
                  <w:vAlign w:val="center"/>
                </w:tcPr>
                <w:p w14:paraId="4922520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三聚磷酸钠</w:t>
                  </w:r>
                </w:p>
              </w:tc>
              <w:tc>
                <w:tcPr>
                  <w:tcW w:w="520" w:type="pct"/>
                  <w:tcBorders>
                    <w:tl2br w:val="nil"/>
                    <w:tr2bl w:val="nil"/>
                  </w:tcBorders>
                  <w:shd w:val="clear" w:color="auto" w:fill="auto"/>
                  <w:noWrap w:val="0"/>
                  <w:vAlign w:val="center"/>
                </w:tcPr>
                <w:p w14:paraId="5AC65D8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73E037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700B0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ADF034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48723BE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7895D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0A2A7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189847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67</w:t>
                  </w:r>
                </w:p>
              </w:tc>
              <w:tc>
                <w:tcPr>
                  <w:tcW w:w="1228" w:type="pct"/>
                  <w:tcBorders>
                    <w:tl2br w:val="nil"/>
                    <w:tr2bl w:val="nil"/>
                  </w:tcBorders>
                  <w:shd w:val="clear" w:color="auto" w:fill="auto"/>
                  <w:noWrap w:val="0"/>
                  <w:vAlign w:val="center"/>
                </w:tcPr>
                <w:p w14:paraId="2F923CA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无水碳酸钠</w:t>
                  </w:r>
                </w:p>
              </w:tc>
              <w:tc>
                <w:tcPr>
                  <w:tcW w:w="520" w:type="pct"/>
                  <w:tcBorders>
                    <w:tl2br w:val="nil"/>
                    <w:tr2bl w:val="nil"/>
                  </w:tcBorders>
                  <w:shd w:val="clear" w:color="auto" w:fill="auto"/>
                  <w:noWrap w:val="0"/>
                  <w:vAlign w:val="center"/>
                </w:tcPr>
                <w:p w14:paraId="1A19002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995467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F96E9A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69B94C9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5102F7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5B97CA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36098B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633AE3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68</w:t>
                  </w:r>
                </w:p>
              </w:tc>
              <w:tc>
                <w:tcPr>
                  <w:tcW w:w="1228" w:type="pct"/>
                  <w:tcBorders>
                    <w:tl2br w:val="nil"/>
                    <w:tr2bl w:val="nil"/>
                  </w:tcBorders>
                  <w:shd w:val="clear" w:color="auto" w:fill="auto"/>
                  <w:noWrap w:val="0"/>
                  <w:vAlign w:val="center"/>
                </w:tcPr>
                <w:p w14:paraId="1B09A60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无水硫酸钠</w:t>
                  </w:r>
                </w:p>
              </w:tc>
              <w:tc>
                <w:tcPr>
                  <w:tcW w:w="520" w:type="pct"/>
                  <w:tcBorders>
                    <w:tl2br w:val="nil"/>
                    <w:tr2bl w:val="nil"/>
                  </w:tcBorders>
                  <w:shd w:val="clear" w:color="auto" w:fill="auto"/>
                  <w:noWrap w:val="0"/>
                  <w:vAlign w:val="center"/>
                </w:tcPr>
                <w:p w14:paraId="3F1D747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282B26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FE06A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w:t>
                  </w:r>
                </w:p>
              </w:tc>
              <w:tc>
                <w:tcPr>
                  <w:tcW w:w="665" w:type="pct"/>
                  <w:tcBorders>
                    <w:tl2br w:val="nil"/>
                    <w:tr2bl w:val="nil"/>
                  </w:tcBorders>
                  <w:shd w:val="clear" w:color="auto" w:fill="auto"/>
                  <w:noWrap w:val="0"/>
                  <w:vAlign w:val="center"/>
                </w:tcPr>
                <w:p w14:paraId="638C193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w:t>
                  </w:r>
                </w:p>
              </w:tc>
              <w:tc>
                <w:tcPr>
                  <w:tcW w:w="594" w:type="pct"/>
                  <w:tcBorders>
                    <w:tl2br w:val="nil"/>
                    <w:tr2bl w:val="nil"/>
                  </w:tcBorders>
                  <w:shd w:val="clear" w:color="auto" w:fill="auto"/>
                  <w:noWrap w:val="0"/>
                  <w:vAlign w:val="center"/>
                </w:tcPr>
                <w:p w14:paraId="6B21D09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kg</w:t>
                  </w:r>
                </w:p>
              </w:tc>
              <w:tc>
                <w:tcPr>
                  <w:tcW w:w="490" w:type="pct"/>
                  <w:tcBorders>
                    <w:tl2br w:val="nil"/>
                    <w:tr2bl w:val="nil"/>
                  </w:tcBorders>
                  <w:shd w:val="clear" w:color="auto" w:fill="auto"/>
                  <w:noWrap w:val="0"/>
                  <w:vAlign w:val="center"/>
                </w:tcPr>
                <w:p w14:paraId="3199CE0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15</w:t>
                  </w:r>
                </w:p>
              </w:tc>
            </w:tr>
            <w:tr w14:paraId="07626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335D0B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69</w:t>
                  </w:r>
                </w:p>
              </w:tc>
              <w:tc>
                <w:tcPr>
                  <w:tcW w:w="1228" w:type="pct"/>
                  <w:tcBorders>
                    <w:tl2br w:val="nil"/>
                    <w:tr2bl w:val="nil"/>
                  </w:tcBorders>
                  <w:shd w:val="clear" w:color="auto" w:fill="auto"/>
                  <w:noWrap w:val="0"/>
                  <w:vAlign w:val="center"/>
                </w:tcPr>
                <w:p w14:paraId="3F9E348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焦磷酸钠</w:t>
                  </w:r>
                </w:p>
              </w:tc>
              <w:tc>
                <w:tcPr>
                  <w:tcW w:w="520" w:type="pct"/>
                  <w:tcBorders>
                    <w:tl2br w:val="nil"/>
                    <w:tr2bl w:val="nil"/>
                  </w:tcBorders>
                  <w:shd w:val="clear" w:color="auto" w:fill="auto"/>
                  <w:noWrap w:val="0"/>
                  <w:vAlign w:val="center"/>
                </w:tcPr>
                <w:p w14:paraId="30165F4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D981AE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EB3B48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5C3A947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057F207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BAA5EB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6302F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1578FE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70</w:t>
                  </w:r>
                </w:p>
              </w:tc>
              <w:tc>
                <w:tcPr>
                  <w:tcW w:w="1228" w:type="pct"/>
                  <w:tcBorders>
                    <w:tl2br w:val="nil"/>
                    <w:tr2bl w:val="nil"/>
                  </w:tcBorders>
                  <w:shd w:val="clear" w:color="auto" w:fill="auto"/>
                  <w:noWrap w:val="0"/>
                  <w:vAlign w:val="center"/>
                </w:tcPr>
                <w:p w14:paraId="478FB25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硫酸氢钠</w:t>
                  </w:r>
                </w:p>
              </w:tc>
              <w:tc>
                <w:tcPr>
                  <w:tcW w:w="520" w:type="pct"/>
                  <w:tcBorders>
                    <w:tl2br w:val="nil"/>
                    <w:tr2bl w:val="nil"/>
                  </w:tcBorders>
                  <w:shd w:val="clear" w:color="auto" w:fill="auto"/>
                  <w:noWrap w:val="0"/>
                  <w:vAlign w:val="center"/>
                </w:tcPr>
                <w:p w14:paraId="0E96738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B3AC2E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035A8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60DFF59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C72B02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3E671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4500FC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47785D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71</w:t>
                  </w:r>
                </w:p>
              </w:tc>
              <w:tc>
                <w:tcPr>
                  <w:tcW w:w="1228" w:type="pct"/>
                  <w:tcBorders>
                    <w:tl2br w:val="nil"/>
                    <w:tr2bl w:val="nil"/>
                  </w:tcBorders>
                  <w:shd w:val="clear" w:color="auto" w:fill="auto"/>
                  <w:noWrap w:val="0"/>
                  <w:vAlign w:val="center"/>
                </w:tcPr>
                <w:p w14:paraId="62EB5DF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氨基磺酸钠</w:t>
                  </w:r>
                </w:p>
              </w:tc>
              <w:tc>
                <w:tcPr>
                  <w:tcW w:w="520" w:type="pct"/>
                  <w:tcBorders>
                    <w:tl2br w:val="nil"/>
                    <w:tr2bl w:val="nil"/>
                  </w:tcBorders>
                  <w:shd w:val="clear" w:color="auto" w:fill="auto"/>
                  <w:noWrap w:val="0"/>
                  <w:vAlign w:val="center"/>
                </w:tcPr>
                <w:p w14:paraId="7B7FBFF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006301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4C8A21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6BD207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196C7B2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D944F0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3156F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F98961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72</w:t>
                  </w:r>
                </w:p>
              </w:tc>
              <w:tc>
                <w:tcPr>
                  <w:tcW w:w="1228" w:type="pct"/>
                  <w:tcBorders>
                    <w:tl2br w:val="nil"/>
                    <w:tr2bl w:val="nil"/>
                  </w:tcBorders>
                  <w:shd w:val="clear" w:color="auto" w:fill="auto"/>
                  <w:noWrap w:val="0"/>
                  <w:vAlign w:val="center"/>
                </w:tcPr>
                <w:p w14:paraId="37DD2E2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氟化钠</w:t>
                  </w:r>
                </w:p>
              </w:tc>
              <w:tc>
                <w:tcPr>
                  <w:tcW w:w="520" w:type="pct"/>
                  <w:tcBorders>
                    <w:tl2br w:val="nil"/>
                    <w:tr2bl w:val="nil"/>
                  </w:tcBorders>
                  <w:shd w:val="clear" w:color="auto" w:fill="auto"/>
                  <w:noWrap w:val="0"/>
                  <w:vAlign w:val="center"/>
                </w:tcPr>
                <w:p w14:paraId="5996B06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A5A354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1537B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665" w:type="pct"/>
                  <w:tcBorders>
                    <w:tl2br w:val="nil"/>
                    <w:tr2bl w:val="nil"/>
                  </w:tcBorders>
                  <w:shd w:val="clear" w:color="auto" w:fill="auto"/>
                  <w:noWrap w:val="0"/>
                  <w:vAlign w:val="center"/>
                </w:tcPr>
                <w:p w14:paraId="6254D78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2000</w:t>
                  </w:r>
                </w:p>
              </w:tc>
              <w:tc>
                <w:tcPr>
                  <w:tcW w:w="594" w:type="pct"/>
                  <w:tcBorders>
                    <w:tl2br w:val="nil"/>
                    <w:tr2bl w:val="nil"/>
                  </w:tcBorders>
                  <w:shd w:val="clear" w:color="auto" w:fill="auto"/>
                  <w:noWrap w:val="0"/>
                  <w:vAlign w:val="center"/>
                </w:tcPr>
                <w:p w14:paraId="1D0A65B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976B30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2000</w:t>
                  </w:r>
                </w:p>
              </w:tc>
            </w:tr>
            <w:tr w14:paraId="63223A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E96A1D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73</w:t>
                  </w:r>
                </w:p>
              </w:tc>
              <w:tc>
                <w:tcPr>
                  <w:tcW w:w="1228" w:type="pct"/>
                  <w:tcBorders>
                    <w:tl2br w:val="nil"/>
                    <w:tr2bl w:val="nil"/>
                  </w:tcBorders>
                  <w:shd w:val="clear" w:color="auto" w:fill="auto"/>
                  <w:noWrap w:val="0"/>
                  <w:vAlign w:val="center"/>
                </w:tcPr>
                <w:p w14:paraId="48D0E36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六偏磷酸钠</w:t>
                  </w:r>
                </w:p>
              </w:tc>
              <w:tc>
                <w:tcPr>
                  <w:tcW w:w="520" w:type="pct"/>
                  <w:tcBorders>
                    <w:tl2br w:val="nil"/>
                    <w:tr2bl w:val="nil"/>
                  </w:tcBorders>
                  <w:shd w:val="clear" w:color="auto" w:fill="auto"/>
                  <w:noWrap w:val="0"/>
                  <w:vAlign w:val="center"/>
                </w:tcPr>
                <w:p w14:paraId="7AAD579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5A7FEB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56500C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665" w:type="pct"/>
                  <w:tcBorders>
                    <w:tl2br w:val="nil"/>
                    <w:tr2bl w:val="nil"/>
                  </w:tcBorders>
                  <w:shd w:val="clear" w:color="auto" w:fill="auto"/>
                  <w:noWrap w:val="0"/>
                  <w:vAlign w:val="center"/>
                </w:tcPr>
                <w:p w14:paraId="514DA76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594" w:type="pct"/>
                  <w:tcBorders>
                    <w:tl2br w:val="nil"/>
                    <w:tr2bl w:val="nil"/>
                  </w:tcBorders>
                  <w:shd w:val="clear" w:color="auto" w:fill="auto"/>
                  <w:noWrap w:val="0"/>
                  <w:vAlign w:val="center"/>
                </w:tcPr>
                <w:p w14:paraId="133A6B7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F871F3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1500</w:t>
                  </w:r>
                </w:p>
              </w:tc>
            </w:tr>
            <w:tr w14:paraId="26D6F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8C737B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74</w:t>
                  </w:r>
                </w:p>
              </w:tc>
              <w:tc>
                <w:tcPr>
                  <w:tcW w:w="1228" w:type="pct"/>
                  <w:tcBorders>
                    <w:tl2br w:val="nil"/>
                    <w:tr2bl w:val="nil"/>
                  </w:tcBorders>
                  <w:shd w:val="clear" w:color="auto" w:fill="auto"/>
                  <w:noWrap w:val="0"/>
                  <w:vAlign w:val="center"/>
                </w:tcPr>
                <w:p w14:paraId="6D24C87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无水亚硫酸钠</w:t>
                  </w:r>
                </w:p>
              </w:tc>
              <w:tc>
                <w:tcPr>
                  <w:tcW w:w="520" w:type="pct"/>
                  <w:tcBorders>
                    <w:tl2br w:val="nil"/>
                    <w:tr2bl w:val="nil"/>
                  </w:tcBorders>
                  <w:shd w:val="clear" w:color="auto" w:fill="auto"/>
                  <w:noWrap w:val="0"/>
                  <w:vAlign w:val="center"/>
                </w:tcPr>
                <w:p w14:paraId="714DB67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BC40D5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6C40B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2D2886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5B38B4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43DBDE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77098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66D5671">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75</w:t>
                  </w:r>
                </w:p>
              </w:tc>
              <w:tc>
                <w:tcPr>
                  <w:tcW w:w="1228" w:type="pct"/>
                  <w:tcBorders>
                    <w:tl2br w:val="nil"/>
                    <w:tr2bl w:val="nil"/>
                  </w:tcBorders>
                  <w:shd w:val="clear" w:color="auto" w:fill="auto"/>
                  <w:noWrap w:val="0"/>
                  <w:vAlign w:val="center"/>
                </w:tcPr>
                <w:p w14:paraId="2323BF7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过硫酸钠</w:t>
                  </w:r>
                </w:p>
              </w:tc>
              <w:tc>
                <w:tcPr>
                  <w:tcW w:w="520" w:type="pct"/>
                  <w:tcBorders>
                    <w:tl2br w:val="nil"/>
                    <w:tr2bl w:val="nil"/>
                  </w:tcBorders>
                  <w:shd w:val="clear" w:color="auto" w:fill="auto"/>
                  <w:noWrap w:val="0"/>
                  <w:vAlign w:val="center"/>
                </w:tcPr>
                <w:p w14:paraId="70FFC2E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7C238A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B95D1D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0D316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401172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57E111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2225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63F34B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76</w:t>
                  </w:r>
                </w:p>
              </w:tc>
              <w:tc>
                <w:tcPr>
                  <w:tcW w:w="1228" w:type="pct"/>
                  <w:tcBorders>
                    <w:tl2br w:val="nil"/>
                    <w:tr2bl w:val="nil"/>
                  </w:tcBorders>
                  <w:shd w:val="clear" w:color="auto" w:fill="auto"/>
                  <w:noWrap w:val="0"/>
                  <w:vAlign w:val="center"/>
                </w:tcPr>
                <w:p w14:paraId="5D56700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十二烷基硫酸钠</w:t>
                  </w:r>
                </w:p>
              </w:tc>
              <w:tc>
                <w:tcPr>
                  <w:tcW w:w="520" w:type="pct"/>
                  <w:tcBorders>
                    <w:tl2br w:val="nil"/>
                    <w:tr2bl w:val="nil"/>
                  </w:tcBorders>
                  <w:shd w:val="clear" w:color="auto" w:fill="auto"/>
                  <w:noWrap w:val="0"/>
                  <w:vAlign w:val="center"/>
                </w:tcPr>
                <w:p w14:paraId="71DDEC8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4CEEE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A8A361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7466F19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774B1C0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3E8645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E911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4BA4D4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77</w:t>
                  </w:r>
                </w:p>
              </w:tc>
              <w:tc>
                <w:tcPr>
                  <w:tcW w:w="1228" w:type="pct"/>
                  <w:tcBorders>
                    <w:tl2br w:val="nil"/>
                    <w:tr2bl w:val="nil"/>
                  </w:tcBorders>
                  <w:shd w:val="clear" w:color="auto" w:fill="auto"/>
                  <w:noWrap w:val="0"/>
                  <w:vAlign w:val="center"/>
                </w:tcPr>
                <w:p w14:paraId="518BAB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十二烷基磺酸钠</w:t>
                  </w:r>
                </w:p>
              </w:tc>
              <w:tc>
                <w:tcPr>
                  <w:tcW w:w="520" w:type="pct"/>
                  <w:tcBorders>
                    <w:tl2br w:val="nil"/>
                    <w:tr2bl w:val="nil"/>
                  </w:tcBorders>
                  <w:shd w:val="clear" w:color="auto" w:fill="auto"/>
                  <w:noWrap w:val="0"/>
                  <w:vAlign w:val="center"/>
                </w:tcPr>
                <w:p w14:paraId="633EC47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CBE85B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68BD6B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665" w:type="pct"/>
                  <w:tcBorders>
                    <w:tl2br w:val="nil"/>
                    <w:tr2bl w:val="nil"/>
                  </w:tcBorders>
                  <w:shd w:val="clear" w:color="auto" w:fill="auto"/>
                  <w:noWrap w:val="0"/>
                  <w:vAlign w:val="center"/>
                </w:tcPr>
                <w:p w14:paraId="5F2C07C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594" w:type="pct"/>
                  <w:tcBorders>
                    <w:tl2br w:val="nil"/>
                    <w:tr2bl w:val="nil"/>
                  </w:tcBorders>
                  <w:shd w:val="clear" w:color="auto" w:fill="auto"/>
                  <w:noWrap w:val="0"/>
                  <w:vAlign w:val="center"/>
                </w:tcPr>
                <w:p w14:paraId="511F92F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ED06BD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250</w:t>
                  </w:r>
                </w:p>
              </w:tc>
            </w:tr>
            <w:tr w14:paraId="4D262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A00C9F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78</w:t>
                  </w:r>
                </w:p>
              </w:tc>
              <w:tc>
                <w:tcPr>
                  <w:tcW w:w="1228" w:type="pct"/>
                  <w:tcBorders>
                    <w:tl2br w:val="nil"/>
                    <w:tr2bl w:val="nil"/>
                  </w:tcBorders>
                  <w:shd w:val="clear" w:color="auto" w:fill="auto"/>
                  <w:noWrap w:val="0"/>
                  <w:vAlign w:val="center"/>
                </w:tcPr>
                <w:p w14:paraId="1043A25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偏重亚硫酸钠</w:t>
                  </w:r>
                </w:p>
              </w:tc>
              <w:tc>
                <w:tcPr>
                  <w:tcW w:w="520" w:type="pct"/>
                  <w:tcBorders>
                    <w:tl2br w:val="nil"/>
                    <w:tr2bl w:val="nil"/>
                  </w:tcBorders>
                  <w:shd w:val="clear" w:color="auto" w:fill="auto"/>
                  <w:noWrap w:val="0"/>
                  <w:vAlign w:val="center"/>
                </w:tcPr>
                <w:p w14:paraId="5B860C4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D7CFC4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4E8378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65F9504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1CF8F2E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664FF5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562ED8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DCB5BC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79</w:t>
                  </w:r>
                </w:p>
              </w:tc>
              <w:tc>
                <w:tcPr>
                  <w:tcW w:w="1228" w:type="pct"/>
                  <w:tcBorders>
                    <w:tl2br w:val="nil"/>
                    <w:tr2bl w:val="nil"/>
                  </w:tcBorders>
                  <w:shd w:val="clear" w:color="auto" w:fill="auto"/>
                  <w:noWrap w:val="0"/>
                  <w:vAlign w:val="center"/>
                </w:tcPr>
                <w:p w14:paraId="6C353DE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甲酸钠</w:t>
                  </w:r>
                </w:p>
              </w:tc>
              <w:tc>
                <w:tcPr>
                  <w:tcW w:w="520" w:type="pct"/>
                  <w:tcBorders>
                    <w:tl2br w:val="nil"/>
                    <w:tr2bl w:val="nil"/>
                  </w:tcBorders>
                  <w:shd w:val="clear" w:color="auto" w:fill="auto"/>
                  <w:noWrap w:val="0"/>
                  <w:vAlign w:val="center"/>
                </w:tcPr>
                <w:p w14:paraId="230036D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02BBD7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2AE229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58E248B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226161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2CF022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C16DE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DEF4DA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80</w:t>
                  </w:r>
                </w:p>
              </w:tc>
              <w:tc>
                <w:tcPr>
                  <w:tcW w:w="1228" w:type="pct"/>
                  <w:tcBorders>
                    <w:tl2br w:val="nil"/>
                    <w:tr2bl w:val="nil"/>
                  </w:tcBorders>
                  <w:shd w:val="clear" w:color="auto" w:fill="auto"/>
                  <w:noWrap w:val="0"/>
                  <w:vAlign w:val="center"/>
                </w:tcPr>
                <w:p w14:paraId="4DDE10C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二氯异氰尿酸钠</w:t>
                  </w:r>
                </w:p>
              </w:tc>
              <w:tc>
                <w:tcPr>
                  <w:tcW w:w="520" w:type="pct"/>
                  <w:tcBorders>
                    <w:tl2br w:val="nil"/>
                    <w:tr2bl w:val="nil"/>
                  </w:tcBorders>
                  <w:shd w:val="clear" w:color="auto" w:fill="auto"/>
                  <w:noWrap w:val="0"/>
                  <w:vAlign w:val="center"/>
                </w:tcPr>
                <w:p w14:paraId="625B63E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E6EB73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65B7CD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7C2F815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173C9A8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F90A8F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13462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DA5DF9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81</w:t>
                  </w:r>
                </w:p>
              </w:tc>
              <w:tc>
                <w:tcPr>
                  <w:tcW w:w="1228" w:type="pct"/>
                  <w:tcBorders>
                    <w:tl2br w:val="nil"/>
                    <w:tr2bl w:val="nil"/>
                  </w:tcBorders>
                  <w:shd w:val="clear" w:color="auto" w:fill="auto"/>
                  <w:noWrap w:val="0"/>
                  <w:vAlign w:val="center"/>
                </w:tcPr>
                <w:p w14:paraId="07B67E2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迭氮钠</w:t>
                  </w:r>
                </w:p>
              </w:tc>
              <w:tc>
                <w:tcPr>
                  <w:tcW w:w="520" w:type="pct"/>
                  <w:tcBorders>
                    <w:tl2br w:val="nil"/>
                    <w:tr2bl w:val="nil"/>
                  </w:tcBorders>
                  <w:shd w:val="clear" w:color="auto" w:fill="auto"/>
                  <w:noWrap w:val="0"/>
                  <w:vAlign w:val="center"/>
                </w:tcPr>
                <w:p w14:paraId="50070DE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A2936C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E63299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665" w:type="pct"/>
                  <w:tcBorders>
                    <w:tl2br w:val="nil"/>
                    <w:tr2bl w:val="nil"/>
                  </w:tcBorders>
                  <w:shd w:val="clear" w:color="auto" w:fill="auto"/>
                  <w:noWrap w:val="0"/>
                  <w:vAlign w:val="center"/>
                </w:tcPr>
                <w:p w14:paraId="577B771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594" w:type="pct"/>
                  <w:tcBorders>
                    <w:tl2br w:val="nil"/>
                    <w:tr2bl w:val="nil"/>
                  </w:tcBorders>
                  <w:shd w:val="clear" w:color="auto" w:fill="auto"/>
                  <w:noWrap w:val="0"/>
                  <w:vAlign w:val="center"/>
                </w:tcPr>
                <w:p w14:paraId="717C36D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97B983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w:t>
                  </w:r>
                </w:p>
              </w:tc>
            </w:tr>
            <w:tr w14:paraId="6F182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1A8C9DE">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82</w:t>
                  </w:r>
                </w:p>
              </w:tc>
              <w:tc>
                <w:tcPr>
                  <w:tcW w:w="1228" w:type="pct"/>
                  <w:tcBorders>
                    <w:tl2br w:val="nil"/>
                    <w:tr2bl w:val="nil"/>
                  </w:tcBorders>
                  <w:shd w:val="clear" w:color="auto" w:fill="auto"/>
                  <w:noWrap w:val="0"/>
                  <w:vAlign w:val="center"/>
                </w:tcPr>
                <w:p w14:paraId="268687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乙酸铵</w:t>
                  </w:r>
                </w:p>
              </w:tc>
              <w:tc>
                <w:tcPr>
                  <w:tcW w:w="520" w:type="pct"/>
                  <w:tcBorders>
                    <w:tl2br w:val="nil"/>
                    <w:tr2bl w:val="nil"/>
                  </w:tcBorders>
                  <w:shd w:val="clear" w:color="auto" w:fill="auto"/>
                  <w:noWrap w:val="0"/>
                  <w:vAlign w:val="center"/>
                </w:tcPr>
                <w:p w14:paraId="77955FF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2F3876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1D7E70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0D6ABAC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6D4462D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349891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5F6797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93D32B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83</w:t>
                  </w:r>
                </w:p>
              </w:tc>
              <w:tc>
                <w:tcPr>
                  <w:tcW w:w="1228" w:type="pct"/>
                  <w:tcBorders>
                    <w:tl2br w:val="nil"/>
                    <w:tr2bl w:val="nil"/>
                  </w:tcBorders>
                  <w:shd w:val="clear" w:color="auto" w:fill="auto"/>
                  <w:noWrap w:val="0"/>
                  <w:vAlign w:val="center"/>
                </w:tcPr>
                <w:p w14:paraId="285CC2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四硼酸钠</w:t>
                  </w:r>
                </w:p>
              </w:tc>
              <w:tc>
                <w:tcPr>
                  <w:tcW w:w="520" w:type="pct"/>
                  <w:tcBorders>
                    <w:tl2br w:val="nil"/>
                    <w:tr2bl w:val="nil"/>
                  </w:tcBorders>
                  <w:shd w:val="clear" w:color="auto" w:fill="auto"/>
                  <w:noWrap w:val="0"/>
                  <w:vAlign w:val="center"/>
                </w:tcPr>
                <w:p w14:paraId="033D1C7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E047C2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6A6031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1EF512A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71BEA02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043029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E270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20BD5F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84</w:t>
                  </w:r>
                </w:p>
              </w:tc>
              <w:tc>
                <w:tcPr>
                  <w:tcW w:w="1228" w:type="pct"/>
                  <w:tcBorders>
                    <w:tl2br w:val="nil"/>
                    <w:tr2bl w:val="nil"/>
                  </w:tcBorders>
                  <w:shd w:val="clear" w:color="auto" w:fill="auto"/>
                  <w:noWrap w:val="0"/>
                  <w:vAlign w:val="center"/>
                </w:tcPr>
                <w:p w14:paraId="76E1A5C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水杨酸</w:t>
                  </w:r>
                </w:p>
              </w:tc>
              <w:tc>
                <w:tcPr>
                  <w:tcW w:w="520" w:type="pct"/>
                  <w:tcBorders>
                    <w:tl2br w:val="nil"/>
                    <w:tr2bl w:val="nil"/>
                  </w:tcBorders>
                  <w:shd w:val="clear" w:color="auto" w:fill="auto"/>
                  <w:noWrap w:val="0"/>
                  <w:vAlign w:val="center"/>
                </w:tcPr>
                <w:p w14:paraId="301F326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86D065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DACCD5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665" w:type="pct"/>
                  <w:tcBorders>
                    <w:tl2br w:val="nil"/>
                    <w:tr2bl w:val="nil"/>
                  </w:tcBorders>
                  <w:shd w:val="clear" w:color="auto" w:fill="auto"/>
                  <w:noWrap w:val="0"/>
                  <w:vAlign w:val="center"/>
                </w:tcPr>
                <w:p w14:paraId="7B9B95A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594" w:type="pct"/>
                  <w:tcBorders>
                    <w:tl2br w:val="nil"/>
                    <w:tr2bl w:val="nil"/>
                  </w:tcBorders>
                  <w:shd w:val="clear" w:color="auto" w:fill="auto"/>
                  <w:noWrap w:val="0"/>
                  <w:vAlign w:val="center"/>
                </w:tcPr>
                <w:p w14:paraId="770D0BA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3C2E39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250</w:t>
                  </w:r>
                </w:p>
              </w:tc>
            </w:tr>
            <w:tr w14:paraId="4D69F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04DA3F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85</w:t>
                  </w:r>
                </w:p>
              </w:tc>
              <w:tc>
                <w:tcPr>
                  <w:tcW w:w="1228" w:type="pct"/>
                  <w:tcBorders>
                    <w:tl2br w:val="nil"/>
                    <w:tr2bl w:val="nil"/>
                  </w:tcBorders>
                  <w:shd w:val="clear" w:color="auto" w:fill="auto"/>
                  <w:noWrap w:val="0"/>
                  <w:vAlign w:val="center"/>
                </w:tcPr>
                <w:p w14:paraId="179EF1E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硫脲</w:t>
                  </w:r>
                </w:p>
              </w:tc>
              <w:tc>
                <w:tcPr>
                  <w:tcW w:w="520" w:type="pct"/>
                  <w:tcBorders>
                    <w:tl2br w:val="nil"/>
                    <w:tr2bl w:val="nil"/>
                  </w:tcBorders>
                  <w:shd w:val="clear" w:color="auto" w:fill="auto"/>
                  <w:noWrap w:val="0"/>
                  <w:vAlign w:val="center"/>
                </w:tcPr>
                <w:p w14:paraId="3293B64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939732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371AD9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153537A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120D623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CE3D60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73AF4A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467924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86</w:t>
                  </w:r>
                </w:p>
              </w:tc>
              <w:tc>
                <w:tcPr>
                  <w:tcW w:w="1228" w:type="pct"/>
                  <w:tcBorders>
                    <w:tl2br w:val="nil"/>
                    <w:tr2bl w:val="nil"/>
                  </w:tcBorders>
                  <w:shd w:val="clear" w:color="auto" w:fill="auto"/>
                  <w:noWrap w:val="0"/>
                  <w:vAlign w:val="center"/>
                </w:tcPr>
                <w:p w14:paraId="436A27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尿素</w:t>
                  </w:r>
                </w:p>
              </w:tc>
              <w:tc>
                <w:tcPr>
                  <w:tcW w:w="520" w:type="pct"/>
                  <w:tcBorders>
                    <w:tl2br w:val="nil"/>
                    <w:tr2bl w:val="nil"/>
                  </w:tcBorders>
                  <w:shd w:val="clear" w:color="auto" w:fill="auto"/>
                  <w:noWrap w:val="0"/>
                  <w:vAlign w:val="center"/>
                </w:tcPr>
                <w:p w14:paraId="3B2AD33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114C9D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C7A2F9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7720864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794010F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4D72A2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554C0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2F39EF3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87</w:t>
                  </w:r>
                </w:p>
              </w:tc>
              <w:tc>
                <w:tcPr>
                  <w:tcW w:w="1228" w:type="pct"/>
                  <w:tcBorders>
                    <w:tl2br w:val="nil"/>
                    <w:tr2bl w:val="nil"/>
                  </w:tcBorders>
                  <w:shd w:val="clear" w:color="auto" w:fill="auto"/>
                  <w:noWrap w:val="0"/>
                  <w:vAlign w:val="center"/>
                </w:tcPr>
                <w:p w14:paraId="2A74747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硼砂</w:t>
                  </w:r>
                </w:p>
              </w:tc>
              <w:tc>
                <w:tcPr>
                  <w:tcW w:w="520" w:type="pct"/>
                  <w:tcBorders>
                    <w:tl2br w:val="nil"/>
                    <w:tr2bl w:val="nil"/>
                  </w:tcBorders>
                  <w:shd w:val="clear" w:color="auto" w:fill="auto"/>
                  <w:noWrap w:val="0"/>
                  <w:vAlign w:val="center"/>
                </w:tcPr>
                <w:p w14:paraId="390FC34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7E960C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876CC9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117D657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068AB1F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50B8E7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07EB7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ABF4AD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88</w:t>
                  </w:r>
                </w:p>
              </w:tc>
              <w:tc>
                <w:tcPr>
                  <w:tcW w:w="1228" w:type="pct"/>
                  <w:tcBorders>
                    <w:tl2br w:val="nil"/>
                    <w:tr2bl w:val="nil"/>
                  </w:tcBorders>
                  <w:shd w:val="clear" w:color="auto" w:fill="auto"/>
                  <w:noWrap w:val="0"/>
                  <w:vAlign w:val="center"/>
                </w:tcPr>
                <w:p w14:paraId="22358E6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六次甲基四胺</w:t>
                  </w:r>
                </w:p>
              </w:tc>
              <w:tc>
                <w:tcPr>
                  <w:tcW w:w="520" w:type="pct"/>
                  <w:tcBorders>
                    <w:tl2br w:val="nil"/>
                    <w:tr2bl w:val="nil"/>
                  </w:tcBorders>
                  <w:shd w:val="clear" w:color="auto" w:fill="auto"/>
                  <w:noWrap w:val="0"/>
                  <w:vAlign w:val="center"/>
                </w:tcPr>
                <w:p w14:paraId="2AAD308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701325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88AAF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665" w:type="pct"/>
                  <w:tcBorders>
                    <w:tl2br w:val="nil"/>
                    <w:tr2bl w:val="nil"/>
                  </w:tcBorders>
                  <w:shd w:val="clear" w:color="auto" w:fill="auto"/>
                  <w:noWrap w:val="0"/>
                  <w:vAlign w:val="center"/>
                </w:tcPr>
                <w:p w14:paraId="61777A2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594" w:type="pct"/>
                  <w:tcBorders>
                    <w:tl2br w:val="nil"/>
                    <w:tr2bl w:val="nil"/>
                  </w:tcBorders>
                  <w:shd w:val="clear" w:color="auto" w:fill="auto"/>
                  <w:noWrap w:val="0"/>
                  <w:vAlign w:val="center"/>
                </w:tcPr>
                <w:p w14:paraId="23E8BD2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D72F5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1500</w:t>
                  </w:r>
                </w:p>
              </w:tc>
            </w:tr>
            <w:tr w14:paraId="151ED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B851DE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89</w:t>
                  </w:r>
                </w:p>
              </w:tc>
              <w:tc>
                <w:tcPr>
                  <w:tcW w:w="1228" w:type="pct"/>
                  <w:tcBorders>
                    <w:tl2br w:val="nil"/>
                    <w:tr2bl w:val="nil"/>
                  </w:tcBorders>
                  <w:shd w:val="clear" w:color="auto" w:fill="auto"/>
                  <w:noWrap w:val="0"/>
                  <w:vAlign w:val="center"/>
                </w:tcPr>
                <w:p w14:paraId="41D54F1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乙二胺四乙酸</w:t>
                  </w:r>
                </w:p>
              </w:tc>
              <w:tc>
                <w:tcPr>
                  <w:tcW w:w="520" w:type="pct"/>
                  <w:tcBorders>
                    <w:tl2br w:val="nil"/>
                    <w:tr2bl w:val="nil"/>
                  </w:tcBorders>
                  <w:shd w:val="clear" w:color="auto" w:fill="auto"/>
                  <w:noWrap w:val="0"/>
                  <w:vAlign w:val="center"/>
                </w:tcPr>
                <w:p w14:paraId="33FF83B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0996F1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F4F61B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665" w:type="pct"/>
                  <w:tcBorders>
                    <w:tl2br w:val="nil"/>
                    <w:tr2bl w:val="nil"/>
                  </w:tcBorders>
                  <w:shd w:val="clear" w:color="auto" w:fill="auto"/>
                  <w:noWrap w:val="0"/>
                  <w:vAlign w:val="center"/>
                </w:tcPr>
                <w:p w14:paraId="1098BE9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250</w:t>
                  </w:r>
                </w:p>
              </w:tc>
              <w:tc>
                <w:tcPr>
                  <w:tcW w:w="594" w:type="pct"/>
                  <w:tcBorders>
                    <w:tl2br w:val="nil"/>
                    <w:tr2bl w:val="nil"/>
                  </w:tcBorders>
                  <w:shd w:val="clear" w:color="auto" w:fill="auto"/>
                  <w:noWrap w:val="0"/>
                  <w:vAlign w:val="center"/>
                </w:tcPr>
                <w:p w14:paraId="0E8F11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3E899A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250</w:t>
                  </w:r>
                </w:p>
              </w:tc>
            </w:tr>
            <w:tr w14:paraId="2692F2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E4BF0D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90</w:t>
                  </w:r>
                </w:p>
              </w:tc>
              <w:tc>
                <w:tcPr>
                  <w:tcW w:w="1228" w:type="pct"/>
                  <w:tcBorders>
                    <w:tl2br w:val="nil"/>
                    <w:tr2bl w:val="nil"/>
                  </w:tcBorders>
                  <w:shd w:val="clear" w:color="auto" w:fill="auto"/>
                  <w:noWrap w:val="0"/>
                  <w:vAlign w:val="center"/>
                </w:tcPr>
                <w:p w14:paraId="73FB77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甘露醇</w:t>
                  </w:r>
                </w:p>
              </w:tc>
              <w:tc>
                <w:tcPr>
                  <w:tcW w:w="520" w:type="pct"/>
                  <w:tcBorders>
                    <w:tl2br w:val="nil"/>
                    <w:tr2bl w:val="nil"/>
                  </w:tcBorders>
                  <w:shd w:val="clear" w:color="auto" w:fill="auto"/>
                  <w:noWrap w:val="0"/>
                  <w:vAlign w:val="center"/>
                </w:tcPr>
                <w:p w14:paraId="01BE089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792536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064930F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w:t>
                  </w:r>
                </w:p>
              </w:tc>
              <w:tc>
                <w:tcPr>
                  <w:tcW w:w="665" w:type="pct"/>
                  <w:tcBorders>
                    <w:tl2br w:val="nil"/>
                    <w:tr2bl w:val="nil"/>
                  </w:tcBorders>
                  <w:shd w:val="clear" w:color="auto" w:fill="auto"/>
                  <w:noWrap w:val="0"/>
                  <w:vAlign w:val="center"/>
                </w:tcPr>
                <w:p w14:paraId="7F2141E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w:t>
                  </w:r>
                </w:p>
              </w:tc>
              <w:tc>
                <w:tcPr>
                  <w:tcW w:w="594" w:type="pct"/>
                  <w:tcBorders>
                    <w:tl2br w:val="nil"/>
                    <w:tr2bl w:val="nil"/>
                  </w:tcBorders>
                  <w:shd w:val="clear" w:color="auto" w:fill="auto"/>
                  <w:noWrap w:val="0"/>
                  <w:vAlign w:val="center"/>
                </w:tcPr>
                <w:p w14:paraId="75EFA13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46002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300</w:t>
                  </w:r>
                </w:p>
              </w:tc>
            </w:tr>
            <w:tr w14:paraId="45B34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9CD48D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91</w:t>
                  </w:r>
                </w:p>
              </w:tc>
              <w:tc>
                <w:tcPr>
                  <w:tcW w:w="1228" w:type="pct"/>
                  <w:tcBorders>
                    <w:tl2br w:val="nil"/>
                    <w:tr2bl w:val="nil"/>
                  </w:tcBorders>
                  <w:shd w:val="clear" w:color="auto" w:fill="auto"/>
                  <w:noWrap w:val="0"/>
                  <w:vAlign w:val="center"/>
                </w:tcPr>
                <w:p w14:paraId="4D826C8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酒石酸</w:t>
                  </w:r>
                </w:p>
              </w:tc>
              <w:tc>
                <w:tcPr>
                  <w:tcW w:w="520" w:type="pct"/>
                  <w:tcBorders>
                    <w:tl2br w:val="nil"/>
                    <w:tr2bl w:val="nil"/>
                  </w:tcBorders>
                  <w:shd w:val="clear" w:color="auto" w:fill="auto"/>
                  <w:noWrap w:val="0"/>
                  <w:vAlign w:val="center"/>
                </w:tcPr>
                <w:p w14:paraId="6029A93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BAF703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2CE84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665" w:type="pct"/>
                  <w:tcBorders>
                    <w:tl2br w:val="nil"/>
                    <w:tr2bl w:val="nil"/>
                  </w:tcBorders>
                  <w:shd w:val="clear" w:color="auto" w:fill="auto"/>
                  <w:noWrap w:val="0"/>
                  <w:vAlign w:val="center"/>
                </w:tcPr>
                <w:p w14:paraId="55AE749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594" w:type="pct"/>
                  <w:tcBorders>
                    <w:tl2br w:val="nil"/>
                    <w:tr2bl w:val="nil"/>
                  </w:tcBorders>
                  <w:shd w:val="clear" w:color="auto" w:fill="auto"/>
                  <w:noWrap w:val="0"/>
                  <w:vAlign w:val="center"/>
                </w:tcPr>
                <w:p w14:paraId="62212EA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5D2A79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4000</w:t>
                  </w:r>
                </w:p>
              </w:tc>
            </w:tr>
            <w:tr w14:paraId="2EF71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FE982A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92</w:t>
                  </w:r>
                </w:p>
              </w:tc>
              <w:tc>
                <w:tcPr>
                  <w:tcW w:w="1228" w:type="pct"/>
                  <w:tcBorders>
                    <w:tl2br w:val="nil"/>
                    <w:tr2bl w:val="nil"/>
                  </w:tcBorders>
                  <w:shd w:val="clear" w:color="auto" w:fill="auto"/>
                  <w:noWrap w:val="0"/>
                  <w:vAlign w:val="center"/>
                </w:tcPr>
                <w:p w14:paraId="3A758A9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聚乙二醇6000</w:t>
                  </w:r>
                </w:p>
              </w:tc>
              <w:tc>
                <w:tcPr>
                  <w:tcW w:w="520" w:type="pct"/>
                  <w:tcBorders>
                    <w:tl2br w:val="nil"/>
                    <w:tr2bl w:val="nil"/>
                  </w:tcBorders>
                  <w:shd w:val="clear" w:color="auto" w:fill="auto"/>
                  <w:noWrap w:val="0"/>
                  <w:vAlign w:val="center"/>
                </w:tcPr>
                <w:p w14:paraId="1CFD41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0B019EC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4DF616C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6C52470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25AAE4D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3D8461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7E332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031B4F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93</w:t>
                  </w:r>
                </w:p>
              </w:tc>
              <w:tc>
                <w:tcPr>
                  <w:tcW w:w="1228" w:type="pct"/>
                  <w:tcBorders>
                    <w:tl2br w:val="nil"/>
                    <w:tr2bl w:val="nil"/>
                  </w:tcBorders>
                  <w:shd w:val="clear" w:color="auto" w:fill="auto"/>
                  <w:noWrap w:val="0"/>
                  <w:vAlign w:val="center"/>
                </w:tcPr>
                <w:p w14:paraId="39AD91B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无水对氨基苯磺酸</w:t>
                  </w:r>
                </w:p>
              </w:tc>
              <w:tc>
                <w:tcPr>
                  <w:tcW w:w="520" w:type="pct"/>
                  <w:tcBorders>
                    <w:tl2br w:val="nil"/>
                    <w:tr2bl w:val="nil"/>
                  </w:tcBorders>
                  <w:shd w:val="clear" w:color="auto" w:fill="auto"/>
                  <w:noWrap w:val="0"/>
                  <w:vAlign w:val="center"/>
                </w:tcPr>
                <w:p w14:paraId="6070B2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64E6A6F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9B8416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w:t>
                  </w:r>
                </w:p>
              </w:tc>
              <w:tc>
                <w:tcPr>
                  <w:tcW w:w="665" w:type="pct"/>
                  <w:tcBorders>
                    <w:tl2br w:val="nil"/>
                    <w:tr2bl w:val="nil"/>
                  </w:tcBorders>
                  <w:shd w:val="clear" w:color="auto" w:fill="auto"/>
                  <w:noWrap w:val="0"/>
                  <w:vAlign w:val="center"/>
                </w:tcPr>
                <w:p w14:paraId="5AC9FA6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200</w:t>
                  </w:r>
                </w:p>
              </w:tc>
              <w:tc>
                <w:tcPr>
                  <w:tcW w:w="594" w:type="pct"/>
                  <w:tcBorders>
                    <w:tl2br w:val="nil"/>
                    <w:tr2bl w:val="nil"/>
                  </w:tcBorders>
                  <w:shd w:val="clear" w:color="auto" w:fill="auto"/>
                  <w:noWrap w:val="0"/>
                  <w:vAlign w:val="center"/>
                </w:tcPr>
                <w:p w14:paraId="2EBC7E6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20D9C4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200</w:t>
                  </w:r>
                </w:p>
              </w:tc>
            </w:tr>
            <w:tr w14:paraId="2CFAC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DD507F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94</w:t>
                  </w:r>
                </w:p>
              </w:tc>
              <w:tc>
                <w:tcPr>
                  <w:tcW w:w="1228" w:type="pct"/>
                  <w:tcBorders>
                    <w:tl2br w:val="nil"/>
                    <w:tr2bl w:val="nil"/>
                  </w:tcBorders>
                  <w:shd w:val="clear" w:color="auto" w:fill="auto"/>
                  <w:noWrap w:val="0"/>
                  <w:vAlign w:val="center"/>
                </w:tcPr>
                <w:p w14:paraId="38C06DB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氯胺T</w:t>
                  </w:r>
                </w:p>
              </w:tc>
              <w:tc>
                <w:tcPr>
                  <w:tcW w:w="520" w:type="pct"/>
                  <w:tcBorders>
                    <w:tl2br w:val="nil"/>
                    <w:tr2bl w:val="nil"/>
                  </w:tcBorders>
                  <w:shd w:val="clear" w:color="auto" w:fill="auto"/>
                  <w:noWrap w:val="0"/>
                  <w:vAlign w:val="center"/>
                </w:tcPr>
                <w:p w14:paraId="2E78B0C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CA4B33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34CD2D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680FA18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5337D9A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0AC298A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7734E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A7436B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95</w:t>
                  </w:r>
                </w:p>
              </w:tc>
              <w:tc>
                <w:tcPr>
                  <w:tcW w:w="1228" w:type="pct"/>
                  <w:tcBorders>
                    <w:tl2br w:val="nil"/>
                    <w:tr2bl w:val="nil"/>
                  </w:tcBorders>
                  <w:shd w:val="clear" w:color="auto" w:fill="auto"/>
                  <w:noWrap w:val="0"/>
                  <w:vAlign w:val="center"/>
                </w:tcPr>
                <w:p w14:paraId="108B9B6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氨基磺酸</w:t>
                  </w:r>
                </w:p>
              </w:tc>
              <w:tc>
                <w:tcPr>
                  <w:tcW w:w="520" w:type="pct"/>
                  <w:tcBorders>
                    <w:tl2br w:val="nil"/>
                    <w:tr2bl w:val="nil"/>
                  </w:tcBorders>
                  <w:shd w:val="clear" w:color="auto" w:fill="auto"/>
                  <w:noWrap w:val="0"/>
                  <w:vAlign w:val="center"/>
                </w:tcPr>
                <w:p w14:paraId="68B4A59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4C445B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271C15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w:t>
                  </w:r>
                </w:p>
              </w:tc>
              <w:tc>
                <w:tcPr>
                  <w:tcW w:w="665" w:type="pct"/>
                  <w:tcBorders>
                    <w:tl2br w:val="nil"/>
                    <w:tr2bl w:val="nil"/>
                  </w:tcBorders>
                  <w:shd w:val="clear" w:color="auto" w:fill="auto"/>
                  <w:noWrap w:val="0"/>
                  <w:vAlign w:val="center"/>
                </w:tcPr>
                <w:p w14:paraId="4D7E493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w:t>
                  </w:r>
                </w:p>
              </w:tc>
              <w:tc>
                <w:tcPr>
                  <w:tcW w:w="594" w:type="pct"/>
                  <w:tcBorders>
                    <w:tl2br w:val="nil"/>
                    <w:tr2bl w:val="nil"/>
                  </w:tcBorders>
                  <w:shd w:val="clear" w:color="auto" w:fill="auto"/>
                  <w:noWrap w:val="0"/>
                  <w:vAlign w:val="center"/>
                </w:tcPr>
                <w:p w14:paraId="072CD45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56EC11F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400</w:t>
                  </w:r>
                </w:p>
              </w:tc>
            </w:tr>
            <w:tr w14:paraId="35C19A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D09C38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96</w:t>
                  </w:r>
                </w:p>
              </w:tc>
              <w:tc>
                <w:tcPr>
                  <w:tcW w:w="1228" w:type="pct"/>
                  <w:tcBorders>
                    <w:tl2br w:val="nil"/>
                    <w:tr2bl w:val="nil"/>
                  </w:tcBorders>
                  <w:shd w:val="clear" w:color="auto" w:fill="auto"/>
                  <w:noWrap w:val="0"/>
                  <w:vAlign w:val="center"/>
                </w:tcPr>
                <w:p w14:paraId="5355873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葡萄糖</w:t>
                  </w:r>
                </w:p>
              </w:tc>
              <w:tc>
                <w:tcPr>
                  <w:tcW w:w="520" w:type="pct"/>
                  <w:tcBorders>
                    <w:tl2br w:val="nil"/>
                    <w:tr2bl w:val="nil"/>
                  </w:tcBorders>
                  <w:shd w:val="clear" w:color="auto" w:fill="auto"/>
                  <w:noWrap w:val="0"/>
                  <w:vAlign w:val="center"/>
                </w:tcPr>
                <w:p w14:paraId="7B0B4FC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CFE0E2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9DF4CA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665" w:type="pct"/>
                  <w:tcBorders>
                    <w:tl2br w:val="nil"/>
                    <w:tr2bl w:val="nil"/>
                  </w:tcBorders>
                  <w:shd w:val="clear" w:color="auto" w:fill="auto"/>
                  <w:noWrap w:val="0"/>
                  <w:vAlign w:val="center"/>
                </w:tcPr>
                <w:p w14:paraId="26A190D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1500</w:t>
                  </w:r>
                </w:p>
              </w:tc>
              <w:tc>
                <w:tcPr>
                  <w:tcW w:w="594" w:type="pct"/>
                  <w:tcBorders>
                    <w:tl2br w:val="nil"/>
                    <w:tr2bl w:val="nil"/>
                  </w:tcBorders>
                  <w:shd w:val="clear" w:color="auto" w:fill="auto"/>
                  <w:noWrap w:val="0"/>
                  <w:vAlign w:val="center"/>
                </w:tcPr>
                <w:p w14:paraId="405D955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1AC739B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1500</w:t>
                  </w:r>
                </w:p>
              </w:tc>
            </w:tr>
            <w:tr w14:paraId="334E1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4F173C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97</w:t>
                  </w:r>
                </w:p>
              </w:tc>
              <w:tc>
                <w:tcPr>
                  <w:tcW w:w="1228" w:type="pct"/>
                  <w:tcBorders>
                    <w:tl2br w:val="nil"/>
                    <w:tr2bl w:val="nil"/>
                  </w:tcBorders>
                  <w:shd w:val="clear" w:color="auto" w:fill="auto"/>
                  <w:noWrap w:val="0"/>
                  <w:vAlign w:val="center"/>
                </w:tcPr>
                <w:p w14:paraId="552E1D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L-谷氨酸</w:t>
                  </w:r>
                </w:p>
              </w:tc>
              <w:tc>
                <w:tcPr>
                  <w:tcW w:w="520" w:type="pct"/>
                  <w:tcBorders>
                    <w:tl2br w:val="nil"/>
                    <w:tr2bl w:val="nil"/>
                  </w:tcBorders>
                  <w:shd w:val="clear" w:color="auto" w:fill="auto"/>
                  <w:noWrap w:val="0"/>
                  <w:vAlign w:val="center"/>
                </w:tcPr>
                <w:p w14:paraId="765415D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4D2C137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64F4C8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600</w:t>
                  </w:r>
                </w:p>
              </w:tc>
              <w:tc>
                <w:tcPr>
                  <w:tcW w:w="665" w:type="pct"/>
                  <w:tcBorders>
                    <w:tl2br w:val="nil"/>
                    <w:tr2bl w:val="nil"/>
                  </w:tcBorders>
                  <w:shd w:val="clear" w:color="auto" w:fill="auto"/>
                  <w:noWrap w:val="0"/>
                  <w:vAlign w:val="center"/>
                </w:tcPr>
                <w:p w14:paraId="2D6E4E9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600</w:t>
                  </w:r>
                </w:p>
              </w:tc>
              <w:tc>
                <w:tcPr>
                  <w:tcW w:w="594" w:type="pct"/>
                  <w:tcBorders>
                    <w:tl2br w:val="nil"/>
                    <w:tr2bl w:val="nil"/>
                  </w:tcBorders>
                  <w:shd w:val="clear" w:color="auto" w:fill="auto"/>
                  <w:noWrap w:val="0"/>
                  <w:vAlign w:val="center"/>
                </w:tcPr>
                <w:p w14:paraId="4B56A1C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2B505E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600</w:t>
                  </w:r>
                </w:p>
              </w:tc>
            </w:tr>
            <w:tr w14:paraId="78D068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601417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98</w:t>
                  </w:r>
                </w:p>
              </w:tc>
              <w:tc>
                <w:tcPr>
                  <w:tcW w:w="1228" w:type="pct"/>
                  <w:tcBorders>
                    <w:tl2br w:val="nil"/>
                    <w:tr2bl w:val="nil"/>
                  </w:tcBorders>
                  <w:shd w:val="clear" w:color="auto" w:fill="auto"/>
                  <w:noWrap w:val="0"/>
                  <w:vAlign w:val="center"/>
                </w:tcPr>
                <w:p w14:paraId="0676335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壳聚糖</w:t>
                  </w:r>
                </w:p>
              </w:tc>
              <w:tc>
                <w:tcPr>
                  <w:tcW w:w="520" w:type="pct"/>
                  <w:tcBorders>
                    <w:tl2br w:val="nil"/>
                    <w:tr2bl w:val="nil"/>
                  </w:tcBorders>
                  <w:shd w:val="clear" w:color="auto" w:fill="auto"/>
                  <w:noWrap w:val="0"/>
                  <w:vAlign w:val="center"/>
                </w:tcPr>
                <w:p w14:paraId="2904741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3B47A50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6780E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2F53C24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E736BB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33CCC9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16976C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04EA061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99</w:t>
                  </w:r>
                </w:p>
              </w:tc>
              <w:tc>
                <w:tcPr>
                  <w:tcW w:w="1228" w:type="pct"/>
                  <w:tcBorders>
                    <w:tl2br w:val="nil"/>
                    <w:tr2bl w:val="nil"/>
                  </w:tcBorders>
                  <w:shd w:val="clear" w:color="auto" w:fill="auto"/>
                  <w:noWrap w:val="0"/>
                  <w:vAlign w:val="center"/>
                </w:tcPr>
                <w:p w14:paraId="3CBD11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乳糖</w:t>
                  </w:r>
                </w:p>
              </w:tc>
              <w:tc>
                <w:tcPr>
                  <w:tcW w:w="520" w:type="pct"/>
                  <w:tcBorders>
                    <w:tl2br w:val="nil"/>
                    <w:tr2bl w:val="nil"/>
                  </w:tcBorders>
                  <w:shd w:val="clear" w:color="auto" w:fill="auto"/>
                  <w:noWrap w:val="0"/>
                  <w:vAlign w:val="center"/>
                </w:tcPr>
                <w:p w14:paraId="46A5262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1EAB256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7742790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5875D1B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385ED22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4BCD5A4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061E6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5DE3D1D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100</w:t>
                  </w:r>
                </w:p>
              </w:tc>
              <w:tc>
                <w:tcPr>
                  <w:tcW w:w="1228" w:type="pct"/>
                  <w:tcBorders>
                    <w:tl2br w:val="nil"/>
                    <w:tr2bl w:val="nil"/>
                  </w:tcBorders>
                  <w:shd w:val="clear" w:color="auto" w:fill="auto"/>
                  <w:noWrap w:val="0"/>
                  <w:vAlign w:val="center"/>
                </w:tcPr>
                <w:p w14:paraId="20B538E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草酸</w:t>
                  </w:r>
                </w:p>
              </w:tc>
              <w:tc>
                <w:tcPr>
                  <w:tcW w:w="520" w:type="pct"/>
                  <w:tcBorders>
                    <w:tl2br w:val="nil"/>
                    <w:tr2bl w:val="nil"/>
                  </w:tcBorders>
                  <w:shd w:val="clear" w:color="auto" w:fill="auto"/>
                  <w:noWrap w:val="0"/>
                  <w:vAlign w:val="center"/>
                </w:tcPr>
                <w:p w14:paraId="16D2AB3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70F4A1D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9D5C31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665" w:type="pct"/>
                  <w:tcBorders>
                    <w:tl2br w:val="nil"/>
                    <w:tr2bl w:val="nil"/>
                  </w:tcBorders>
                  <w:shd w:val="clear" w:color="auto" w:fill="auto"/>
                  <w:noWrap w:val="0"/>
                  <w:vAlign w:val="center"/>
                </w:tcPr>
                <w:p w14:paraId="72A5085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3000</w:t>
                  </w:r>
                </w:p>
              </w:tc>
              <w:tc>
                <w:tcPr>
                  <w:tcW w:w="594" w:type="pct"/>
                  <w:tcBorders>
                    <w:tl2br w:val="nil"/>
                    <w:tr2bl w:val="nil"/>
                  </w:tcBorders>
                  <w:shd w:val="clear" w:color="auto" w:fill="auto"/>
                  <w:noWrap w:val="0"/>
                  <w:vAlign w:val="center"/>
                </w:tcPr>
                <w:p w14:paraId="0D97CAD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733DE9C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3000</w:t>
                  </w:r>
                </w:p>
              </w:tc>
            </w:tr>
            <w:tr w14:paraId="179C8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75264D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101</w:t>
                  </w:r>
                </w:p>
              </w:tc>
              <w:tc>
                <w:tcPr>
                  <w:tcW w:w="1228" w:type="pct"/>
                  <w:tcBorders>
                    <w:tl2br w:val="nil"/>
                    <w:tr2bl w:val="nil"/>
                  </w:tcBorders>
                  <w:shd w:val="clear" w:color="auto" w:fill="auto"/>
                  <w:noWrap w:val="0"/>
                  <w:vAlign w:val="center"/>
                </w:tcPr>
                <w:p w14:paraId="19DB309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二氧化硅</w:t>
                  </w:r>
                </w:p>
              </w:tc>
              <w:tc>
                <w:tcPr>
                  <w:tcW w:w="520" w:type="pct"/>
                  <w:tcBorders>
                    <w:tl2br w:val="nil"/>
                    <w:tr2bl w:val="nil"/>
                  </w:tcBorders>
                  <w:shd w:val="clear" w:color="auto" w:fill="auto"/>
                  <w:noWrap w:val="0"/>
                  <w:vAlign w:val="center"/>
                </w:tcPr>
                <w:p w14:paraId="6A2867A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2B05F10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F37061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665" w:type="pct"/>
                  <w:tcBorders>
                    <w:tl2br w:val="nil"/>
                    <w:tr2bl w:val="nil"/>
                  </w:tcBorders>
                  <w:shd w:val="clear" w:color="auto" w:fill="auto"/>
                  <w:noWrap w:val="0"/>
                  <w:vAlign w:val="center"/>
                </w:tcPr>
                <w:p w14:paraId="03BEFDC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4000</w:t>
                  </w:r>
                </w:p>
              </w:tc>
              <w:tc>
                <w:tcPr>
                  <w:tcW w:w="594" w:type="pct"/>
                  <w:tcBorders>
                    <w:tl2br w:val="nil"/>
                    <w:tr2bl w:val="nil"/>
                  </w:tcBorders>
                  <w:shd w:val="clear" w:color="auto" w:fill="auto"/>
                  <w:noWrap w:val="0"/>
                  <w:vAlign w:val="center"/>
                </w:tcPr>
                <w:p w14:paraId="2739A53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655E6B6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4000</w:t>
                  </w:r>
                </w:p>
              </w:tc>
            </w:tr>
            <w:tr w14:paraId="03BAF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1ECF46F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102</w:t>
                  </w:r>
                </w:p>
              </w:tc>
              <w:tc>
                <w:tcPr>
                  <w:tcW w:w="1228" w:type="pct"/>
                  <w:tcBorders>
                    <w:tl2br w:val="nil"/>
                    <w:tr2bl w:val="nil"/>
                  </w:tcBorders>
                  <w:shd w:val="clear" w:color="auto" w:fill="auto"/>
                  <w:noWrap w:val="0"/>
                  <w:vAlign w:val="center"/>
                </w:tcPr>
                <w:p w14:paraId="4F8C986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邻苯二甲酸</w:t>
                  </w:r>
                </w:p>
              </w:tc>
              <w:tc>
                <w:tcPr>
                  <w:tcW w:w="520" w:type="pct"/>
                  <w:tcBorders>
                    <w:tl2br w:val="nil"/>
                    <w:tr2bl w:val="nil"/>
                  </w:tcBorders>
                  <w:shd w:val="clear" w:color="auto" w:fill="auto"/>
                  <w:noWrap w:val="0"/>
                  <w:vAlign w:val="center"/>
                </w:tcPr>
                <w:p w14:paraId="66C72EF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00DE53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FB09CA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3EBFF91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33769D8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FBC839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780E5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E11B68E">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103</w:t>
                  </w:r>
                </w:p>
              </w:tc>
              <w:tc>
                <w:tcPr>
                  <w:tcW w:w="1228" w:type="pct"/>
                  <w:tcBorders>
                    <w:tl2br w:val="nil"/>
                    <w:tr2bl w:val="nil"/>
                  </w:tcBorders>
                  <w:shd w:val="clear" w:color="auto" w:fill="auto"/>
                  <w:noWrap w:val="0"/>
                  <w:vAlign w:val="center"/>
                </w:tcPr>
                <w:p w14:paraId="11C54AF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氯乙酸</w:t>
                  </w:r>
                </w:p>
              </w:tc>
              <w:tc>
                <w:tcPr>
                  <w:tcW w:w="520" w:type="pct"/>
                  <w:tcBorders>
                    <w:tl2br w:val="nil"/>
                    <w:tr2bl w:val="nil"/>
                  </w:tcBorders>
                  <w:shd w:val="clear" w:color="auto" w:fill="auto"/>
                  <w:noWrap w:val="0"/>
                  <w:vAlign w:val="center"/>
                </w:tcPr>
                <w:p w14:paraId="612C28F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固态</w:t>
                  </w:r>
                </w:p>
              </w:tc>
              <w:tc>
                <w:tcPr>
                  <w:tcW w:w="409" w:type="pct"/>
                  <w:tcBorders>
                    <w:tl2br w:val="nil"/>
                    <w:tr2bl w:val="nil"/>
                  </w:tcBorders>
                  <w:shd w:val="clear" w:color="auto" w:fill="auto"/>
                  <w:noWrap w:val="0"/>
                  <w:vAlign w:val="center"/>
                </w:tcPr>
                <w:p w14:paraId="5AE51DD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FD6B58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665" w:type="pct"/>
                  <w:tcBorders>
                    <w:tl2br w:val="nil"/>
                    <w:tr2bl w:val="nil"/>
                  </w:tcBorders>
                  <w:shd w:val="clear" w:color="auto" w:fill="auto"/>
                  <w:noWrap w:val="0"/>
                  <w:vAlign w:val="center"/>
                </w:tcPr>
                <w:p w14:paraId="41078D8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500</w:t>
                  </w:r>
                </w:p>
              </w:tc>
              <w:tc>
                <w:tcPr>
                  <w:tcW w:w="594" w:type="pct"/>
                  <w:tcBorders>
                    <w:tl2br w:val="nil"/>
                    <w:tr2bl w:val="nil"/>
                  </w:tcBorders>
                  <w:shd w:val="clear" w:color="auto" w:fill="auto"/>
                  <w:noWrap w:val="0"/>
                  <w:vAlign w:val="center"/>
                </w:tcPr>
                <w:p w14:paraId="4AA3C2F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g</w:t>
                  </w:r>
                </w:p>
              </w:tc>
              <w:tc>
                <w:tcPr>
                  <w:tcW w:w="490" w:type="pct"/>
                  <w:tcBorders>
                    <w:tl2br w:val="nil"/>
                    <w:tr2bl w:val="nil"/>
                  </w:tcBorders>
                  <w:shd w:val="clear" w:color="auto" w:fill="auto"/>
                  <w:noWrap w:val="0"/>
                  <w:vAlign w:val="center"/>
                </w:tcPr>
                <w:p w14:paraId="32E930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500</w:t>
                  </w:r>
                </w:p>
              </w:tc>
            </w:tr>
            <w:tr w14:paraId="2B152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BB1037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104</w:t>
                  </w:r>
                </w:p>
              </w:tc>
              <w:tc>
                <w:tcPr>
                  <w:tcW w:w="1228" w:type="pct"/>
                  <w:tcBorders>
                    <w:tl2br w:val="nil"/>
                    <w:tr2bl w:val="nil"/>
                  </w:tcBorders>
                  <w:shd w:val="clear" w:color="auto" w:fill="auto"/>
                  <w:noWrap w:val="0"/>
                  <w:vAlign w:val="center"/>
                </w:tcPr>
                <w:p w14:paraId="0534E75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三乙醇胺</w:t>
                  </w:r>
                </w:p>
              </w:tc>
              <w:tc>
                <w:tcPr>
                  <w:tcW w:w="520" w:type="pct"/>
                  <w:tcBorders>
                    <w:tl2br w:val="nil"/>
                    <w:tr2bl w:val="nil"/>
                  </w:tcBorders>
                  <w:shd w:val="clear" w:color="auto" w:fill="auto"/>
                  <w:noWrap w:val="0"/>
                  <w:vAlign w:val="center"/>
                </w:tcPr>
                <w:p w14:paraId="7087303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3F0B207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1EC9E25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665" w:type="pct"/>
                  <w:tcBorders>
                    <w:tl2br w:val="nil"/>
                    <w:tr2bl w:val="nil"/>
                  </w:tcBorders>
                  <w:shd w:val="clear" w:color="auto" w:fill="auto"/>
                  <w:noWrap w:val="0"/>
                  <w:vAlign w:val="center"/>
                </w:tcPr>
                <w:p w14:paraId="6C66D995">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1000</w:t>
                  </w:r>
                </w:p>
              </w:tc>
              <w:tc>
                <w:tcPr>
                  <w:tcW w:w="594" w:type="pct"/>
                  <w:tcBorders>
                    <w:tl2br w:val="nil"/>
                    <w:tr2bl w:val="nil"/>
                  </w:tcBorders>
                  <w:shd w:val="clear" w:color="auto" w:fill="auto"/>
                  <w:noWrap w:val="0"/>
                  <w:vAlign w:val="center"/>
                </w:tcPr>
                <w:p w14:paraId="69BC7E7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ml</w:t>
                  </w:r>
                </w:p>
              </w:tc>
              <w:tc>
                <w:tcPr>
                  <w:tcW w:w="490" w:type="pct"/>
                  <w:tcBorders>
                    <w:tl2br w:val="nil"/>
                    <w:tr2bl w:val="nil"/>
                  </w:tcBorders>
                  <w:shd w:val="clear" w:color="auto" w:fill="auto"/>
                  <w:noWrap w:val="0"/>
                  <w:vAlign w:val="center"/>
                </w:tcPr>
                <w:p w14:paraId="0A8AE00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w:t>
                  </w:r>
                  <w:r>
                    <w:rPr>
                      <w:rFonts w:hint="default" w:ascii="Times New Roman" w:hAnsi="Times New Roman" w:cs="Times New Roman" w:eastAsiaTheme="minorEastAsia"/>
                      <w:bCs/>
                      <w:color w:val="auto"/>
                      <w:kern w:val="2"/>
                      <w:sz w:val="21"/>
                      <w:szCs w:val="21"/>
                      <w:highlight w:val="none"/>
                      <w:lang w:val="en-US" w:eastAsia="zh-CN" w:bidi="ar-SA"/>
                    </w:rPr>
                    <w:t>1000</w:t>
                  </w:r>
                </w:p>
              </w:tc>
            </w:tr>
            <w:tr w14:paraId="2A9EE8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06BC40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105</w:t>
                  </w:r>
                </w:p>
              </w:tc>
              <w:tc>
                <w:tcPr>
                  <w:tcW w:w="1228" w:type="pct"/>
                  <w:tcBorders>
                    <w:tl2br w:val="nil"/>
                    <w:tr2bl w:val="nil"/>
                  </w:tcBorders>
                  <w:shd w:val="clear" w:color="auto" w:fill="auto"/>
                  <w:noWrap w:val="0"/>
                  <w:vAlign w:val="center"/>
                </w:tcPr>
                <w:p w14:paraId="40A1C29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液氩</w:t>
                  </w:r>
                </w:p>
              </w:tc>
              <w:tc>
                <w:tcPr>
                  <w:tcW w:w="520" w:type="pct"/>
                  <w:tcBorders>
                    <w:tl2br w:val="nil"/>
                    <w:tr2bl w:val="nil"/>
                  </w:tcBorders>
                  <w:shd w:val="clear" w:color="auto" w:fill="auto"/>
                  <w:noWrap w:val="0"/>
                  <w:vAlign w:val="center"/>
                </w:tcPr>
                <w:p w14:paraId="033A1C2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液态</w:t>
                  </w:r>
                </w:p>
              </w:tc>
              <w:tc>
                <w:tcPr>
                  <w:tcW w:w="409" w:type="pct"/>
                  <w:tcBorders>
                    <w:tl2br w:val="nil"/>
                    <w:tr2bl w:val="nil"/>
                  </w:tcBorders>
                  <w:shd w:val="clear" w:color="auto" w:fill="auto"/>
                  <w:noWrap w:val="0"/>
                  <w:vAlign w:val="center"/>
                </w:tcPr>
                <w:p w14:paraId="12CA54F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49C28A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40</w:t>
                  </w:r>
                </w:p>
              </w:tc>
              <w:tc>
                <w:tcPr>
                  <w:tcW w:w="665" w:type="pct"/>
                  <w:tcBorders>
                    <w:tl2br w:val="nil"/>
                    <w:tr2bl w:val="nil"/>
                  </w:tcBorders>
                  <w:shd w:val="clear" w:color="auto" w:fill="auto"/>
                  <w:noWrap w:val="0"/>
                  <w:vAlign w:val="center"/>
                </w:tcPr>
                <w:p w14:paraId="2522491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594" w:type="pct"/>
                  <w:tcBorders>
                    <w:tl2br w:val="nil"/>
                    <w:tr2bl w:val="nil"/>
                  </w:tcBorders>
                  <w:shd w:val="clear" w:color="auto" w:fill="auto"/>
                  <w:noWrap w:val="0"/>
                  <w:vAlign w:val="center"/>
                </w:tcPr>
                <w:p w14:paraId="351D8B86">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w:t>
                  </w:r>
                  <w:r>
                    <w:rPr>
                      <w:rFonts w:hint="default" w:ascii="Times New Roman" w:hAnsi="Times New Roman" w:cs="Times New Roman" w:eastAsiaTheme="minorEastAsia"/>
                      <w:color w:val="auto"/>
                      <w:spacing w:val="-20"/>
                      <w:sz w:val="21"/>
                      <w:szCs w:val="21"/>
                      <w:highlight w:val="none"/>
                      <w:lang w:val="en-US" w:eastAsia="zh-CN"/>
                    </w:rPr>
                    <w:t>（175L/瓶）</w:t>
                  </w:r>
                </w:p>
              </w:tc>
              <w:tc>
                <w:tcPr>
                  <w:tcW w:w="490" w:type="pct"/>
                  <w:tcBorders>
                    <w:tl2br w:val="nil"/>
                    <w:tr2bl w:val="nil"/>
                  </w:tcBorders>
                  <w:shd w:val="clear" w:color="auto" w:fill="auto"/>
                  <w:noWrap w:val="0"/>
                  <w:vAlign w:val="center"/>
                </w:tcPr>
                <w:p w14:paraId="78B02E2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+40</w:t>
                  </w:r>
                </w:p>
              </w:tc>
            </w:tr>
            <w:tr w14:paraId="09BB8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6F199A9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kern w:val="2"/>
                      <w:sz w:val="21"/>
                      <w:szCs w:val="21"/>
                      <w:highlight w:val="none"/>
                      <w:lang w:val="en-US" w:eastAsia="zh-CN" w:bidi="ar-SA"/>
                    </w:rPr>
                    <w:t>106</w:t>
                  </w:r>
                </w:p>
              </w:tc>
              <w:tc>
                <w:tcPr>
                  <w:tcW w:w="1228" w:type="pct"/>
                  <w:tcBorders>
                    <w:tl2br w:val="nil"/>
                    <w:tr2bl w:val="nil"/>
                  </w:tcBorders>
                  <w:shd w:val="clear" w:color="auto" w:fill="auto"/>
                  <w:noWrap w:val="0"/>
                  <w:vAlign w:val="center"/>
                </w:tcPr>
                <w:p w14:paraId="59A75D5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氩气</w:t>
                  </w:r>
                </w:p>
              </w:tc>
              <w:tc>
                <w:tcPr>
                  <w:tcW w:w="520" w:type="pct"/>
                  <w:tcBorders>
                    <w:tl2br w:val="nil"/>
                    <w:tr2bl w:val="nil"/>
                  </w:tcBorders>
                  <w:shd w:val="clear" w:color="auto" w:fill="auto"/>
                  <w:noWrap w:val="0"/>
                  <w:vAlign w:val="center"/>
                </w:tcPr>
                <w:p w14:paraId="2DA311E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76F594A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D81C73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12</w:t>
                  </w:r>
                </w:p>
              </w:tc>
              <w:tc>
                <w:tcPr>
                  <w:tcW w:w="665" w:type="pct"/>
                  <w:tcBorders>
                    <w:tl2br w:val="nil"/>
                    <w:tr2bl w:val="nil"/>
                  </w:tcBorders>
                  <w:shd w:val="clear" w:color="auto" w:fill="auto"/>
                  <w:noWrap w:val="0"/>
                  <w:vAlign w:val="center"/>
                </w:tcPr>
                <w:p w14:paraId="505D3F0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5</w:t>
                  </w:r>
                </w:p>
              </w:tc>
              <w:tc>
                <w:tcPr>
                  <w:tcW w:w="594" w:type="pct"/>
                  <w:tcBorders>
                    <w:tl2br w:val="nil"/>
                    <w:tr2bl w:val="nil"/>
                  </w:tcBorders>
                  <w:shd w:val="clear" w:color="auto" w:fill="auto"/>
                  <w:noWrap w:val="0"/>
                  <w:vAlign w:val="center"/>
                </w:tcPr>
                <w:p w14:paraId="638D4922">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7F1F526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+12</w:t>
                  </w:r>
                </w:p>
              </w:tc>
            </w:tr>
            <w:tr w14:paraId="5E85A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355" w:type="pct"/>
                  <w:tcBorders>
                    <w:tl2br w:val="nil"/>
                    <w:tr2bl w:val="nil"/>
                  </w:tcBorders>
                  <w:noWrap w:val="0"/>
                  <w:vAlign w:val="center"/>
                </w:tcPr>
                <w:p w14:paraId="79220A91">
                  <w:pPr>
                    <w:keepNext w:val="0"/>
                    <w:keepLines w:val="0"/>
                    <w:pageBreakBefore w:val="0"/>
                    <w:widowControl w:val="0"/>
                    <w:numPr>
                      <w:ilvl w:val="0"/>
                      <w:numId w:val="0"/>
                    </w:numPr>
                    <w:kinsoku/>
                    <w:wordWrap/>
                    <w:overflowPunct/>
                    <w:topLinePunct w:val="0"/>
                    <w:autoSpaceDE/>
                    <w:autoSpaceDN/>
                    <w:bidi w:val="0"/>
                    <w:adjustRightInd/>
                    <w:snapToGrid/>
                    <w:ind w:left="0" w:left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107</w:t>
                  </w:r>
                </w:p>
              </w:tc>
              <w:tc>
                <w:tcPr>
                  <w:tcW w:w="1228" w:type="pct"/>
                  <w:tcBorders>
                    <w:tl2br w:val="nil"/>
                    <w:tr2bl w:val="nil"/>
                  </w:tcBorders>
                  <w:shd w:val="clear" w:color="auto" w:fill="auto"/>
                  <w:noWrap w:val="0"/>
                  <w:vAlign w:val="center"/>
                </w:tcPr>
                <w:p w14:paraId="73FADB1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氮气</w:t>
                  </w:r>
                </w:p>
              </w:tc>
              <w:tc>
                <w:tcPr>
                  <w:tcW w:w="520" w:type="pct"/>
                  <w:tcBorders>
                    <w:tl2br w:val="nil"/>
                    <w:tr2bl w:val="nil"/>
                  </w:tcBorders>
                  <w:shd w:val="clear" w:color="auto" w:fill="auto"/>
                  <w:noWrap w:val="0"/>
                  <w:vAlign w:val="center"/>
                </w:tcPr>
                <w:p w14:paraId="0AAC2BE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0FA2A61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3018EC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316</w:t>
                  </w:r>
                </w:p>
              </w:tc>
              <w:tc>
                <w:tcPr>
                  <w:tcW w:w="665" w:type="pct"/>
                  <w:tcBorders>
                    <w:tl2br w:val="nil"/>
                    <w:tr2bl w:val="nil"/>
                  </w:tcBorders>
                  <w:shd w:val="clear" w:color="auto" w:fill="auto"/>
                  <w:noWrap w:val="0"/>
                  <w:vAlign w:val="center"/>
                </w:tcPr>
                <w:p w14:paraId="611654F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w:t>
                  </w:r>
                </w:p>
              </w:tc>
              <w:tc>
                <w:tcPr>
                  <w:tcW w:w="594" w:type="pct"/>
                  <w:tcBorders>
                    <w:tl2br w:val="nil"/>
                    <w:tr2bl w:val="nil"/>
                  </w:tcBorders>
                  <w:shd w:val="clear" w:color="auto" w:fill="auto"/>
                  <w:noWrap w:val="0"/>
                  <w:vAlign w:val="center"/>
                </w:tcPr>
                <w:p w14:paraId="1A628DE9">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193AC18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+316</w:t>
                  </w:r>
                </w:p>
              </w:tc>
            </w:tr>
            <w:tr w14:paraId="50756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5" w:type="pct"/>
                  <w:tcBorders>
                    <w:tl2br w:val="nil"/>
                    <w:tr2bl w:val="nil"/>
                  </w:tcBorders>
                  <w:noWrap w:val="0"/>
                  <w:vAlign w:val="center"/>
                </w:tcPr>
                <w:p w14:paraId="64585846">
                  <w:pPr>
                    <w:keepNext w:val="0"/>
                    <w:keepLines w:val="0"/>
                    <w:pageBreakBefore w:val="0"/>
                    <w:widowControl w:val="0"/>
                    <w:numPr>
                      <w:ilvl w:val="0"/>
                      <w:numId w:val="0"/>
                    </w:numPr>
                    <w:kinsoku/>
                    <w:wordWrap/>
                    <w:overflowPunct/>
                    <w:topLinePunct w:val="0"/>
                    <w:autoSpaceDE/>
                    <w:autoSpaceDN/>
                    <w:bidi w:val="0"/>
                    <w:adjustRightInd/>
                    <w:snapToGrid/>
                    <w:ind w:left="0" w:left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108</w:t>
                  </w:r>
                </w:p>
              </w:tc>
              <w:tc>
                <w:tcPr>
                  <w:tcW w:w="1228" w:type="pct"/>
                  <w:tcBorders>
                    <w:tl2br w:val="nil"/>
                    <w:tr2bl w:val="nil"/>
                  </w:tcBorders>
                  <w:shd w:val="clear" w:color="auto" w:fill="auto"/>
                  <w:noWrap w:val="0"/>
                  <w:vAlign w:val="center"/>
                </w:tcPr>
                <w:p w14:paraId="3DFE8BB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乙炔</w:t>
                  </w:r>
                </w:p>
              </w:tc>
              <w:tc>
                <w:tcPr>
                  <w:tcW w:w="520" w:type="pct"/>
                  <w:tcBorders>
                    <w:tl2br w:val="nil"/>
                    <w:tr2bl w:val="nil"/>
                  </w:tcBorders>
                  <w:shd w:val="clear" w:color="auto" w:fill="auto"/>
                  <w:noWrap w:val="0"/>
                  <w:vAlign w:val="center"/>
                </w:tcPr>
                <w:p w14:paraId="5618CA8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0CA806D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25FD41A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12</w:t>
                  </w:r>
                </w:p>
              </w:tc>
              <w:tc>
                <w:tcPr>
                  <w:tcW w:w="665" w:type="pct"/>
                  <w:tcBorders>
                    <w:tl2br w:val="nil"/>
                    <w:tr2bl w:val="nil"/>
                  </w:tcBorders>
                  <w:shd w:val="clear" w:color="auto" w:fill="auto"/>
                  <w:noWrap w:val="0"/>
                  <w:vAlign w:val="center"/>
                </w:tcPr>
                <w:p w14:paraId="2F515C9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594" w:type="pct"/>
                  <w:tcBorders>
                    <w:tl2br w:val="nil"/>
                    <w:tr2bl w:val="nil"/>
                  </w:tcBorders>
                  <w:shd w:val="clear" w:color="auto" w:fill="auto"/>
                  <w:noWrap w:val="0"/>
                  <w:vAlign w:val="center"/>
                </w:tcPr>
                <w:p w14:paraId="6EF9262C">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07E0D61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+12</w:t>
                  </w:r>
                </w:p>
              </w:tc>
            </w:tr>
            <w:tr w14:paraId="30BBE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348EF226">
                  <w:pPr>
                    <w:keepNext w:val="0"/>
                    <w:keepLines w:val="0"/>
                    <w:pageBreakBefore w:val="0"/>
                    <w:widowControl w:val="0"/>
                    <w:numPr>
                      <w:ilvl w:val="0"/>
                      <w:numId w:val="0"/>
                    </w:numPr>
                    <w:kinsoku/>
                    <w:wordWrap/>
                    <w:overflowPunct/>
                    <w:topLinePunct w:val="0"/>
                    <w:autoSpaceDE/>
                    <w:autoSpaceDN/>
                    <w:bidi w:val="0"/>
                    <w:adjustRightInd/>
                    <w:snapToGrid/>
                    <w:ind w:left="0" w:left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109</w:t>
                  </w:r>
                </w:p>
              </w:tc>
              <w:tc>
                <w:tcPr>
                  <w:tcW w:w="1228" w:type="pct"/>
                  <w:tcBorders>
                    <w:tl2br w:val="nil"/>
                    <w:tr2bl w:val="nil"/>
                  </w:tcBorders>
                  <w:shd w:val="clear" w:color="auto" w:fill="auto"/>
                  <w:noWrap w:val="0"/>
                  <w:vAlign w:val="center"/>
                </w:tcPr>
                <w:p w14:paraId="0604906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氧气</w:t>
                  </w:r>
                </w:p>
              </w:tc>
              <w:tc>
                <w:tcPr>
                  <w:tcW w:w="520" w:type="pct"/>
                  <w:tcBorders>
                    <w:tl2br w:val="nil"/>
                    <w:tr2bl w:val="nil"/>
                  </w:tcBorders>
                  <w:shd w:val="clear" w:color="auto" w:fill="auto"/>
                  <w:noWrap w:val="0"/>
                  <w:vAlign w:val="center"/>
                </w:tcPr>
                <w:p w14:paraId="14F732D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0CCA465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A31849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w:t>
                  </w:r>
                </w:p>
              </w:tc>
              <w:tc>
                <w:tcPr>
                  <w:tcW w:w="665" w:type="pct"/>
                  <w:tcBorders>
                    <w:tl2br w:val="nil"/>
                    <w:tr2bl w:val="nil"/>
                  </w:tcBorders>
                  <w:shd w:val="clear" w:color="auto" w:fill="auto"/>
                  <w:noWrap w:val="0"/>
                  <w:vAlign w:val="center"/>
                </w:tcPr>
                <w:p w14:paraId="614B6E7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594" w:type="pct"/>
                  <w:tcBorders>
                    <w:tl2br w:val="nil"/>
                    <w:tr2bl w:val="nil"/>
                  </w:tcBorders>
                  <w:shd w:val="clear" w:color="auto" w:fill="auto"/>
                  <w:noWrap w:val="0"/>
                  <w:vAlign w:val="center"/>
                </w:tcPr>
                <w:p w14:paraId="5837DC0E">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64A1DE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+20</w:t>
                  </w:r>
                </w:p>
              </w:tc>
            </w:tr>
            <w:tr w14:paraId="3F79F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45984920">
                  <w:pPr>
                    <w:keepNext w:val="0"/>
                    <w:keepLines w:val="0"/>
                    <w:pageBreakBefore w:val="0"/>
                    <w:widowControl w:val="0"/>
                    <w:numPr>
                      <w:ilvl w:val="0"/>
                      <w:numId w:val="0"/>
                    </w:numPr>
                    <w:kinsoku/>
                    <w:wordWrap/>
                    <w:overflowPunct/>
                    <w:topLinePunct w:val="0"/>
                    <w:autoSpaceDE/>
                    <w:autoSpaceDN/>
                    <w:bidi w:val="0"/>
                    <w:adjustRightInd/>
                    <w:snapToGrid/>
                    <w:ind w:left="0" w:left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110</w:t>
                  </w:r>
                </w:p>
              </w:tc>
              <w:tc>
                <w:tcPr>
                  <w:tcW w:w="1228" w:type="pct"/>
                  <w:tcBorders>
                    <w:tl2br w:val="nil"/>
                    <w:tr2bl w:val="nil"/>
                  </w:tcBorders>
                  <w:shd w:val="clear" w:color="auto" w:fill="auto"/>
                  <w:noWrap w:val="0"/>
                  <w:vAlign w:val="center"/>
                </w:tcPr>
                <w:p w14:paraId="1BFC2DC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氢气</w:t>
                  </w:r>
                </w:p>
              </w:tc>
              <w:tc>
                <w:tcPr>
                  <w:tcW w:w="520" w:type="pct"/>
                  <w:tcBorders>
                    <w:tl2br w:val="nil"/>
                    <w:tr2bl w:val="nil"/>
                  </w:tcBorders>
                  <w:shd w:val="clear" w:color="auto" w:fill="auto"/>
                  <w:noWrap w:val="0"/>
                  <w:vAlign w:val="center"/>
                </w:tcPr>
                <w:p w14:paraId="015C72F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37F8B85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537A1D6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29</w:t>
                  </w:r>
                </w:p>
              </w:tc>
              <w:tc>
                <w:tcPr>
                  <w:tcW w:w="665" w:type="pct"/>
                  <w:tcBorders>
                    <w:tl2br w:val="nil"/>
                    <w:tr2bl w:val="nil"/>
                  </w:tcBorders>
                  <w:shd w:val="clear" w:color="auto" w:fill="auto"/>
                  <w:noWrap w:val="0"/>
                  <w:vAlign w:val="center"/>
                </w:tcPr>
                <w:p w14:paraId="0DBAE98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4</w:t>
                  </w:r>
                </w:p>
              </w:tc>
              <w:tc>
                <w:tcPr>
                  <w:tcW w:w="594" w:type="pct"/>
                  <w:tcBorders>
                    <w:tl2br w:val="nil"/>
                    <w:tr2bl w:val="nil"/>
                  </w:tcBorders>
                  <w:shd w:val="clear" w:color="auto" w:fill="auto"/>
                  <w:noWrap w:val="0"/>
                  <w:vAlign w:val="center"/>
                </w:tcPr>
                <w:p w14:paraId="6E6DAF29">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4AA9758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+29</w:t>
                  </w:r>
                </w:p>
              </w:tc>
            </w:tr>
            <w:tr w14:paraId="369F3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55" w:type="pct"/>
                  <w:tcBorders>
                    <w:tl2br w:val="nil"/>
                    <w:tr2bl w:val="nil"/>
                  </w:tcBorders>
                  <w:noWrap w:val="0"/>
                  <w:vAlign w:val="center"/>
                </w:tcPr>
                <w:p w14:paraId="7F948FF9">
                  <w:pPr>
                    <w:keepNext w:val="0"/>
                    <w:keepLines w:val="0"/>
                    <w:pageBreakBefore w:val="0"/>
                    <w:widowControl w:val="0"/>
                    <w:numPr>
                      <w:ilvl w:val="0"/>
                      <w:numId w:val="0"/>
                    </w:numPr>
                    <w:kinsoku/>
                    <w:wordWrap/>
                    <w:overflowPunct/>
                    <w:topLinePunct w:val="0"/>
                    <w:autoSpaceDE/>
                    <w:autoSpaceDN/>
                    <w:bidi w:val="0"/>
                    <w:adjustRightInd/>
                    <w:snapToGrid/>
                    <w:ind w:left="0" w:leftChars="0"/>
                    <w:jc w:val="center"/>
                    <w:textAlignment w:val="auto"/>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111</w:t>
                  </w:r>
                </w:p>
              </w:tc>
              <w:tc>
                <w:tcPr>
                  <w:tcW w:w="1228" w:type="pct"/>
                  <w:tcBorders>
                    <w:tl2br w:val="nil"/>
                    <w:tr2bl w:val="nil"/>
                  </w:tcBorders>
                  <w:shd w:val="clear" w:color="auto" w:fill="auto"/>
                  <w:noWrap w:val="0"/>
                  <w:vAlign w:val="center"/>
                </w:tcPr>
                <w:p w14:paraId="2E64CD4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二氧化碳</w:t>
                  </w:r>
                </w:p>
              </w:tc>
              <w:tc>
                <w:tcPr>
                  <w:tcW w:w="520" w:type="pct"/>
                  <w:tcBorders>
                    <w:tl2br w:val="nil"/>
                    <w:tr2bl w:val="nil"/>
                  </w:tcBorders>
                  <w:shd w:val="clear" w:color="auto" w:fill="auto"/>
                  <w:noWrap w:val="0"/>
                  <w:vAlign w:val="center"/>
                </w:tcPr>
                <w:p w14:paraId="38F62DB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气态</w:t>
                  </w:r>
                </w:p>
              </w:tc>
              <w:tc>
                <w:tcPr>
                  <w:tcW w:w="409" w:type="pct"/>
                  <w:tcBorders>
                    <w:tl2br w:val="nil"/>
                    <w:tr2bl w:val="nil"/>
                  </w:tcBorders>
                  <w:shd w:val="clear" w:color="auto" w:fill="auto"/>
                  <w:noWrap w:val="0"/>
                  <w:vAlign w:val="center"/>
                </w:tcPr>
                <w:p w14:paraId="5892234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734" w:type="pct"/>
                  <w:tcBorders>
                    <w:tl2br w:val="nil"/>
                    <w:tr2bl w:val="nil"/>
                  </w:tcBorders>
                  <w:shd w:val="clear" w:color="auto" w:fill="auto"/>
                  <w:noWrap w:val="0"/>
                  <w:vAlign w:val="center"/>
                </w:tcPr>
                <w:p w14:paraId="6C8B23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665" w:type="pct"/>
                  <w:tcBorders>
                    <w:tl2br w:val="nil"/>
                    <w:tr2bl w:val="nil"/>
                  </w:tcBorders>
                  <w:shd w:val="clear" w:color="auto" w:fill="auto"/>
                  <w:noWrap w:val="0"/>
                  <w:vAlign w:val="center"/>
                </w:tcPr>
                <w:p w14:paraId="0867D54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1</w:t>
                  </w:r>
                </w:p>
              </w:tc>
              <w:tc>
                <w:tcPr>
                  <w:tcW w:w="594" w:type="pct"/>
                  <w:tcBorders>
                    <w:tl2br w:val="nil"/>
                    <w:tr2bl w:val="nil"/>
                  </w:tcBorders>
                  <w:shd w:val="clear" w:color="auto" w:fill="auto"/>
                  <w:noWrap w:val="0"/>
                  <w:vAlign w:val="center"/>
                </w:tcPr>
                <w:p w14:paraId="15A154E4">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瓶（40L/瓶）</w:t>
                  </w:r>
                </w:p>
              </w:tc>
              <w:tc>
                <w:tcPr>
                  <w:tcW w:w="490" w:type="pct"/>
                  <w:tcBorders>
                    <w:tl2br w:val="nil"/>
                    <w:tr2bl w:val="nil"/>
                  </w:tcBorders>
                  <w:shd w:val="clear" w:color="auto" w:fill="auto"/>
                  <w:noWrap w:val="0"/>
                  <w:vAlign w:val="center"/>
                </w:tcPr>
                <w:p w14:paraId="4CFA3A7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r>
          </w:tbl>
          <w:p w14:paraId="74F8509D">
            <w:pPr>
              <w:keepNext w:val="0"/>
              <w:keepLines w:val="0"/>
              <w:pageBreakBefore w:val="0"/>
              <w:widowControl w:val="0"/>
              <w:kinsoku/>
              <w:wordWrap/>
              <w:overflowPunct/>
              <w:topLinePunct w:val="0"/>
              <w:autoSpaceDE/>
              <w:autoSpaceDN/>
              <w:bidi w:val="0"/>
              <w:adjustRightInd w:val="0"/>
              <w:snapToGrid w:val="0"/>
              <w:spacing w:before="157" w:beforeLines="50"/>
              <w:jc w:val="center"/>
              <w:textAlignment w:val="auto"/>
              <w:rPr>
                <w:rFonts w:hint="default" w:eastAsia="宋体"/>
                <w:b/>
                <w:color w:val="auto"/>
                <w:szCs w:val="21"/>
                <w:highlight w:val="none"/>
                <w:lang w:val="en-US" w:eastAsia="zh-CN"/>
              </w:rPr>
            </w:pPr>
            <w:r>
              <w:rPr>
                <w:b/>
                <w:color w:val="auto"/>
                <w:szCs w:val="21"/>
                <w:highlight w:val="none"/>
              </w:rPr>
              <w:t>表2-</w:t>
            </w:r>
            <w:r>
              <w:rPr>
                <w:rFonts w:hint="eastAsia"/>
                <w:b/>
                <w:color w:val="auto"/>
                <w:szCs w:val="21"/>
                <w:highlight w:val="none"/>
                <w:lang w:val="en-US" w:eastAsia="zh-CN"/>
              </w:rPr>
              <w:t>3</w:t>
            </w:r>
            <w:r>
              <w:rPr>
                <w:b/>
                <w:color w:val="auto"/>
                <w:szCs w:val="21"/>
                <w:highlight w:val="none"/>
              </w:rPr>
              <w:t xml:space="preserve">  主要</w:t>
            </w:r>
            <w:r>
              <w:rPr>
                <w:rFonts w:hint="eastAsia"/>
                <w:b/>
                <w:color w:val="auto"/>
                <w:szCs w:val="21"/>
                <w:highlight w:val="none"/>
                <w:lang w:val="en-US" w:eastAsia="zh-CN"/>
              </w:rPr>
              <w:t>原辅材料理化性质</w:t>
            </w:r>
          </w:p>
          <w:tbl>
            <w:tblPr>
              <w:tblStyle w:val="27"/>
              <w:tblW w:w="81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1"/>
              <w:gridCol w:w="732"/>
              <w:gridCol w:w="6816"/>
            </w:tblGrid>
            <w:tr w14:paraId="0D8D9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85" w:type="pct"/>
                  <w:tcBorders>
                    <w:tl2br w:val="nil"/>
                    <w:tr2bl w:val="nil"/>
                  </w:tcBorders>
                  <w:noWrap w:val="0"/>
                  <w:vAlign w:val="center"/>
                </w:tcPr>
                <w:p w14:paraId="6EACCB98">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序号</w:t>
                  </w:r>
                </w:p>
              </w:tc>
              <w:tc>
                <w:tcPr>
                  <w:tcW w:w="447" w:type="pct"/>
                  <w:tcBorders>
                    <w:tl2br w:val="nil"/>
                    <w:tr2bl w:val="nil"/>
                  </w:tcBorders>
                  <w:noWrap w:val="0"/>
                  <w:vAlign w:val="center"/>
                </w:tcPr>
                <w:p w14:paraId="25D764B7">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原料名称</w:t>
                  </w:r>
                </w:p>
              </w:tc>
              <w:tc>
                <w:tcPr>
                  <w:tcW w:w="4166" w:type="pct"/>
                  <w:tcBorders>
                    <w:tl2br w:val="nil"/>
                    <w:tr2bl w:val="nil"/>
                  </w:tcBorders>
                  <w:noWrap w:val="0"/>
                  <w:vAlign w:val="center"/>
                </w:tcPr>
                <w:p w14:paraId="16EE2B51">
                  <w:pPr>
                    <w:jc w:val="center"/>
                    <w:rPr>
                      <w:rFonts w:hint="default" w:ascii="Times New Roman" w:hAnsi="Times New Roman" w:cs="Times New Roman" w:eastAsiaTheme="minorEastAsia"/>
                      <w:b/>
                      <w:color w:val="auto"/>
                      <w:sz w:val="21"/>
                      <w:szCs w:val="21"/>
                      <w:highlight w:val="none"/>
                      <w:lang w:eastAsia="zh-CN"/>
                    </w:rPr>
                  </w:pPr>
                  <w:r>
                    <w:rPr>
                      <w:rFonts w:hint="default" w:ascii="Times New Roman" w:hAnsi="Times New Roman" w:cs="Times New Roman" w:eastAsiaTheme="minorEastAsia"/>
                      <w:b/>
                      <w:color w:val="auto"/>
                      <w:sz w:val="21"/>
                      <w:szCs w:val="21"/>
                      <w:highlight w:val="none"/>
                      <w:lang w:val="en-US" w:eastAsia="zh-CN"/>
                    </w:rPr>
                    <w:t>理化性质</w:t>
                  </w:r>
                </w:p>
              </w:tc>
            </w:tr>
            <w:tr w14:paraId="54FA2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5" w:type="pct"/>
                  <w:tcBorders>
                    <w:tl2br w:val="nil"/>
                    <w:tr2bl w:val="nil"/>
                  </w:tcBorders>
                  <w:noWrap w:val="0"/>
                  <w:vAlign w:val="center"/>
                </w:tcPr>
                <w:p w14:paraId="6C715EC7">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447" w:type="pct"/>
                  <w:tcBorders>
                    <w:tl2br w:val="nil"/>
                    <w:tr2bl w:val="nil"/>
                  </w:tcBorders>
                  <w:noWrap w:val="0"/>
                  <w:vAlign w:val="center"/>
                </w:tcPr>
                <w:p w14:paraId="38C0BEC4">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硝酸</w:t>
                  </w:r>
                </w:p>
              </w:tc>
              <w:tc>
                <w:tcPr>
                  <w:tcW w:w="4166" w:type="pct"/>
                  <w:tcBorders>
                    <w:tl2br w:val="nil"/>
                    <w:tr2bl w:val="nil"/>
                  </w:tcBorders>
                  <w:noWrap w:val="0"/>
                  <w:vAlign w:val="center"/>
                </w:tcPr>
                <w:p w14:paraId="7FF8B7DC">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分子式HNO</w:t>
                  </w:r>
                  <w:r>
                    <w:rPr>
                      <w:rFonts w:hint="default" w:ascii="Times New Roman" w:hAnsi="Times New Roman" w:cs="Times New Roman" w:eastAsiaTheme="minorEastAsia"/>
                      <w:bCs/>
                      <w:color w:val="auto"/>
                      <w:sz w:val="21"/>
                      <w:szCs w:val="21"/>
                      <w:highlight w:val="none"/>
                      <w:vertAlign w:val="subscript"/>
                      <w:lang w:val="en-US" w:eastAsia="zh-CN"/>
                    </w:rPr>
                    <w:t>3</w:t>
                  </w:r>
                  <w:r>
                    <w:rPr>
                      <w:rFonts w:hint="default" w:ascii="Times New Roman" w:hAnsi="Times New Roman" w:cs="Times New Roman" w:eastAsiaTheme="minorEastAsia"/>
                      <w:bCs/>
                      <w:color w:val="auto"/>
                      <w:sz w:val="21"/>
                      <w:szCs w:val="21"/>
                      <w:highlight w:val="none"/>
                      <w:lang w:val="en-US" w:eastAsia="zh-CN"/>
                    </w:rPr>
                    <w:t>，无色透明溶液，易溶于水，易挥发，相对密度为1.41g/m</w:t>
                  </w:r>
                  <w:r>
                    <w:rPr>
                      <w:rFonts w:hint="default" w:ascii="Times New Roman" w:hAnsi="Times New Roman" w:cs="Times New Roman" w:eastAsiaTheme="minorEastAsia"/>
                      <w:bCs/>
                      <w:color w:val="auto"/>
                      <w:sz w:val="21"/>
                      <w:szCs w:val="21"/>
                      <w:highlight w:val="none"/>
                      <w:vertAlign w:val="superscript"/>
                      <w:lang w:val="en-US" w:eastAsia="zh-CN"/>
                    </w:rPr>
                    <w:t>3</w:t>
                  </w:r>
                  <w:r>
                    <w:rPr>
                      <w:rFonts w:hint="default" w:ascii="Times New Roman" w:hAnsi="Times New Roman" w:cs="Times New Roman" w:eastAsiaTheme="minorEastAsia"/>
                      <w:bCs/>
                      <w:color w:val="auto"/>
                      <w:sz w:val="21"/>
                      <w:szCs w:val="21"/>
                      <w:highlight w:val="none"/>
                      <w:lang w:val="en-US" w:eastAsia="zh-CN"/>
                    </w:rPr>
                    <w:t>，熔点-42℃，沸点 120.5℃。是强氧化性、腐蚀性的强酸，能发生硝化、酯化、氧化还原反应</w:t>
                  </w:r>
                </w:p>
              </w:tc>
            </w:tr>
            <w:tr w14:paraId="24E07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385" w:type="pct"/>
                  <w:tcBorders>
                    <w:tl2br w:val="nil"/>
                    <w:tr2bl w:val="nil"/>
                  </w:tcBorders>
                  <w:noWrap w:val="0"/>
                  <w:vAlign w:val="center"/>
                </w:tcPr>
                <w:p w14:paraId="3FD24577">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2</w:t>
                  </w:r>
                </w:p>
              </w:tc>
              <w:tc>
                <w:tcPr>
                  <w:tcW w:w="447" w:type="pct"/>
                  <w:tcBorders>
                    <w:tl2br w:val="nil"/>
                    <w:tr2bl w:val="nil"/>
                  </w:tcBorders>
                  <w:noWrap w:val="0"/>
                  <w:vAlign w:val="center"/>
                </w:tcPr>
                <w:p w14:paraId="680F5825">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硫酸</w:t>
                  </w:r>
                </w:p>
              </w:tc>
              <w:tc>
                <w:tcPr>
                  <w:tcW w:w="4166" w:type="pct"/>
                  <w:tcBorders>
                    <w:tl2br w:val="nil"/>
                    <w:tr2bl w:val="nil"/>
                  </w:tcBorders>
                  <w:noWrap w:val="0"/>
                  <w:vAlign w:val="center"/>
                </w:tcPr>
                <w:p w14:paraId="48586ED2">
                  <w:pPr>
                    <w:jc w:val="left"/>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rPr>
                    <w:t>无色无味油状液体，常用的浓硫酸中H</w:t>
                  </w:r>
                  <w:r>
                    <w:rPr>
                      <w:rFonts w:hint="default" w:ascii="Times New Roman" w:hAnsi="Times New Roman" w:cs="Times New Roman" w:eastAsiaTheme="minorEastAsia"/>
                      <w:bCs/>
                      <w:color w:val="auto"/>
                      <w:sz w:val="21"/>
                      <w:szCs w:val="21"/>
                      <w:highlight w:val="none"/>
                      <w:vertAlign w:val="subscript"/>
                    </w:rPr>
                    <w:t>2</w:t>
                  </w:r>
                  <w:r>
                    <w:rPr>
                      <w:rFonts w:hint="default" w:ascii="Times New Roman" w:hAnsi="Times New Roman" w:cs="Times New Roman" w:eastAsiaTheme="minorEastAsia"/>
                      <w:bCs/>
                      <w:color w:val="auto"/>
                      <w:sz w:val="21"/>
                      <w:szCs w:val="21"/>
                      <w:highlight w:val="none"/>
                    </w:rPr>
                    <w:t>SO</w:t>
                  </w:r>
                  <w:r>
                    <w:rPr>
                      <w:rFonts w:hint="default" w:ascii="Times New Roman" w:hAnsi="Times New Roman" w:cs="Times New Roman" w:eastAsiaTheme="minorEastAsia"/>
                      <w:bCs/>
                      <w:color w:val="auto"/>
                      <w:sz w:val="21"/>
                      <w:szCs w:val="21"/>
                      <w:highlight w:val="none"/>
                      <w:vertAlign w:val="subscript"/>
                    </w:rPr>
                    <w:t>4</w:t>
                  </w:r>
                  <w:r>
                    <w:rPr>
                      <w:rFonts w:hint="default" w:ascii="Times New Roman" w:hAnsi="Times New Roman" w:cs="Times New Roman" w:eastAsiaTheme="minorEastAsia"/>
                      <w:bCs/>
                      <w:color w:val="auto"/>
                      <w:sz w:val="21"/>
                      <w:szCs w:val="21"/>
                      <w:highlight w:val="none"/>
                    </w:rPr>
                    <w:t>的质量分数为98.3%，其密度为1.84g·cm</w:t>
                  </w:r>
                  <w:r>
                    <w:rPr>
                      <w:rFonts w:hint="default" w:ascii="Times New Roman" w:hAnsi="Times New Roman" w:cs="Times New Roman" w:eastAsiaTheme="minorEastAsia"/>
                      <w:bCs/>
                      <w:color w:val="auto"/>
                      <w:sz w:val="21"/>
                      <w:szCs w:val="21"/>
                      <w:highlight w:val="none"/>
                      <w:vertAlign w:val="superscript"/>
                    </w:rPr>
                    <w:t>-3</w:t>
                  </w:r>
                  <w:r>
                    <w:rPr>
                      <w:rFonts w:hint="default" w:ascii="Times New Roman" w:hAnsi="Times New Roman" w:cs="Times New Roman" w:eastAsiaTheme="minorEastAsia"/>
                      <w:bCs/>
                      <w:color w:val="auto"/>
                      <w:sz w:val="21"/>
                      <w:szCs w:val="21"/>
                      <w:highlight w:val="none"/>
                    </w:rPr>
                    <w:t>，其物质的量浓度为18.4mol·L</w:t>
                  </w:r>
                  <w:r>
                    <w:rPr>
                      <w:rFonts w:hint="default" w:ascii="Times New Roman" w:hAnsi="Times New Roman" w:cs="Times New Roman" w:eastAsiaTheme="minorEastAsia"/>
                      <w:bCs/>
                      <w:color w:val="auto"/>
                      <w:sz w:val="21"/>
                      <w:szCs w:val="21"/>
                      <w:highlight w:val="none"/>
                      <w:vertAlign w:val="superscript"/>
                    </w:rPr>
                    <w:t>-1</w:t>
                  </w:r>
                  <w:r>
                    <w:rPr>
                      <w:rFonts w:hint="default" w:ascii="Times New Roman" w:hAnsi="Times New Roman" w:cs="Times New Roman" w:eastAsiaTheme="minorEastAsia"/>
                      <w:bCs/>
                      <w:color w:val="auto"/>
                      <w:sz w:val="21"/>
                      <w:szCs w:val="21"/>
                      <w:highlight w:val="none"/>
                    </w:rPr>
                    <w:t>。硫酸是一种高沸点难挥发的强酸，易溶于水，能以任意比与水混溶</w:t>
                  </w:r>
                  <w:r>
                    <w:rPr>
                      <w:rFonts w:hint="default" w:ascii="Times New Roman" w:hAnsi="Times New Roman" w:cs="Times New Roman" w:eastAsiaTheme="minorEastAsia"/>
                      <w:bCs/>
                      <w:color w:val="auto"/>
                      <w:sz w:val="21"/>
                      <w:szCs w:val="21"/>
                      <w:highlight w:val="none"/>
                      <w:lang w:eastAsia="zh-CN"/>
                    </w:rPr>
                    <w:t>。</w:t>
                  </w:r>
                  <w:r>
                    <w:rPr>
                      <w:rFonts w:hint="default" w:ascii="Times New Roman" w:hAnsi="Times New Roman" w:cs="Times New Roman" w:eastAsiaTheme="minorEastAsia"/>
                      <w:bCs/>
                      <w:color w:val="auto"/>
                      <w:sz w:val="21"/>
                      <w:szCs w:val="21"/>
                      <w:highlight w:val="none"/>
                      <w:lang w:val="en-US" w:eastAsia="zh-CN"/>
                    </w:rPr>
                    <w:t>熔点</w:t>
                  </w:r>
                  <w:r>
                    <w:rPr>
                      <w:rFonts w:hint="default" w:ascii="Times New Roman" w:hAnsi="Times New Roman" w:cs="Times New Roman" w:eastAsiaTheme="minorEastAsia"/>
                      <w:bCs/>
                      <w:color w:val="auto"/>
                      <w:sz w:val="21"/>
                      <w:szCs w:val="21"/>
                      <w:highlight w:val="none"/>
                      <w:lang w:eastAsia="zh-CN"/>
                    </w:rPr>
                    <w:t>10.4℃</w:t>
                  </w:r>
                  <w:r>
                    <w:rPr>
                      <w:rFonts w:hint="default" w:ascii="Times New Roman" w:hAnsi="Times New Roman" w:cs="Times New Roman" w:eastAsiaTheme="minorEastAsia"/>
                      <w:bCs/>
                      <w:color w:val="auto"/>
                      <w:sz w:val="21"/>
                      <w:szCs w:val="21"/>
                      <w:highlight w:val="none"/>
                      <w:lang w:val="en-US" w:eastAsia="zh-CN"/>
                    </w:rPr>
                    <w:t xml:space="preserve">，沸点337℃。 </w:t>
                  </w:r>
                </w:p>
              </w:tc>
            </w:tr>
            <w:tr w14:paraId="34CF8B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385" w:type="pct"/>
                  <w:tcBorders>
                    <w:tl2br w:val="nil"/>
                    <w:tr2bl w:val="nil"/>
                  </w:tcBorders>
                  <w:noWrap w:val="0"/>
                  <w:vAlign w:val="center"/>
                </w:tcPr>
                <w:p w14:paraId="3D76BB22">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3</w:t>
                  </w:r>
                </w:p>
              </w:tc>
              <w:tc>
                <w:tcPr>
                  <w:tcW w:w="447" w:type="pct"/>
                  <w:tcBorders>
                    <w:tl2br w:val="nil"/>
                    <w:tr2bl w:val="nil"/>
                  </w:tcBorders>
                  <w:noWrap w:val="0"/>
                  <w:vAlign w:val="center"/>
                </w:tcPr>
                <w:p w14:paraId="29A7B878">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盐酸</w:t>
                  </w:r>
                </w:p>
              </w:tc>
              <w:tc>
                <w:tcPr>
                  <w:tcW w:w="4166" w:type="pct"/>
                  <w:tcBorders>
                    <w:tl2br w:val="nil"/>
                    <w:tr2bl w:val="nil"/>
                  </w:tcBorders>
                  <w:noWrap w:val="0"/>
                  <w:vAlign w:val="center"/>
                </w:tcPr>
                <w:p w14:paraId="0654F442">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外观与性状为无色液体，有腐蚀性，主要成分是氯化氢和水，含量通常在36%-38%，具有挥发性，挥发出的氯化氢气体与空气中的水蒸气作用形成酸雾，有刺激性气味。化学性质方面，盐酸能与活泼金属单质反应生成氢气，能和金属氧化物反应生成盐和水，能和盐反应生成新酸和新盐，能与大部分碳酸盐和碳酸氢盐反应生成二氧化碳和水，并且具有还原性。</w:t>
                  </w:r>
                </w:p>
              </w:tc>
            </w:tr>
            <w:tr w14:paraId="1D8C0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385" w:type="pct"/>
                  <w:tcBorders>
                    <w:tl2br w:val="nil"/>
                    <w:tr2bl w:val="nil"/>
                  </w:tcBorders>
                  <w:noWrap w:val="0"/>
                  <w:vAlign w:val="center"/>
                </w:tcPr>
                <w:p w14:paraId="2279AE9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4</w:t>
                  </w:r>
                </w:p>
              </w:tc>
              <w:tc>
                <w:tcPr>
                  <w:tcW w:w="447" w:type="pct"/>
                  <w:tcBorders>
                    <w:tl2br w:val="nil"/>
                    <w:tr2bl w:val="nil"/>
                  </w:tcBorders>
                  <w:noWrap w:val="0"/>
                  <w:vAlign w:val="center"/>
                </w:tcPr>
                <w:p w14:paraId="202E51A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氢氟酸</w:t>
                  </w:r>
                </w:p>
              </w:tc>
              <w:tc>
                <w:tcPr>
                  <w:tcW w:w="4166" w:type="pct"/>
                  <w:tcBorders>
                    <w:tl2br w:val="nil"/>
                    <w:tr2bl w:val="nil"/>
                  </w:tcBorders>
                  <w:noWrap w:val="0"/>
                  <w:vAlign w:val="center"/>
                </w:tcPr>
                <w:p w14:paraId="146B5149">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氢氟酸是氟化氢气体的水溶液，清澈，无色、发烟的腐蚀性液体，有剧烈刺激性气味。熔点-83.3℃，沸点19.54，闪点112.2℃，密度1.15g/cm³。易溶于水、乙醇，微溶于乙醚。因为氢原子和氟原子间结合的能力相对较强，使得氢氟酸在水中不能完全电离，所以理论上低浓度的氢氟酸是一种弱酸。</w:t>
                  </w:r>
                </w:p>
              </w:tc>
            </w:tr>
            <w:tr w14:paraId="4ED6F3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385" w:type="pct"/>
                  <w:tcBorders>
                    <w:tl2br w:val="nil"/>
                    <w:tr2bl w:val="nil"/>
                  </w:tcBorders>
                  <w:noWrap w:val="0"/>
                  <w:vAlign w:val="center"/>
                </w:tcPr>
                <w:p w14:paraId="4CD70D8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w:t>
                  </w:r>
                </w:p>
              </w:tc>
              <w:tc>
                <w:tcPr>
                  <w:tcW w:w="447" w:type="pct"/>
                  <w:tcBorders>
                    <w:tl2br w:val="nil"/>
                    <w:tr2bl w:val="nil"/>
                  </w:tcBorders>
                  <w:noWrap w:val="0"/>
                  <w:vAlign w:val="center"/>
                </w:tcPr>
                <w:p w14:paraId="055D368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甲醇</w:t>
                  </w:r>
                </w:p>
              </w:tc>
              <w:tc>
                <w:tcPr>
                  <w:tcW w:w="4166" w:type="pct"/>
                  <w:tcBorders>
                    <w:tl2br w:val="nil"/>
                    <w:tr2bl w:val="nil"/>
                  </w:tcBorders>
                  <w:noWrap w:val="0"/>
                  <w:vAlign w:val="center"/>
                </w:tcPr>
                <w:p w14:paraId="428D07B2">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甲醇是一种无色透明液体，有刺激性气味，熔点-97.8℃，沸点64.7℃，相对密度0.79（水=1），相对蒸气密度1.1（空气=1），饱和蒸气压12.3kPa（20℃），燃烧热726.5kJ/mol，临界温度240℃，临界压力7.95MPa，辛醇/水分配系数-0.82～-0.77，闪点8℃（CC）/12.2℃（OC），自燃温度436℃，爆炸上限36.5%，爆炸下限6%，溶于水，可混溶于醇类、乙醚等多数有机溶剂。</w:t>
                  </w:r>
                </w:p>
              </w:tc>
            </w:tr>
            <w:tr w14:paraId="4EAEF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385" w:type="pct"/>
                  <w:tcBorders>
                    <w:tl2br w:val="nil"/>
                    <w:tr2bl w:val="nil"/>
                  </w:tcBorders>
                  <w:noWrap w:val="0"/>
                  <w:vAlign w:val="center"/>
                </w:tcPr>
                <w:p w14:paraId="782D8D1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6</w:t>
                  </w:r>
                </w:p>
              </w:tc>
              <w:tc>
                <w:tcPr>
                  <w:tcW w:w="447" w:type="pct"/>
                  <w:tcBorders>
                    <w:tl2br w:val="nil"/>
                    <w:tr2bl w:val="nil"/>
                  </w:tcBorders>
                  <w:noWrap w:val="0"/>
                  <w:vAlign w:val="center"/>
                </w:tcPr>
                <w:p w14:paraId="2278ED0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异丙醇</w:t>
                  </w:r>
                </w:p>
              </w:tc>
              <w:tc>
                <w:tcPr>
                  <w:tcW w:w="4166" w:type="pct"/>
                  <w:tcBorders>
                    <w:tl2br w:val="nil"/>
                    <w:tr2bl w:val="nil"/>
                  </w:tcBorders>
                  <w:noWrap w:val="0"/>
                  <w:vAlign w:val="center"/>
                </w:tcPr>
                <w:p w14:paraId="3BF46868">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异丙醇是一种无色透明的可燃性液体，有与乙醇、丙酮混合物相似的气味。它的分子式为C3H8O，分子量为60.06，结构式为（CH3）2CHOH。异丙醇的比重为0.7851，熔点为-88℃，沸点为82.5℃。它能溶于水、醇、醚、氯仿等多种有机溶剂，与水形成共沸物，不溶于盐溶液。异丙醇的蒸气与空气混合能形成爆炸性混合物，爆炸极限为3.8～10.2%（体积）。此外，异丙醇的闪点为12℃，燃点为460℃，蒸发热为40.06kJ/mol，熔化热为88.26kJ/kg。异丙醇具有与乙醇和丙酮相似的化学性质。它能与多种有机物和某些无机物反应，例如能溶解生物碱、橡胶、虫胶、松香、合成树脂等。异丙醇还具有仲醇的特性，容易产生过氧化物。在一定条件下，异丙醇能发生氧化、还原、酯化等化学反应。</w:t>
                  </w:r>
                </w:p>
              </w:tc>
            </w:tr>
            <w:tr w14:paraId="36A51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85" w:type="pct"/>
                  <w:tcBorders>
                    <w:tl2br w:val="nil"/>
                    <w:tr2bl w:val="nil"/>
                  </w:tcBorders>
                  <w:noWrap w:val="0"/>
                  <w:vAlign w:val="center"/>
                </w:tcPr>
                <w:p w14:paraId="75581DD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7</w:t>
                  </w:r>
                </w:p>
              </w:tc>
              <w:tc>
                <w:tcPr>
                  <w:tcW w:w="447" w:type="pct"/>
                  <w:tcBorders>
                    <w:tl2br w:val="nil"/>
                    <w:tr2bl w:val="nil"/>
                  </w:tcBorders>
                  <w:noWrap w:val="0"/>
                  <w:vAlign w:val="center"/>
                </w:tcPr>
                <w:p w14:paraId="2B9E97B1">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正丁醇</w:t>
                  </w:r>
                </w:p>
              </w:tc>
              <w:tc>
                <w:tcPr>
                  <w:tcW w:w="4166" w:type="pct"/>
                  <w:tcBorders>
                    <w:tl2br w:val="nil"/>
                    <w:tr2bl w:val="nil"/>
                  </w:tcBorders>
                  <w:noWrap w:val="0"/>
                  <w:vAlign w:val="center"/>
                </w:tcPr>
                <w:p w14:paraId="59CE09F6">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正丁醇为无色透明液体，具有特殊气味，熔点为-88.9℃，沸点为117.5℃，饱和蒸气压为0.82kPa（25℃），溶解性为微溶于水，溶于醇、醚等多数有机溶剂。</w:t>
                  </w:r>
                </w:p>
              </w:tc>
            </w:tr>
            <w:tr w14:paraId="2365E2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814" w:hRule="atLeast"/>
                <w:jc w:val="center"/>
              </w:trPr>
              <w:tc>
                <w:tcPr>
                  <w:tcW w:w="385" w:type="pct"/>
                  <w:tcBorders>
                    <w:tl2br w:val="nil"/>
                    <w:tr2bl w:val="nil"/>
                  </w:tcBorders>
                  <w:noWrap w:val="0"/>
                  <w:vAlign w:val="center"/>
                </w:tcPr>
                <w:p w14:paraId="18A60AF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8</w:t>
                  </w:r>
                </w:p>
              </w:tc>
              <w:tc>
                <w:tcPr>
                  <w:tcW w:w="447" w:type="pct"/>
                  <w:tcBorders>
                    <w:tl2br w:val="nil"/>
                    <w:tr2bl w:val="nil"/>
                  </w:tcBorders>
                  <w:noWrap w:val="0"/>
                  <w:vAlign w:val="center"/>
                </w:tcPr>
                <w:p w14:paraId="18D358C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乙酸丁酯</w:t>
                  </w:r>
                </w:p>
              </w:tc>
              <w:tc>
                <w:tcPr>
                  <w:tcW w:w="4166" w:type="pct"/>
                  <w:tcBorders>
                    <w:tl2br w:val="nil"/>
                    <w:tr2bl w:val="nil"/>
                  </w:tcBorders>
                  <w:noWrap w:val="0"/>
                  <w:vAlign w:val="center"/>
                </w:tcPr>
                <w:p w14:paraId="26D8791E">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乙酸丁酯为无色透明液体，有水果香味。相对密度（水=1）：0.88；熔点（℃）：-73.5；沸点（℃）：126.1；闪点（℃）：22（CC）；爆炸上限（%）：7.6；爆炸下限（%）：1.2；溶解性：微溶于水，溶于乙醇、乙醚、烃类等多数有机溶剂。</w:t>
                  </w:r>
                </w:p>
              </w:tc>
            </w:tr>
            <w:tr w14:paraId="5CC19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8" w:hRule="atLeast"/>
                <w:jc w:val="center"/>
              </w:trPr>
              <w:tc>
                <w:tcPr>
                  <w:tcW w:w="385" w:type="pct"/>
                  <w:tcBorders>
                    <w:tl2br w:val="nil"/>
                    <w:tr2bl w:val="nil"/>
                  </w:tcBorders>
                  <w:noWrap w:val="0"/>
                  <w:vAlign w:val="center"/>
                </w:tcPr>
                <w:p w14:paraId="6E8EE47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9</w:t>
                  </w:r>
                </w:p>
              </w:tc>
              <w:tc>
                <w:tcPr>
                  <w:tcW w:w="447" w:type="pct"/>
                  <w:tcBorders>
                    <w:tl2br w:val="nil"/>
                    <w:tr2bl w:val="nil"/>
                  </w:tcBorders>
                  <w:noWrap w:val="0"/>
                  <w:vAlign w:val="center"/>
                </w:tcPr>
                <w:p w14:paraId="4D55167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二甲苯</w:t>
                  </w:r>
                </w:p>
              </w:tc>
              <w:tc>
                <w:tcPr>
                  <w:tcW w:w="4166" w:type="pct"/>
                  <w:tcBorders>
                    <w:tl2br w:val="nil"/>
                    <w:tr2bl w:val="nil"/>
                  </w:tcBorders>
                  <w:noWrap w:val="0"/>
                  <w:vAlign w:val="center"/>
                </w:tcPr>
                <w:p w14:paraId="3CD0098E">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二甲苯是一种无色透明的液体，具有类似甲苯的气味，分子式为C8H10，分子量为106.17，熔点为-47.9°C至-5.5°C之间，沸点为139°C至144.4°C之间，相对密度（水=1）为0.88，蒸汽压为1.33kPa/32°C，不溶于水，可混溶于乙醇、乙醚、氯仿等多数有机溶剂，稳定性为稳定，但在一定条件下，容易产生和积聚静电，二甲苯属于易燃液体，类别3；皮肤腐蚀/刺激，类别2；危害水生环境-急性危害，类别2。其蒸气与空气形成爆炸性混合物，遇明火、高热能引起燃烧爆炸。若遇高热，容器内压增大，有开裂和爆炸的危险。</w:t>
                  </w:r>
                </w:p>
              </w:tc>
            </w:tr>
            <w:tr w14:paraId="45A96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385" w:type="pct"/>
                  <w:tcBorders>
                    <w:tl2br w:val="nil"/>
                    <w:tr2bl w:val="nil"/>
                  </w:tcBorders>
                  <w:noWrap w:val="0"/>
                  <w:vAlign w:val="center"/>
                </w:tcPr>
                <w:p w14:paraId="5148B43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447" w:type="pct"/>
                  <w:tcBorders>
                    <w:tl2br w:val="nil"/>
                    <w:tr2bl w:val="nil"/>
                  </w:tcBorders>
                  <w:noWrap w:val="0"/>
                  <w:vAlign w:val="center"/>
                </w:tcPr>
                <w:p w14:paraId="03E5EEF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甲苯</w:t>
                  </w:r>
                </w:p>
              </w:tc>
              <w:tc>
                <w:tcPr>
                  <w:tcW w:w="4166" w:type="pct"/>
                  <w:tcBorders>
                    <w:tl2br w:val="nil"/>
                    <w:tr2bl w:val="nil"/>
                  </w:tcBorders>
                  <w:noWrap w:val="0"/>
                  <w:vAlign w:val="center"/>
                </w:tcPr>
                <w:p w14:paraId="671DD4D8">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甲苯为无色澄清液体。有苯样气味。有强折光性。能与乙醇、 乙醚、丙酮、氯仿、二硫化碳和冰乙酸混溶，极微溶于水。相对密度 0.866。凝固点-95℃。沸点110.6℃。折光率 1.4967。闪点(闭杯) 4.4℃。易燃。蒸气能与空气形成爆炸性混合物，爆炸极限 1.2%~7.0%(体积)。</w:t>
                  </w:r>
                </w:p>
              </w:tc>
            </w:tr>
            <w:tr w14:paraId="08DB3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385" w:type="pct"/>
                  <w:tcBorders>
                    <w:tl2br w:val="nil"/>
                    <w:tr2bl w:val="nil"/>
                  </w:tcBorders>
                  <w:noWrap w:val="0"/>
                  <w:vAlign w:val="center"/>
                </w:tcPr>
                <w:p w14:paraId="479C8F7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11</w:t>
                  </w:r>
                </w:p>
              </w:tc>
              <w:tc>
                <w:tcPr>
                  <w:tcW w:w="447" w:type="pct"/>
                  <w:tcBorders>
                    <w:tl2br w:val="nil"/>
                    <w:tr2bl w:val="nil"/>
                  </w:tcBorders>
                  <w:noWrap w:val="0"/>
                  <w:vAlign w:val="center"/>
                </w:tcPr>
                <w:p w14:paraId="3D914DF0">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二氯甲烷</w:t>
                  </w:r>
                </w:p>
              </w:tc>
              <w:tc>
                <w:tcPr>
                  <w:tcW w:w="4166" w:type="pct"/>
                  <w:tcBorders>
                    <w:tl2br w:val="nil"/>
                    <w:tr2bl w:val="nil"/>
                  </w:tcBorders>
                  <w:noWrap w:val="0"/>
                  <w:vAlign w:val="center"/>
                </w:tcPr>
                <w:p w14:paraId="18C3FF73">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无色透明液体，有芳香气味</w:t>
                  </w:r>
                  <w:r>
                    <w:rPr>
                      <w:rFonts w:hint="eastAsia" w:cs="Times New Roman" w:eastAsiaTheme="minorEastAsia"/>
                      <w:bCs/>
                      <w:color w:val="auto"/>
                      <w:sz w:val="21"/>
                      <w:szCs w:val="21"/>
                      <w:highlight w:val="none"/>
                      <w:lang w:val="en-US" w:eastAsia="zh-CN"/>
                    </w:rPr>
                    <w:t>。微溶于水，溶于乙醇、乙醚。熔点-96.7℃，相对密度(水=1)1.33，分子量84.94，沸点39.8℃。侵入途径：吸入、食入、经皮吸收。健康危害：本品有麻醉作用，主要损害中枢神经和呼吸系统。人类接触的主要途径是吸入。已经测得，在室内的生产环境中，当使用二氯甲烷作除漆剂时，有高浓度的二氯甲烷存在。一般人群通过周围空气、饮用水和食品的接触，剂量要低得多。据估计，在二氯甲烷的世界产量中，大约80%被释放到大气中去，但是由于该化合物光解的速率很快，使之不可能在大气中蓄积。其初始降解产物为光气和一氧化碳，进而再转变成二氧化碳和盐酸。当二氯甲烷存在于地表水中时，其大部分将蒸发。有氧存在时，则易于生物降解，因而生物蓄积似乎不大可能。毒性：经口属中等毒性。急性毒性：LD501600～2000mg/kg(大鼠经口)；LC5056.2g/m</w:t>
                  </w:r>
                  <w:r>
                    <w:rPr>
                      <w:rFonts w:hint="eastAsia" w:cs="Times New Roman" w:eastAsiaTheme="minorEastAsia"/>
                      <w:bCs/>
                      <w:color w:val="auto"/>
                      <w:sz w:val="21"/>
                      <w:szCs w:val="21"/>
                      <w:highlight w:val="none"/>
                      <w:vertAlign w:val="superscript"/>
                      <w:lang w:val="en-US" w:eastAsia="zh-CN"/>
                    </w:rPr>
                    <w:t>3</w:t>
                  </w:r>
                  <w:r>
                    <w:rPr>
                      <w:rFonts w:hint="eastAsia" w:cs="Times New Roman" w:eastAsiaTheme="minorEastAsia"/>
                      <w:bCs/>
                      <w:color w:val="auto"/>
                      <w:sz w:val="21"/>
                      <w:szCs w:val="21"/>
                      <w:highlight w:val="none"/>
                      <w:lang w:val="en-US" w:eastAsia="zh-CN"/>
                    </w:rPr>
                    <w:t>，8小时(小鼠吸入)；小鼠吸入67.4g/m</w:t>
                  </w:r>
                  <w:r>
                    <w:rPr>
                      <w:rFonts w:hint="eastAsia" w:cs="Times New Roman" w:eastAsiaTheme="minorEastAsia"/>
                      <w:bCs/>
                      <w:color w:val="auto"/>
                      <w:sz w:val="21"/>
                      <w:szCs w:val="21"/>
                      <w:highlight w:val="none"/>
                      <w:vertAlign w:val="superscript"/>
                      <w:lang w:val="en-US" w:eastAsia="zh-CN"/>
                    </w:rPr>
                    <w:t>3</w:t>
                  </w:r>
                  <w:r>
                    <w:rPr>
                      <w:rFonts w:hint="eastAsia" w:cs="Times New Roman" w:eastAsiaTheme="minorEastAsia"/>
                      <w:bCs/>
                      <w:color w:val="auto"/>
                      <w:sz w:val="21"/>
                      <w:szCs w:val="21"/>
                      <w:highlight w:val="none"/>
                      <w:lang w:val="en-US" w:eastAsia="zh-CN"/>
                    </w:rPr>
                    <w:t>×67分钟，致死；人经口20～50ml，轻度中毒；人经口100～150ml，致死；人吸入2.9～4.0g/m3，20分钟后眩晕。亚急性和慢性毒性：大鼠吸入4.69g/m</w:t>
                  </w:r>
                  <w:r>
                    <w:rPr>
                      <w:rFonts w:hint="eastAsia" w:cs="Times New Roman" w:eastAsiaTheme="minorEastAsia"/>
                      <w:bCs/>
                      <w:color w:val="auto"/>
                      <w:sz w:val="21"/>
                      <w:szCs w:val="21"/>
                      <w:highlight w:val="none"/>
                      <w:vertAlign w:val="superscript"/>
                      <w:lang w:val="en-US" w:eastAsia="zh-CN"/>
                    </w:rPr>
                    <w:t>3</w:t>
                  </w:r>
                  <w:r>
                    <w:rPr>
                      <w:rFonts w:hint="eastAsia" w:cs="Times New Roman" w:eastAsiaTheme="minorEastAsia"/>
                      <w:bCs/>
                      <w:color w:val="auto"/>
                      <w:sz w:val="21"/>
                      <w:szCs w:val="21"/>
                      <w:highlight w:val="none"/>
                      <w:lang w:val="en-US" w:eastAsia="zh-CN"/>
                    </w:rPr>
                    <w:t>,8小时/天，75天，无病理改变。暴露时间增加，有轻度肝萎缩、脂肪变性和细胞浸润。生殖毒性：大鼠吸入最低中毒浓度(TCL0)1250ppm(7小时，孕6～15天)，引起肌肉骨骼发育异常，泌尿生殖系统发育异常。致癌性：IARC致癌性评论：动物阳性，人类不明确。危险特性：遇明火高热可燃。受热分解能发出剧毒的光气。若遇高热，容器内压增大，有开裂和爆炸的危险。燃烧(分解)产物：一氧化碳、二氧化碳、氯化氢、光气。</w:t>
                  </w:r>
                </w:p>
              </w:tc>
            </w:tr>
            <w:tr w14:paraId="542583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385" w:type="pct"/>
                  <w:tcBorders>
                    <w:tl2br w:val="nil"/>
                    <w:tr2bl w:val="nil"/>
                  </w:tcBorders>
                  <w:noWrap w:val="0"/>
                  <w:vAlign w:val="center"/>
                </w:tcPr>
                <w:p w14:paraId="4AD2B98D">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12</w:t>
                  </w:r>
                </w:p>
              </w:tc>
              <w:tc>
                <w:tcPr>
                  <w:tcW w:w="447" w:type="pct"/>
                  <w:tcBorders>
                    <w:tl2br w:val="nil"/>
                    <w:tr2bl w:val="nil"/>
                  </w:tcBorders>
                  <w:noWrap w:val="0"/>
                  <w:vAlign w:val="center"/>
                </w:tcPr>
                <w:p w14:paraId="3D9C6CFF">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三氯甲烷</w:t>
                  </w:r>
                </w:p>
              </w:tc>
              <w:tc>
                <w:tcPr>
                  <w:tcW w:w="4166" w:type="pct"/>
                  <w:tcBorders>
                    <w:tl2br w:val="nil"/>
                    <w:tr2bl w:val="nil"/>
                  </w:tcBorders>
                  <w:noWrap w:val="0"/>
                  <w:vAlign w:val="center"/>
                </w:tcPr>
                <w:p w14:paraId="08F80409">
                  <w:pPr>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无色透明重质液体，极易挥发，有特殊气味</w:t>
                  </w:r>
                  <w:r>
                    <w:rPr>
                      <w:rFonts w:hint="eastAsia" w:cs="Times New Roman" w:eastAsiaTheme="minorEastAsia"/>
                      <w:bCs/>
                      <w:color w:val="auto"/>
                      <w:sz w:val="21"/>
                      <w:szCs w:val="21"/>
                      <w:highlight w:val="none"/>
                      <w:lang w:val="en-US" w:eastAsia="zh-CN"/>
                    </w:rPr>
                    <w:t>。不溶于水，溶于醇、醚、苯。分子量119.39，熔点-63.5℃，沸点,61.2℃，相对密度(水=1)1.50，蒸汽压20℃，在贮存时，如果露置在日光、氧气或湿空气中，特别是和。侵入途径：吸入、食入、经皮吸收。健康危害：主要作用于中枢神经系统，具有麻醉作用，对心、肝、肾有损害。吸入或经皮肤吸收引起急性中毒，初期有头痛、头晕、恶心、呕吐、兴奋、皮肤粘膜有刺激症状，以后呈现精神紊乱、呼吸表浅、反向消失、昏迷等，重者发生呼吸麻痹、心室纤维性颤动、并可有肝、肾损害。误服中毒时，胃有烧灼感、伴恶心、呕吐、腹痛、腹泻以后出现麻醉症状。慢性中毒：主要引起肝脏损害，此外还有消化不良、乏力、头痛、失眠等症状，少数有肾损害。毒性：属中等毒性。危险特性：与明火或灼热的物体接触时能产生剧毒的光气。在空气、水分和光的作用下，酸度增加，因而对金属有强烈的腐蚀性。燃烧(分解)产物：氯化氢、光气。</w:t>
                  </w:r>
                </w:p>
              </w:tc>
            </w:tr>
            <w:tr w14:paraId="78E4C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385" w:type="pct"/>
                  <w:tcBorders>
                    <w:tl2br w:val="nil"/>
                    <w:tr2bl w:val="nil"/>
                  </w:tcBorders>
                  <w:noWrap w:val="0"/>
                  <w:vAlign w:val="center"/>
                </w:tcPr>
                <w:p w14:paraId="2E666B61">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13</w:t>
                  </w:r>
                </w:p>
              </w:tc>
              <w:tc>
                <w:tcPr>
                  <w:tcW w:w="447" w:type="pct"/>
                  <w:tcBorders>
                    <w:tl2br w:val="nil"/>
                    <w:tr2bl w:val="nil"/>
                  </w:tcBorders>
                  <w:noWrap w:val="0"/>
                  <w:vAlign w:val="center"/>
                </w:tcPr>
                <w:p w14:paraId="63491A9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乙炔</w:t>
                  </w:r>
                </w:p>
              </w:tc>
              <w:tc>
                <w:tcPr>
                  <w:tcW w:w="4166" w:type="pct"/>
                  <w:tcBorders>
                    <w:tl2br w:val="nil"/>
                    <w:tr2bl w:val="nil"/>
                  </w:tcBorders>
                  <w:noWrap w:val="0"/>
                  <w:vAlign w:val="center"/>
                </w:tcPr>
                <w:p w14:paraId="6597D013">
                  <w:pPr>
                    <w:adjustRightInd w:val="0"/>
                    <w:snapToGrid w:val="0"/>
                    <w:jc w:val="left"/>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无色无味的易燃气体。电石制的乙炔因混有硫化氢H</w:t>
                  </w:r>
                  <w:r>
                    <w:rPr>
                      <w:rFonts w:hint="default" w:ascii="Times New Roman" w:hAnsi="Times New Roman" w:cs="Times New Roman" w:eastAsiaTheme="minorEastAsia"/>
                      <w:bCs/>
                      <w:color w:val="auto"/>
                      <w:sz w:val="21"/>
                      <w:szCs w:val="21"/>
                      <w:highlight w:val="none"/>
                      <w:vertAlign w:val="subscript"/>
                    </w:rPr>
                    <w:t>2</w:t>
                  </w:r>
                  <w:r>
                    <w:rPr>
                      <w:rFonts w:hint="default" w:ascii="Times New Roman" w:hAnsi="Times New Roman" w:cs="Times New Roman" w:eastAsiaTheme="minorEastAsia"/>
                      <w:bCs/>
                      <w:color w:val="auto"/>
                      <w:sz w:val="21"/>
                      <w:szCs w:val="21"/>
                      <w:highlight w:val="none"/>
                    </w:rPr>
                    <w:t>S、磷化氢PH</w:t>
                  </w:r>
                  <w:r>
                    <w:rPr>
                      <w:rFonts w:hint="default" w:ascii="Times New Roman" w:hAnsi="Times New Roman" w:cs="Times New Roman" w:eastAsiaTheme="minorEastAsia"/>
                      <w:bCs/>
                      <w:color w:val="auto"/>
                      <w:sz w:val="21"/>
                      <w:szCs w:val="21"/>
                      <w:highlight w:val="none"/>
                      <w:vertAlign w:val="subscript"/>
                    </w:rPr>
                    <w:t>3</w:t>
                  </w:r>
                  <w:r>
                    <w:rPr>
                      <w:rFonts w:hint="default" w:ascii="Times New Roman" w:hAnsi="Times New Roman" w:cs="Times New Roman" w:eastAsiaTheme="minorEastAsia"/>
                      <w:bCs/>
                      <w:color w:val="auto"/>
                      <w:sz w:val="21"/>
                      <w:szCs w:val="21"/>
                      <w:highlight w:val="none"/>
                    </w:rPr>
                    <w:t>、砷化氢而有毒，并且带有特殊的臭味。熔点-81.8°C（198K，升华），沸点-84°C，相对密度0.6208（-82/4℃），闪点（开杯）-17.78℃，自燃点305℃。在空气中爆炸极限2.3%-72.3%（vol）。</w:t>
                  </w:r>
                  <w:r>
                    <w:rPr>
                      <w:bCs/>
                      <w:color w:val="auto"/>
                      <w:szCs w:val="21"/>
                      <w:highlight w:val="none"/>
                    </w:rPr>
                    <w:t>易燃，自燃点305℃。在空气中爆炸极限2.3%-72.3%（vol）。</w:t>
                  </w:r>
                  <w:r>
                    <w:rPr>
                      <w:rFonts w:hint="eastAsia"/>
                      <w:bCs/>
                      <w:color w:val="auto"/>
                      <w:szCs w:val="21"/>
                      <w:highlight w:val="none"/>
                      <w:lang w:val="en-US" w:eastAsia="zh-CN"/>
                    </w:rPr>
                    <w:t>急性毒性：乙炔急性毒性主要是因为高浓度时置换了空气中的氧，引起单纯性窒息作用，缺氧是主要致死原因。纯乙炔属微毒类，具有弱麻醉和阻止细胞氧化的作用。高浓度时排挤空气中的氧，引起单纯性窒息作用。乙炔中常混有磷化氢、硫化氢等气体，故常伴有此类毒物的毒作用。人接触100 mg/m</w:t>
                  </w:r>
                  <w:r>
                    <w:rPr>
                      <w:rFonts w:hint="eastAsia"/>
                      <w:bCs/>
                      <w:color w:val="auto"/>
                      <w:szCs w:val="21"/>
                      <w:highlight w:val="none"/>
                      <w:vertAlign w:val="superscript"/>
                      <w:lang w:val="en-US" w:eastAsia="zh-CN"/>
                    </w:rPr>
                    <w:t>3</w:t>
                  </w:r>
                  <w:r>
                    <w:rPr>
                      <w:rFonts w:hint="eastAsia"/>
                      <w:bCs/>
                      <w:color w:val="auto"/>
                      <w:szCs w:val="21"/>
                      <w:highlight w:val="none"/>
                      <w:lang w:val="en-US" w:eastAsia="zh-CN"/>
                    </w:rPr>
                    <w:t>能耐受30～60 min，20%引起明显缺氧，30%时共济失调，35%下5 min引起意识丧失，含10%乙炔的空气中5h，有轻度中毒反应。</w:t>
                  </w:r>
                </w:p>
              </w:tc>
            </w:tr>
          </w:tbl>
          <w:p w14:paraId="4BD9B83C">
            <w:pPr>
              <w:pStyle w:val="7"/>
              <w:keepNext w:val="0"/>
              <w:keepLines w:val="0"/>
              <w:pageBreakBefore w:val="0"/>
              <w:widowControl w:val="0"/>
              <w:kinsoku/>
              <w:wordWrap/>
              <w:overflowPunct/>
              <w:topLinePunct w:val="0"/>
              <w:autoSpaceDE/>
              <w:autoSpaceDN/>
              <w:bidi w:val="0"/>
              <w:adjustRightInd/>
              <w:snapToGrid/>
              <w:spacing w:before="157" w:beforeLines="50"/>
              <w:ind w:firstLine="482"/>
              <w:textAlignment w:val="auto"/>
              <w:rPr>
                <w:b/>
                <w:bCs/>
                <w:color w:val="auto"/>
                <w:szCs w:val="24"/>
                <w:highlight w:val="none"/>
              </w:rPr>
            </w:pPr>
            <w:r>
              <w:rPr>
                <w:rFonts w:hint="eastAsia"/>
                <w:b/>
                <w:bCs/>
                <w:color w:val="auto"/>
                <w:szCs w:val="24"/>
                <w:highlight w:val="none"/>
                <w:lang w:val="en-US" w:eastAsia="zh-CN"/>
              </w:rPr>
              <w:t>6</w:t>
            </w:r>
            <w:r>
              <w:rPr>
                <w:b/>
                <w:bCs/>
                <w:color w:val="auto"/>
                <w:szCs w:val="24"/>
                <w:highlight w:val="none"/>
              </w:rPr>
              <w:t>.主要生产设备</w:t>
            </w:r>
          </w:p>
          <w:p w14:paraId="18B12DCF">
            <w:pPr>
              <w:pStyle w:val="7"/>
              <w:ind w:firstLine="480"/>
              <w:rPr>
                <w:rFonts w:hint="eastAsia" w:eastAsia="宋体"/>
                <w:color w:val="auto"/>
                <w:szCs w:val="24"/>
                <w:highlight w:val="none"/>
                <w:lang w:eastAsia="zh-CN"/>
              </w:rPr>
            </w:pPr>
            <w:r>
              <w:rPr>
                <w:rFonts w:hint="eastAsia"/>
                <w:color w:val="auto"/>
                <w:szCs w:val="24"/>
                <w:highlight w:val="none"/>
              </w:rPr>
              <w:t>根据建设单位提供的资料，本项目主要工艺设备见表</w:t>
            </w:r>
            <w:r>
              <w:rPr>
                <w:rFonts w:hint="eastAsia"/>
                <w:color w:val="auto"/>
                <w:szCs w:val="24"/>
                <w:highlight w:val="none"/>
                <w:lang w:val="en-US" w:eastAsia="zh-CN"/>
              </w:rPr>
              <w:t>2-4</w:t>
            </w:r>
            <w:r>
              <w:rPr>
                <w:rFonts w:hint="eastAsia"/>
                <w:color w:val="auto"/>
                <w:szCs w:val="24"/>
                <w:highlight w:val="none"/>
                <w:lang w:eastAsia="zh-CN"/>
              </w:rPr>
              <w:t>。</w:t>
            </w:r>
          </w:p>
          <w:p w14:paraId="0645259B">
            <w:pPr>
              <w:adjustRightInd w:val="0"/>
              <w:snapToGrid w:val="0"/>
              <w:jc w:val="center"/>
              <w:rPr>
                <w:b/>
                <w:color w:val="auto"/>
                <w:szCs w:val="21"/>
                <w:highlight w:val="none"/>
              </w:rPr>
            </w:pPr>
            <w:r>
              <w:rPr>
                <w:b/>
                <w:color w:val="auto"/>
                <w:szCs w:val="21"/>
                <w:highlight w:val="none"/>
              </w:rPr>
              <w:t>表2-</w:t>
            </w:r>
            <w:r>
              <w:rPr>
                <w:rFonts w:hint="eastAsia"/>
                <w:b/>
                <w:color w:val="auto"/>
                <w:szCs w:val="21"/>
                <w:highlight w:val="none"/>
                <w:lang w:val="en-US" w:eastAsia="zh-CN"/>
              </w:rPr>
              <w:t>4</w:t>
            </w:r>
            <w:r>
              <w:rPr>
                <w:b/>
                <w:color w:val="auto"/>
                <w:szCs w:val="21"/>
                <w:highlight w:val="none"/>
              </w:rPr>
              <w:t xml:space="preserve">  主要设备一览表</w:t>
            </w:r>
          </w:p>
          <w:tbl>
            <w:tblPr>
              <w:tblStyle w:val="27"/>
              <w:tblW w:w="495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994"/>
              <w:gridCol w:w="1331"/>
              <w:gridCol w:w="1036"/>
              <w:gridCol w:w="1036"/>
              <w:gridCol w:w="1312"/>
              <w:gridCol w:w="797"/>
            </w:tblGrid>
            <w:tr w14:paraId="3477D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0B53F8A">
                  <w:pPr>
                    <w:jc w:val="center"/>
                    <w:rPr>
                      <w:rFonts w:hint="default" w:ascii="Times New Roman" w:hAnsi="Times New Roman" w:cs="Times New Roman" w:eastAsiaTheme="minorEastAsia"/>
                      <w:b/>
                      <w:color w:val="auto"/>
                      <w:sz w:val="21"/>
                      <w:szCs w:val="21"/>
                      <w:highlight w:val="none"/>
                    </w:rPr>
                  </w:pPr>
                  <w:bookmarkStart w:id="4" w:name="_Hlk46860303"/>
                  <w:r>
                    <w:rPr>
                      <w:rFonts w:hint="default" w:ascii="Times New Roman" w:hAnsi="Times New Roman" w:cs="Times New Roman" w:eastAsiaTheme="minorEastAsia"/>
                      <w:b/>
                      <w:color w:val="auto"/>
                      <w:sz w:val="21"/>
                      <w:szCs w:val="21"/>
                      <w:highlight w:val="none"/>
                    </w:rPr>
                    <w:t>序号</w:t>
                  </w:r>
                </w:p>
              </w:tc>
              <w:tc>
                <w:tcPr>
                  <w:tcW w:w="1238" w:type="pct"/>
                  <w:tcBorders>
                    <w:tl2br w:val="nil"/>
                    <w:tr2bl w:val="nil"/>
                  </w:tcBorders>
                  <w:noWrap w:val="0"/>
                  <w:vAlign w:val="center"/>
                </w:tcPr>
                <w:p w14:paraId="32E15484">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设备名称</w:t>
                  </w:r>
                </w:p>
              </w:tc>
              <w:tc>
                <w:tcPr>
                  <w:tcW w:w="827" w:type="pct"/>
                  <w:tcBorders>
                    <w:tl2br w:val="nil"/>
                    <w:tr2bl w:val="nil"/>
                  </w:tcBorders>
                  <w:noWrap w:val="0"/>
                  <w:vAlign w:val="center"/>
                </w:tcPr>
                <w:p w14:paraId="6924625A">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型号/规格</w:t>
                  </w:r>
                </w:p>
              </w:tc>
              <w:tc>
                <w:tcPr>
                  <w:tcW w:w="643" w:type="pct"/>
                  <w:tcBorders>
                    <w:tl2br w:val="nil"/>
                    <w:tr2bl w:val="nil"/>
                  </w:tcBorders>
                  <w:noWrap w:val="0"/>
                  <w:vAlign w:val="center"/>
                </w:tcPr>
                <w:p w14:paraId="43D3411E">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原有量</w:t>
                  </w:r>
                  <w:r>
                    <w:rPr>
                      <w:rFonts w:hint="default" w:ascii="Times New Roman" w:hAnsi="Times New Roman" w:cs="Times New Roman" w:eastAsiaTheme="minorEastAsia"/>
                      <w:b/>
                      <w:color w:val="auto"/>
                      <w:sz w:val="21"/>
                      <w:szCs w:val="21"/>
                      <w:highlight w:val="none"/>
                    </w:rPr>
                    <w:t>（台/套）</w:t>
                  </w:r>
                </w:p>
              </w:tc>
              <w:tc>
                <w:tcPr>
                  <w:tcW w:w="643" w:type="pct"/>
                  <w:tcBorders>
                    <w:tl2br w:val="nil"/>
                    <w:tr2bl w:val="nil"/>
                  </w:tcBorders>
                  <w:noWrap w:val="0"/>
                  <w:vAlign w:val="center"/>
                </w:tcPr>
                <w:p w14:paraId="4781B481">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lang w:val="en-US" w:eastAsia="zh-CN"/>
                    </w:rPr>
                    <w:t>新增</w:t>
                  </w:r>
                  <w:r>
                    <w:rPr>
                      <w:rFonts w:hint="default" w:ascii="Times New Roman" w:hAnsi="Times New Roman" w:cs="Times New Roman" w:eastAsiaTheme="minorEastAsia"/>
                      <w:b/>
                      <w:color w:val="auto"/>
                      <w:sz w:val="21"/>
                      <w:szCs w:val="21"/>
                      <w:highlight w:val="none"/>
                    </w:rPr>
                    <w:t>量</w:t>
                  </w:r>
                </w:p>
                <w:p w14:paraId="71A1058C">
                  <w:pPr>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（台/套）</w:t>
                  </w:r>
                </w:p>
              </w:tc>
              <w:tc>
                <w:tcPr>
                  <w:tcW w:w="815" w:type="pct"/>
                  <w:tcBorders>
                    <w:tl2br w:val="nil"/>
                    <w:tr2bl w:val="nil"/>
                  </w:tcBorders>
                  <w:noWrap w:val="0"/>
                  <w:vAlign w:val="center"/>
                </w:tcPr>
                <w:p w14:paraId="560DEA0E">
                  <w:pPr>
                    <w:jc w:val="center"/>
                    <w:rPr>
                      <w:rFonts w:hint="default" w:ascii="Times New Roman" w:hAnsi="Times New Roman" w:cs="Times New Roman" w:eastAsiaTheme="minorEastAsia"/>
                      <w:b/>
                      <w:color w:val="auto"/>
                      <w:sz w:val="21"/>
                      <w:szCs w:val="21"/>
                      <w:highlight w:val="none"/>
                      <w:lang w:eastAsia="zh-CN"/>
                    </w:rPr>
                  </w:pPr>
                  <w:r>
                    <w:rPr>
                      <w:rFonts w:hint="default" w:ascii="Times New Roman" w:hAnsi="Times New Roman" w:cs="Times New Roman" w:eastAsiaTheme="minorEastAsia"/>
                      <w:b/>
                      <w:color w:val="auto"/>
                      <w:sz w:val="21"/>
                      <w:szCs w:val="21"/>
                      <w:highlight w:val="none"/>
                      <w:lang w:val="en-US" w:eastAsia="zh-CN"/>
                    </w:rPr>
                    <w:t>位置</w:t>
                  </w:r>
                </w:p>
              </w:tc>
              <w:tc>
                <w:tcPr>
                  <w:tcW w:w="495" w:type="pct"/>
                  <w:tcBorders>
                    <w:tl2br w:val="nil"/>
                    <w:tr2bl w:val="nil"/>
                  </w:tcBorders>
                  <w:noWrap w:val="0"/>
                  <w:vAlign w:val="center"/>
                </w:tcPr>
                <w:p w14:paraId="12277376">
                  <w:pPr>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备注</w:t>
                  </w:r>
                </w:p>
              </w:tc>
            </w:tr>
            <w:tr w14:paraId="5E759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0EE7FBFA">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1238" w:type="pct"/>
                  <w:tcBorders>
                    <w:tl2br w:val="nil"/>
                    <w:tr2bl w:val="nil"/>
                  </w:tcBorders>
                  <w:noWrap w:val="0"/>
                  <w:vAlign w:val="center"/>
                </w:tcPr>
                <w:p w14:paraId="0E8A82F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百分之一电子天平</w:t>
                  </w:r>
                </w:p>
              </w:tc>
              <w:tc>
                <w:tcPr>
                  <w:tcW w:w="827" w:type="pct"/>
                  <w:tcBorders>
                    <w:tl2br w:val="nil"/>
                    <w:tr2bl w:val="nil"/>
                  </w:tcBorders>
                  <w:noWrap w:val="0"/>
                  <w:vAlign w:val="center"/>
                </w:tcPr>
                <w:p w14:paraId="577EC05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YP-B5002</w:t>
                  </w:r>
                </w:p>
              </w:tc>
              <w:tc>
                <w:tcPr>
                  <w:tcW w:w="643" w:type="pct"/>
                  <w:tcBorders>
                    <w:tl2br w:val="nil"/>
                    <w:tr2bl w:val="nil"/>
                  </w:tcBorders>
                  <w:noWrap w:val="0"/>
                  <w:vAlign w:val="center"/>
                </w:tcPr>
                <w:p w14:paraId="6A05464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w:t>
                  </w:r>
                </w:p>
              </w:tc>
              <w:tc>
                <w:tcPr>
                  <w:tcW w:w="643" w:type="pct"/>
                  <w:tcBorders>
                    <w:tl2br w:val="nil"/>
                    <w:tr2bl w:val="nil"/>
                  </w:tcBorders>
                  <w:noWrap w:val="0"/>
                  <w:vAlign w:val="center"/>
                </w:tcPr>
                <w:p w14:paraId="396824C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815" w:type="pct"/>
                  <w:tcBorders>
                    <w:tl2br w:val="nil"/>
                    <w:tr2bl w:val="nil"/>
                  </w:tcBorders>
                  <w:noWrap w:val="0"/>
                  <w:vAlign w:val="center"/>
                </w:tcPr>
                <w:p w14:paraId="59157B8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各实验室</w:t>
                  </w:r>
                </w:p>
              </w:tc>
              <w:tc>
                <w:tcPr>
                  <w:tcW w:w="495" w:type="pct"/>
                  <w:tcBorders>
                    <w:tl2br w:val="nil"/>
                    <w:tr2bl w:val="nil"/>
                  </w:tcBorders>
                  <w:noWrap w:val="0"/>
                  <w:vAlign w:val="center"/>
                </w:tcPr>
                <w:p w14:paraId="6DF9BAD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25237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7C61CA4B">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2</w:t>
                  </w:r>
                </w:p>
              </w:tc>
              <w:tc>
                <w:tcPr>
                  <w:tcW w:w="1238" w:type="pct"/>
                  <w:tcBorders>
                    <w:tl2br w:val="nil"/>
                    <w:tr2bl w:val="nil"/>
                  </w:tcBorders>
                  <w:noWrap w:val="0"/>
                  <w:vAlign w:val="center"/>
                </w:tcPr>
                <w:p w14:paraId="2922628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pH计</w:t>
                  </w:r>
                </w:p>
              </w:tc>
              <w:tc>
                <w:tcPr>
                  <w:tcW w:w="827" w:type="pct"/>
                  <w:tcBorders>
                    <w:tl2br w:val="nil"/>
                    <w:tr2bl w:val="nil"/>
                  </w:tcBorders>
                  <w:noWrap w:val="0"/>
                  <w:vAlign w:val="center"/>
                </w:tcPr>
                <w:p w14:paraId="3FC9435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PHSJ-3F</w:t>
                  </w:r>
                </w:p>
              </w:tc>
              <w:tc>
                <w:tcPr>
                  <w:tcW w:w="643" w:type="pct"/>
                  <w:tcBorders>
                    <w:tl2br w:val="nil"/>
                    <w:tr2bl w:val="nil"/>
                  </w:tcBorders>
                  <w:noWrap w:val="0"/>
                  <w:vAlign w:val="center"/>
                </w:tcPr>
                <w:p w14:paraId="053EA9A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w:t>
                  </w:r>
                </w:p>
              </w:tc>
              <w:tc>
                <w:tcPr>
                  <w:tcW w:w="643" w:type="pct"/>
                  <w:tcBorders>
                    <w:tl2br w:val="nil"/>
                    <w:tr2bl w:val="nil"/>
                  </w:tcBorders>
                  <w:noWrap w:val="0"/>
                  <w:vAlign w:val="center"/>
                </w:tcPr>
                <w:p w14:paraId="0B56189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10</w:t>
                  </w:r>
                </w:p>
              </w:tc>
              <w:tc>
                <w:tcPr>
                  <w:tcW w:w="815" w:type="pct"/>
                  <w:tcBorders>
                    <w:tl2br w:val="nil"/>
                    <w:tr2bl w:val="nil"/>
                  </w:tcBorders>
                  <w:noWrap w:val="0"/>
                  <w:vAlign w:val="center"/>
                </w:tcPr>
                <w:p w14:paraId="524F5D8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各实验室</w:t>
                  </w:r>
                </w:p>
              </w:tc>
              <w:tc>
                <w:tcPr>
                  <w:tcW w:w="495" w:type="pct"/>
                  <w:tcBorders>
                    <w:tl2br w:val="nil"/>
                    <w:tr2bl w:val="nil"/>
                  </w:tcBorders>
                  <w:noWrap w:val="0"/>
                  <w:vAlign w:val="center"/>
                </w:tcPr>
                <w:p w14:paraId="3A70DC5C">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40D15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4805F19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3</w:t>
                  </w:r>
                </w:p>
              </w:tc>
              <w:tc>
                <w:tcPr>
                  <w:tcW w:w="1238" w:type="pct"/>
                  <w:tcBorders>
                    <w:tl2br w:val="nil"/>
                    <w:tr2bl w:val="nil"/>
                  </w:tcBorders>
                  <w:shd w:val="clear" w:color="auto" w:fill="auto"/>
                  <w:noWrap w:val="0"/>
                  <w:vAlign w:val="center"/>
                </w:tcPr>
                <w:p w14:paraId="3854B88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高纯锗γ能谱仪</w:t>
                  </w:r>
                </w:p>
              </w:tc>
              <w:tc>
                <w:tcPr>
                  <w:tcW w:w="827" w:type="pct"/>
                  <w:tcBorders>
                    <w:tl2br w:val="nil"/>
                    <w:tr2bl w:val="nil"/>
                  </w:tcBorders>
                  <w:shd w:val="clear" w:color="auto" w:fill="auto"/>
                  <w:noWrap w:val="0"/>
                  <w:vAlign w:val="center"/>
                </w:tcPr>
                <w:p w14:paraId="6F3B968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GMX-45</w:t>
                  </w:r>
                </w:p>
              </w:tc>
              <w:tc>
                <w:tcPr>
                  <w:tcW w:w="643" w:type="pct"/>
                  <w:tcBorders>
                    <w:tl2br w:val="nil"/>
                    <w:tr2bl w:val="nil"/>
                  </w:tcBorders>
                  <w:shd w:val="clear" w:color="auto" w:fill="auto"/>
                  <w:noWrap w:val="0"/>
                  <w:vAlign w:val="center"/>
                </w:tcPr>
                <w:p w14:paraId="79DEBB8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0</w:t>
                  </w:r>
                </w:p>
              </w:tc>
              <w:tc>
                <w:tcPr>
                  <w:tcW w:w="643" w:type="pct"/>
                  <w:tcBorders>
                    <w:tl2br w:val="nil"/>
                    <w:tr2bl w:val="nil"/>
                  </w:tcBorders>
                  <w:shd w:val="clear" w:color="auto" w:fill="auto"/>
                  <w:noWrap w:val="0"/>
                  <w:vAlign w:val="center"/>
                </w:tcPr>
                <w:p w14:paraId="12CBB4E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6216A89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112</w:t>
                  </w:r>
                </w:p>
              </w:tc>
              <w:tc>
                <w:tcPr>
                  <w:tcW w:w="495" w:type="pct"/>
                  <w:tcBorders>
                    <w:tl2br w:val="nil"/>
                    <w:tr2bl w:val="nil"/>
                  </w:tcBorders>
                  <w:shd w:val="clear" w:color="auto" w:fill="auto"/>
                  <w:noWrap w:val="0"/>
                  <w:vAlign w:val="center"/>
                </w:tcPr>
                <w:p w14:paraId="4DDEB3A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62F373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5EDFB7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4</w:t>
                  </w:r>
                </w:p>
              </w:tc>
              <w:tc>
                <w:tcPr>
                  <w:tcW w:w="1238" w:type="pct"/>
                  <w:tcBorders>
                    <w:tl2br w:val="nil"/>
                    <w:tr2bl w:val="nil"/>
                  </w:tcBorders>
                  <w:shd w:val="clear" w:color="auto" w:fill="auto"/>
                  <w:noWrap w:val="0"/>
                  <w:vAlign w:val="center"/>
                </w:tcPr>
                <w:p w14:paraId="70AE275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四路低本底αβ测量仪</w:t>
                  </w:r>
                </w:p>
              </w:tc>
              <w:tc>
                <w:tcPr>
                  <w:tcW w:w="827" w:type="pct"/>
                  <w:tcBorders>
                    <w:tl2br w:val="nil"/>
                    <w:tr2bl w:val="nil"/>
                  </w:tcBorders>
                  <w:shd w:val="clear" w:color="auto" w:fill="auto"/>
                  <w:noWrap w:val="0"/>
                  <w:vAlign w:val="center"/>
                </w:tcPr>
                <w:p w14:paraId="661CAA7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BH1227</w:t>
                  </w:r>
                </w:p>
              </w:tc>
              <w:tc>
                <w:tcPr>
                  <w:tcW w:w="643" w:type="pct"/>
                  <w:tcBorders>
                    <w:tl2br w:val="nil"/>
                    <w:tr2bl w:val="nil"/>
                  </w:tcBorders>
                  <w:shd w:val="clear" w:color="auto" w:fill="auto"/>
                  <w:noWrap w:val="0"/>
                  <w:vAlign w:val="center"/>
                </w:tcPr>
                <w:p w14:paraId="34071F2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0</w:t>
                  </w:r>
                </w:p>
              </w:tc>
              <w:tc>
                <w:tcPr>
                  <w:tcW w:w="643" w:type="pct"/>
                  <w:tcBorders>
                    <w:tl2br w:val="nil"/>
                    <w:tr2bl w:val="nil"/>
                  </w:tcBorders>
                  <w:shd w:val="clear" w:color="auto" w:fill="auto"/>
                  <w:noWrap w:val="0"/>
                  <w:vAlign w:val="center"/>
                </w:tcPr>
                <w:p w14:paraId="5A7EC34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58951C0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112</w:t>
                  </w:r>
                </w:p>
              </w:tc>
              <w:tc>
                <w:tcPr>
                  <w:tcW w:w="495" w:type="pct"/>
                  <w:tcBorders>
                    <w:tl2br w:val="nil"/>
                    <w:tr2bl w:val="nil"/>
                  </w:tcBorders>
                  <w:shd w:val="clear" w:color="auto" w:fill="auto"/>
                  <w:noWrap w:val="0"/>
                  <w:vAlign w:val="center"/>
                </w:tcPr>
                <w:p w14:paraId="0660E4F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2A83D1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2" w:hRule="atLeast"/>
                <w:jc w:val="center"/>
              </w:trPr>
              <w:tc>
                <w:tcPr>
                  <w:tcW w:w="336" w:type="pct"/>
                  <w:tcBorders>
                    <w:tl2br w:val="nil"/>
                    <w:tr2bl w:val="nil"/>
                  </w:tcBorders>
                  <w:shd w:val="clear" w:color="auto" w:fill="auto"/>
                  <w:noWrap w:val="0"/>
                  <w:vAlign w:val="center"/>
                </w:tcPr>
                <w:p w14:paraId="0E5EA3D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5</w:t>
                  </w:r>
                </w:p>
              </w:tc>
              <w:tc>
                <w:tcPr>
                  <w:tcW w:w="1238" w:type="pct"/>
                  <w:tcBorders>
                    <w:tl2br w:val="nil"/>
                    <w:tr2bl w:val="nil"/>
                  </w:tcBorders>
                  <w:shd w:val="clear" w:color="auto" w:fill="auto"/>
                  <w:noWrap w:val="0"/>
                  <w:vAlign w:val="center"/>
                </w:tcPr>
                <w:p w14:paraId="22AB2E3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碳硫分析仪</w:t>
                  </w:r>
                </w:p>
              </w:tc>
              <w:tc>
                <w:tcPr>
                  <w:tcW w:w="827" w:type="pct"/>
                  <w:tcBorders>
                    <w:tl2br w:val="nil"/>
                    <w:tr2bl w:val="nil"/>
                  </w:tcBorders>
                  <w:shd w:val="clear" w:color="auto" w:fill="auto"/>
                  <w:noWrap w:val="0"/>
                  <w:vAlign w:val="center"/>
                </w:tcPr>
                <w:p w14:paraId="5A83CE2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CS901K、EMIA-320V</w:t>
                  </w:r>
                </w:p>
              </w:tc>
              <w:tc>
                <w:tcPr>
                  <w:tcW w:w="643" w:type="pct"/>
                  <w:tcBorders>
                    <w:tl2br w:val="nil"/>
                    <w:tr2bl w:val="nil"/>
                  </w:tcBorders>
                  <w:shd w:val="clear" w:color="auto" w:fill="auto"/>
                  <w:noWrap w:val="0"/>
                  <w:vAlign w:val="center"/>
                </w:tcPr>
                <w:p w14:paraId="08BE79D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0</w:t>
                  </w:r>
                </w:p>
              </w:tc>
              <w:tc>
                <w:tcPr>
                  <w:tcW w:w="643" w:type="pct"/>
                  <w:tcBorders>
                    <w:tl2br w:val="nil"/>
                    <w:tr2bl w:val="nil"/>
                  </w:tcBorders>
                  <w:shd w:val="clear" w:color="auto" w:fill="auto"/>
                  <w:noWrap w:val="0"/>
                  <w:vAlign w:val="center"/>
                </w:tcPr>
                <w:p w14:paraId="2A43450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2</w:t>
                  </w:r>
                </w:p>
              </w:tc>
              <w:tc>
                <w:tcPr>
                  <w:tcW w:w="815" w:type="pct"/>
                  <w:tcBorders>
                    <w:tl2br w:val="nil"/>
                    <w:tr2bl w:val="nil"/>
                  </w:tcBorders>
                  <w:shd w:val="clear" w:color="auto" w:fill="auto"/>
                  <w:noWrap w:val="0"/>
                  <w:vAlign w:val="center"/>
                </w:tcPr>
                <w:p w14:paraId="58BFC69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111</w:t>
                  </w:r>
                </w:p>
              </w:tc>
              <w:tc>
                <w:tcPr>
                  <w:tcW w:w="495" w:type="pct"/>
                  <w:tcBorders>
                    <w:tl2br w:val="nil"/>
                    <w:tr2bl w:val="nil"/>
                  </w:tcBorders>
                  <w:shd w:val="clear" w:color="auto" w:fill="auto"/>
                  <w:noWrap w:val="0"/>
                  <w:vAlign w:val="center"/>
                </w:tcPr>
                <w:p w14:paraId="1F3B117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2072A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0E4E9F4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6</w:t>
                  </w:r>
                </w:p>
              </w:tc>
              <w:tc>
                <w:tcPr>
                  <w:tcW w:w="1238" w:type="pct"/>
                  <w:tcBorders>
                    <w:tl2br w:val="nil"/>
                    <w:tr2bl w:val="nil"/>
                  </w:tcBorders>
                  <w:noWrap w:val="0"/>
                  <w:vAlign w:val="center"/>
                </w:tcPr>
                <w:p w14:paraId="19E3423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低本底液体闪烁测量仪</w:t>
                  </w:r>
                </w:p>
              </w:tc>
              <w:tc>
                <w:tcPr>
                  <w:tcW w:w="827" w:type="pct"/>
                  <w:tcBorders>
                    <w:tl2br w:val="nil"/>
                    <w:tr2bl w:val="nil"/>
                  </w:tcBorders>
                  <w:noWrap w:val="0"/>
                  <w:vAlign w:val="center"/>
                </w:tcPr>
                <w:p w14:paraId="6AE3FB3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CSC-CB7</w:t>
                  </w:r>
                </w:p>
              </w:tc>
              <w:tc>
                <w:tcPr>
                  <w:tcW w:w="643" w:type="pct"/>
                  <w:tcBorders>
                    <w:tl2br w:val="nil"/>
                    <w:tr2bl w:val="nil"/>
                  </w:tcBorders>
                  <w:noWrap w:val="0"/>
                  <w:vAlign w:val="center"/>
                </w:tcPr>
                <w:p w14:paraId="3437A19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5E96C1D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004FD3AE">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110</w:t>
                  </w:r>
                </w:p>
              </w:tc>
              <w:tc>
                <w:tcPr>
                  <w:tcW w:w="795" w:type="dxa"/>
                  <w:tcBorders>
                    <w:tl2br w:val="nil"/>
                    <w:tr2bl w:val="nil"/>
                  </w:tcBorders>
                  <w:noWrap w:val="0"/>
                  <w:vAlign w:val="center"/>
                </w:tcPr>
                <w:p w14:paraId="75217D1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4689B1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46B37D7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7</w:t>
                  </w:r>
                </w:p>
              </w:tc>
              <w:tc>
                <w:tcPr>
                  <w:tcW w:w="1238" w:type="pct"/>
                  <w:tcBorders>
                    <w:tl2br w:val="nil"/>
                    <w:tr2bl w:val="nil"/>
                  </w:tcBorders>
                  <w:noWrap w:val="0"/>
                  <w:vAlign w:val="center"/>
                </w:tcPr>
                <w:p w14:paraId="566E8E0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孔隙度分析仪</w:t>
                  </w:r>
                </w:p>
              </w:tc>
              <w:tc>
                <w:tcPr>
                  <w:tcW w:w="827" w:type="pct"/>
                  <w:tcBorders>
                    <w:tl2br w:val="nil"/>
                    <w:tr2bl w:val="nil"/>
                  </w:tcBorders>
                  <w:noWrap w:val="0"/>
                  <w:vAlign w:val="center"/>
                </w:tcPr>
                <w:p w14:paraId="6AF2820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KX23A</w:t>
                  </w:r>
                </w:p>
              </w:tc>
              <w:tc>
                <w:tcPr>
                  <w:tcW w:w="643" w:type="pct"/>
                  <w:tcBorders>
                    <w:tl2br w:val="nil"/>
                    <w:tr2bl w:val="nil"/>
                  </w:tcBorders>
                  <w:noWrap w:val="0"/>
                  <w:vAlign w:val="center"/>
                </w:tcPr>
                <w:p w14:paraId="2EFE5BE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6CF6EDE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48DDDD8A">
                  <w:pPr>
                    <w:jc w:val="center"/>
                    <w:rPr>
                      <w:rFonts w:hint="default" w:ascii="Times New Roman" w:hAnsi="Times New Roman" w:cs="Times New Roman" w:eastAsiaTheme="minorEastAsia"/>
                      <w:bCs/>
                      <w:color w:val="auto"/>
                      <w:sz w:val="21"/>
                      <w:szCs w:val="21"/>
                      <w:highlight w:val="none"/>
                      <w:lang w:val="en-US"/>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105</w:t>
                  </w:r>
                </w:p>
              </w:tc>
              <w:tc>
                <w:tcPr>
                  <w:tcW w:w="795" w:type="dxa"/>
                  <w:tcBorders>
                    <w:tl2br w:val="nil"/>
                    <w:tr2bl w:val="nil"/>
                  </w:tcBorders>
                  <w:noWrap w:val="0"/>
                  <w:vAlign w:val="center"/>
                </w:tcPr>
                <w:p w14:paraId="1B44D1E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70936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492BAC9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8</w:t>
                  </w:r>
                </w:p>
              </w:tc>
              <w:tc>
                <w:tcPr>
                  <w:tcW w:w="1238" w:type="pct"/>
                  <w:tcBorders>
                    <w:tl2br w:val="nil"/>
                    <w:tr2bl w:val="nil"/>
                  </w:tcBorders>
                  <w:noWrap w:val="0"/>
                  <w:vAlign w:val="center"/>
                </w:tcPr>
                <w:p w14:paraId="24063D3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渗透率分析仪</w:t>
                  </w:r>
                </w:p>
              </w:tc>
              <w:tc>
                <w:tcPr>
                  <w:tcW w:w="827" w:type="pct"/>
                  <w:tcBorders>
                    <w:tl2br w:val="nil"/>
                    <w:tr2bl w:val="nil"/>
                  </w:tcBorders>
                  <w:noWrap w:val="0"/>
                  <w:vAlign w:val="center"/>
                </w:tcPr>
                <w:p w14:paraId="39B1A78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DX07G</w:t>
                  </w:r>
                </w:p>
              </w:tc>
              <w:tc>
                <w:tcPr>
                  <w:tcW w:w="643" w:type="pct"/>
                  <w:tcBorders>
                    <w:tl2br w:val="nil"/>
                    <w:tr2bl w:val="nil"/>
                  </w:tcBorders>
                  <w:noWrap w:val="0"/>
                  <w:vAlign w:val="center"/>
                </w:tcPr>
                <w:p w14:paraId="3E375E9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4599C00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41DD8D5D">
                  <w:pPr>
                    <w:jc w:val="center"/>
                    <w:rPr>
                      <w:rFonts w:hint="default" w:ascii="Times New Roman" w:hAnsi="Times New Roman" w:cs="Times New Roman" w:eastAsiaTheme="minorEastAsia"/>
                      <w:bCs/>
                      <w:color w:val="auto"/>
                      <w:sz w:val="21"/>
                      <w:szCs w:val="21"/>
                      <w:highlight w:val="none"/>
                      <w:lang w:val="en-US"/>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105</w:t>
                  </w:r>
                </w:p>
              </w:tc>
              <w:tc>
                <w:tcPr>
                  <w:tcW w:w="795" w:type="dxa"/>
                  <w:tcBorders>
                    <w:tl2br w:val="nil"/>
                    <w:tr2bl w:val="nil"/>
                  </w:tcBorders>
                  <w:noWrap w:val="0"/>
                  <w:vAlign w:val="center"/>
                </w:tcPr>
                <w:p w14:paraId="760306E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15583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4CD8103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9</w:t>
                  </w:r>
                </w:p>
              </w:tc>
              <w:tc>
                <w:tcPr>
                  <w:tcW w:w="1238" w:type="pct"/>
                  <w:tcBorders>
                    <w:tl2br w:val="nil"/>
                    <w:tr2bl w:val="nil"/>
                  </w:tcBorders>
                  <w:shd w:val="clear" w:color="auto" w:fill="auto"/>
                  <w:noWrap w:val="0"/>
                  <w:vAlign w:val="center"/>
                </w:tcPr>
                <w:p w14:paraId="07FD6A5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全自动镭氡分析仪</w:t>
                  </w:r>
                </w:p>
              </w:tc>
              <w:tc>
                <w:tcPr>
                  <w:tcW w:w="827" w:type="pct"/>
                  <w:tcBorders>
                    <w:tl2br w:val="nil"/>
                    <w:tr2bl w:val="nil"/>
                  </w:tcBorders>
                  <w:shd w:val="clear" w:color="auto" w:fill="auto"/>
                  <w:noWrap w:val="0"/>
                  <w:vAlign w:val="center"/>
                </w:tcPr>
                <w:p w14:paraId="145F9EB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HD-2012</w:t>
                  </w:r>
                </w:p>
              </w:tc>
              <w:tc>
                <w:tcPr>
                  <w:tcW w:w="643" w:type="pct"/>
                  <w:tcBorders>
                    <w:tl2br w:val="nil"/>
                    <w:tr2bl w:val="nil"/>
                  </w:tcBorders>
                  <w:shd w:val="clear" w:color="auto" w:fill="auto"/>
                  <w:noWrap w:val="0"/>
                  <w:vAlign w:val="center"/>
                </w:tcPr>
                <w:p w14:paraId="36C0755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0</w:t>
                  </w:r>
                </w:p>
              </w:tc>
              <w:tc>
                <w:tcPr>
                  <w:tcW w:w="643" w:type="pct"/>
                  <w:tcBorders>
                    <w:tl2br w:val="nil"/>
                    <w:tr2bl w:val="nil"/>
                  </w:tcBorders>
                  <w:shd w:val="clear" w:color="auto" w:fill="auto"/>
                  <w:noWrap w:val="0"/>
                  <w:vAlign w:val="center"/>
                </w:tcPr>
                <w:p w14:paraId="0852322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shd w:val="clear" w:color="auto" w:fill="auto"/>
                  <w:noWrap w:val="0"/>
                  <w:vAlign w:val="center"/>
                </w:tcPr>
                <w:p w14:paraId="608CC58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212</w:t>
                  </w:r>
                </w:p>
              </w:tc>
              <w:tc>
                <w:tcPr>
                  <w:tcW w:w="495" w:type="pct"/>
                  <w:tcBorders>
                    <w:tl2br w:val="nil"/>
                    <w:tr2bl w:val="nil"/>
                  </w:tcBorders>
                  <w:shd w:val="clear" w:color="auto" w:fill="auto"/>
                  <w:noWrap w:val="0"/>
                  <w:vAlign w:val="center"/>
                </w:tcPr>
                <w:p w14:paraId="25D767E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7151B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shd w:val="clear" w:color="auto" w:fill="auto"/>
                  <w:noWrap w:val="0"/>
                  <w:vAlign w:val="center"/>
                </w:tcPr>
                <w:p w14:paraId="5955FC6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w:t>
                  </w:r>
                </w:p>
              </w:tc>
              <w:tc>
                <w:tcPr>
                  <w:tcW w:w="1238" w:type="pct"/>
                  <w:tcBorders>
                    <w:tl2br w:val="nil"/>
                    <w:tr2bl w:val="nil"/>
                  </w:tcBorders>
                  <w:shd w:val="clear" w:color="auto" w:fill="auto"/>
                  <w:noWrap w:val="0"/>
                  <w:vAlign w:val="center"/>
                </w:tcPr>
                <w:p w14:paraId="3CCE32B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电感耦合等离子体质谱仪</w:t>
                  </w:r>
                </w:p>
              </w:tc>
              <w:tc>
                <w:tcPr>
                  <w:tcW w:w="827" w:type="pct"/>
                  <w:tcBorders>
                    <w:tl2br w:val="nil"/>
                    <w:tr2bl w:val="nil"/>
                  </w:tcBorders>
                  <w:shd w:val="clear" w:color="auto" w:fill="auto"/>
                  <w:noWrap w:val="0"/>
                  <w:vAlign w:val="center"/>
                </w:tcPr>
                <w:p w14:paraId="60FE66C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ICPMS-2030LF</w:t>
                  </w:r>
                </w:p>
              </w:tc>
              <w:tc>
                <w:tcPr>
                  <w:tcW w:w="643" w:type="pct"/>
                  <w:tcBorders>
                    <w:tl2br w:val="nil"/>
                    <w:tr2bl w:val="nil"/>
                  </w:tcBorders>
                  <w:shd w:val="clear" w:color="auto" w:fill="auto"/>
                  <w:noWrap w:val="0"/>
                  <w:vAlign w:val="center"/>
                </w:tcPr>
                <w:p w14:paraId="16CEFB3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777EA6D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30E5C13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301</w:t>
                  </w:r>
                </w:p>
              </w:tc>
              <w:tc>
                <w:tcPr>
                  <w:tcW w:w="495" w:type="pct"/>
                  <w:tcBorders>
                    <w:tl2br w:val="nil"/>
                    <w:tr2bl w:val="nil"/>
                  </w:tcBorders>
                  <w:shd w:val="clear" w:color="auto" w:fill="auto"/>
                  <w:noWrap w:val="0"/>
                  <w:vAlign w:val="center"/>
                </w:tcPr>
                <w:p w14:paraId="0B7E015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40F8C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1D0FC30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11</w:t>
                  </w:r>
                </w:p>
              </w:tc>
              <w:tc>
                <w:tcPr>
                  <w:tcW w:w="1238" w:type="pct"/>
                  <w:tcBorders>
                    <w:tl2br w:val="nil"/>
                    <w:tr2bl w:val="nil"/>
                  </w:tcBorders>
                  <w:shd w:val="clear" w:color="auto" w:fill="auto"/>
                  <w:noWrap w:val="0"/>
                  <w:vAlign w:val="center"/>
                </w:tcPr>
                <w:p w14:paraId="0DA00A6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电感耦合等离子体质谱仪</w:t>
                  </w:r>
                </w:p>
              </w:tc>
              <w:tc>
                <w:tcPr>
                  <w:tcW w:w="827" w:type="pct"/>
                  <w:tcBorders>
                    <w:tl2br w:val="nil"/>
                    <w:tr2bl w:val="nil"/>
                  </w:tcBorders>
                  <w:shd w:val="clear" w:color="auto" w:fill="auto"/>
                  <w:noWrap w:val="0"/>
                  <w:vAlign w:val="center"/>
                </w:tcPr>
                <w:p w14:paraId="02A7494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X Series2</w:t>
                  </w:r>
                </w:p>
              </w:tc>
              <w:tc>
                <w:tcPr>
                  <w:tcW w:w="643" w:type="pct"/>
                  <w:tcBorders>
                    <w:tl2br w:val="nil"/>
                    <w:tr2bl w:val="nil"/>
                  </w:tcBorders>
                  <w:shd w:val="clear" w:color="auto" w:fill="auto"/>
                  <w:noWrap w:val="0"/>
                  <w:vAlign w:val="center"/>
                </w:tcPr>
                <w:p w14:paraId="1A7A180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006E055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2</w:t>
                  </w:r>
                </w:p>
              </w:tc>
              <w:tc>
                <w:tcPr>
                  <w:tcW w:w="815" w:type="pct"/>
                  <w:tcBorders>
                    <w:tl2br w:val="nil"/>
                    <w:tr2bl w:val="nil"/>
                  </w:tcBorders>
                  <w:shd w:val="clear" w:color="auto" w:fill="auto"/>
                  <w:noWrap w:val="0"/>
                  <w:vAlign w:val="center"/>
                </w:tcPr>
                <w:p w14:paraId="657EF0F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301</w:t>
                  </w:r>
                </w:p>
              </w:tc>
              <w:tc>
                <w:tcPr>
                  <w:tcW w:w="495" w:type="pct"/>
                  <w:tcBorders>
                    <w:tl2br w:val="nil"/>
                    <w:tr2bl w:val="nil"/>
                  </w:tcBorders>
                  <w:shd w:val="clear" w:color="auto" w:fill="auto"/>
                  <w:noWrap w:val="0"/>
                  <w:vAlign w:val="center"/>
                </w:tcPr>
                <w:p w14:paraId="607A3E5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197A6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459FFEB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12</w:t>
                  </w:r>
                </w:p>
              </w:tc>
              <w:tc>
                <w:tcPr>
                  <w:tcW w:w="1238" w:type="pct"/>
                  <w:tcBorders>
                    <w:tl2br w:val="nil"/>
                    <w:tr2bl w:val="nil"/>
                  </w:tcBorders>
                  <w:shd w:val="clear" w:color="auto" w:fill="auto"/>
                  <w:noWrap w:val="0"/>
                  <w:vAlign w:val="center"/>
                </w:tcPr>
                <w:p w14:paraId="611CAC1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筛分设备</w:t>
                  </w:r>
                </w:p>
              </w:tc>
              <w:tc>
                <w:tcPr>
                  <w:tcW w:w="827" w:type="pct"/>
                  <w:tcBorders>
                    <w:tl2br w:val="nil"/>
                    <w:tr2bl w:val="nil"/>
                  </w:tcBorders>
                  <w:shd w:val="clear" w:color="auto" w:fill="auto"/>
                  <w:noWrap w:val="0"/>
                  <w:vAlign w:val="center"/>
                </w:tcPr>
                <w:p w14:paraId="0D51CE4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RA-ZYS200S</w:t>
                  </w:r>
                </w:p>
              </w:tc>
              <w:tc>
                <w:tcPr>
                  <w:tcW w:w="643" w:type="pct"/>
                  <w:tcBorders>
                    <w:tl2br w:val="nil"/>
                    <w:tr2bl w:val="nil"/>
                  </w:tcBorders>
                  <w:shd w:val="clear" w:color="auto" w:fill="auto"/>
                  <w:noWrap w:val="0"/>
                  <w:vAlign w:val="center"/>
                </w:tcPr>
                <w:p w14:paraId="5025E5E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2C135765">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3</w:t>
                  </w:r>
                </w:p>
              </w:tc>
              <w:tc>
                <w:tcPr>
                  <w:tcW w:w="815" w:type="pct"/>
                  <w:tcBorders>
                    <w:tl2br w:val="nil"/>
                    <w:tr2bl w:val="nil"/>
                  </w:tcBorders>
                  <w:shd w:val="clear" w:color="auto" w:fill="auto"/>
                  <w:noWrap w:val="0"/>
                  <w:vAlign w:val="center"/>
                </w:tcPr>
                <w:p w14:paraId="1DA2AED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301</w:t>
                  </w:r>
                </w:p>
              </w:tc>
              <w:tc>
                <w:tcPr>
                  <w:tcW w:w="495" w:type="pct"/>
                  <w:tcBorders>
                    <w:tl2br w:val="nil"/>
                    <w:tr2bl w:val="nil"/>
                  </w:tcBorders>
                  <w:shd w:val="clear" w:color="auto" w:fill="auto"/>
                  <w:noWrap w:val="0"/>
                  <w:vAlign w:val="center"/>
                </w:tcPr>
                <w:p w14:paraId="0C80BA0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53F719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161DCEB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13</w:t>
                  </w:r>
                </w:p>
              </w:tc>
              <w:tc>
                <w:tcPr>
                  <w:tcW w:w="1238" w:type="pct"/>
                  <w:tcBorders>
                    <w:tl2br w:val="nil"/>
                    <w:tr2bl w:val="nil"/>
                  </w:tcBorders>
                  <w:shd w:val="clear" w:color="auto" w:fill="auto"/>
                  <w:noWrap w:val="0"/>
                  <w:vAlign w:val="center"/>
                </w:tcPr>
                <w:p w14:paraId="3A301F2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等离子体发射光谱仪</w:t>
                  </w:r>
                </w:p>
              </w:tc>
              <w:tc>
                <w:tcPr>
                  <w:tcW w:w="827" w:type="pct"/>
                  <w:tcBorders>
                    <w:tl2br w:val="nil"/>
                    <w:tr2bl w:val="nil"/>
                  </w:tcBorders>
                  <w:shd w:val="clear" w:color="auto" w:fill="auto"/>
                  <w:noWrap w:val="0"/>
                  <w:vAlign w:val="center"/>
                </w:tcPr>
                <w:p w14:paraId="3CE195A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ICPS-7500</w:t>
                  </w:r>
                </w:p>
              </w:tc>
              <w:tc>
                <w:tcPr>
                  <w:tcW w:w="643" w:type="pct"/>
                  <w:tcBorders>
                    <w:tl2br w:val="nil"/>
                    <w:tr2bl w:val="nil"/>
                  </w:tcBorders>
                  <w:shd w:val="clear" w:color="auto" w:fill="auto"/>
                  <w:noWrap w:val="0"/>
                  <w:vAlign w:val="center"/>
                </w:tcPr>
                <w:p w14:paraId="052F84B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540532E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shd w:val="clear" w:color="auto" w:fill="auto"/>
                  <w:noWrap w:val="0"/>
                  <w:vAlign w:val="center"/>
                </w:tcPr>
                <w:p w14:paraId="4A3B105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308</w:t>
                  </w:r>
                </w:p>
              </w:tc>
              <w:tc>
                <w:tcPr>
                  <w:tcW w:w="495" w:type="pct"/>
                  <w:tcBorders>
                    <w:tl2br w:val="nil"/>
                    <w:tr2bl w:val="nil"/>
                  </w:tcBorders>
                  <w:shd w:val="clear" w:color="auto" w:fill="auto"/>
                  <w:noWrap w:val="0"/>
                  <w:vAlign w:val="center"/>
                </w:tcPr>
                <w:p w14:paraId="0095A6B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5A0CB9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1D9B687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14</w:t>
                  </w:r>
                </w:p>
              </w:tc>
              <w:tc>
                <w:tcPr>
                  <w:tcW w:w="1238" w:type="pct"/>
                  <w:tcBorders>
                    <w:tl2br w:val="nil"/>
                    <w:tr2bl w:val="nil"/>
                  </w:tcBorders>
                  <w:shd w:val="clear" w:color="auto" w:fill="auto"/>
                  <w:noWrap w:val="0"/>
                  <w:vAlign w:val="center"/>
                </w:tcPr>
                <w:p w14:paraId="1B70C509">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等离子体发射光谱仪</w:t>
                  </w:r>
                </w:p>
              </w:tc>
              <w:tc>
                <w:tcPr>
                  <w:tcW w:w="827" w:type="pct"/>
                  <w:tcBorders>
                    <w:tl2br w:val="nil"/>
                    <w:tr2bl w:val="nil"/>
                  </w:tcBorders>
                  <w:shd w:val="clear" w:color="auto" w:fill="auto"/>
                  <w:noWrap w:val="0"/>
                  <w:vAlign w:val="center"/>
                </w:tcPr>
                <w:p w14:paraId="7901A3E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ICPS-7510</w:t>
                  </w:r>
                </w:p>
              </w:tc>
              <w:tc>
                <w:tcPr>
                  <w:tcW w:w="643" w:type="pct"/>
                  <w:tcBorders>
                    <w:tl2br w:val="nil"/>
                    <w:tr2bl w:val="nil"/>
                  </w:tcBorders>
                  <w:shd w:val="clear" w:color="auto" w:fill="auto"/>
                  <w:noWrap w:val="0"/>
                  <w:vAlign w:val="center"/>
                </w:tcPr>
                <w:p w14:paraId="1F7228F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0E843CE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78656F4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308</w:t>
                  </w:r>
                </w:p>
              </w:tc>
              <w:tc>
                <w:tcPr>
                  <w:tcW w:w="495" w:type="pct"/>
                  <w:tcBorders>
                    <w:tl2br w:val="nil"/>
                    <w:tr2bl w:val="nil"/>
                  </w:tcBorders>
                  <w:shd w:val="clear" w:color="auto" w:fill="auto"/>
                  <w:noWrap w:val="0"/>
                  <w:vAlign w:val="center"/>
                </w:tcPr>
                <w:p w14:paraId="6B8A293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15CE1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6" w:type="pct"/>
                  <w:tcBorders>
                    <w:tl2br w:val="nil"/>
                    <w:tr2bl w:val="nil"/>
                  </w:tcBorders>
                  <w:noWrap w:val="0"/>
                  <w:vAlign w:val="center"/>
                </w:tcPr>
                <w:p w14:paraId="207046F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15</w:t>
                  </w:r>
                </w:p>
              </w:tc>
              <w:tc>
                <w:tcPr>
                  <w:tcW w:w="1238" w:type="pct"/>
                  <w:tcBorders>
                    <w:tl2br w:val="nil"/>
                    <w:tr2bl w:val="nil"/>
                  </w:tcBorders>
                  <w:shd w:val="clear" w:color="auto" w:fill="auto"/>
                  <w:noWrap w:val="0"/>
                  <w:vAlign w:val="center"/>
                </w:tcPr>
                <w:p w14:paraId="77C0410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等离子体发射光谱仪</w:t>
                  </w:r>
                </w:p>
              </w:tc>
              <w:tc>
                <w:tcPr>
                  <w:tcW w:w="827" w:type="pct"/>
                  <w:tcBorders>
                    <w:tl2br w:val="nil"/>
                    <w:tr2bl w:val="nil"/>
                  </w:tcBorders>
                  <w:shd w:val="clear" w:color="auto" w:fill="auto"/>
                  <w:noWrap w:val="0"/>
                  <w:vAlign w:val="center"/>
                </w:tcPr>
                <w:p w14:paraId="4715EEB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ICPE-9820</w:t>
                  </w:r>
                </w:p>
              </w:tc>
              <w:tc>
                <w:tcPr>
                  <w:tcW w:w="643" w:type="pct"/>
                  <w:tcBorders>
                    <w:tl2br w:val="nil"/>
                    <w:tr2bl w:val="nil"/>
                  </w:tcBorders>
                  <w:shd w:val="clear" w:color="auto" w:fill="auto"/>
                  <w:noWrap w:val="0"/>
                  <w:vAlign w:val="center"/>
                </w:tcPr>
                <w:p w14:paraId="386044F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09460920">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1C5A4C2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308</w:t>
                  </w:r>
                </w:p>
              </w:tc>
              <w:tc>
                <w:tcPr>
                  <w:tcW w:w="495" w:type="pct"/>
                  <w:tcBorders>
                    <w:tl2br w:val="nil"/>
                    <w:tr2bl w:val="nil"/>
                  </w:tcBorders>
                  <w:shd w:val="clear" w:color="auto" w:fill="auto"/>
                  <w:noWrap w:val="0"/>
                  <w:vAlign w:val="center"/>
                </w:tcPr>
                <w:p w14:paraId="5B16B3ED">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4B1ECF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915A76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16</w:t>
                  </w:r>
                </w:p>
              </w:tc>
              <w:tc>
                <w:tcPr>
                  <w:tcW w:w="1238" w:type="pct"/>
                  <w:tcBorders>
                    <w:tl2br w:val="nil"/>
                    <w:tr2bl w:val="nil"/>
                  </w:tcBorders>
                  <w:shd w:val="clear" w:color="auto" w:fill="auto"/>
                  <w:noWrap w:val="0"/>
                  <w:vAlign w:val="center"/>
                </w:tcPr>
                <w:p w14:paraId="7F352DC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等离子体发射光谱仪</w:t>
                  </w:r>
                </w:p>
              </w:tc>
              <w:tc>
                <w:tcPr>
                  <w:tcW w:w="827" w:type="pct"/>
                  <w:tcBorders>
                    <w:tl2br w:val="nil"/>
                    <w:tr2bl w:val="nil"/>
                  </w:tcBorders>
                  <w:shd w:val="clear" w:color="auto" w:fill="auto"/>
                  <w:noWrap w:val="0"/>
                  <w:vAlign w:val="center"/>
                </w:tcPr>
                <w:p w14:paraId="2B1F835A">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ICAP7400RAD</w:t>
                  </w:r>
                </w:p>
              </w:tc>
              <w:tc>
                <w:tcPr>
                  <w:tcW w:w="643" w:type="pct"/>
                  <w:tcBorders>
                    <w:tl2br w:val="nil"/>
                    <w:tr2bl w:val="nil"/>
                  </w:tcBorders>
                  <w:shd w:val="clear" w:color="auto" w:fill="auto"/>
                  <w:noWrap w:val="0"/>
                  <w:vAlign w:val="center"/>
                </w:tcPr>
                <w:p w14:paraId="07299A33">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4733719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1C4A29F1">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308</w:t>
                  </w:r>
                </w:p>
              </w:tc>
              <w:tc>
                <w:tcPr>
                  <w:tcW w:w="495" w:type="pct"/>
                  <w:tcBorders>
                    <w:tl2br w:val="nil"/>
                    <w:tr2bl w:val="nil"/>
                  </w:tcBorders>
                  <w:shd w:val="clear" w:color="auto" w:fill="auto"/>
                  <w:noWrap w:val="0"/>
                  <w:vAlign w:val="center"/>
                </w:tcPr>
                <w:p w14:paraId="0D365D0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18B5F5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6D8ED3C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17</w:t>
                  </w:r>
                </w:p>
              </w:tc>
              <w:tc>
                <w:tcPr>
                  <w:tcW w:w="1238" w:type="pct"/>
                  <w:tcBorders>
                    <w:tl2br w:val="nil"/>
                    <w:tr2bl w:val="nil"/>
                  </w:tcBorders>
                  <w:noWrap w:val="0"/>
                  <w:vAlign w:val="center"/>
                </w:tcPr>
                <w:p w14:paraId="6456654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纯水超纯水一体机</w:t>
                  </w:r>
                </w:p>
              </w:tc>
              <w:tc>
                <w:tcPr>
                  <w:tcW w:w="827" w:type="pct"/>
                  <w:tcBorders>
                    <w:tl2br w:val="nil"/>
                    <w:tr2bl w:val="nil"/>
                  </w:tcBorders>
                  <w:noWrap w:val="0"/>
                  <w:vAlign w:val="center"/>
                </w:tcPr>
                <w:p w14:paraId="3584BBB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Comfort II 5L-UV</w:t>
                  </w:r>
                </w:p>
              </w:tc>
              <w:tc>
                <w:tcPr>
                  <w:tcW w:w="643" w:type="pct"/>
                  <w:tcBorders>
                    <w:tl2br w:val="nil"/>
                    <w:tr2bl w:val="nil"/>
                  </w:tcBorders>
                  <w:noWrap w:val="0"/>
                  <w:vAlign w:val="center"/>
                </w:tcPr>
                <w:p w14:paraId="1C800C6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643" w:type="pct"/>
                  <w:tcBorders>
                    <w:tl2br w:val="nil"/>
                    <w:tr2bl w:val="nil"/>
                  </w:tcBorders>
                  <w:noWrap w:val="0"/>
                  <w:vAlign w:val="center"/>
                </w:tcPr>
                <w:p w14:paraId="1E6CE63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5250AD6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5</w:t>
                  </w:r>
                  <w:r>
                    <w:rPr>
                      <w:rFonts w:hint="eastAsia" w:cs="Times New Roman" w:eastAsiaTheme="minorEastAsia"/>
                      <w:bCs/>
                      <w:color w:val="auto"/>
                      <w:sz w:val="21"/>
                      <w:szCs w:val="21"/>
                      <w:highlight w:val="none"/>
                      <w:lang w:val="en-US" w:eastAsia="zh-CN"/>
                    </w:rPr>
                    <w:t>10</w:t>
                  </w:r>
                </w:p>
              </w:tc>
              <w:tc>
                <w:tcPr>
                  <w:tcW w:w="495" w:type="pct"/>
                  <w:tcBorders>
                    <w:tl2br w:val="nil"/>
                    <w:tr2bl w:val="nil"/>
                  </w:tcBorders>
                  <w:noWrap w:val="0"/>
                  <w:vAlign w:val="center"/>
                </w:tcPr>
                <w:p w14:paraId="1AB0878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3E107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683B2244">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18</w:t>
                  </w:r>
                </w:p>
              </w:tc>
              <w:tc>
                <w:tcPr>
                  <w:tcW w:w="1238" w:type="pct"/>
                  <w:tcBorders>
                    <w:tl2br w:val="nil"/>
                    <w:tr2bl w:val="nil"/>
                  </w:tcBorders>
                  <w:noWrap w:val="0"/>
                  <w:vAlign w:val="center"/>
                </w:tcPr>
                <w:p w14:paraId="06B5CDE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气相色谱仪</w:t>
                  </w:r>
                </w:p>
              </w:tc>
              <w:tc>
                <w:tcPr>
                  <w:tcW w:w="827" w:type="pct"/>
                  <w:tcBorders>
                    <w:tl2br w:val="nil"/>
                    <w:tr2bl w:val="nil"/>
                  </w:tcBorders>
                  <w:noWrap w:val="0"/>
                  <w:vAlign w:val="center"/>
                </w:tcPr>
                <w:p w14:paraId="7DBCB215">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GC-2030</w:t>
                  </w:r>
                </w:p>
              </w:tc>
              <w:tc>
                <w:tcPr>
                  <w:tcW w:w="643" w:type="pct"/>
                  <w:tcBorders>
                    <w:tl2br w:val="nil"/>
                    <w:tr2bl w:val="nil"/>
                  </w:tcBorders>
                  <w:noWrap w:val="0"/>
                  <w:vAlign w:val="center"/>
                </w:tcPr>
                <w:p w14:paraId="48D90A8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7B06ECD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02F30FB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401</w:t>
                  </w:r>
                </w:p>
              </w:tc>
              <w:tc>
                <w:tcPr>
                  <w:tcW w:w="495" w:type="pct"/>
                  <w:tcBorders>
                    <w:tl2br w:val="nil"/>
                    <w:tr2bl w:val="nil"/>
                  </w:tcBorders>
                  <w:noWrap w:val="0"/>
                  <w:vAlign w:val="center"/>
                </w:tcPr>
                <w:p w14:paraId="4DA6BB0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7354C9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2B2D59C2">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rPr>
                    <w:t>1</w:t>
                  </w:r>
                  <w:r>
                    <w:rPr>
                      <w:rFonts w:hint="default" w:ascii="Times New Roman" w:hAnsi="Times New Roman" w:cs="Times New Roman" w:eastAsiaTheme="minorEastAsia"/>
                      <w:bCs/>
                      <w:color w:val="auto"/>
                      <w:sz w:val="21"/>
                      <w:szCs w:val="21"/>
                      <w:highlight w:val="none"/>
                      <w:lang w:val="en-US" w:eastAsia="zh-CN"/>
                    </w:rPr>
                    <w:t>9</w:t>
                  </w:r>
                </w:p>
              </w:tc>
              <w:tc>
                <w:tcPr>
                  <w:tcW w:w="1238" w:type="pct"/>
                  <w:tcBorders>
                    <w:tl2br w:val="nil"/>
                    <w:tr2bl w:val="nil"/>
                  </w:tcBorders>
                  <w:noWrap w:val="0"/>
                  <w:vAlign w:val="center"/>
                </w:tcPr>
                <w:p w14:paraId="5C62447B">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气相色谱仪</w:t>
                  </w:r>
                </w:p>
              </w:tc>
              <w:tc>
                <w:tcPr>
                  <w:tcW w:w="827" w:type="pct"/>
                  <w:tcBorders>
                    <w:tl2br w:val="nil"/>
                    <w:tr2bl w:val="nil"/>
                  </w:tcBorders>
                  <w:noWrap w:val="0"/>
                  <w:vAlign w:val="center"/>
                </w:tcPr>
                <w:p w14:paraId="477427D4">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SP-3420A</w:t>
                  </w:r>
                </w:p>
              </w:tc>
              <w:tc>
                <w:tcPr>
                  <w:tcW w:w="643" w:type="pct"/>
                  <w:tcBorders>
                    <w:tl2br w:val="nil"/>
                    <w:tr2bl w:val="nil"/>
                  </w:tcBorders>
                  <w:noWrap w:val="0"/>
                  <w:vAlign w:val="center"/>
                </w:tcPr>
                <w:p w14:paraId="7D93AA2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5B0020F3">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26286EF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401</w:t>
                  </w:r>
                </w:p>
              </w:tc>
              <w:tc>
                <w:tcPr>
                  <w:tcW w:w="495" w:type="pct"/>
                  <w:tcBorders>
                    <w:tl2br w:val="nil"/>
                    <w:tr2bl w:val="nil"/>
                  </w:tcBorders>
                  <w:noWrap w:val="0"/>
                  <w:vAlign w:val="center"/>
                </w:tcPr>
                <w:p w14:paraId="7743830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044EEC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A9F9B2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20</w:t>
                  </w:r>
                </w:p>
              </w:tc>
              <w:tc>
                <w:tcPr>
                  <w:tcW w:w="1238" w:type="pct"/>
                  <w:tcBorders>
                    <w:tl2br w:val="nil"/>
                    <w:tr2bl w:val="nil"/>
                  </w:tcBorders>
                  <w:noWrap w:val="0"/>
                  <w:vAlign w:val="center"/>
                </w:tcPr>
                <w:p w14:paraId="54CCE1DB">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气相色谱质谱联用仪</w:t>
                  </w:r>
                </w:p>
              </w:tc>
              <w:tc>
                <w:tcPr>
                  <w:tcW w:w="827" w:type="pct"/>
                  <w:tcBorders>
                    <w:tl2br w:val="nil"/>
                    <w:tr2bl w:val="nil"/>
                  </w:tcBorders>
                  <w:noWrap w:val="0"/>
                  <w:vAlign w:val="center"/>
                </w:tcPr>
                <w:p w14:paraId="4C3D6CE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7890B-5977A</w:t>
                  </w:r>
                </w:p>
              </w:tc>
              <w:tc>
                <w:tcPr>
                  <w:tcW w:w="643" w:type="pct"/>
                  <w:tcBorders>
                    <w:tl2br w:val="nil"/>
                    <w:tr2bl w:val="nil"/>
                  </w:tcBorders>
                  <w:noWrap w:val="0"/>
                  <w:vAlign w:val="center"/>
                </w:tcPr>
                <w:p w14:paraId="72567E2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31326144">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0034455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401</w:t>
                  </w:r>
                </w:p>
              </w:tc>
              <w:tc>
                <w:tcPr>
                  <w:tcW w:w="495" w:type="pct"/>
                  <w:tcBorders>
                    <w:tl2br w:val="nil"/>
                    <w:tr2bl w:val="nil"/>
                  </w:tcBorders>
                  <w:noWrap w:val="0"/>
                  <w:vAlign w:val="center"/>
                </w:tcPr>
                <w:p w14:paraId="0DE02B3C">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39872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277F5AC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21</w:t>
                  </w:r>
                </w:p>
              </w:tc>
              <w:tc>
                <w:tcPr>
                  <w:tcW w:w="1238" w:type="pct"/>
                  <w:tcBorders>
                    <w:tl2br w:val="nil"/>
                    <w:tr2bl w:val="nil"/>
                  </w:tcBorders>
                  <w:noWrap w:val="0"/>
                  <w:vAlign w:val="center"/>
                </w:tcPr>
                <w:p w14:paraId="022A385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原子吸收分光光度计</w:t>
                  </w:r>
                </w:p>
              </w:tc>
              <w:tc>
                <w:tcPr>
                  <w:tcW w:w="827" w:type="pct"/>
                  <w:tcBorders>
                    <w:tl2br w:val="nil"/>
                    <w:tr2bl w:val="nil"/>
                  </w:tcBorders>
                  <w:noWrap w:val="0"/>
                  <w:vAlign w:val="center"/>
                </w:tcPr>
                <w:p w14:paraId="2933777C">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AA-7000</w:t>
                  </w:r>
                </w:p>
              </w:tc>
              <w:tc>
                <w:tcPr>
                  <w:tcW w:w="643" w:type="pct"/>
                  <w:tcBorders>
                    <w:tl2br w:val="nil"/>
                    <w:tr2bl w:val="nil"/>
                  </w:tcBorders>
                  <w:noWrap w:val="0"/>
                  <w:vAlign w:val="center"/>
                </w:tcPr>
                <w:p w14:paraId="7D13C9A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3A529113">
                  <w:pPr>
                    <w:jc w:val="center"/>
                    <w:rPr>
                      <w:rFonts w:hint="default" w:ascii="Times New Roman" w:hAnsi="Times New Roman" w:cs="Times New Roman" w:eastAsiaTheme="minorEastAsia"/>
                      <w:bCs/>
                      <w:color w:val="auto"/>
                      <w:sz w:val="21"/>
                      <w:szCs w:val="21"/>
                      <w:highlight w:val="none"/>
                      <w:lang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2FB6947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402</w:t>
                  </w:r>
                </w:p>
              </w:tc>
              <w:tc>
                <w:tcPr>
                  <w:tcW w:w="495" w:type="pct"/>
                  <w:tcBorders>
                    <w:tl2br w:val="nil"/>
                    <w:tr2bl w:val="nil"/>
                  </w:tcBorders>
                  <w:noWrap w:val="0"/>
                  <w:vAlign w:val="center"/>
                </w:tcPr>
                <w:p w14:paraId="51508E0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23FEA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6850E1B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22</w:t>
                  </w:r>
                </w:p>
              </w:tc>
              <w:tc>
                <w:tcPr>
                  <w:tcW w:w="1238" w:type="pct"/>
                  <w:tcBorders>
                    <w:tl2br w:val="nil"/>
                    <w:tr2bl w:val="nil"/>
                  </w:tcBorders>
                  <w:noWrap w:val="0"/>
                  <w:vAlign w:val="center"/>
                </w:tcPr>
                <w:p w14:paraId="46AEEC1A">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原子吸收分光光度计</w:t>
                  </w:r>
                </w:p>
              </w:tc>
              <w:tc>
                <w:tcPr>
                  <w:tcW w:w="827" w:type="pct"/>
                  <w:tcBorders>
                    <w:tl2br w:val="nil"/>
                    <w:tr2bl w:val="nil"/>
                  </w:tcBorders>
                  <w:noWrap w:val="0"/>
                  <w:vAlign w:val="center"/>
                </w:tcPr>
                <w:p w14:paraId="72B491F5">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AA-7800F</w:t>
                  </w:r>
                </w:p>
              </w:tc>
              <w:tc>
                <w:tcPr>
                  <w:tcW w:w="643" w:type="pct"/>
                  <w:tcBorders>
                    <w:tl2br w:val="nil"/>
                    <w:tr2bl w:val="nil"/>
                  </w:tcBorders>
                  <w:noWrap w:val="0"/>
                  <w:vAlign w:val="center"/>
                </w:tcPr>
                <w:p w14:paraId="196DF06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3452243C">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72D52A5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402</w:t>
                  </w:r>
                </w:p>
              </w:tc>
              <w:tc>
                <w:tcPr>
                  <w:tcW w:w="495" w:type="pct"/>
                  <w:tcBorders>
                    <w:tl2br w:val="nil"/>
                    <w:tr2bl w:val="nil"/>
                  </w:tcBorders>
                  <w:noWrap w:val="0"/>
                  <w:vAlign w:val="center"/>
                </w:tcPr>
                <w:p w14:paraId="7529DFE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7F912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5F003D4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23</w:t>
                  </w:r>
                </w:p>
              </w:tc>
              <w:tc>
                <w:tcPr>
                  <w:tcW w:w="1238" w:type="pct"/>
                  <w:tcBorders>
                    <w:tl2br w:val="nil"/>
                    <w:tr2bl w:val="nil"/>
                  </w:tcBorders>
                  <w:noWrap w:val="0"/>
                  <w:vAlign w:val="center"/>
                </w:tcPr>
                <w:p w14:paraId="1BFBDC8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气相色谱仪</w:t>
                  </w:r>
                </w:p>
              </w:tc>
              <w:tc>
                <w:tcPr>
                  <w:tcW w:w="827" w:type="pct"/>
                  <w:tcBorders>
                    <w:tl2br w:val="nil"/>
                    <w:tr2bl w:val="nil"/>
                  </w:tcBorders>
                  <w:noWrap w:val="0"/>
                  <w:vAlign w:val="center"/>
                </w:tcPr>
                <w:p w14:paraId="7C005902">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6820GC</w:t>
                  </w:r>
                </w:p>
              </w:tc>
              <w:tc>
                <w:tcPr>
                  <w:tcW w:w="643" w:type="pct"/>
                  <w:tcBorders>
                    <w:tl2br w:val="nil"/>
                    <w:tr2bl w:val="nil"/>
                  </w:tcBorders>
                  <w:noWrap w:val="0"/>
                  <w:vAlign w:val="center"/>
                </w:tcPr>
                <w:p w14:paraId="1CA5549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4DFFF10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2020F7E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403</w:t>
                  </w:r>
                </w:p>
              </w:tc>
              <w:tc>
                <w:tcPr>
                  <w:tcW w:w="495" w:type="pct"/>
                  <w:tcBorders>
                    <w:tl2br w:val="nil"/>
                    <w:tr2bl w:val="nil"/>
                  </w:tcBorders>
                  <w:noWrap w:val="0"/>
                  <w:vAlign w:val="center"/>
                </w:tcPr>
                <w:p w14:paraId="21AD6B03">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79173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1310538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24</w:t>
                  </w:r>
                </w:p>
              </w:tc>
              <w:tc>
                <w:tcPr>
                  <w:tcW w:w="1238" w:type="pct"/>
                  <w:tcBorders>
                    <w:tl2br w:val="nil"/>
                    <w:tr2bl w:val="nil"/>
                  </w:tcBorders>
                  <w:noWrap w:val="0"/>
                  <w:vAlign w:val="center"/>
                </w:tcPr>
                <w:p w14:paraId="29FCDAB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气相色谱质谱联用仪</w:t>
                  </w:r>
                </w:p>
              </w:tc>
              <w:tc>
                <w:tcPr>
                  <w:tcW w:w="827" w:type="pct"/>
                  <w:tcBorders>
                    <w:tl2br w:val="nil"/>
                    <w:tr2bl w:val="nil"/>
                  </w:tcBorders>
                  <w:noWrap w:val="0"/>
                  <w:vAlign w:val="center"/>
                </w:tcPr>
                <w:p w14:paraId="66B87D6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GCMS—QP2020NX</w:t>
                  </w:r>
                </w:p>
              </w:tc>
              <w:tc>
                <w:tcPr>
                  <w:tcW w:w="643" w:type="pct"/>
                  <w:tcBorders>
                    <w:tl2br w:val="nil"/>
                    <w:tr2bl w:val="nil"/>
                  </w:tcBorders>
                  <w:noWrap w:val="0"/>
                  <w:vAlign w:val="center"/>
                </w:tcPr>
                <w:p w14:paraId="6908E12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166F0F42">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1</w:t>
                  </w:r>
                </w:p>
              </w:tc>
              <w:tc>
                <w:tcPr>
                  <w:tcW w:w="815" w:type="pct"/>
                  <w:tcBorders>
                    <w:tl2br w:val="nil"/>
                    <w:tr2bl w:val="nil"/>
                  </w:tcBorders>
                  <w:noWrap w:val="0"/>
                  <w:vAlign w:val="center"/>
                </w:tcPr>
                <w:p w14:paraId="2B305B2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403</w:t>
                  </w:r>
                </w:p>
              </w:tc>
              <w:tc>
                <w:tcPr>
                  <w:tcW w:w="495" w:type="pct"/>
                  <w:tcBorders>
                    <w:tl2br w:val="nil"/>
                    <w:tr2bl w:val="nil"/>
                  </w:tcBorders>
                  <w:noWrap w:val="0"/>
                  <w:vAlign w:val="center"/>
                </w:tcPr>
                <w:p w14:paraId="034ED37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4ACA2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0725CEA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25</w:t>
                  </w:r>
                </w:p>
              </w:tc>
              <w:tc>
                <w:tcPr>
                  <w:tcW w:w="1238" w:type="pct"/>
                  <w:tcBorders>
                    <w:tl2br w:val="nil"/>
                    <w:tr2bl w:val="nil"/>
                  </w:tcBorders>
                  <w:noWrap w:val="0"/>
                  <w:vAlign w:val="center"/>
                </w:tcPr>
                <w:p w14:paraId="432B87E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原子荧光光度计</w:t>
                  </w:r>
                </w:p>
              </w:tc>
              <w:tc>
                <w:tcPr>
                  <w:tcW w:w="827" w:type="pct"/>
                  <w:tcBorders>
                    <w:tl2br w:val="nil"/>
                    <w:tr2bl w:val="nil"/>
                  </w:tcBorders>
                  <w:noWrap w:val="0"/>
                  <w:vAlign w:val="center"/>
                </w:tcPr>
                <w:p w14:paraId="7081958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AFS-9561</w:t>
                  </w:r>
                </w:p>
              </w:tc>
              <w:tc>
                <w:tcPr>
                  <w:tcW w:w="643" w:type="pct"/>
                  <w:tcBorders>
                    <w:tl2br w:val="nil"/>
                    <w:tr2bl w:val="nil"/>
                  </w:tcBorders>
                  <w:noWrap w:val="0"/>
                  <w:vAlign w:val="center"/>
                </w:tcPr>
                <w:p w14:paraId="60B12A1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5E08D2D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58B67B9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407</w:t>
                  </w:r>
                </w:p>
              </w:tc>
              <w:tc>
                <w:tcPr>
                  <w:tcW w:w="495" w:type="pct"/>
                  <w:tcBorders>
                    <w:tl2br w:val="nil"/>
                    <w:tr2bl w:val="nil"/>
                  </w:tcBorders>
                  <w:noWrap w:val="0"/>
                  <w:vAlign w:val="center"/>
                </w:tcPr>
                <w:p w14:paraId="7F87891A">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7799C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508354C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26</w:t>
                  </w:r>
                </w:p>
              </w:tc>
              <w:tc>
                <w:tcPr>
                  <w:tcW w:w="1238" w:type="pct"/>
                  <w:tcBorders>
                    <w:tl2br w:val="nil"/>
                    <w:tr2bl w:val="nil"/>
                  </w:tcBorders>
                  <w:noWrap w:val="0"/>
                  <w:vAlign w:val="center"/>
                </w:tcPr>
                <w:p w14:paraId="589CA3D1">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原子荧光光度计</w:t>
                  </w:r>
                </w:p>
              </w:tc>
              <w:tc>
                <w:tcPr>
                  <w:tcW w:w="827" w:type="pct"/>
                  <w:tcBorders>
                    <w:tl2br w:val="nil"/>
                    <w:tr2bl w:val="nil"/>
                  </w:tcBorders>
                  <w:noWrap w:val="0"/>
                  <w:vAlign w:val="center"/>
                </w:tcPr>
                <w:p w14:paraId="7662D6C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AFS-8330</w:t>
                  </w:r>
                </w:p>
              </w:tc>
              <w:tc>
                <w:tcPr>
                  <w:tcW w:w="643" w:type="pct"/>
                  <w:tcBorders>
                    <w:tl2br w:val="nil"/>
                    <w:tr2bl w:val="nil"/>
                  </w:tcBorders>
                  <w:noWrap w:val="0"/>
                  <w:vAlign w:val="center"/>
                </w:tcPr>
                <w:p w14:paraId="498B3C2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76F1695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7BB5FA8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407</w:t>
                  </w:r>
                </w:p>
              </w:tc>
              <w:tc>
                <w:tcPr>
                  <w:tcW w:w="495" w:type="pct"/>
                  <w:tcBorders>
                    <w:tl2br w:val="nil"/>
                    <w:tr2bl w:val="nil"/>
                  </w:tcBorders>
                  <w:noWrap w:val="0"/>
                  <w:vAlign w:val="center"/>
                </w:tcPr>
                <w:p w14:paraId="5FFA9919">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20AEB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7C75515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27</w:t>
                  </w:r>
                </w:p>
              </w:tc>
              <w:tc>
                <w:tcPr>
                  <w:tcW w:w="1238" w:type="pct"/>
                  <w:tcBorders>
                    <w:tl2br w:val="nil"/>
                    <w:tr2bl w:val="nil"/>
                  </w:tcBorders>
                  <w:noWrap w:val="0"/>
                  <w:vAlign w:val="center"/>
                </w:tcPr>
                <w:p w14:paraId="1FE1395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原子荧光光度计</w:t>
                  </w:r>
                </w:p>
              </w:tc>
              <w:tc>
                <w:tcPr>
                  <w:tcW w:w="827" w:type="pct"/>
                  <w:tcBorders>
                    <w:tl2br w:val="nil"/>
                    <w:tr2bl w:val="nil"/>
                  </w:tcBorders>
                  <w:noWrap w:val="0"/>
                  <w:vAlign w:val="center"/>
                </w:tcPr>
                <w:p w14:paraId="513D5A9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HGF-2</w:t>
                  </w:r>
                </w:p>
              </w:tc>
              <w:tc>
                <w:tcPr>
                  <w:tcW w:w="643" w:type="pct"/>
                  <w:tcBorders>
                    <w:tl2br w:val="nil"/>
                    <w:tr2bl w:val="nil"/>
                  </w:tcBorders>
                  <w:noWrap w:val="0"/>
                  <w:vAlign w:val="center"/>
                </w:tcPr>
                <w:p w14:paraId="76ACDB9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4609CB1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7745E26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407</w:t>
                  </w:r>
                </w:p>
              </w:tc>
              <w:tc>
                <w:tcPr>
                  <w:tcW w:w="495" w:type="pct"/>
                  <w:tcBorders>
                    <w:tl2br w:val="nil"/>
                    <w:tr2bl w:val="nil"/>
                  </w:tcBorders>
                  <w:noWrap w:val="0"/>
                  <w:vAlign w:val="center"/>
                </w:tcPr>
                <w:p w14:paraId="5CE9FF6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58A53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6302F08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28</w:t>
                  </w:r>
                </w:p>
              </w:tc>
              <w:tc>
                <w:tcPr>
                  <w:tcW w:w="1238" w:type="pct"/>
                  <w:tcBorders>
                    <w:tl2br w:val="nil"/>
                    <w:tr2bl w:val="nil"/>
                  </w:tcBorders>
                  <w:noWrap w:val="0"/>
                  <w:vAlign w:val="center"/>
                </w:tcPr>
                <w:p w14:paraId="670FE01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离子色谱仪</w:t>
                  </w:r>
                </w:p>
              </w:tc>
              <w:tc>
                <w:tcPr>
                  <w:tcW w:w="827" w:type="pct"/>
                  <w:tcBorders>
                    <w:tl2br w:val="nil"/>
                    <w:tr2bl w:val="nil"/>
                  </w:tcBorders>
                  <w:noWrap w:val="0"/>
                  <w:vAlign w:val="center"/>
                </w:tcPr>
                <w:p w14:paraId="35CE830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IC-2010</w:t>
                  </w:r>
                </w:p>
              </w:tc>
              <w:tc>
                <w:tcPr>
                  <w:tcW w:w="643" w:type="pct"/>
                  <w:tcBorders>
                    <w:tl2br w:val="nil"/>
                    <w:tr2bl w:val="nil"/>
                  </w:tcBorders>
                  <w:noWrap w:val="0"/>
                  <w:vAlign w:val="center"/>
                </w:tcPr>
                <w:p w14:paraId="25A865D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307AACD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3E45057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noWrap w:val="0"/>
                  <w:vAlign w:val="center"/>
                </w:tcPr>
                <w:p w14:paraId="232E5214">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428CB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4899C17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29</w:t>
                  </w:r>
                </w:p>
              </w:tc>
              <w:tc>
                <w:tcPr>
                  <w:tcW w:w="1238" w:type="pct"/>
                  <w:tcBorders>
                    <w:tl2br w:val="nil"/>
                    <w:tr2bl w:val="nil"/>
                  </w:tcBorders>
                  <w:noWrap w:val="0"/>
                  <w:vAlign w:val="center"/>
                </w:tcPr>
                <w:p w14:paraId="7247D4B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离子色谱仪</w:t>
                  </w:r>
                </w:p>
              </w:tc>
              <w:tc>
                <w:tcPr>
                  <w:tcW w:w="827" w:type="pct"/>
                  <w:tcBorders>
                    <w:tl2br w:val="nil"/>
                    <w:tr2bl w:val="nil"/>
                  </w:tcBorders>
                  <w:noWrap w:val="0"/>
                  <w:vAlign w:val="center"/>
                </w:tcPr>
                <w:p w14:paraId="777AB39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PIC-10A</w:t>
                  </w:r>
                </w:p>
              </w:tc>
              <w:tc>
                <w:tcPr>
                  <w:tcW w:w="643" w:type="pct"/>
                  <w:tcBorders>
                    <w:tl2br w:val="nil"/>
                    <w:tr2bl w:val="nil"/>
                  </w:tcBorders>
                  <w:noWrap w:val="0"/>
                  <w:vAlign w:val="center"/>
                </w:tcPr>
                <w:p w14:paraId="4B95C73F">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2A4106EA">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38A112E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noWrap w:val="0"/>
                  <w:vAlign w:val="center"/>
                </w:tcPr>
                <w:p w14:paraId="6C2A640C">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6FEFE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579CF80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30</w:t>
                  </w:r>
                </w:p>
              </w:tc>
              <w:tc>
                <w:tcPr>
                  <w:tcW w:w="1238" w:type="pct"/>
                  <w:tcBorders>
                    <w:tl2br w:val="nil"/>
                    <w:tr2bl w:val="nil"/>
                  </w:tcBorders>
                  <w:noWrap w:val="0"/>
                  <w:vAlign w:val="center"/>
                </w:tcPr>
                <w:p w14:paraId="7DFAC21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紫外分光光度计</w:t>
                  </w:r>
                </w:p>
              </w:tc>
              <w:tc>
                <w:tcPr>
                  <w:tcW w:w="827" w:type="pct"/>
                  <w:tcBorders>
                    <w:tl2br w:val="nil"/>
                    <w:tr2bl w:val="nil"/>
                  </w:tcBorders>
                  <w:noWrap w:val="0"/>
                  <w:vAlign w:val="center"/>
                </w:tcPr>
                <w:p w14:paraId="4FF21FF2">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UV2600i</w:t>
                  </w:r>
                </w:p>
              </w:tc>
              <w:tc>
                <w:tcPr>
                  <w:tcW w:w="643" w:type="pct"/>
                  <w:tcBorders>
                    <w:tl2br w:val="nil"/>
                    <w:tr2bl w:val="nil"/>
                  </w:tcBorders>
                  <w:noWrap w:val="0"/>
                  <w:vAlign w:val="center"/>
                </w:tcPr>
                <w:p w14:paraId="1A41398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6F0C654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42ADBEE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noWrap w:val="0"/>
                  <w:vAlign w:val="center"/>
                </w:tcPr>
                <w:p w14:paraId="71681200">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076FA2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B8B7D6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31</w:t>
                  </w:r>
                </w:p>
              </w:tc>
              <w:tc>
                <w:tcPr>
                  <w:tcW w:w="1238" w:type="pct"/>
                  <w:tcBorders>
                    <w:tl2br w:val="nil"/>
                    <w:tr2bl w:val="nil"/>
                  </w:tcBorders>
                  <w:noWrap w:val="0"/>
                  <w:vAlign w:val="center"/>
                </w:tcPr>
                <w:p w14:paraId="2DDE8F03">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双光束紫外可见分光光度计</w:t>
                  </w:r>
                </w:p>
              </w:tc>
              <w:tc>
                <w:tcPr>
                  <w:tcW w:w="827" w:type="pct"/>
                  <w:tcBorders>
                    <w:tl2br w:val="nil"/>
                    <w:tr2bl w:val="nil"/>
                  </w:tcBorders>
                  <w:noWrap w:val="0"/>
                  <w:vAlign w:val="center"/>
                </w:tcPr>
                <w:p w14:paraId="03A0C546">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T3202</w:t>
                  </w:r>
                </w:p>
              </w:tc>
              <w:tc>
                <w:tcPr>
                  <w:tcW w:w="643" w:type="pct"/>
                  <w:tcBorders>
                    <w:tl2br w:val="nil"/>
                    <w:tr2bl w:val="nil"/>
                  </w:tcBorders>
                  <w:noWrap w:val="0"/>
                  <w:vAlign w:val="center"/>
                </w:tcPr>
                <w:p w14:paraId="55148F6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303193AE">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2D3BED9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noWrap w:val="0"/>
                  <w:vAlign w:val="center"/>
                </w:tcPr>
                <w:p w14:paraId="25E3EA83">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50C65B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4541071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32</w:t>
                  </w:r>
                </w:p>
              </w:tc>
              <w:tc>
                <w:tcPr>
                  <w:tcW w:w="1238" w:type="pct"/>
                  <w:tcBorders>
                    <w:tl2br w:val="nil"/>
                    <w:tr2bl w:val="nil"/>
                  </w:tcBorders>
                  <w:noWrap w:val="0"/>
                  <w:vAlign w:val="center"/>
                </w:tcPr>
                <w:p w14:paraId="4C2B8F48">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三维荧光分光光度计</w:t>
                  </w:r>
                </w:p>
              </w:tc>
              <w:tc>
                <w:tcPr>
                  <w:tcW w:w="827" w:type="pct"/>
                  <w:tcBorders>
                    <w:tl2br w:val="nil"/>
                    <w:tr2bl w:val="nil"/>
                  </w:tcBorders>
                  <w:noWrap w:val="0"/>
                  <w:vAlign w:val="center"/>
                </w:tcPr>
                <w:p w14:paraId="0040DC3D">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G9800A</w:t>
                  </w:r>
                </w:p>
              </w:tc>
              <w:tc>
                <w:tcPr>
                  <w:tcW w:w="643" w:type="pct"/>
                  <w:tcBorders>
                    <w:tl2br w:val="nil"/>
                    <w:tr2bl w:val="nil"/>
                  </w:tcBorders>
                  <w:noWrap w:val="0"/>
                  <w:vAlign w:val="center"/>
                </w:tcPr>
                <w:p w14:paraId="640577A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6397A5D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03F72F1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noWrap w:val="0"/>
                  <w:vAlign w:val="center"/>
                </w:tcPr>
                <w:p w14:paraId="74DA7C08">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新增</w:t>
                  </w:r>
                </w:p>
              </w:tc>
            </w:tr>
            <w:tr w14:paraId="46882D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5D8D80F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33</w:t>
                  </w:r>
                </w:p>
              </w:tc>
              <w:tc>
                <w:tcPr>
                  <w:tcW w:w="1238" w:type="pct"/>
                  <w:tcBorders>
                    <w:tl2br w:val="nil"/>
                    <w:tr2bl w:val="nil"/>
                  </w:tcBorders>
                  <w:shd w:val="clear" w:color="auto" w:fill="auto"/>
                  <w:noWrap w:val="0"/>
                  <w:vAlign w:val="center"/>
                </w:tcPr>
                <w:p w14:paraId="00B8AA12">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烷基汞分析仪</w:t>
                  </w:r>
                </w:p>
              </w:tc>
              <w:tc>
                <w:tcPr>
                  <w:tcW w:w="827" w:type="pct"/>
                  <w:tcBorders>
                    <w:tl2br w:val="nil"/>
                    <w:tr2bl w:val="nil"/>
                  </w:tcBorders>
                  <w:shd w:val="clear" w:color="auto" w:fill="auto"/>
                  <w:noWrap w:val="0"/>
                  <w:vAlign w:val="center"/>
                </w:tcPr>
                <w:p w14:paraId="7CC5F5B8">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kern w:val="2"/>
                      <w:sz w:val="21"/>
                      <w:szCs w:val="21"/>
                      <w:highlight w:val="none"/>
                      <w:lang w:val="en-US" w:eastAsia="zh-CN" w:bidi="ar-SA"/>
                    </w:rPr>
                    <w:t>MMA72</w:t>
                  </w:r>
                </w:p>
              </w:tc>
              <w:tc>
                <w:tcPr>
                  <w:tcW w:w="643" w:type="pct"/>
                  <w:tcBorders>
                    <w:tl2br w:val="nil"/>
                    <w:tr2bl w:val="nil"/>
                  </w:tcBorders>
                  <w:shd w:val="clear" w:color="auto" w:fill="auto"/>
                  <w:noWrap w:val="0"/>
                  <w:vAlign w:val="center"/>
                </w:tcPr>
                <w:p w14:paraId="6C97D9DE">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11971FCB">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44C9704C">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rPr>
                    <w:t>分析测试中心</w:t>
                  </w:r>
                  <w:r>
                    <w:rPr>
                      <w:rFonts w:hint="default" w:ascii="Times New Roman" w:hAnsi="Times New Roman" w:cs="Times New Roman" w:eastAsiaTheme="minorEastAsia"/>
                      <w:bCs/>
                      <w:color w:val="auto"/>
                      <w:sz w:val="21"/>
                      <w:szCs w:val="21"/>
                      <w:highlight w:val="none"/>
                      <w:lang w:val="en-US" w:eastAsia="zh-CN"/>
                    </w:rPr>
                    <w:t>408</w:t>
                  </w:r>
                </w:p>
              </w:tc>
              <w:tc>
                <w:tcPr>
                  <w:tcW w:w="495" w:type="pct"/>
                  <w:tcBorders>
                    <w:tl2br w:val="nil"/>
                    <w:tr2bl w:val="nil"/>
                  </w:tcBorders>
                  <w:shd w:val="clear" w:color="auto" w:fill="auto"/>
                  <w:noWrap w:val="0"/>
                  <w:vAlign w:val="center"/>
                </w:tcPr>
                <w:p w14:paraId="7F9CD2EF">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新增</w:t>
                  </w:r>
                </w:p>
              </w:tc>
            </w:tr>
            <w:tr w14:paraId="3458E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4971189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34</w:t>
                  </w:r>
                </w:p>
              </w:tc>
              <w:tc>
                <w:tcPr>
                  <w:tcW w:w="1238" w:type="pct"/>
                  <w:tcBorders>
                    <w:tl2br w:val="nil"/>
                    <w:tr2bl w:val="nil"/>
                  </w:tcBorders>
                  <w:shd w:val="clear" w:color="auto" w:fill="auto"/>
                  <w:noWrap w:val="0"/>
                  <w:vAlign w:val="center"/>
                </w:tcPr>
                <w:p w14:paraId="4634260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陶瓷纤维马弗炉</w:t>
                  </w:r>
                </w:p>
              </w:tc>
              <w:tc>
                <w:tcPr>
                  <w:tcW w:w="827" w:type="pct"/>
                  <w:tcBorders>
                    <w:tl2br w:val="nil"/>
                    <w:tr2bl w:val="nil"/>
                  </w:tcBorders>
                  <w:shd w:val="clear" w:color="auto" w:fill="auto"/>
                  <w:noWrap w:val="0"/>
                  <w:vAlign w:val="center"/>
                </w:tcPr>
                <w:p w14:paraId="4F7A3DA6">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TM-2014</w:t>
                  </w:r>
                </w:p>
              </w:tc>
              <w:tc>
                <w:tcPr>
                  <w:tcW w:w="643" w:type="pct"/>
                  <w:tcBorders>
                    <w:tl2br w:val="nil"/>
                    <w:tr2bl w:val="nil"/>
                  </w:tcBorders>
                  <w:shd w:val="clear" w:color="auto" w:fill="auto"/>
                  <w:noWrap w:val="0"/>
                  <w:vAlign w:val="center"/>
                </w:tcPr>
                <w:p w14:paraId="7F611D0D">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33CE82B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4019A5DB">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分析测试中心</w:t>
                  </w:r>
                  <w:r>
                    <w:rPr>
                      <w:rFonts w:hint="eastAsia" w:cs="Times New Roman" w:eastAsiaTheme="minorEastAsia"/>
                      <w:bCs/>
                      <w:color w:val="auto"/>
                      <w:sz w:val="21"/>
                      <w:szCs w:val="21"/>
                      <w:highlight w:val="none"/>
                      <w:lang w:val="en-US" w:eastAsia="zh-CN"/>
                    </w:rPr>
                    <w:t>5</w:t>
                  </w:r>
                  <w:r>
                    <w:rPr>
                      <w:rFonts w:hint="default" w:ascii="Times New Roman" w:hAnsi="Times New Roman" w:cs="Times New Roman" w:eastAsiaTheme="minorEastAsia"/>
                      <w:bCs/>
                      <w:color w:val="auto"/>
                      <w:sz w:val="21"/>
                      <w:szCs w:val="21"/>
                      <w:highlight w:val="none"/>
                      <w:lang w:val="en-US" w:eastAsia="zh-CN"/>
                    </w:rPr>
                    <w:t>0</w:t>
                  </w:r>
                  <w:r>
                    <w:rPr>
                      <w:rFonts w:hint="eastAsia" w:cs="Times New Roman" w:eastAsiaTheme="minorEastAsia"/>
                      <w:bCs/>
                      <w:color w:val="auto"/>
                      <w:sz w:val="21"/>
                      <w:szCs w:val="21"/>
                      <w:highlight w:val="none"/>
                      <w:lang w:val="en-US" w:eastAsia="zh-CN"/>
                    </w:rPr>
                    <w:t>6</w:t>
                  </w:r>
                </w:p>
              </w:tc>
              <w:tc>
                <w:tcPr>
                  <w:tcW w:w="495" w:type="pct"/>
                  <w:tcBorders>
                    <w:tl2br w:val="nil"/>
                    <w:tr2bl w:val="nil"/>
                  </w:tcBorders>
                  <w:shd w:val="clear" w:color="auto" w:fill="auto"/>
                  <w:noWrap w:val="0"/>
                  <w:vAlign w:val="center"/>
                </w:tcPr>
                <w:p w14:paraId="7A2DA26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22975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296215F">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35</w:t>
                  </w:r>
                </w:p>
              </w:tc>
              <w:tc>
                <w:tcPr>
                  <w:tcW w:w="1238" w:type="pct"/>
                  <w:tcBorders>
                    <w:tl2br w:val="nil"/>
                    <w:tr2bl w:val="nil"/>
                  </w:tcBorders>
                  <w:shd w:val="clear" w:color="auto" w:fill="auto"/>
                  <w:noWrap w:val="0"/>
                  <w:vAlign w:val="center"/>
                </w:tcPr>
                <w:p w14:paraId="5596DABB">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箱式电阻炉</w:t>
                  </w:r>
                </w:p>
              </w:tc>
              <w:tc>
                <w:tcPr>
                  <w:tcW w:w="827" w:type="pct"/>
                  <w:tcBorders>
                    <w:tl2br w:val="nil"/>
                    <w:tr2bl w:val="nil"/>
                  </w:tcBorders>
                  <w:shd w:val="clear" w:color="auto" w:fill="auto"/>
                  <w:noWrap w:val="0"/>
                  <w:vAlign w:val="center"/>
                </w:tcPr>
                <w:p w14:paraId="2FA1EB77">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SX-4-10</w:t>
                  </w:r>
                </w:p>
              </w:tc>
              <w:tc>
                <w:tcPr>
                  <w:tcW w:w="643" w:type="pct"/>
                  <w:tcBorders>
                    <w:tl2br w:val="nil"/>
                    <w:tr2bl w:val="nil"/>
                  </w:tcBorders>
                  <w:shd w:val="clear" w:color="auto" w:fill="auto"/>
                  <w:noWrap w:val="0"/>
                  <w:vAlign w:val="center"/>
                </w:tcPr>
                <w:p w14:paraId="122FD92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343226AC">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5</w:t>
                  </w:r>
                </w:p>
              </w:tc>
              <w:tc>
                <w:tcPr>
                  <w:tcW w:w="815" w:type="pct"/>
                  <w:tcBorders>
                    <w:tl2br w:val="nil"/>
                    <w:tr2bl w:val="nil"/>
                  </w:tcBorders>
                  <w:shd w:val="clear" w:color="auto" w:fill="auto"/>
                  <w:noWrap w:val="0"/>
                  <w:vAlign w:val="center"/>
                </w:tcPr>
                <w:p w14:paraId="670F0052">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分析测试中心</w:t>
                  </w:r>
                  <w:r>
                    <w:rPr>
                      <w:rFonts w:hint="eastAsia" w:cs="Times New Roman" w:eastAsiaTheme="minorEastAsia"/>
                      <w:bCs/>
                      <w:color w:val="auto"/>
                      <w:sz w:val="21"/>
                      <w:szCs w:val="21"/>
                      <w:highlight w:val="none"/>
                      <w:lang w:val="en-US" w:eastAsia="zh-CN"/>
                    </w:rPr>
                    <w:t>5</w:t>
                  </w:r>
                  <w:r>
                    <w:rPr>
                      <w:rFonts w:hint="default" w:ascii="Times New Roman" w:hAnsi="Times New Roman" w:cs="Times New Roman" w:eastAsiaTheme="minorEastAsia"/>
                      <w:bCs/>
                      <w:color w:val="auto"/>
                      <w:sz w:val="21"/>
                      <w:szCs w:val="21"/>
                      <w:highlight w:val="none"/>
                      <w:lang w:val="en-US" w:eastAsia="zh-CN"/>
                    </w:rPr>
                    <w:t>0</w:t>
                  </w:r>
                  <w:r>
                    <w:rPr>
                      <w:rFonts w:hint="eastAsia" w:cs="Times New Roman" w:eastAsiaTheme="minorEastAsia"/>
                      <w:bCs/>
                      <w:color w:val="auto"/>
                      <w:sz w:val="21"/>
                      <w:szCs w:val="21"/>
                      <w:highlight w:val="none"/>
                      <w:lang w:val="en-US" w:eastAsia="zh-CN"/>
                    </w:rPr>
                    <w:t>6</w:t>
                  </w:r>
                </w:p>
              </w:tc>
              <w:tc>
                <w:tcPr>
                  <w:tcW w:w="495" w:type="pct"/>
                  <w:tcBorders>
                    <w:tl2br w:val="nil"/>
                    <w:tr2bl w:val="nil"/>
                  </w:tcBorders>
                  <w:shd w:val="clear" w:color="auto" w:fill="auto"/>
                  <w:noWrap w:val="0"/>
                  <w:vAlign w:val="center"/>
                </w:tcPr>
                <w:p w14:paraId="7E62F15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6D0C7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92F4AA8">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36</w:t>
                  </w:r>
                </w:p>
              </w:tc>
              <w:tc>
                <w:tcPr>
                  <w:tcW w:w="1238" w:type="pct"/>
                  <w:tcBorders>
                    <w:tl2br w:val="nil"/>
                    <w:tr2bl w:val="nil"/>
                  </w:tcBorders>
                  <w:shd w:val="clear" w:color="auto" w:fill="auto"/>
                  <w:noWrap w:val="0"/>
                  <w:vAlign w:val="center"/>
                </w:tcPr>
                <w:p w14:paraId="354CD671">
                  <w:pPr>
                    <w:jc w:val="center"/>
                    <w:rPr>
                      <w:rFonts w:hint="default"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陶瓷纤维箱式电阻炉</w:t>
                  </w:r>
                </w:p>
              </w:tc>
              <w:tc>
                <w:tcPr>
                  <w:tcW w:w="827" w:type="pct"/>
                  <w:tcBorders>
                    <w:tl2br w:val="nil"/>
                    <w:tr2bl w:val="nil"/>
                  </w:tcBorders>
                  <w:shd w:val="clear" w:color="auto" w:fill="auto"/>
                  <w:noWrap w:val="0"/>
                  <w:vAlign w:val="center"/>
                </w:tcPr>
                <w:p w14:paraId="40DAB6B4">
                  <w:pPr>
                    <w:jc w:val="center"/>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kern w:val="2"/>
                      <w:sz w:val="21"/>
                      <w:szCs w:val="21"/>
                      <w:highlight w:val="none"/>
                      <w:lang w:val="en-US" w:eastAsia="zh-CN" w:bidi="ar-SA"/>
                    </w:rPr>
                    <w:t>SXs-4-10AS</w:t>
                  </w:r>
                </w:p>
              </w:tc>
              <w:tc>
                <w:tcPr>
                  <w:tcW w:w="643" w:type="pct"/>
                  <w:tcBorders>
                    <w:tl2br w:val="nil"/>
                    <w:tr2bl w:val="nil"/>
                  </w:tcBorders>
                  <w:shd w:val="clear" w:color="auto" w:fill="auto"/>
                  <w:noWrap w:val="0"/>
                  <w:vAlign w:val="center"/>
                </w:tcPr>
                <w:p w14:paraId="0DBA2B79">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0</w:t>
                  </w:r>
                </w:p>
              </w:tc>
              <w:tc>
                <w:tcPr>
                  <w:tcW w:w="643" w:type="pct"/>
                  <w:tcBorders>
                    <w:tl2br w:val="nil"/>
                    <w:tr2bl w:val="nil"/>
                  </w:tcBorders>
                  <w:shd w:val="clear" w:color="auto" w:fill="auto"/>
                  <w:noWrap w:val="0"/>
                  <w:vAlign w:val="center"/>
                </w:tcPr>
                <w:p w14:paraId="23E37F42">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w:t>
                  </w:r>
                </w:p>
              </w:tc>
              <w:tc>
                <w:tcPr>
                  <w:tcW w:w="815" w:type="pct"/>
                  <w:tcBorders>
                    <w:tl2br w:val="nil"/>
                    <w:tr2bl w:val="nil"/>
                  </w:tcBorders>
                  <w:shd w:val="clear" w:color="auto" w:fill="auto"/>
                  <w:noWrap w:val="0"/>
                  <w:vAlign w:val="center"/>
                </w:tcPr>
                <w:p w14:paraId="5A270FFA">
                  <w:pPr>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分析测试中心</w:t>
                  </w:r>
                  <w:r>
                    <w:rPr>
                      <w:rFonts w:hint="eastAsia" w:cs="Times New Roman" w:eastAsiaTheme="minorEastAsia"/>
                      <w:bCs/>
                      <w:color w:val="auto"/>
                      <w:sz w:val="21"/>
                      <w:szCs w:val="21"/>
                      <w:highlight w:val="none"/>
                      <w:lang w:val="en-US" w:eastAsia="zh-CN"/>
                    </w:rPr>
                    <w:t>5</w:t>
                  </w:r>
                  <w:r>
                    <w:rPr>
                      <w:rFonts w:hint="default" w:ascii="Times New Roman" w:hAnsi="Times New Roman" w:cs="Times New Roman" w:eastAsiaTheme="minorEastAsia"/>
                      <w:bCs/>
                      <w:color w:val="auto"/>
                      <w:sz w:val="21"/>
                      <w:szCs w:val="21"/>
                      <w:highlight w:val="none"/>
                      <w:lang w:val="en-US" w:eastAsia="zh-CN"/>
                    </w:rPr>
                    <w:t>0</w:t>
                  </w:r>
                  <w:r>
                    <w:rPr>
                      <w:rFonts w:hint="eastAsia" w:cs="Times New Roman" w:eastAsiaTheme="minorEastAsia"/>
                      <w:bCs/>
                      <w:color w:val="auto"/>
                      <w:sz w:val="21"/>
                      <w:szCs w:val="21"/>
                      <w:highlight w:val="none"/>
                      <w:lang w:val="en-US" w:eastAsia="zh-CN"/>
                    </w:rPr>
                    <w:t>6</w:t>
                  </w:r>
                </w:p>
              </w:tc>
              <w:tc>
                <w:tcPr>
                  <w:tcW w:w="495" w:type="pct"/>
                  <w:tcBorders>
                    <w:tl2br w:val="nil"/>
                    <w:tr2bl w:val="nil"/>
                  </w:tcBorders>
                  <w:shd w:val="clear" w:color="auto" w:fill="auto"/>
                  <w:noWrap w:val="0"/>
                  <w:vAlign w:val="center"/>
                </w:tcPr>
                <w:p w14:paraId="1F519ED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3F5A5A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302ABC6A">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37</w:t>
                  </w:r>
                </w:p>
              </w:tc>
              <w:tc>
                <w:tcPr>
                  <w:tcW w:w="1238" w:type="pct"/>
                  <w:tcBorders>
                    <w:tl2br w:val="nil"/>
                    <w:tr2bl w:val="nil"/>
                  </w:tcBorders>
                  <w:noWrap w:val="0"/>
                  <w:vAlign w:val="center"/>
                </w:tcPr>
                <w:p w14:paraId="7A37DA5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碎样机</w:t>
                  </w:r>
                </w:p>
              </w:tc>
              <w:tc>
                <w:tcPr>
                  <w:tcW w:w="827" w:type="pct"/>
                  <w:tcBorders>
                    <w:tl2br w:val="nil"/>
                    <w:tr2bl w:val="nil"/>
                  </w:tcBorders>
                  <w:noWrap w:val="0"/>
                  <w:vAlign w:val="center"/>
                </w:tcPr>
                <w:p w14:paraId="77CD00FC">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w:t>
                  </w:r>
                </w:p>
              </w:tc>
              <w:tc>
                <w:tcPr>
                  <w:tcW w:w="643" w:type="pct"/>
                  <w:tcBorders>
                    <w:tl2br w:val="nil"/>
                    <w:tr2bl w:val="nil"/>
                  </w:tcBorders>
                  <w:noWrap w:val="0"/>
                  <w:vAlign w:val="center"/>
                </w:tcPr>
                <w:p w14:paraId="76A58BE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5EA4DAF0">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33899135">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地下室负一楼</w:t>
                  </w:r>
                </w:p>
              </w:tc>
              <w:tc>
                <w:tcPr>
                  <w:tcW w:w="495" w:type="pct"/>
                  <w:tcBorders>
                    <w:tl2br w:val="nil"/>
                    <w:tr2bl w:val="nil"/>
                  </w:tcBorders>
                  <w:noWrap w:val="0"/>
                  <w:vAlign w:val="center"/>
                </w:tcPr>
                <w:p w14:paraId="4957D427">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tr w14:paraId="68B7E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tcBorders>
                    <w:tl2br w:val="nil"/>
                    <w:tr2bl w:val="nil"/>
                  </w:tcBorders>
                  <w:noWrap w:val="0"/>
                  <w:vAlign w:val="center"/>
                </w:tcPr>
                <w:p w14:paraId="2F19FC5F">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38</w:t>
                  </w:r>
                </w:p>
              </w:tc>
              <w:tc>
                <w:tcPr>
                  <w:tcW w:w="1238" w:type="pct"/>
                  <w:tcBorders>
                    <w:tl2br w:val="nil"/>
                    <w:tr2bl w:val="nil"/>
                  </w:tcBorders>
                  <w:noWrap w:val="0"/>
                  <w:vAlign w:val="center"/>
                </w:tcPr>
                <w:p w14:paraId="1B9F3D1A">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布袋除尘器</w:t>
                  </w:r>
                </w:p>
              </w:tc>
              <w:tc>
                <w:tcPr>
                  <w:tcW w:w="827" w:type="pct"/>
                  <w:tcBorders>
                    <w:tl2br w:val="nil"/>
                    <w:tr2bl w:val="nil"/>
                  </w:tcBorders>
                  <w:noWrap w:val="0"/>
                  <w:vAlign w:val="center"/>
                </w:tcPr>
                <w:p w14:paraId="3CD68A04">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w:t>
                  </w:r>
                </w:p>
              </w:tc>
              <w:tc>
                <w:tcPr>
                  <w:tcW w:w="643" w:type="pct"/>
                  <w:tcBorders>
                    <w:tl2br w:val="nil"/>
                    <w:tr2bl w:val="nil"/>
                  </w:tcBorders>
                  <w:noWrap w:val="0"/>
                  <w:vAlign w:val="center"/>
                </w:tcPr>
                <w:p w14:paraId="23018AE2">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0</w:t>
                  </w:r>
                </w:p>
              </w:tc>
              <w:tc>
                <w:tcPr>
                  <w:tcW w:w="643" w:type="pct"/>
                  <w:tcBorders>
                    <w:tl2br w:val="nil"/>
                    <w:tr2bl w:val="nil"/>
                  </w:tcBorders>
                  <w:noWrap w:val="0"/>
                  <w:vAlign w:val="center"/>
                </w:tcPr>
                <w:p w14:paraId="7823448A">
                  <w:pPr>
                    <w:jc w:val="center"/>
                    <w:rPr>
                      <w:rFonts w:hint="default" w:ascii="Times New Roman" w:hAnsi="Times New Roman" w:cs="Times New Roman" w:eastAsiaTheme="minorEastAsia"/>
                      <w:bCs/>
                      <w:color w:val="auto"/>
                      <w:sz w:val="21"/>
                      <w:szCs w:val="21"/>
                      <w:highlight w:val="none"/>
                      <w:lang w:val="en-US" w:eastAsia="zh-CN"/>
                    </w:rPr>
                  </w:pPr>
                  <w:r>
                    <w:rPr>
                      <w:rFonts w:hint="eastAsia" w:cs="Times New Roman" w:eastAsiaTheme="minorEastAsia"/>
                      <w:bCs/>
                      <w:color w:val="auto"/>
                      <w:sz w:val="21"/>
                      <w:szCs w:val="21"/>
                      <w:highlight w:val="none"/>
                      <w:lang w:val="en-US" w:eastAsia="zh-CN"/>
                    </w:rPr>
                    <w:t>1</w:t>
                  </w:r>
                </w:p>
              </w:tc>
              <w:tc>
                <w:tcPr>
                  <w:tcW w:w="815" w:type="pct"/>
                  <w:tcBorders>
                    <w:tl2br w:val="nil"/>
                    <w:tr2bl w:val="nil"/>
                  </w:tcBorders>
                  <w:noWrap w:val="0"/>
                  <w:vAlign w:val="center"/>
                </w:tcPr>
                <w:p w14:paraId="6822BCD9">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地下室负一楼</w:t>
                  </w:r>
                </w:p>
              </w:tc>
              <w:tc>
                <w:tcPr>
                  <w:tcW w:w="495" w:type="pct"/>
                  <w:tcBorders>
                    <w:tl2br w:val="nil"/>
                    <w:tr2bl w:val="nil"/>
                  </w:tcBorders>
                  <w:noWrap w:val="0"/>
                  <w:vAlign w:val="center"/>
                </w:tcPr>
                <w:p w14:paraId="7F6185FB">
                  <w:pPr>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新增</w:t>
                  </w:r>
                </w:p>
              </w:tc>
            </w:tr>
            <w:bookmarkEnd w:id="4"/>
          </w:tbl>
          <w:p w14:paraId="5A0DD670">
            <w:pPr>
              <w:adjustRightInd w:val="0"/>
              <w:snapToGrid w:val="0"/>
              <w:spacing w:before="120" w:beforeLines="50" w:line="360" w:lineRule="auto"/>
              <w:ind w:firstLine="482" w:firstLineChars="200"/>
              <w:rPr>
                <w:b/>
                <w:color w:val="auto"/>
                <w:sz w:val="24"/>
                <w:highlight w:val="none"/>
              </w:rPr>
            </w:pPr>
            <w:r>
              <w:rPr>
                <w:rFonts w:hint="eastAsia"/>
                <w:b/>
                <w:color w:val="auto"/>
                <w:sz w:val="24"/>
                <w:highlight w:val="none"/>
                <w:lang w:val="en-US" w:eastAsia="zh-CN"/>
              </w:rPr>
              <w:t>7</w:t>
            </w:r>
            <w:r>
              <w:rPr>
                <w:b/>
                <w:color w:val="auto"/>
                <w:sz w:val="24"/>
                <w:highlight w:val="none"/>
              </w:rPr>
              <w:t>.公用工程</w:t>
            </w:r>
          </w:p>
          <w:p w14:paraId="0E6B8048">
            <w:pPr>
              <w:adjustRightInd w:val="0"/>
              <w:snapToGrid w:val="0"/>
              <w:spacing w:line="360" w:lineRule="auto"/>
              <w:ind w:firstLine="480" w:firstLineChars="200"/>
              <w:rPr>
                <w:rFonts w:hint="eastAsia" w:eastAsia="宋体"/>
                <w:color w:val="auto"/>
                <w:sz w:val="24"/>
                <w:highlight w:val="none"/>
                <w:lang w:eastAsia="zh-CN"/>
              </w:rPr>
            </w:pPr>
            <w:r>
              <w:rPr>
                <w:color w:val="auto"/>
                <w:sz w:val="24"/>
                <w:highlight w:val="none"/>
              </w:rPr>
              <w:t>（1）</w:t>
            </w:r>
            <w:r>
              <w:rPr>
                <w:rFonts w:hint="eastAsia"/>
                <w:color w:val="auto"/>
                <w:sz w:val="24"/>
                <w:highlight w:val="none"/>
                <w:lang w:val="en-US" w:eastAsia="zh-CN"/>
              </w:rPr>
              <w:t>给水</w:t>
            </w:r>
          </w:p>
          <w:p w14:paraId="4DA130E6">
            <w:pPr>
              <w:adjustRightInd w:val="0"/>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本项目依托核工业二0三研究所现有供水系统</w:t>
            </w:r>
            <w:r>
              <w:rPr>
                <w:rFonts w:hint="eastAsia"/>
                <w:color w:val="auto"/>
                <w:sz w:val="24"/>
                <w:highlight w:val="none"/>
              </w:rPr>
              <w:t>。项目用水包括实验用水</w:t>
            </w:r>
            <w:r>
              <w:rPr>
                <w:rFonts w:hint="eastAsia"/>
                <w:color w:val="auto"/>
                <w:sz w:val="24"/>
                <w:highlight w:val="none"/>
                <w:lang w:eastAsia="zh-CN"/>
              </w:rPr>
              <w:t>（</w:t>
            </w:r>
            <w:r>
              <w:rPr>
                <w:rFonts w:hint="eastAsia"/>
                <w:color w:val="auto"/>
                <w:sz w:val="24"/>
                <w:highlight w:val="none"/>
              </w:rPr>
              <w:t>检测用水、容器及器皿清洗用水</w:t>
            </w:r>
            <w:r>
              <w:rPr>
                <w:rFonts w:hint="eastAsia"/>
                <w:color w:val="auto"/>
                <w:sz w:val="24"/>
                <w:highlight w:val="none"/>
                <w:lang w:eastAsia="zh-CN"/>
              </w:rPr>
              <w:t>）</w:t>
            </w:r>
            <w:r>
              <w:rPr>
                <w:rFonts w:hint="eastAsia"/>
                <w:color w:val="auto"/>
                <w:sz w:val="24"/>
                <w:highlight w:val="none"/>
              </w:rPr>
              <w:t>和生活用水。项目检测过程使用超纯水</w:t>
            </w:r>
            <w:r>
              <w:rPr>
                <w:rFonts w:hint="eastAsia"/>
                <w:color w:val="auto"/>
                <w:sz w:val="24"/>
                <w:highlight w:val="none"/>
                <w:lang w:eastAsia="zh-CN"/>
              </w:rPr>
              <w:t>；</w:t>
            </w:r>
            <w:r>
              <w:rPr>
                <w:rFonts w:hint="eastAsia"/>
                <w:color w:val="auto"/>
                <w:sz w:val="24"/>
                <w:highlight w:val="none"/>
              </w:rPr>
              <w:t>容器、器皿一般清洗4~5次，头2~3次使用回用水</w:t>
            </w:r>
            <w:r>
              <w:rPr>
                <w:rFonts w:hint="eastAsia"/>
                <w:color w:val="auto"/>
                <w:sz w:val="24"/>
                <w:highlight w:val="none"/>
                <w:lang w:eastAsia="zh-CN"/>
              </w:rPr>
              <w:t>（</w:t>
            </w:r>
            <w:r>
              <w:rPr>
                <w:rFonts w:hint="eastAsia"/>
                <w:color w:val="auto"/>
                <w:sz w:val="24"/>
                <w:highlight w:val="none"/>
              </w:rPr>
              <w:t>超纯水机排出的浓盐水</w:t>
            </w:r>
            <w:r>
              <w:rPr>
                <w:rFonts w:hint="eastAsia"/>
                <w:color w:val="auto"/>
                <w:sz w:val="24"/>
                <w:highlight w:val="none"/>
                <w:lang w:eastAsia="zh-CN"/>
              </w:rPr>
              <w:t>）</w:t>
            </w:r>
            <w:r>
              <w:rPr>
                <w:rFonts w:hint="eastAsia"/>
                <w:color w:val="auto"/>
                <w:sz w:val="24"/>
                <w:highlight w:val="none"/>
              </w:rPr>
              <w:t>，后几次使用纯水。</w:t>
            </w:r>
          </w:p>
          <w:p w14:paraId="5DD6B96C">
            <w:pPr>
              <w:adjustRightInd w:val="0"/>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本</w:t>
            </w:r>
            <w:r>
              <w:rPr>
                <w:rFonts w:hint="eastAsia"/>
                <w:color w:val="auto"/>
                <w:sz w:val="24"/>
                <w:highlight w:val="none"/>
              </w:rPr>
              <w:t>项目</w:t>
            </w:r>
            <w:r>
              <w:rPr>
                <w:rFonts w:hint="eastAsia"/>
                <w:color w:val="auto"/>
                <w:sz w:val="24"/>
                <w:highlight w:val="none"/>
                <w:lang w:val="en-US" w:eastAsia="zh-CN"/>
              </w:rPr>
              <w:t>新增</w:t>
            </w:r>
            <w:r>
              <w:rPr>
                <w:rFonts w:hint="eastAsia"/>
                <w:color w:val="auto"/>
                <w:sz w:val="24"/>
                <w:highlight w:val="none"/>
              </w:rPr>
              <w:t>一台纯水超纯水一体机，可同时制备符合ASTMTypeI级标准超纯水和TypeⅡ级标准纯水。其工作原理是自来水经过精密滤芯和活性炭滤芯进行预处理，过滤泥沙等颗粒物和吸附异味等，让自来水变得更加干净，然后再通过反渗透装置进行水质纯化脱盐，纯化水进入储水箱储存起来。反渗透纯水通过纯化柱进行深度脱盐处理就得到纯水，纯水制备效率为50%，超纯水制备效率为40%。纯水超纯水一体机使用时会产生浓盐水和废</w:t>
            </w:r>
            <w:r>
              <w:rPr>
                <w:rFonts w:hint="eastAsia"/>
                <w:color w:val="auto"/>
                <w:sz w:val="24"/>
                <w:highlight w:val="none"/>
                <w:lang w:val="en-US" w:eastAsia="zh-CN"/>
              </w:rPr>
              <w:t>滤芯</w:t>
            </w:r>
            <w:r>
              <w:rPr>
                <w:rFonts w:hint="eastAsia"/>
                <w:color w:val="auto"/>
                <w:sz w:val="24"/>
                <w:highlight w:val="none"/>
              </w:rPr>
              <w:t>。</w:t>
            </w:r>
          </w:p>
          <w:p w14:paraId="23CC1AB0">
            <w:pPr>
              <w:pStyle w:val="26"/>
              <w:keepNext w:val="0"/>
              <w:keepLines w:val="0"/>
              <w:pageBreakBefore w:val="0"/>
              <w:widowControl w:val="0"/>
              <w:kinsoku/>
              <w:wordWrap/>
              <w:overflowPunct/>
              <w:topLinePunct w:val="0"/>
              <w:autoSpaceDE/>
              <w:autoSpaceDN/>
              <w:bidi w:val="0"/>
              <w:adjustRightInd w:val="0"/>
              <w:snapToGrid w:val="0"/>
              <w:spacing w:after="0"/>
              <w:ind w:left="0" w:leftChars="0"/>
              <w:textAlignment w:val="auto"/>
              <w:rPr>
                <w:rFonts w:hint="eastAsia"/>
                <w:color w:val="auto"/>
                <w:sz w:val="24"/>
                <w:highlight w:val="none"/>
                <w:lang w:val="en-US" w:eastAsia="zh-CN"/>
              </w:rPr>
            </w:pPr>
            <w:r>
              <w:rPr>
                <w:rFonts w:hint="eastAsia"/>
                <w:color w:val="auto"/>
                <w:sz w:val="24"/>
                <w:highlight w:val="none"/>
                <w:lang w:val="en-US" w:eastAsia="zh-CN"/>
              </w:rPr>
              <w:t>①实验室用水</w:t>
            </w:r>
          </w:p>
          <w:p w14:paraId="1730CD2C">
            <w:pPr>
              <w:pStyle w:val="26"/>
              <w:keepNext w:val="0"/>
              <w:keepLines w:val="0"/>
              <w:pageBreakBefore w:val="0"/>
              <w:widowControl w:val="0"/>
              <w:kinsoku/>
              <w:wordWrap/>
              <w:overflowPunct/>
              <w:topLinePunct w:val="0"/>
              <w:autoSpaceDE/>
              <w:autoSpaceDN/>
              <w:bidi w:val="0"/>
              <w:adjustRightInd w:val="0"/>
              <w:snapToGrid w:val="0"/>
              <w:spacing w:after="0"/>
              <w:ind w:left="0" w:leftChars="0"/>
              <w:textAlignment w:val="auto"/>
              <w:rPr>
                <w:rFonts w:hint="default" w:ascii="Times New Roman" w:hAnsi="Times New Roman" w:cs="Times New Roman"/>
                <w:color w:val="0000FF"/>
                <w:sz w:val="24"/>
                <w:highlight w:val="none"/>
                <w:lang w:val="en-US" w:eastAsia="zh-CN"/>
              </w:rPr>
            </w:pPr>
            <w:r>
              <w:rPr>
                <w:rFonts w:hint="default" w:ascii="Times New Roman" w:hAnsi="Times New Roman" w:cs="Times New Roman"/>
                <w:color w:val="0000FF"/>
                <w:sz w:val="24"/>
                <w:highlight w:val="none"/>
                <w:lang w:val="en-US" w:eastAsia="zh-CN"/>
              </w:rPr>
              <w:t>项目检测超纯水用量</w:t>
            </w:r>
            <w:r>
              <w:rPr>
                <w:rFonts w:hint="eastAsia" w:ascii="Times New Roman" w:cs="Times New Roman"/>
                <w:color w:val="0000FF"/>
                <w:sz w:val="24"/>
                <w:highlight w:val="none"/>
                <w:lang w:val="en-US" w:eastAsia="zh-CN"/>
              </w:rPr>
              <w:t>约</w:t>
            </w:r>
            <w:r>
              <w:rPr>
                <w:rFonts w:hint="default" w:ascii="Times New Roman" w:hAnsi="Times New Roman" w:cs="Times New Roman"/>
                <w:color w:val="0000FF"/>
                <w:sz w:val="24"/>
                <w:highlight w:val="none"/>
                <w:lang w:val="en-US" w:eastAsia="zh-CN"/>
              </w:rPr>
              <w:t>为</w:t>
            </w:r>
            <w:r>
              <w:rPr>
                <w:rFonts w:hint="eastAsia" w:ascii="Times New Roman" w:cs="Times New Roman"/>
                <w:color w:val="0000FF"/>
                <w:sz w:val="24"/>
                <w:highlight w:val="none"/>
                <w:lang w:val="en-US" w:eastAsia="zh-CN"/>
              </w:rPr>
              <w:t>0.2</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/d</w:t>
            </w:r>
            <w:r>
              <w:rPr>
                <w:rFonts w:hint="eastAsia" w:ascii="Times New Roman" w:hAnsi="Times New Roman" w:cs="Times New Roman"/>
                <w:color w:val="0000FF"/>
                <w:sz w:val="24"/>
                <w:highlight w:val="none"/>
                <w:lang w:val="en-US" w:eastAsia="zh-CN"/>
              </w:rPr>
              <w:t>（</w:t>
            </w:r>
            <w:r>
              <w:rPr>
                <w:rFonts w:hint="eastAsia" w:ascii="Times New Roman" w:cs="Times New Roman"/>
                <w:color w:val="0000FF"/>
                <w:sz w:val="24"/>
                <w:highlight w:val="none"/>
                <w:lang w:val="en-US" w:eastAsia="zh-CN"/>
              </w:rPr>
              <w:t>52</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w:t>
            </w:r>
            <w:r>
              <w:rPr>
                <w:rFonts w:hint="eastAsia" w:ascii="Times New Roman" w:hAnsi="Times New Roman" w:cs="Times New Roman"/>
                <w:color w:val="0000FF"/>
                <w:sz w:val="24"/>
                <w:highlight w:val="none"/>
                <w:lang w:val="en-US" w:eastAsia="zh-CN"/>
              </w:rPr>
              <w:t>）</w:t>
            </w:r>
            <w:r>
              <w:rPr>
                <w:rFonts w:hint="default" w:ascii="Times New Roman" w:hAnsi="Times New Roman" w:cs="Times New Roman"/>
                <w:color w:val="auto"/>
                <w:sz w:val="24"/>
                <w:highlight w:val="none"/>
                <w:lang w:val="en-US" w:eastAsia="zh-CN"/>
              </w:rPr>
              <w:t>，容器、器皿清洗用水量为</w:t>
            </w:r>
            <w:r>
              <w:rPr>
                <w:rFonts w:hint="eastAsia" w:ascii="Times New Roman" w:cs="Times New Roman"/>
                <w:color w:val="0000FF"/>
                <w:sz w:val="24"/>
                <w:highlight w:val="none"/>
                <w:lang w:val="en-US" w:eastAsia="zh-CN"/>
              </w:rPr>
              <w:t>2.44</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/d</w:t>
            </w:r>
            <w:r>
              <w:rPr>
                <w:rFonts w:hint="eastAsia" w:ascii="Times New Roman" w:hAnsi="Times New Roman" w:cs="Times New Roman"/>
                <w:color w:val="0000FF"/>
                <w:sz w:val="24"/>
                <w:highlight w:val="none"/>
                <w:lang w:val="en-US" w:eastAsia="zh-CN"/>
              </w:rPr>
              <w:t>（</w:t>
            </w:r>
            <w:r>
              <w:rPr>
                <w:rFonts w:hint="eastAsia" w:ascii="Times New Roman" w:cs="Times New Roman"/>
                <w:color w:val="0000FF"/>
                <w:sz w:val="24"/>
                <w:highlight w:val="none"/>
                <w:lang w:val="en-US" w:eastAsia="zh-CN"/>
              </w:rPr>
              <w:t>635</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w:t>
            </w:r>
            <w:r>
              <w:rPr>
                <w:rFonts w:hint="eastAsia" w:ascii="Times New Roman" w:hAnsi="Times New Roman" w:cs="Times New Roman"/>
                <w:color w:val="0000FF"/>
                <w:sz w:val="24"/>
                <w:highlight w:val="none"/>
                <w:lang w:val="en-US" w:eastAsia="zh-CN"/>
              </w:rPr>
              <w:t>）</w:t>
            </w:r>
            <w:r>
              <w:rPr>
                <w:rFonts w:hint="default" w:ascii="Times New Roman" w:hAnsi="Times New Roman" w:cs="Times New Roman"/>
                <w:color w:val="0000FF"/>
                <w:sz w:val="24"/>
                <w:highlight w:val="none"/>
                <w:lang w:val="en-US" w:eastAsia="zh-CN"/>
              </w:rPr>
              <w:t>，其中纯水为</w:t>
            </w:r>
            <w:r>
              <w:rPr>
                <w:rFonts w:hint="eastAsia" w:ascii="Times New Roman" w:cs="Times New Roman"/>
                <w:color w:val="0000FF"/>
                <w:sz w:val="24"/>
                <w:highlight w:val="none"/>
                <w:lang w:val="en-US" w:eastAsia="zh-CN"/>
              </w:rPr>
              <w:t>1.07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/d</w:t>
            </w:r>
            <w:r>
              <w:rPr>
                <w:rFonts w:hint="eastAsia" w:ascii="Times New Roman" w:hAnsi="Times New Roman" w:cs="Times New Roman"/>
                <w:color w:val="0000FF"/>
                <w:sz w:val="24"/>
                <w:highlight w:val="none"/>
                <w:lang w:val="en-US" w:eastAsia="zh-CN"/>
              </w:rPr>
              <w:t>（</w:t>
            </w:r>
            <w:r>
              <w:rPr>
                <w:rFonts w:hint="eastAsia" w:ascii="Times New Roman" w:cs="Times New Roman"/>
                <w:color w:val="0000FF"/>
                <w:sz w:val="24"/>
                <w:highlight w:val="none"/>
                <w:lang w:val="en-US" w:eastAsia="zh-CN"/>
              </w:rPr>
              <w:t>278</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w:t>
            </w:r>
            <w:r>
              <w:rPr>
                <w:rFonts w:hint="eastAsia" w:ascii="Times New Roman" w:hAnsi="Times New Roman" w:cs="Times New Roman"/>
                <w:color w:val="0000FF"/>
                <w:sz w:val="24"/>
                <w:highlight w:val="none"/>
                <w:lang w:val="en-US" w:eastAsia="zh-CN"/>
              </w:rPr>
              <w:t>）</w:t>
            </w:r>
            <w:r>
              <w:rPr>
                <w:rFonts w:hint="default" w:ascii="Times New Roman" w:hAnsi="Times New Roman" w:cs="Times New Roman"/>
                <w:color w:val="0000FF"/>
                <w:sz w:val="24"/>
                <w:highlight w:val="none"/>
                <w:lang w:val="en-US" w:eastAsia="zh-CN"/>
              </w:rPr>
              <w:t>，回用水为</w:t>
            </w:r>
            <w:r>
              <w:rPr>
                <w:rFonts w:hint="eastAsia" w:ascii="Times New Roman" w:cs="Times New Roman"/>
                <w:color w:val="0000FF"/>
                <w:sz w:val="24"/>
                <w:highlight w:val="none"/>
                <w:lang w:val="en-US" w:eastAsia="zh-CN"/>
              </w:rPr>
              <w:t>1.37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/d</w:t>
            </w:r>
            <w:r>
              <w:rPr>
                <w:rFonts w:hint="eastAsia" w:ascii="Times New Roman" w:hAnsi="Times New Roman" w:cs="Times New Roman"/>
                <w:color w:val="0000FF"/>
                <w:sz w:val="24"/>
                <w:highlight w:val="none"/>
                <w:lang w:val="en-US" w:eastAsia="zh-CN"/>
              </w:rPr>
              <w:t>（</w:t>
            </w:r>
            <w:r>
              <w:rPr>
                <w:rFonts w:hint="eastAsia" w:ascii="Times New Roman" w:cs="Times New Roman"/>
                <w:color w:val="0000FF"/>
                <w:sz w:val="24"/>
                <w:highlight w:val="none"/>
                <w:lang w:val="en-US" w:eastAsia="zh-CN"/>
              </w:rPr>
              <w:t>357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w:t>
            </w:r>
            <w:r>
              <w:rPr>
                <w:rFonts w:hint="eastAsia" w:ascii="Times New Roman" w:hAnsi="Times New Roman" w:cs="Times New Roman"/>
                <w:color w:val="0000FF"/>
                <w:sz w:val="24"/>
                <w:highlight w:val="none"/>
                <w:lang w:val="en-US" w:eastAsia="zh-CN"/>
              </w:rPr>
              <w:t>）</w:t>
            </w:r>
            <w:r>
              <w:rPr>
                <w:rFonts w:hint="default" w:ascii="Times New Roman" w:hAnsi="Times New Roman" w:cs="Times New Roman"/>
                <w:color w:val="0000FF"/>
                <w:sz w:val="24"/>
                <w:highlight w:val="none"/>
                <w:lang w:val="en-US" w:eastAsia="zh-CN"/>
              </w:rPr>
              <w:t>。</w:t>
            </w:r>
          </w:p>
          <w:p w14:paraId="2B7BBD79">
            <w:pPr>
              <w:pStyle w:val="26"/>
              <w:keepNext w:val="0"/>
              <w:keepLines w:val="0"/>
              <w:pageBreakBefore w:val="0"/>
              <w:widowControl w:val="0"/>
              <w:kinsoku/>
              <w:wordWrap/>
              <w:overflowPunct/>
              <w:topLinePunct w:val="0"/>
              <w:autoSpaceDE/>
              <w:autoSpaceDN/>
              <w:bidi w:val="0"/>
              <w:adjustRightInd w:val="0"/>
              <w:snapToGrid w:val="0"/>
              <w:spacing w:after="0"/>
              <w:ind w:left="0" w:leftChars="0"/>
              <w:textAlignment w:val="auto"/>
              <w:rPr>
                <w:rFonts w:hint="default" w:ascii="Times New Roman" w:hAnsi="Times New Roman" w:cs="Times New Roman"/>
                <w:color w:val="0000FF"/>
                <w:sz w:val="24"/>
                <w:highlight w:val="none"/>
                <w:lang w:val="en-US" w:eastAsia="zh-CN"/>
              </w:rPr>
            </w:pPr>
            <w:r>
              <w:rPr>
                <w:rFonts w:hint="default" w:ascii="Times New Roman" w:hAnsi="Times New Roman" w:cs="Times New Roman"/>
                <w:color w:val="0000FF"/>
                <w:sz w:val="24"/>
                <w:highlight w:val="none"/>
                <w:lang w:val="en-US" w:eastAsia="zh-CN"/>
              </w:rPr>
              <w:t>项目制备超纯水所用的自来水用量约</w:t>
            </w:r>
            <w:r>
              <w:rPr>
                <w:rFonts w:hint="eastAsia" w:ascii="Times New Roman" w:cs="Times New Roman"/>
                <w:color w:val="0000FF"/>
                <w:sz w:val="24"/>
                <w:highlight w:val="none"/>
                <w:lang w:val="en-US" w:eastAsia="zh-CN"/>
              </w:rPr>
              <w:t>130</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/a，制备纯水所用的自来水用量约</w:t>
            </w:r>
            <w:r>
              <w:rPr>
                <w:rFonts w:hint="eastAsia" w:ascii="Times New Roman" w:cs="Times New Roman"/>
                <w:color w:val="0000FF"/>
                <w:sz w:val="24"/>
                <w:highlight w:val="none"/>
                <w:lang w:val="en-US" w:eastAsia="zh-CN"/>
              </w:rPr>
              <w:t>557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/a，则项目实验室自来水总用量为</w:t>
            </w:r>
            <w:r>
              <w:rPr>
                <w:rFonts w:hint="eastAsia" w:ascii="Times New Roman" w:cs="Times New Roman"/>
                <w:color w:val="0000FF"/>
                <w:sz w:val="24"/>
                <w:highlight w:val="none"/>
                <w:lang w:val="en-US" w:eastAsia="zh-CN"/>
              </w:rPr>
              <w:t>687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default" w:ascii="Times New Roman" w:hAnsi="Times New Roman" w:cs="Times New Roman"/>
                <w:color w:val="0000FF"/>
                <w:sz w:val="24"/>
                <w:highlight w:val="none"/>
                <w:lang w:val="en-US" w:eastAsia="zh-CN"/>
              </w:rPr>
              <w:t>/a。</w:t>
            </w:r>
          </w:p>
          <w:p w14:paraId="6823AAF5">
            <w:pPr>
              <w:pStyle w:val="26"/>
              <w:keepNext w:val="0"/>
              <w:keepLines w:val="0"/>
              <w:pageBreakBefore w:val="0"/>
              <w:widowControl w:val="0"/>
              <w:kinsoku/>
              <w:wordWrap/>
              <w:overflowPunct/>
              <w:topLinePunct w:val="0"/>
              <w:autoSpaceDE/>
              <w:autoSpaceDN/>
              <w:bidi w:val="0"/>
              <w:adjustRightInd w:val="0"/>
              <w:snapToGrid w:val="0"/>
              <w:spacing w:after="0"/>
              <w:ind w:left="0" w:leftChars="0"/>
              <w:textAlignment w:val="auto"/>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②生活用水</w:t>
            </w:r>
          </w:p>
          <w:p w14:paraId="7D14A6D4">
            <w:pPr>
              <w:pStyle w:val="26"/>
              <w:keepNext w:val="0"/>
              <w:keepLines w:val="0"/>
              <w:pageBreakBefore w:val="0"/>
              <w:widowControl w:val="0"/>
              <w:kinsoku/>
              <w:wordWrap/>
              <w:overflowPunct/>
              <w:topLinePunct w:val="0"/>
              <w:autoSpaceDE/>
              <w:autoSpaceDN/>
              <w:bidi w:val="0"/>
              <w:adjustRightInd w:val="0"/>
              <w:snapToGrid w:val="0"/>
              <w:spacing w:after="0"/>
              <w:ind w:left="0" w:leftChars="0"/>
              <w:textAlignment w:val="auto"/>
              <w:rPr>
                <w:rFonts w:hint="default" w:eastAsia="宋体"/>
                <w:color w:val="auto"/>
                <w:highlight w:val="none"/>
                <w:lang w:val="en-US" w:eastAsia="zh-CN"/>
              </w:rPr>
            </w:pPr>
            <w:r>
              <w:rPr>
                <w:rFonts w:hint="default" w:ascii="Times New Roman" w:hAnsi="Times New Roman" w:cs="Times New Roman"/>
                <w:color w:val="auto"/>
                <w:sz w:val="24"/>
                <w:highlight w:val="none"/>
                <w:lang w:val="en-US" w:eastAsia="zh-CN"/>
              </w:rPr>
              <w:t>本项目不新增劳动定员，故不新增生活污水</w:t>
            </w:r>
            <w:r>
              <w:rPr>
                <w:rFonts w:hint="eastAsia" w:ascii="Times New Roman" w:hAnsi="Times New Roman" w:cs="Times New Roman"/>
                <w:color w:val="auto"/>
                <w:sz w:val="24"/>
                <w:highlight w:val="none"/>
                <w:lang w:val="en-US" w:eastAsia="zh-CN"/>
              </w:rPr>
              <w:t>。</w:t>
            </w:r>
          </w:p>
          <w:p w14:paraId="027961C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eastAsia="宋体"/>
                <w:color w:val="auto"/>
                <w:sz w:val="24"/>
                <w:highlight w:val="none"/>
                <w:lang w:eastAsia="zh-CN"/>
              </w:rPr>
            </w:pPr>
            <w:r>
              <w:rPr>
                <w:color w:val="auto"/>
                <w:sz w:val="24"/>
                <w:highlight w:val="none"/>
              </w:rPr>
              <w:t>（</w:t>
            </w:r>
            <w:r>
              <w:rPr>
                <w:rFonts w:hint="eastAsia"/>
                <w:color w:val="auto"/>
                <w:sz w:val="24"/>
                <w:highlight w:val="none"/>
              </w:rPr>
              <w:t>2</w:t>
            </w:r>
            <w:r>
              <w:rPr>
                <w:color w:val="auto"/>
                <w:sz w:val="24"/>
                <w:highlight w:val="none"/>
              </w:rPr>
              <w:t>）</w:t>
            </w:r>
            <w:r>
              <w:rPr>
                <w:rFonts w:hint="eastAsia"/>
                <w:color w:val="auto"/>
                <w:sz w:val="24"/>
                <w:highlight w:val="none"/>
                <w:lang w:val="en-US" w:eastAsia="zh-CN"/>
              </w:rPr>
              <w:t>排水</w:t>
            </w:r>
          </w:p>
          <w:p w14:paraId="3BABCC4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color w:val="auto"/>
                <w:sz w:val="24"/>
                <w:highlight w:val="none"/>
              </w:rPr>
            </w:pPr>
            <w:r>
              <w:rPr>
                <w:rFonts w:hint="eastAsia"/>
                <w:color w:val="auto"/>
                <w:sz w:val="24"/>
                <w:highlight w:val="none"/>
              </w:rPr>
              <w:t>本项目</w:t>
            </w:r>
            <w:r>
              <w:rPr>
                <w:rFonts w:hint="eastAsia"/>
                <w:color w:val="auto"/>
                <w:sz w:val="24"/>
                <w:highlight w:val="none"/>
                <w:lang w:val="en-US" w:eastAsia="zh-CN"/>
              </w:rPr>
              <w:t>依托核工业二0三研究所现有排水系统，该系统</w:t>
            </w:r>
            <w:r>
              <w:rPr>
                <w:rFonts w:hint="eastAsia"/>
                <w:color w:val="auto"/>
                <w:sz w:val="24"/>
                <w:highlight w:val="none"/>
              </w:rPr>
              <w:t>采用雨污分流制，雨水汇集后依托研究所雨水管网排入厂外市政雨水管网。新增实验废水依托现有“酸碱中和+混凝沉淀”处理系统预处理后，与生活污水一并排入现有化粪池，最终排至沣东南污水处理厂。</w:t>
            </w:r>
          </w:p>
          <w:p w14:paraId="5B767FB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color w:val="auto"/>
                <w:sz w:val="24"/>
                <w:highlight w:val="none"/>
              </w:rPr>
            </w:pPr>
            <w:r>
              <w:rPr>
                <w:rFonts w:hint="eastAsia"/>
                <w:color w:val="auto"/>
                <w:sz w:val="24"/>
                <w:highlight w:val="none"/>
              </w:rPr>
              <w:t>本项目</w:t>
            </w:r>
            <w:r>
              <w:rPr>
                <w:rFonts w:hint="eastAsia"/>
                <w:color w:val="auto"/>
                <w:sz w:val="24"/>
                <w:highlight w:val="none"/>
                <w:lang w:val="en-US" w:eastAsia="zh-CN"/>
              </w:rPr>
              <w:t>不新增劳动定员，故不新增生活污水</w:t>
            </w:r>
            <w:r>
              <w:rPr>
                <w:rFonts w:hint="eastAsia"/>
                <w:color w:val="auto"/>
                <w:sz w:val="24"/>
                <w:highlight w:val="none"/>
              </w:rPr>
              <w:t>。</w:t>
            </w:r>
          </w:p>
          <w:p w14:paraId="1CC6A2B1">
            <w:pPr>
              <w:pStyle w:val="12"/>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napToGrid w:val="0"/>
                <w:color w:val="auto"/>
                <w:sz w:val="24"/>
                <w:highlight w:val="none"/>
              </w:rPr>
            </w:pPr>
            <w:r>
              <w:rPr>
                <w:snapToGrid w:val="0"/>
                <w:color w:val="auto"/>
                <w:sz w:val="24"/>
                <w:highlight w:val="none"/>
              </w:rPr>
              <w:t>本项目实验室</w:t>
            </w:r>
            <w:r>
              <w:rPr>
                <w:rFonts w:hint="eastAsia"/>
                <w:snapToGrid w:val="0"/>
                <w:color w:val="auto"/>
                <w:sz w:val="24"/>
                <w:highlight w:val="none"/>
                <w:lang w:val="en-US" w:eastAsia="zh-CN"/>
              </w:rPr>
              <w:t>产生的废水</w:t>
            </w:r>
            <w:r>
              <w:rPr>
                <w:snapToGrid w:val="0"/>
                <w:color w:val="auto"/>
                <w:sz w:val="24"/>
                <w:highlight w:val="none"/>
              </w:rPr>
              <w:t>主要包括</w:t>
            </w:r>
            <w:r>
              <w:rPr>
                <w:rFonts w:hint="eastAsia"/>
                <w:snapToGrid w:val="0"/>
                <w:color w:val="auto"/>
                <w:sz w:val="24"/>
                <w:highlight w:val="none"/>
                <w:lang w:eastAsia="zh-CN"/>
              </w:rPr>
              <w:t>：</w:t>
            </w:r>
            <w:r>
              <w:rPr>
                <w:rFonts w:hint="eastAsia"/>
                <w:snapToGrid w:val="0"/>
                <w:color w:val="auto"/>
                <w:sz w:val="24"/>
                <w:highlight w:val="none"/>
                <w:lang w:val="en-US" w:eastAsia="zh-CN"/>
              </w:rPr>
              <w:t>检测废液、清洗废水、纯水机排出的浓盐水</w:t>
            </w:r>
            <w:r>
              <w:rPr>
                <w:snapToGrid w:val="0"/>
                <w:color w:val="auto"/>
                <w:sz w:val="24"/>
                <w:highlight w:val="none"/>
              </w:rPr>
              <w:t>。</w:t>
            </w:r>
          </w:p>
          <w:p w14:paraId="02B218A0">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napToGrid w:val="0"/>
                <w:color w:val="auto"/>
                <w:sz w:val="24"/>
                <w:highlight w:val="none"/>
                <w:lang w:eastAsia="zh-CN"/>
              </w:rPr>
            </w:pPr>
            <w:r>
              <w:rPr>
                <w:rFonts w:hint="eastAsia"/>
                <w:snapToGrid w:val="0"/>
                <w:color w:val="auto"/>
                <w:sz w:val="24"/>
                <w:highlight w:val="none"/>
                <w:lang w:eastAsia="zh-CN"/>
              </w:rPr>
              <w:t>①检测废液</w:t>
            </w:r>
          </w:p>
          <w:p w14:paraId="62C235F9">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napToGrid w:val="0"/>
                <w:color w:val="auto"/>
                <w:sz w:val="24"/>
                <w:highlight w:val="none"/>
                <w:lang w:eastAsia="zh-CN"/>
              </w:rPr>
            </w:pPr>
            <w:r>
              <w:rPr>
                <w:rFonts w:hint="eastAsia"/>
                <w:snapToGrid w:val="0"/>
                <w:color w:val="0000FF"/>
                <w:sz w:val="24"/>
                <w:highlight w:val="none"/>
                <w:lang w:eastAsia="zh-CN"/>
              </w:rPr>
              <w:t>本项目检测用水量为</w:t>
            </w:r>
            <w:r>
              <w:rPr>
                <w:rFonts w:hint="eastAsia"/>
                <w:snapToGrid w:val="0"/>
                <w:color w:val="0000FF"/>
                <w:sz w:val="24"/>
                <w:highlight w:val="none"/>
                <w:lang w:val="en-US" w:eastAsia="zh-CN"/>
              </w:rPr>
              <w:t>52</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eastAsia"/>
                <w:snapToGrid w:val="0"/>
                <w:color w:val="0000FF"/>
                <w:sz w:val="24"/>
                <w:highlight w:val="none"/>
                <w:lang w:eastAsia="zh-CN"/>
              </w:rPr>
              <w:t>/a，检测废液产生量约为</w:t>
            </w:r>
            <w:r>
              <w:rPr>
                <w:rFonts w:hint="eastAsia"/>
                <w:snapToGrid w:val="0"/>
                <w:color w:val="0000FF"/>
                <w:sz w:val="24"/>
                <w:highlight w:val="none"/>
                <w:lang w:val="en-US" w:eastAsia="zh-CN"/>
              </w:rPr>
              <w:t>52</w:t>
            </w:r>
            <w:r>
              <w:rPr>
                <w:rFonts w:hint="eastAsia"/>
                <w:snapToGrid w:val="0"/>
                <w:color w:val="0000FF"/>
                <w:sz w:val="24"/>
                <w:highlight w:val="none"/>
                <w:lang w:eastAsia="zh-CN"/>
              </w:rPr>
              <w:t>t/a。</w:t>
            </w:r>
            <w:r>
              <w:rPr>
                <w:rFonts w:hint="eastAsia"/>
                <w:snapToGrid w:val="0"/>
                <w:color w:val="auto"/>
                <w:sz w:val="24"/>
                <w:highlight w:val="none"/>
                <w:lang w:val="en-US" w:eastAsia="zh-CN"/>
              </w:rPr>
              <w:t>该废液</w:t>
            </w:r>
            <w:r>
              <w:rPr>
                <w:snapToGrid w:val="0"/>
                <w:color w:val="auto"/>
                <w:sz w:val="24"/>
                <w:highlight w:val="none"/>
              </w:rPr>
              <w:t>作为危废集中收集暂存于危废</w:t>
            </w:r>
            <w:r>
              <w:rPr>
                <w:rFonts w:hint="eastAsia"/>
                <w:snapToGrid w:val="0"/>
                <w:color w:val="auto"/>
                <w:sz w:val="24"/>
                <w:highlight w:val="none"/>
                <w:lang w:val="en-US" w:eastAsia="zh-CN"/>
              </w:rPr>
              <w:t>贮存库</w:t>
            </w:r>
            <w:r>
              <w:rPr>
                <w:snapToGrid w:val="0"/>
                <w:color w:val="auto"/>
                <w:sz w:val="24"/>
                <w:highlight w:val="none"/>
              </w:rPr>
              <w:t>，后交资质单位处置</w:t>
            </w:r>
            <w:r>
              <w:rPr>
                <w:rFonts w:ascii="Times New Roman" w:hAnsi="Times New Roman" w:eastAsia="宋体" w:cs="Times New Roman"/>
                <w:snapToGrid w:val="0"/>
                <w:color w:val="auto"/>
                <w:sz w:val="24"/>
                <w:highlight w:val="none"/>
              </w:rPr>
              <w:t>。</w:t>
            </w:r>
          </w:p>
          <w:p w14:paraId="4C6F3019">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napToGrid w:val="0"/>
                <w:color w:val="auto"/>
                <w:sz w:val="24"/>
                <w:highlight w:val="none"/>
                <w:lang w:eastAsia="zh-CN"/>
              </w:rPr>
            </w:pPr>
            <w:r>
              <w:rPr>
                <w:rFonts w:hint="eastAsia"/>
                <w:snapToGrid w:val="0"/>
                <w:color w:val="auto"/>
                <w:sz w:val="24"/>
                <w:highlight w:val="none"/>
                <w:lang w:eastAsia="zh-CN"/>
              </w:rPr>
              <w:t>②容器、器皿清洗废水</w:t>
            </w:r>
          </w:p>
          <w:p w14:paraId="47AF8FED">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snapToGrid w:val="0"/>
                <w:color w:val="auto"/>
                <w:sz w:val="24"/>
                <w:highlight w:val="none"/>
                <w:lang w:val="en-US" w:eastAsia="zh-CN"/>
              </w:rPr>
            </w:pPr>
            <w:r>
              <w:rPr>
                <w:rFonts w:hint="eastAsia"/>
                <w:snapToGrid w:val="0"/>
                <w:color w:val="auto"/>
                <w:sz w:val="24"/>
                <w:highlight w:val="none"/>
                <w:lang w:eastAsia="zh-CN"/>
              </w:rPr>
              <w:t>容器、器皿清洗废水产生量按用水量的90%计，则清洗废水产生量为</w:t>
            </w:r>
            <w:r>
              <w:rPr>
                <w:rFonts w:hint="eastAsia"/>
                <w:snapToGrid w:val="0"/>
                <w:color w:val="auto"/>
                <w:sz w:val="24"/>
                <w:highlight w:val="none"/>
                <w:lang w:val="en-US" w:eastAsia="zh-CN"/>
              </w:rPr>
              <w:t>571</w:t>
            </w:r>
            <w:r>
              <w:rPr>
                <w:rFonts w:hint="default" w:ascii="Times New Roman" w:hAnsi="Times New Roman" w:cs="Times New Roman"/>
                <w:color w:val="auto"/>
                <w:sz w:val="24"/>
                <w:highlight w:val="none"/>
                <w:lang w:val="en-US" w:eastAsia="zh-CN"/>
              </w:rPr>
              <w:t>m</w:t>
            </w:r>
            <w:r>
              <w:rPr>
                <w:rFonts w:hint="eastAsia" w:ascii="Times New Roman" w:hAnsi="Times New Roman" w:cs="Times New Roman"/>
                <w:color w:val="auto"/>
                <w:sz w:val="24"/>
                <w:highlight w:val="none"/>
                <w:vertAlign w:val="superscript"/>
                <w:lang w:val="en-US" w:eastAsia="zh-CN"/>
              </w:rPr>
              <w:t>3</w:t>
            </w:r>
            <w:r>
              <w:rPr>
                <w:rFonts w:hint="eastAsia"/>
                <w:snapToGrid w:val="0"/>
                <w:color w:val="auto"/>
                <w:sz w:val="24"/>
                <w:highlight w:val="none"/>
                <w:lang w:eastAsia="zh-CN"/>
              </w:rPr>
              <w:t>/a。</w:t>
            </w:r>
            <w:r>
              <w:rPr>
                <w:rFonts w:hint="eastAsia" w:cs="Times New Roman"/>
                <w:color w:val="auto"/>
                <w:sz w:val="24"/>
                <w:highlight w:val="none"/>
                <w:lang w:val="en-US" w:eastAsia="zh-CN"/>
              </w:rPr>
              <w:t>清洗废水</w:t>
            </w:r>
            <w:r>
              <w:rPr>
                <w:rFonts w:hint="eastAsia"/>
                <w:color w:val="auto"/>
                <w:sz w:val="24"/>
                <w:highlight w:val="none"/>
                <w:lang w:val="en-US" w:eastAsia="zh-CN"/>
              </w:rPr>
              <w:t>依托现有</w:t>
            </w:r>
            <w:r>
              <w:rPr>
                <w:rFonts w:hint="eastAsia"/>
                <w:color w:val="auto"/>
                <w:sz w:val="24"/>
                <w:highlight w:val="none"/>
              </w:rPr>
              <w:t>酸碱中和+混凝沉淀</w:t>
            </w:r>
            <w:r>
              <w:rPr>
                <w:rFonts w:hint="eastAsia"/>
                <w:color w:val="auto"/>
                <w:sz w:val="24"/>
                <w:highlight w:val="none"/>
                <w:lang w:val="en-US" w:eastAsia="zh-CN"/>
              </w:rPr>
              <w:t>设施</w:t>
            </w:r>
            <w:r>
              <w:rPr>
                <w:rFonts w:hint="eastAsia"/>
                <w:color w:val="auto"/>
                <w:sz w:val="24"/>
                <w:highlight w:val="none"/>
              </w:rPr>
              <w:t>处理</w:t>
            </w:r>
            <w:r>
              <w:rPr>
                <w:rFonts w:hint="eastAsia"/>
                <w:color w:val="auto"/>
                <w:sz w:val="24"/>
                <w:highlight w:val="none"/>
                <w:lang w:val="en-US" w:eastAsia="zh-CN"/>
              </w:rPr>
              <w:t>后</w:t>
            </w:r>
            <w:r>
              <w:rPr>
                <w:rFonts w:hint="eastAsia" w:ascii="Times New Roman" w:hAnsi="Times New Roman" w:eastAsia="宋体" w:cs="Times New Roman"/>
                <w:snapToGrid w:val="0"/>
                <w:color w:val="auto"/>
                <w:sz w:val="24"/>
                <w:highlight w:val="none"/>
              </w:rPr>
              <w:t>排入现有化粪池</w:t>
            </w:r>
            <w:r>
              <w:rPr>
                <w:rFonts w:hint="eastAsia" w:ascii="Times New Roman" w:hAnsi="Times New Roman" w:cs="Times New Roman"/>
                <w:snapToGrid w:val="0"/>
                <w:color w:val="auto"/>
                <w:sz w:val="24"/>
                <w:highlight w:val="none"/>
                <w:lang w:eastAsia="zh-CN"/>
              </w:rPr>
              <w:t>，</w:t>
            </w:r>
            <w:r>
              <w:rPr>
                <w:rFonts w:hint="eastAsia" w:ascii="Times New Roman" w:hAnsi="Times New Roman" w:eastAsia="宋体" w:cs="Times New Roman"/>
                <w:snapToGrid w:val="0"/>
                <w:color w:val="auto"/>
                <w:sz w:val="24"/>
                <w:highlight w:val="none"/>
              </w:rPr>
              <w:t>经市政排水管网排入</w:t>
            </w:r>
            <w:r>
              <w:rPr>
                <w:rFonts w:hint="eastAsia" w:ascii="Times New Roman" w:hAnsi="Times New Roman" w:cs="Times New Roman"/>
                <w:snapToGrid w:val="0"/>
                <w:color w:val="auto"/>
                <w:sz w:val="24"/>
                <w:highlight w:val="none"/>
                <w:lang w:val="en-US" w:eastAsia="zh-CN"/>
              </w:rPr>
              <w:t>沣东南</w:t>
            </w:r>
            <w:r>
              <w:rPr>
                <w:rFonts w:hint="eastAsia" w:ascii="Times New Roman" w:hAnsi="Times New Roman" w:eastAsia="宋体" w:cs="Times New Roman"/>
                <w:snapToGrid w:val="0"/>
                <w:color w:val="auto"/>
                <w:sz w:val="24"/>
                <w:highlight w:val="none"/>
                <w:lang w:eastAsia="zh-CN"/>
              </w:rPr>
              <w:t>污水处理厂。</w:t>
            </w:r>
          </w:p>
          <w:p w14:paraId="5F797CBC">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napToGrid w:val="0"/>
                <w:color w:val="auto"/>
                <w:sz w:val="24"/>
                <w:highlight w:val="none"/>
                <w:lang w:eastAsia="zh-CN"/>
              </w:rPr>
            </w:pPr>
            <w:r>
              <w:rPr>
                <w:rFonts w:hint="eastAsia"/>
                <w:snapToGrid w:val="0"/>
                <w:color w:val="auto"/>
                <w:sz w:val="24"/>
                <w:highlight w:val="none"/>
                <w:lang w:eastAsia="zh-CN"/>
              </w:rPr>
              <w:t>③超纯水机排出的浓盐水</w:t>
            </w:r>
          </w:p>
          <w:p w14:paraId="071C437E">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napToGrid w:val="0"/>
                <w:color w:val="auto"/>
                <w:sz w:val="24"/>
                <w:highlight w:val="none"/>
                <w:lang w:eastAsia="zh-CN"/>
              </w:rPr>
            </w:pPr>
            <w:r>
              <w:rPr>
                <w:rFonts w:hint="eastAsia"/>
                <w:snapToGrid w:val="0"/>
                <w:color w:val="auto"/>
                <w:sz w:val="24"/>
                <w:highlight w:val="none"/>
                <w:lang w:eastAsia="zh-CN"/>
              </w:rPr>
              <w:t>制超纯水、纯水过程会产生浓盐水，</w:t>
            </w:r>
            <w:r>
              <w:rPr>
                <w:rFonts w:hint="eastAsia"/>
                <w:snapToGrid w:val="0"/>
                <w:color w:val="0000FF"/>
                <w:sz w:val="24"/>
                <w:highlight w:val="none"/>
                <w:lang w:eastAsia="zh-CN"/>
              </w:rPr>
              <w:t>产生量约为</w:t>
            </w:r>
            <w:r>
              <w:rPr>
                <w:rFonts w:hint="eastAsia"/>
                <w:snapToGrid w:val="0"/>
                <w:color w:val="0000FF"/>
                <w:sz w:val="24"/>
                <w:highlight w:val="none"/>
                <w:lang w:val="en-US" w:eastAsia="zh-CN"/>
              </w:rPr>
              <w:t>357</w:t>
            </w:r>
            <w:r>
              <w:rPr>
                <w:rFonts w:hint="default" w:ascii="Times New Roman" w:hAnsi="Times New Roman" w:cs="Times New Roman"/>
                <w:color w:val="0000FF"/>
                <w:sz w:val="24"/>
                <w:highlight w:val="none"/>
                <w:lang w:val="en-US" w:eastAsia="zh-CN"/>
              </w:rPr>
              <w:t>m</w:t>
            </w:r>
            <w:r>
              <w:rPr>
                <w:rFonts w:hint="eastAsia" w:ascii="Times New Roman" w:hAnsi="Times New Roman" w:cs="Times New Roman"/>
                <w:color w:val="0000FF"/>
                <w:sz w:val="24"/>
                <w:highlight w:val="none"/>
                <w:vertAlign w:val="superscript"/>
                <w:lang w:val="en-US" w:eastAsia="zh-CN"/>
              </w:rPr>
              <w:t>3</w:t>
            </w:r>
            <w:r>
              <w:rPr>
                <w:rFonts w:hint="eastAsia"/>
                <w:snapToGrid w:val="0"/>
                <w:color w:val="0000FF"/>
                <w:sz w:val="24"/>
                <w:highlight w:val="none"/>
                <w:lang w:eastAsia="zh-CN"/>
              </w:rPr>
              <w:t>/a</w:t>
            </w:r>
            <w:r>
              <w:rPr>
                <w:rFonts w:hint="eastAsia"/>
                <w:snapToGrid w:val="0"/>
                <w:color w:val="auto"/>
                <w:sz w:val="24"/>
                <w:highlight w:val="none"/>
                <w:lang w:eastAsia="zh-CN"/>
              </w:rPr>
              <w:t>，浓盐水全部回用于容器器皿清洗。</w:t>
            </w:r>
          </w:p>
          <w:p w14:paraId="7200BF87">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snapToGrid w:val="0"/>
                <w:color w:val="auto"/>
                <w:sz w:val="24"/>
                <w:highlight w:val="none"/>
                <w:lang w:val="en-US" w:eastAsia="zh-CN"/>
              </w:rPr>
            </w:pPr>
            <w:r>
              <w:rPr>
                <w:rFonts w:hint="eastAsia"/>
                <w:snapToGrid w:val="0"/>
                <w:color w:val="auto"/>
                <w:sz w:val="24"/>
                <w:highlight w:val="none"/>
                <w:lang w:val="en-US" w:eastAsia="zh-CN"/>
              </w:rPr>
              <w:t>废水排放总量为571</w:t>
            </w:r>
            <w:r>
              <w:rPr>
                <w:rFonts w:hint="default" w:ascii="Times New Roman" w:hAnsi="Times New Roman" w:cs="Times New Roman"/>
                <w:color w:val="auto"/>
                <w:sz w:val="24"/>
                <w:highlight w:val="none"/>
                <w:lang w:val="en-US" w:eastAsia="zh-CN"/>
              </w:rPr>
              <w:t>m</w:t>
            </w:r>
            <w:r>
              <w:rPr>
                <w:rFonts w:hint="eastAsia" w:ascii="Times New Roman" w:hAnsi="Times New Roman" w:cs="Times New Roman"/>
                <w:color w:val="auto"/>
                <w:sz w:val="24"/>
                <w:highlight w:val="none"/>
                <w:vertAlign w:val="superscript"/>
                <w:lang w:val="en-US" w:eastAsia="zh-CN"/>
              </w:rPr>
              <w:t>3</w:t>
            </w:r>
            <w:r>
              <w:rPr>
                <w:rFonts w:hint="eastAsia"/>
                <w:snapToGrid w:val="0"/>
                <w:color w:val="auto"/>
                <w:sz w:val="24"/>
                <w:highlight w:val="none"/>
                <w:lang w:eastAsia="zh-CN"/>
              </w:rPr>
              <w:t>/a。</w:t>
            </w:r>
          </w:p>
          <w:p w14:paraId="51F88AAB">
            <w:pPr>
              <w:adjustRightInd w:val="0"/>
              <w:snapToGrid w:val="0"/>
              <w:spacing w:line="360" w:lineRule="auto"/>
              <w:ind w:firstLine="480" w:firstLineChars="200"/>
              <w:rPr>
                <w:rFonts w:hint="eastAsia"/>
                <w:snapToGrid w:val="0"/>
                <w:color w:val="auto"/>
                <w:sz w:val="24"/>
                <w:highlight w:val="none"/>
                <w:lang w:val="en-US" w:eastAsia="zh-CN"/>
              </w:rPr>
            </w:pPr>
            <w:r>
              <w:rPr>
                <w:snapToGrid w:val="0"/>
                <w:color w:val="auto"/>
                <w:sz w:val="24"/>
                <w:highlight w:val="none"/>
              </w:rPr>
              <w:t>本项目</w:t>
            </w:r>
            <w:r>
              <w:rPr>
                <w:rFonts w:hint="eastAsia"/>
                <w:snapToGrid w:val="0"/>
                <w:color w:val="auto"/>
                <w:sz w:val="24"/>
                <w:highlight w:val="none"/>
                <w:lang w:val="en-US" w:eastAsia="zh-CN"/>
              </w:rPr>
              <w:t>扩建工程</w:t>
            </w:r>
            <w:r>
              <w:rPr>
                <w:snapToGrid w:val="0"/>
                <w:color w:val="auto"/>
                <w:sz w:val="24"/>
                <w:highlight w:val="none"/>
              </w:rPr>
              <w:t>水平衡见图</w:t>
            </w:r>
            <w:r>
              <w:rPr>
                <w:rFonts w:hint="eastAsia"/>
                <w:snapToGrid w:val="0"/>
                <w:color w:val="auto"/>
                <w:sz w:val="24"/>
                <w:highlight w:val="none"/>
                <w:lang w:val="en-US" w:eastAsia="zh-CN"/>
              </w:rPr>
              <w:t>2-</w:t>
            </w:r>
            <w:r>
              <w:rPr>
                <w:rFonts w:hint="eastAsia"/>
                <w:snapToGrid w:val="0"/>
                <w:color w:val="auto"/>
                <w:sz w:val="24"/>
                <w:highlight w:val="none"/>
              </w:rPr>
              <w:t>1</w:t>
            </w:r>
            <w:r>
              <w:rPr>
                <w:rFonts w:hint="eastAsia"/>
                <w:snapToGrid w:val="0"/>
                <w:color w:val="auto"/>
                <w:sz w:val="24"/>
                <w:highlight w:val="none"/>
                <w:lang w:eastAsia="zh-CN"/>
              </w:rPr>
              <w:t>。</w:t>
            </w:r>
            <w:r>
              <w:rPr>
                <w:rFonts w:hint="eastAsia"/>
                <w:snapToGrid w:val="0"/>
                <w:color w:val="auto"/>
                <w:sz w:val="24"/>
                <w:highlight w:val="none"/>
                <w:lang w:val="en-US" w:eastAsia="zh-CN"/>
              </w:rPr>
              <w:t>扩建后全厂水平衡见图2-2。</w:t>
            </w:r>
          </w:p>
          <w:p w14:paraId="03816416">
            <w:pPr>
              <w:adjustRightInd w:val="0"/>
              <w:snapToGrid w:val="0"/>
              <w:spacing w:line="360" w:lineRule="auto"/>
              <w:ind w:firstLine="480" w:firstLineChars="200"/>
              <w:rPr>
                <w:rFonts w:hint="eastAsia"/>
                <w:snapToGrid w:val="0"/>
                <w:color w:val="auto"/>
                <w:sz w:val="24"/>
                <w:highlight w:val="none"/>
                <w:lang w:val="en-US" w:eastAsia="zh-CN"/>
              </w:rPr>
            </w:pPr>
          </w:p>
          <w:p w14:paraId="23FDA5E5">
            <w:pPr>
              <w:adjustRightInd w:val="0"/>
              <w:snapToGrid w:val="0"/>
              <w:spacing w:line="360" w:lineRule="auto"/>
              <w:jc w:val="center"/>
              <w:rPr>
                <w:rFonts w:hint="eastAsia" w:eastAsia="宋体"/>
                <w:b/>
                <w:color w:val="auto"/>
                <w:szCs w:val="21"/>
                <w:highlight w:val="none"/>
                <w:lang w:eastAsia="zh-CN"/>
              </w:rPr>
            </w:pPr>
            <w:r>
              <w:rPr>
                <w:b/>
                <w:color w:val="auto"/>
                <w:szCs w:val="21"/>
                <w:highlight w:val="none"/>
              </w:rPr>
              <w:object>
                <v:shape id="_x0000_i1025" o:spt="75" type="#_x0000_t75" style="height:146.3pt;width:392.65pt;" o:ole="t" filled="f" o:preferrelative="t" stroked="f" coordsize="21600,21600">
                  <v:path/>
                  <v:fill on="f" focussize="0,0"/>
                  <v:stroke on="f"/>
                  <v:imagedata r:id="rId10" o:title=""/>
                  <o:lock v:ext="edit" aspectratio="f"/>
                  <w10:wrap type="none"/>
                  <w10:anchorlock/>
                </v:shape>
                <o:OLEObject Type="Embed" ProgID="Visio.Drawing.11" ShapeID="_x0000_i1025" DrawAspect="Content" ObjectID="_1468075725" r:id="rId9">
                  <o:LockedField>false</o:LockedField>
                </o:OLEObject>
              </w:object>
            </w:r>
          </w:p>
          <w:p w14:paraId="6F07EECB">
            <w:pPr>
              <w:adjustRightInd w:val="0"/>
              <w:snapToGrid w:val="0"/>
              <w:spacing w:line="360" w:lineRule="auto"/>
              <w:jc w:val="center"/>
              <w:rPr>
                <w:rFonts w:hint="eastAsia" w:eastAsia="宋体"/>
                <w:b/>
                <w:color w:val="0000FF"/>
                <w:szCs w:val="21"/>
                <w:highlight w:val="none"/>
                <w:lang w:val="en-US" w:eastAsia="zh-CN"/>
              </w:rPr>
            </w:pPr>
            <w:r>
              <w:rPr>
                <w:b/>
                <w:color w:val="0000FF"/>
                <w:szCs w:val="21"/>
                <w:highlight w:val="none"/>
              </w:rPr>
              <w:t>图2-1  本项目水平衡图</w:t>
            </w:r>
            <w:r>
              <w:rPr>
                <w:rFonts w:hint="eastAsia"/>
                <w:b/>
                <w:color w:val="0000FF"/>
                <w:szCs w:val="21"/>
                <w:highlight w:val="none"/>
              </w:rPr>
              <w:t xml:space="preserve">    </w:t>
            </w:r>
            <w:r>
              <w:rPr>
                <w:b/>
                <w:color w:val="0000FF"/>
                <w:szCs w:val="21"/>
                <w:highlight w:val="none"/>
              </w:rPr>
              <w:t xml:space="preserve"> </w:t>
            </w:r>
            <w:r>
              <w:rPr>
                <w:rFonts w:hint="eastAsia"/>
                <w:b/>
                <w:color w:val="0000FF"/>
                <w:szCs w:val="21"/>
                <w:highlight w:val="none"/>
              </w:rPr>
              <w:t xml:space="preserve">  </w:t>
            </w:r>
            <w:r>
              <w:rPr>
                <w:b/>
                <w:color w:val="0000FF"/>
                <w:szCs w:val="21"/>
                <w:highlight w:val="none"/>
              </w:rPr>
              <w:t>单位：m</w:t>
            </w:r>
            <w:r>
              <w:rPr>
                <w:b/>
                <w:color w:val="0000FF"/>
                <w:szCs w:val="21"/>
                <w:highlight w:val="none"/>
                <w:vertAlign w:val="superscript"/>
              </w:rPr>
              <w:t>3</w:t>
            </w:r>
            <w:r>
              <w:rPr>
                <w:b/>
                <w:color w:val="0000FF"/>
                <w:szCs w:val="21"/>
                <w:highlight w:val="none"/>
              </w:rPr>
              <w:t>/</w:t>
            </w:r>
            <w:r>
              <w:rPr>
                <w:rFonts w:hint="eastAsia"/>
                <w:b/>
                <w:color w:val="0000FF"/>
                <w:szCs w:val="21"/>
                <w:highlight w:val="none"/>
                <w:lang w:val="en-US" w:eastAsia="zh-CN"/>
              </w:rPr>
              <w:t>a</w:t>
            </w:r>
          </w:p>
          <w:p w14:paraId="13511C9F">
            <w:pPr>
              <w:adjustRightInd w:val="0"/>
              <w:snapToGrid w:val="0"/>
              <w:spacing w:line="360" w:lineRule="auto"/>
              <w:jc w:val="center"/>
              <w:rPr>
                <w:b/>
                <w:color w:val="auto"/>
                <w:szCs w:val="21"/>
                <w:highlight w:val="none"/>
              </w:rPr>
            </w:pPr>
            <w:r>
              <w:rPr>
                <w:b/>
                <w:color w:val="auto"/>
                <w:szCs w:val="21"/>
                <w:highlight w:val="none"/>
              </w:rPr>
              <w:object>
                <v:shape id="_x0000_i1026" o:spt="75" type="#_x0000_t75" style="height:293.25pt;width:397.85pt;" o:ole="t" filled="f" o:preferrelative="t" stroked="f" coordsize="21600,21600">
                  <v:path/>
                  <v:fill on="f" focussize="0,0"/>
                  <v:stroke on="f"/>
                  <v:imagedata r:id="rId12" o:title=""/>
                  <o:lock v:ext="edit" aspectratio="f"/>
                  <w10:wrap type="none"/>
                  <w10:anchorlock/>
                </v:shape>
                <o:OLEObject Type="Embed" ProgID="Visio.Drawing.11" ShapeID="_x0000_i1026" DrawAspect="Content" ObjectID="_1468075726" r:id="rId11">
                  <o:LockedField>false</o:LockedField>
                </o:OLEObject>
              </w:object>
            </w:r>
          </w:p>
          <w:p w14:paraId="614052C3">
            <w:pPr>
              <w:adjustRightInd w:val="0"/>
              <w:snapToGrid w:val="0"/>
              <w:spacing w:line="360" w:lineRule="auto"/>
              <w:jc w:val="center"/>
              <w:rPr>
                <w:rFonts w:hint="eastAsia" w:eastAsia="宋体"/>
                <w:b/>
                <w:color w:val="0000FF"/>
                <w:szCs w:val="21"/>
                <w:highlight w:val="none"/>
                <w:lang w:val="en-US" w:eastAsia="zh-CN"/>
              </w:rPr>
            </w:pPr>
            <w:r>
              <w:rPr>
                <w:b/>
                <w:color w:val="0000FF"/>
                <w:szCs w:val="21"/>
                <w:highlight w:val="none"/>
              </w:rPr>
              <w:t>图2-</w:t>
            </w:r>
            <w:r>
              <w:rPr>
                <w:rFonts w:hint="eastAsia"/>
                <w:b/>
                <w:color w:val="0000FF"/>
                <w:szCs w:val="21"/>
                <w:highlight w:val="none"/>
                <w:lang w:val="en-US" w:eastAsia="zh-CN"/>
              </w:rPr>
              <w:t>2</w:t>
            </w:r>
            <w:r>
              <w:rPr>
                <w:b/>
                <w:color w:val="0000FF"/>
                <w:szCs w:val="21"/>
                <w:highlight w:val="none"/>
              </w:rPr>
              <w:t xml:space="preserve">  本项目</w:t>
            </w:r>
            <w:r>
              <w:rPr>
                <w:rFonts w:hint="eastAsia"/>
                <w:b/>
                <w:color w:val="0000FF"/>
                <w:szCs w:val="21"/>
                <w:highlight w:val="none"/>
                <w:lang w:val="en-US" w:eastAsia="zh-CN"/>
              </w:rPr>
              <w:t>扩建后全厂</w:t>
            </w:r>
            <w:r>
              <w:rPr>
                <w:b/>
                <w:color w:val="0000FF"/>
                <w:szCs w:val="21"/>
                <w:highlight w:val="none"/>
              </w:rPr>
              <w:t>水平衡图</w:t>
            </w:r>
            <w:r>
              <w:rPr>
                <w:rFonts w:hint="eastAsia"/>
                <w:b/>
                <w:color w:val="0000FF"/>
                <w:szCs w:val="21"/>
                <w:highlight w:val="none"/>
              </w:rPr>
              <w:t xml:space="preserve">    </w:t>
            </w:r>
            <w:r>
              <w:rPr>
                <w:b/>
                <w:color w:val="0000FF"/>
                <w:szCs w:val="21"/>
                <w:highlight w:val="none"/>
              </w:rPr>
              <w:t xml:space="preserve"> </w:t>
            </w:r>
            <w:r>
              <w:rPr>
                <w:rFonts w:hint="eastAsia"/>
                <w:b/>
                <w:color w:val="0000FF"/>
                <w:szCs w:val="21"/>
                <w:highlight w:val="none"/>
              </w:rPr>
              <w:t xml:space="preserve">    </w:t>
            </w:r>
            <w:r>
              <w:rPr>
                <w:b/>
                <w:color w:val="0000FF"/>
                <w:szCs w:val="21"/>
                <w:highlight w:val="none"/>
              </w:rPr>
              <w:t>单位：m</w:t>
            </w:r>
            <w:r>
              <w:rPr>
                <w:b/>
                <w:color w:val="0000FF"/>
                <w:szCs w:val="21"/>
                <w:highlight w:val="none"/>
                <w:vertAlign w:val="superscript"/>
              </w:rPr>
              <w:t>3</w:t>
            </w:r>
            <w:r>
              <w:rPr>
                <w:b/>
                <w:color w:val="0000FF"/>
                <w:szCs w:val="21"/>
                <w:highlight w:val="none"/>
              </w:rPr>
              <w:t>/</w:t>
            </w:r>
            <w:r>
              <w:rPr>
                <w:rFonts w:hint="eastAsia"/>
                <w:b/>
                <w:color w:val="0000FF"/>
                <w:szCs w:val="21"/>
                <w:highlight w:val="none"/>
                <w:lang w:val="en-US" w:eastAsia="zh-CN"/>
              </w:rPr>
              <w:t>a</w:t>
            </w:r>
          </w:p>
          <w:p w14:paraId="5D4A0363">
            <w:pPr>
              <w:numPr>
                <w:ilvl w:val="0"/>
                <w:numId w:val="0"/>
              </w:numPr>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（3）供暖</w:t>
            </w:r>
          </w:p>
          <w:p w14:paraId="725B1F5D">
            <w:pPr>
              <w:numPr>
                <w:ilvl w:val="0"/>
                <w:numId w:val="0"/>
              </w:num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本项目</w:t>
            </w:r>
            <w:r>
              <w:rPr>
                <w:rFonts w:hint="eastAsia"/>
                <w:color w:val="auto"/>
                <w:sz w:val="24"/>
                <w:highlight w:val="none"/>
                <w:lang w:val="en-US" w:eastAsia="zh-CN"/>
              </w:rPr>
              <w:t>依托核工业二0三研究所现有供暖系统，</w:t>
            </w:r>
            <w:r>
              <w:rPr>
                <w:rFonts w:hint="eastAsia"/>
                <w:color w:val="auto"/>
                <w:sz w:val="24"/>
                <w:highlight w:val="none"/>
              </w:rPr>
              <w:t>冬季采暖采用中央空调提供。</w:t>
            </w:r>
          </w:p>
          <w:p w14:paraId="2033AEB5">
            <w:pPr>
              <w:numPr>
                <w:ilvl w:val="0"/>
                <w:numId w:val="0"/>
              </w:numPr>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（4）空调系统</w:t>
            </w:r>
          </w:p>
          <w:p w14:paraId="32665B07">
            <w:pPr>
              <w:numPr>
                <w:ilvl w:val="0"/>
                <w:numId w:val="0"/>
              </w:numPr>
              <w:adjustRightInd w:val="0"/>
              <w:snapToGrid w:val="0"/>
              <w:spacing w:line="360" w:lineRule="auto"/>
              <w:ind w:firstLine="480" w:firstLineChars="200"/>
              <w:rPr>
                <w:rFonts w:hint="default"/>
                <w:color w:val="auto"/>
                <w:sz w:val="24"/>
                <w:highlight w:val="none"/>
                <w:lang w:val="en-US" w:eastAsia="zh-CN"/>
              </w:rPr>
            </w:pPr>
            <w:r>
              <w:rPr>
                <w:rFonts w:hint="eastAsia"/>
                <w:color w:val="auto"/>
                <w:sz w:val="24"/>
                <w:highlight w:val="none"/>
              </w:rPr>
              <w:t>本项目</w:t>
            </w:r>
            <w:r>
              <w:rPr>
                <w:rFonts w:hint="eastAsia"/>
                <w:color w:val="auto"/>
                <w:sz w:val="24"/>
                <w:highlight w:val="none"/>
                <w:lang w:val="en-US" w:eastAsia="zh-CN"/>
              </w:rPr>
              <w:t>依托核工业二0三研究所现有空调制冷系统，</w:t>
            </w:r>
            <w:r>
              <w:rPr>
                <w:rFonts w:hint="default"/>
                <w:color w:val="auto"/>
                <w:sz w:val="24"/>
                <w:highlight w:val="none"/>
                <w:lang w:val="en-US" w:eastAsia="zh-CN"/>
              </w:rPr>
              <w:t>采用水冷式中央空调，冷负荷约为5500kw。</w:t>
            </w:r>
          </w:p>
          <w:p w14:paraId="63F58F9A">
            <w:pPr>
              <w:numPr>
                <w:ilvl w:val="0"/>
                <w:numId w:val="0"/>
              </w:numPr>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（5）供电系统</w:t>
            </w:r>
          </w:p>
          <w:p w14:paraId="58F84A72">
            <w:pPr>
              <w:numPr>
                <w:ilvl w:val="0"/>
                <w:numId w:val="0"/>
              </w:numPr>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rPr>
              <w:t>本项目</w:t>
            </w:r>
            <w:r>
              <w:rPr>
                <w:rFonts w:hint="eastAsia"/>
                <w:color w:val="auto"/>
                <w:sz w:val="24"/>
                <w:highlight w:val="none"/>
                <w:lang w:val="en-US" w:eastAsia="zh-CN"/>
              </w:rPr>
              <w:t>依托核工业二0三研究所现有供电系统，由沣东新城统筹科技资源改革示范基地内的10kV变电站提供。</w:t>
            </w:r>
          </w:p>
          <w:p w14:paraId="246D00BD">
            <w:pPr>
              <w:adjustRightInd w:val="0"/>
              <w:snapToGrid w:val="0"/>
              <w:spacing w:line="360" w:lineRule="auto"/>
              <w:ind w:firstLine="482" w:firstLineChars="200"/>
              <w:rPr>
                <w:b/>
                <w:color w:val="auto"/>
                <w:sz w:val="24"/>
                <w:highlight w:val="none"/>
              </w:rPr>
            </w:pPr>
            <w:r>
              <w:rPr>
                <w:rFonts w:hint="eastAsia"/>
                <w:b/>
                <w:color w:val="auto"/>
                <w:sz w:val="24"/>
                <w:highlight w:val="none"/>
                <w:lang w:val="en-US" w:eastAsia="zh-CN"/>
              </w:rPr>
              <w:t>8</w:t>
            </w:r>
            <w:r>
              <w:rPr>
                <w:b/>
                <w:color w:val="auto"/>
                <w:sz w:val="24"/>
                <w:highlight w:val="none"/>
              </w:rPr>
              <w:t>.平面布置合理性分析</w:t>
            </w:r>
          </w:p>
          <w:p w14:paraId="4381B145">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本项目位于</w:t>
            </w:r>
            <w:r>
              <w:rPr>
                <w:rFonts w:hint="eastAsia"/>
                <w:color w:val="auto"/>
                <w:sz w:val="24"/>
                <w:highlight w:val="none"/>
                <w:lang w:val="en-US" w:eastAsia="zh-CN"/>
              </w:rPr>
              <w:t>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color w:val="auto"/>
                <w:sz w:val="24"/>
                <w:highlight w:val="none"/>
                <w:lang w:val="en-US" w:eastAsia="zh-CN"/>
              </w:rPr>
              <w:t>地上5层及地下1层，</w:t>
            </w:r>
            <w:r>
              <w:rPr>
                <w:rFonts w:hint="eastAsia"/>
                <w:color w:val="auto"/>
                <w:sz w:val="24"/>
                <w:highlight w:val="none"/>
              </w:rPr>
              <w:t>总平面布置按功能划分为</w:t>
            </w:r>
            <w:r>
              <w:rPr>
                <w:rFonts w:hint="eastAsia"/>
                <w:color w:val="auto"/>
                <w:sz w:val="24"/>
                <w:highlight w:val="none"/>
                <w:lang w:eastAsia="zh-CN"/>
              </w:rPr>
              <w:t>：</w:t>
            </w:r>
            <w:r>
              <w:rPr>
                <w:rFonts w:hint="eastAsia"/>
                <w:color w:val="auto"/>
                <w:sz w:val="24"/>
                <w:highlight w:val="none"/>
              </w:rPr>
              <w:t>1层</w:t>
            </w:r>
            <w:r>
              <w:rPr>
                <w:rFonts w:hint="eastAsia"/>
                <w:color w:val="auto"/>
                <w:sz w:val="24"/>
                <w:highlight w:val="none"/>
                <w:lang w:val="en-US" w:eastAsia="zh-CN"/>
              </w:rPr>
              <w:t>为岩矿鉴定室、工艺实验间、仪器室、气瓶间、岩矿岩芯库</w:t>
            </w:r>
            <w:r>
              <w:rPr>
                <w:rFonts w:hint="eastAsia"/>
                <w:color w:val="auto"/>
                <w:sz w:val="24"/>
                <w:highlight w:val="none"/>
              </w:rPr>
              <w:t>；2层为办公室、</w:t>
            </w:r>
            <w:r>
              <w:rPr>
                <w:rFonts w:hint="eastAsia"/>
                <w:color w:val="auto"/>
                <w:sz w:val="24"/>
                <w:highlight w:val="none"/>
                <w:lang w:val="en-US" w:eastAsia="zh-CN"/>
              </w:rPr>
              <w:t>会议室、档案室</w:t>
            </w:r>
            <w:r>
              <w:rPr>
                <w:rFonts w:hint="eastAsia"/>
                <w:color w:val="auto"/>
                <w:sz w:val="24"/>
                <w:highlight w:val="none"/>
                <w:lang w:eastAsia="zh-CN"/>
              </w:rPr>
              <w:t>，</w:t>
            </w:r>
            <w:r>
              <w:rPr>
                <w:rFonts w:hint="eastAsia"/>
                <w:color w:val="auto"/>
                <w:sz w:val="24"/>
                <w:highlight w:val="none"/>
                <w:lang w:val="en-US" w:eastAsia="zh-CN"/>
              </w:rPr>
              <w:t>新增仪器室、岩矿鉴定室</w:t>
            </w:r>
            <w:r>
              <w:rPr>
                <w:rFonts w:hint="eastAsia"/>
                <w:color w:val="auto"/>
                <w:sz w:val="24"/>
                <w:highlight w:val="none"/>
              </w:rPr>
              <w:t>；3层为</w:t>
            </w:r>
            <w:r>
              <w:rPr>
                <w:rFonts w:hint="eastAsia"/>
                <w:color w:val="auto"/>
                <w:sz w:val="24"/>
                <w:highlight w:val="none"/>
                <w:lang w:val="en-US" w:eastAsia="zh-CN"/>
              </w:rPr>
              <w:t>仪器室、微生物间</w:t>
            </w:r>
            <w:r>
              <w:rPr>
                <w:rFonts w:hint="eastAsia"/>
                <w:color w:val="auto"/>
                <w:sz w:val="24"/>
                <w:highlight w:val="none"/>
              </w:rPr>
              <w:t>；4层为</w:t>
            </w:r>
            <w:r>
              <w:rPr>
                <w:rFonts w:hint="eastAsia"/>
                <w:color w:val="auto"/>
                <w:sz w:val="24"/>
                <w:highlight w:val="none"/>
                <w:lang w:eastAsia="zh-CN"/>
              </w:rPr>
              <w:t>仪器室、样品前处理间、发射光谱仪、原子荧光室、液相/凝胶色谱、同位素质谱、GC/GC-MS室、原子吸收室等；</w:t>
            </w:r>
            <w:r>
              <w:rPr>
                <w:rFonts w:hint="eastAsia"/>
                <w:color w:val="auto"/>
                <w:sz w:val="24"/>
                <w:highlight w:val="none"/>
              </w:rPr>
              <w:t>5层</w:t>
            </w:r>
            <w:r>
              <w:rPr>
                <w:rFonts w:hint="eastAsia"/>
                <w:color w:val="auto"/>
                <w:sz w:val="24"/>
                <w:highlight w:val="none"/>
                <w:lang w:val="en-US" w:eastAsia="zh-CN"/>
              </w:rPr>
              <w:t>实验区又细分为</w:t>
            </w:r>
            <w:r>
              <w:rPr>
                <w:rFonts w:hint="eastAsia"/>
                <w:color w:val="auto"/>
                <w:sz w:val="24"/>
                <w:highlight w:val="none"/>
              </w:rPr>
              <w:t>常量实验室、微量实验室、环境实验室、高温室、有机实验室等；负一层设置碎样间一座</w:t>
            </w:r>
            <w:r>
              <w:rPr>
                <w:rFonts w:hint="eastAsia"/>
                <w:color w:val="auto"/>
                <w:sz w:val="24"/>
                <w:highlight w:val="none"/>
                <w:lang w:eastAsia="zh-CN"/>
              </w:rPr>
              <w:t>。</w:t>
            </w:r>
            <w:r>
              <w:rPr>
                <w:rFonts w:hint="eastAsia"/>
                <w:color w:val="auto"/>
                <w:sz w:val="24"/>
                <w:highlight w:val="none"/>
                <w:lang w:val="en-US" w:eastAsia="zh-CN"/>
              </w:rPr>
              <w:t>与现有项目建设情况相较，本次工程平面布置未发生较大改变，通过在闲置房间、办公室、实验室里增加设备及试剂，本项目</w:t>
            </w:r>
            <w:r>
              <w:rPr>
                <w:rFonts w:hint="eastAsia"/>
                <w:color w:val="auto"/>
                <w:sz w:val="24"/>
                <w:highlight w:val="none"/>
              </w:rPr>
              <w:t>平面布置具体情况详见附图</w:t>
            </w:r>
            <w:r>
              <w:rPr>
                <w:rFonts w:hint="eastAsia"/>
                <w:color w:val="auto"/>
                <w:sz w:val="24"/>
                <w:highlight w:val="none"/>
                <w:lang w:val="en-US" w:eastAsia="zh-CN"/>
              </w:rPr>
              <w:t>4</w:t>
            </w:r>
            <w:r>
              <w:rPr>
                <w:rFonts w:hint="eastAsia"/>
                <w:color w:val="auto"/>
                <w:sz w:val="24"/>
                <w:highlight w:val="none"/>
              </w:rPr>
              <w:t>。</w:t>
            </w:r>
          </w:p>
          <w:p w14:paraId="64CAC8BC">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综上所述，项目总平面布置流程顺畅，布局紧凑，做到了实验区和办公区分开，污染区与非污染区分开，项目平面布置合理。</w:t>
            </w:r>
          </w:p>
          <w:p w14:paraId="02E1D360">
            <w:pPr>
              <w:adjustRightInd w:val="0"/>
              <w:snapToGrid w:val="0"/>
              <w:spacing w:line="360" w:lineRule="auto"/>
              <w:ind w:firstLine="482" w:firstLineChars="200"/>
              <w:rPr>
                <w:b/>
                <w:color w:val="auto"/>
                <w:sz w:val="24"/>
                <w:highlight w:val="none"/>
              </w:rPr>
            </w:pPr>
            <w:r>
              <w:rPr>
                <w:b/>
                <w:color w:val="auto"/>
                <w:sz w:val="24"/>
                <w:highlight w:val="none"/>
              </w:rPr>
              <w:t>9.劳动定员</w:t>
            </w:r>
          </w:p>
          <w:p w14:paraId="346505B5">
            <w:pPr>
              <w:pStyle w:val="34"/>
              <w:ind w:firstLine="484" w:firstLineChars="200"/>
              <w:rPr>
                <w:rFonts w:hint="eastAsia"/>
                <w:bCs/>
                <w:color w:val="auto"/>
                <w:sz w:val="24"/>
                <w:highlight w:val="none"/>
                <w:lang w:eastAsia="zh-CN"/>
              </w:rPr>
            </w:pPr>
            <w:r>
              <w:rPr>
                <w:rFonts w:hint="eastAsia"/>
                <w:color w:val="auto"/>
                <w:sz w:val="24"/>
                <w:highlight w:val="none"/>
                <w:lang w:val="en-US" w:eastAsia="zh-CN"/>
              </w:rPr>
              <w:t>本扩建项目仅新增实验设备及实验试剂，不新增劳动定员，</w:t>
            </w:r>
            <w:r>
              <w:rPr>
                <w:bCs/>
                <w:color w:val="auto"/>
                <w:sz w:val="24"/>
                <w:highlight w:val="none"/>
              </w:rPr>
              <w:t>每天工作1班，每班工作8h，年工作</w:t>
            </w:r>
            <w:r>
              <w:rPr>
                <w:rFonts w:hint="eastAsia"/>
                <w:bCs/>
                <w:color w:val="auto"/>
                <w:sz w:val="24"/>
                <w:highlight w:val="none"/>
                <w:lang w:val="en-US" w:eastAsia="zh-CN"/>
              </w:rPr>
              <w:t>260</w:t>
            </w:r>
            <w:r>
              <w:rPr>
                <w:bCs/>
                <w:color w:val="auto"/>
                <w:sz w:val="24"/>
                <w:highlight w:val="none"/>
              </w:rPr>
              <w:t>天</w:t>
            </w:r>
            <w:r>
              <w:rPr>
                <w:rFonts w:hint="eastAsia"/>
                <w:bCs/>
                <w:color w:val="auto"/>
                <w:sz w:val="24"/>
                <w:highlight w:val="none"/>
                <w:lang w:eastAsia="zh-CN"/>
              </w:rPr>
              <w:t>。</w:t>
            </w:r>
          </w:p>
          <w:p w14:paraId="2AE64FED">
            <w:pPr>
              <w:pStyle w:val="34"/>
              <w:ind w:firstLine="484" w:firstLineChars="200"/>
              <w:rPr>
                <w:rFonts w:hint="eastAsia"/>
                <w:bCs/>
                <w:color w:val="auto"/>
                <w:sz w:val="24"/>
                <w:highlight w:val="none"/>
                <w:lang w:eastAsia="zh-CN"/>
              </w:rPr>
            </w:pPr>
          </w:p>
          <w:p w14:paraId="07C63A65">
            <w:pPr>
              <w:pStyle w:val="34"/>
              <w:ind w:firstLine="484" w:firstLineChars="200"/>
              <w:rPr>
                <w:rFonts w:hint="eastAsia"/>
                <w:bCs/>
                <w:color w:val="auto"/>
                <w:sz w:val="24"/>
                <w:highlight w:val="none"/>
                <w:lang w:eastAsia="zh-CN"/>
              </w:rPr>
            </w:pPr>
          </w:p>
          <w:p w14:paraId="250E44F6">
            <w:pPr>
              <w:pStyle w:val="34"/>
              <w:ind w:firstLine="484" w:firstLineChars="200"/>
              <w:rPr>
                <w:rFonts w:hint="eastAsia"/>
                <w:bCs/>
                <w:color w:val="auto"/>
                <w:sz w:val="24"/>
                <w:highlight w:val="none"/>
                <w:lang w:eastAsia="zh-CN"/>
              </w:rPr>
            </w:pPr>
          </w:p>
          <w:p w14:paraId="0578C750">
            <w:pPr>
              <w:pStyle w:val="34"/>
              <w:ind w:firstLine="484" w:firstLineChars="200"/>
              <w:rPr>
                <w:rFonts w:hint="eastAsia"/>
                <w:bCs/>
                <w:color w:val="auto"/>
                <w:sz w:val="24"/>
                <w:highlight w:val="none"/>
                <w:lang w:eastAsia="zh-CN"/>
              </w:rPr>
            </w:pPr>
          </w:p>
          <w:p w14:paraId="1600468F">
            <w:pPr>
              <w:pStyle w:val="34"/>
              <w:ind w:firstLine="484" w:firstLineChars="200"/>
              <w:rPr>
                <w:rFonts w:hint="eastAsia"/>
                <w:bCs/>
                <w:color w:val="auto"/>
                <w:sz w:val="24"/>
                <w:highlight w:val="none"/>
                <w:lang w:eastAsia="zh-CN"/>
              </w:rPr>
            </w:pPr>
          </w:p>
          <w:p w14:paraId="5C208139">
            <w:pPr>
              <w:pStyle w:val="34"/>
              <w:ind w:firstLine="484" w:firstLineChars="200"/>
              <w:rPr>
                <w:rFonts w:hint="eastAsia"/>
                <w:bCs/>
                <w:color w:val="auto"/>
                <w:sz w:val="24"/>
                <w:highlight w:val="none"/>
                <w:lang w:eastAsia="zh-CN"/>
              </w:rPr>
            </w:pPr>
          </w:p>
          <w:p w14:paraId="4DFFA3B2">
            <w:pPr>
              <w:pStyle w:val="34"/>
              <w:ind w:firstLine="484" w:firstLineChars="200"/>
              <w:rPr>
                <w:rFonts w:hint="eastAsia"/>
                <w:bCs/>
                <w:color w:val="auto"/>
                <w:sz w:val="24"/>
                <w:highlight w:val="none"/>
                <w:lang w:eastAsia="zh-CN"/>
              </w:rPr>
            </w:pPr>
          </w:p>
          <w:p w14:paraId="0D39250A">
            <w:pPr>
              <w:pStyle w:val="34"/>
              <w:ind w:firstLine="484" w:firstLineChars="200"/>
              <w:rPr>
                <w:rFonts w:hint="eastAsia"/>
                <w:bCs/>
                <w:color w:val="auto"/>
                <w:sz w:val="24"/>
                <w:highlight w:val="none"/>
                <w:lang w:eastAsia="zh-CN"/>
              </w:rPr>
            </w:pPr>
          </w:p>
          <w:p w14:paraId="0C675790">
            <w:pPr>
              <w:pStyle w:val="34"/>
              <w:ind w:firstLine="484" w:firstLineChars="200"/>
              <w:rPr>
                <w:rFonts w:hint="eastAsia"/>
                <w:bCs/>
                <w:color w:val="auto"/>
                <w:sz w:val="24"/>
                <w:highlight w:val="none"/>
                <w:lang w:eastAsia="zh-CN"/>
              </w:rPr>
            </w:pPr>
          </w:p>
          <w:p w14:paraId="26E1C3CB">
            <w:pPr>
              <w:pStyle w:val="34"/>
              <w:ind w:firstLine="484" w:firstLineChars="200"/>
              <w:rPr>
                <w:rFonts w:hint="eastAsia"/>
                <w:bCs/>
                <w:color w:val="auto"/>
                <w:sz w:val="24"/>
                <w:highlight w:val="none"/>
                <w:lang w:eastAsia="zh-CN"/>
              </w:rPr>
            </w:pPr>
          </w:p>
          <w:p w14:paraId="31EE7D79">
            <w:pPr>
              <w:pStyle w:val="34"/>
              <w:ind w:left="0" w:leftChars="0" w:firstLine="0" w:firstLineChars="0"/>
              <w:rPr>
                <w:rFonts w:hint="eastAsia"/>
                <w:color w:val="auto"/>
                <w:sz w:val="24"/>
                <w:highlight w:val="none"/>
                <w:lang w:eastAsia="zh-CN"/>
              </w:rPr>
            </w:pPr>
          </w:p>
        </w:tc>
      </w:tr>
      <w:tr w14:paraId="40E185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80" w:hRule="atLeast"/>
          <w:jc w:val="center"/>
        </w:trPr>
        <w:tc>
          <w:tcPr>
            <w:tcW w:w="674" w:type="dxa"/>
            <w:noWrap w:val="0"/>
            <w:vAlign w:val="center"/>
          </w:tcPr>
          <w:p w14:paraId="24B749D1">
            <w:pPr>
              <w:pStyle w:val="22"/>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工艺流程和产排污环节</w:t>
            </w:r>
          </w:p>
        </w:tc>
        <w:tc>
          <w:tcPr>
            <w:tcW w:w="8331" w:type="dxa"/>
            <w:noWrap w:val="0"/>
            <w:vAlign w:val="top"/>
          </w:tcPr>
          <w:p w14:paraId="735BDA59">
            <w:pPr>
              <w:adjustRightInd w:val="0"/>
              <w:snapToGrid w:val="0"/>
              <w:spacing w:before="120" w:beforeLines="50" w:line="360" w:lineRule="auto"/>
              <w:rPr>
                <w:color w:val="auto"/>
                <w:sz w:val="24"/>
                <w:highlight w:val="none"/>
              </w:rPr>
            </w:pPr>
            <w:r>
              <w:rPr>
                <w:b/>
                <w:bCs/>
                <w:color w:val="auto"/>
                <w:sz w:val="24"/>
                <w:highlight w:val="none"/>
              </w:rPr>
              <w:t>工艺流程简述</w:t>
            </w:r>
          </w:p>
          <w:p w14:paraId="26DA8AB4">
            <w:pPr>
              <w:shd w:val="clear" w:color="auto" w:fill="auto"/>
              <w:adjustRightInd w:val="0"/>
              <w:snapToGrid w:val="0"/>
              <w:spacing w:line="360" w:lineRule="auto"/>
              <w:ind w:firstLine="482" w:firstLineChars="200"/>
              <w:rPr>
                <w:rFonts w:hint="eastAsia"/>
                <w:b/>
                <w:bCs/>
                <w:color w:val="auto"/>
                <w:sz w:val="24"/>
                <w:highlight w:val="none"/>
                <w:lang w:val="en-US" w:eastAsia="zh-CN"/>
              </w:rPr>
            </w:pPr>
            <w:r>
              <w:rPr>
                <w:rFonts w:hint="eastAsia"/>
                <w:b/>
                <w:bCs/>
                <w:color w:val="auto"/>
                <w:sz w:val="24"/>
                <w:highlight w:val="none"/>
                <w:lang w:val="en-US" w:eastAsia="zh-CN"/>
              </w:rPr>
              <w:t>1.施工期</w:t>
            </w:r>
          </w:p>
          <w:p w14:paraId="759F91B7">
            <w:pPr>
              <w:shd w:val="clear" w:color="auto" w:fill="auto"/>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本次不涉及土建及构筑物的建设施工活动，仅限于设备安装、实验仪器及试剂采购，施工期环境污染影响较小。</w:t>
            </w:r>
          </w:p>
          <w:p w14:paraId="5E9463AD">
            <w:pPr>
              <w:shd w:val="clear" w:color="auto" w:fill="auto"/>
              <w:adjustRightInd w:val="0"/>
              <w:snapToGrid w:val="0"/>
              <w:spacing w:line="360" w:lineRule="auto"/>
              <w:ind w:firstLine="482" w:firstLineChars="200"/>
              <w:rPr>
                <w:rFonts w:hint="eastAsia"/>
                <w:b/>
                <w:bCs/>
                <w:color w:val="auto"/>
                <w:sz w:val="24"/>
                <w:highlight w:val="none"/>
                <w:lang w:val="en-US" w:eastAsia="zh-CN"/>
              </w:rPr>
            </w:pPr>
            <w:r>
              <w:rPr>
                <w:rFonts w:hint="eastAsia"/>
                <w:b/>
                <w:bCs/>
                <w:color w:val="auto"/>
                <w:sz w:val="24"/>
                <w:highlight w:val="none"/>
                <w:lang w:val="en-US" w:eastAsia="zh-CN"/>
              </w:rPr>
              <w:t>2.营运期</w:t>
            </w:r>
          </w:p>
          <w:p w14:paraId="4396D966">
            <w:pPr>
              <w:shd w:val="clear" w:color="auto" w:fill="auto"/>
              <w:adjustRightInd w:val="0"/>
              <w:snapToGrid w:val="0"/>
              <w:spacing w:line="360" w:lineRule="auto"/>
              <w:ind w:firstLine="480" w:firstLineChars="200"/>
              <w:rPr>
                <w:rFonts w:hint="eastAsia"/>
                <w:color w:val="auto"/>
                <w:sz w:val="24"/>
                <w:highlight w:val="none"/>
              </w:rPr>
            </w:pPr>
            <w:r>
              <w:rPr>
                <w:rFonts w:hint="eastAsia"/>
                <w:color w:val="auto"/>
                <w:sz w:val="24"/>
                <w:highlight w:val="none"/>
              </w:rPr>
              <w:t>①实验室工艺流程及产污环节</w:t>
            </w:r>
          </w:p>
          <w:p w14:paraId="071A9AAB">
            <w:pPr>
              <w:shd w:val="clear" w:color="auto" w:fill="auto"/>
              <w:adjustRightInd w:val="0"/>
              <w:snapToGrid w:val="0"/>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
              </w:rPr>
            </w:pPr>
            <w:r>
              <w:rPr>
                <w:rFonts w:hint="eastAsia"/>
                <w:color w:val="auto"/>
                <w:sz w:val="24"/>
                <w:highlight w:val="none"/>
              </w:rPr>
              <w:t>实验室工艺流程及产污环节如图</w:t>
            </w:r>
            <w:r>
              <w:rPr>
                <w:rFonts w:hint="eastAsia"/>
                <w:color w:val="auto"/>
                <w:sz w:val="24"/>
                <w:highlight w:val="none"/>
                <w:lang w:val="en-US" w:eastAsia="zh-CN"/>
              </w:rPr>
              <w:t>2-3所示，主要污染工序一览表见表2-5。</w:t>
            </w:r>
          </w:p>
          <w:p w14:paraId="54EB07E7">
            <w:pPr>
              <w:shd w:val="clear" w:color="auto" w:fill="auto"/>
              <w:adjustRightInd w:val="0"/>
              <w:snapToGrid w:val="0"/>
              <w:spacing w:line="360" w:lineRule="auto"/>
              <w:jc w:val="center"/>
              <w:rPr>
                <w:rFonts w:hint="eastAsia" w:eastAsia="宋体"/>
                <w:b/>
                <w:color w:val="auto"/>
                <w:szCs w:val="21"/>
                <w:highlight w:val="none"/>
                <w:lang w:eastAsia="zh-CN"/>
              </w:rPr>
            </w:pPr>
            <w:r>
              <w:rPr>
                <w:rFonts w:hint="eastAsia" w:eastAsia="宋体"/>
                <w:b/>
                <w:color w:val="auto"/>
                <w:szCs w:val="21"/>
                <w:highlight w:val="none"/>
                <w:lang w:eastAsia="zh-CN"/>
              </w:rPr>
              <w:drawing>
                <wp:inline distT="0" distB="0" distL="114300" distR="114300">
                  <wp:extent cx="4828540" cy="1995170"/>
                  <wp:effectExtent l="0" t="0" r="0" b="0"/>
                  <wp:docPr id="4" name="ECB019B1-382A-4266-B25C-5B523AA43C14-1" descr="C:/Users/冰冰/AppData/Local/Temp/wps.stwxQ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1" descr="C:/Users/冰冰/AppData/Local/Temp/wps.stwxQcwps"/>
                          <pic:cNvPicPr>
                            <a:picLocks noChangeAspect="1"/>
                          </pic:cNvPicPr>
                        </pic:nvPicPr>
                        <pic:blipFill>
                          <a:blip r:embed="rId13"/>
                          <a:stretch>
                            <a:fillRect/>
                          </a:stretch>
                        </pic:blipFill>
                        <pic:spPr>
                          <a:xfrm>
                            <a:off x="0" y="0"/>
                            <a:ext cx="4828540" cy="1995170"/>
                          </a:xfrm>
                          <a:prstGeom prst="rect">
                            <a:avLst/>
                          </a:prstGeom>
                        </pic:spPr>
                      </pic:pic>
                    </a:graphicData>
                  </a:graphic>
                </wp:inline>
              </w:drawing>
            </w:r>
          </w:p>
          <w:p w14:paraId="1D9D6E7A">
            <w:pPr>
              <w:shd w:val="clear" w:color="auto" w:fill="auto"/>
              <w:adjustRightInd w:val="0"/>
              <w:snapToGrid w:val="0"/>
              <w:spacing w:line="360" w:lineRule="auto"/>
              <w:jc w:val="center"/>
              <w:rPr>
                <w:b/>
                <w:color w:val="auto"/>
                <w:szCs w:val="21"/>
                <w:highlight w:val="none"/>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3</w:t>
            </w:r>
            <w:r>
              <w:rPr>
                <w:b/>
                <w:color w:val="auto"/>
                <w:szCs w:val="21"/>
                <w:highlight w:val="none"/>
              </w:rPr>
              <w:t xml:space="preserve">  </w:t>
            </w:r>
            <w:r>
              <w:rPr>
                <w:rFonts w:hint="eastAsia"/>
                <w:b/>
                <w:color w:val="auto"/>
                <w:szCs w:val="21"/>
                <w:highlight w:val="none"/>
              </w:rPr>
              <w:t>实验室工艺流程及产污环节图</w:t>
            </w:r>
          </w:p>
          <w:p w14:paraId="13A3B328">
            <w:pPr>
              <w:shd w:val="clear" w:color="auto" w:fill="auto"/>
              <w:adjustRightInd w:val="0"/>
              <w:snapToGrid w:val="0"/>
              <w:spacing w:line="360" w:lineRule="auto"/>
              <w:ind w:firstLine="480" w:firstLineChars="200"/>
              <w:rPr>
                <w:rFonts w:hint="eastAsia"/>
                <w:color w:val="auto"/>
                <w:sz w:val="24"/>
                <w:highlight w:val="none"/>
              </w:rPr>
            </w:pPr>
            <w:r>
              <w:rPr>
                <w:rFonts w:hint="eastAsia"/>
                <w:color w:val="auto"/>
                <w:sz w:val="24"/>
                <w:highlight w:val="none"/>
              </w:rPr>
              <w:t>②废气处理工艺流程图</w:t>
            </w:r>
          </w:p>
          <w:p w14:paraId="658B2EA6">
            <w:pPr>
              <w:shd w:val="clear" w:color="auto" w:fill="auto"/>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rPr>
              <w:t>酸性废气处理工艺流程见图</w:t>
            </w:r>
            <w:r>
              <w:rPr>
                <w:rFonts w:hint="eastAsia"/>
                <w:color w:val="auto"/>
                <w:sz w:val="24"/>
                <w:highlight w:val="none"/>
                <w:lang w:val="en-US" w:eastAsia="zh-CN"/>
              </w:rPr>
              <w:t>2-4所示。</w:t>
            </w:r>
          </w:p>
          <w:p w14:paraId="673E2E2C">
            <w:pPr>
              <w:shd w:val="clear" w:color="auto" w:fill="auto"/>
              <w:adjustRightInd w:val="0"/>
              <w:snapToGrid w:val="0"/>
              <w:spacing w:line="360" w:lineRule="auto"/>
              <w:jc w:val="center"/>
              <w:rPr>
                <w:rFonts w:hint="eastAsia" w:eastAsia="宋体"/>
                <w:b/>
                <w:color w:val="auto"/>
                <w:szCs w:val="21"/>
                <w:highlight w:val="none"/>
                <w:lang w:eastAsia="zh-CN"/>
              </w:rPr>
            </w:pPr>
            <w:r>
              <w:rPr>
                <w:rFonts w:hint="eastAsia" w:eastAsia="宋体"/>
                <w:b/>
                <w:color w:val="auto"/>
                <w:szCs w:val="21"/>
                <w:highlight w:val="none"/>
                <w:lang w:eastAsia="zh-CN"/>
              </w:rPr>
              <w:drawing>
                <wp:inline distT="0" distB="0" distL="114300" distR="114300">
                  <wp:extent cx="5151755" cy="1978025"/>
                  <wp:effectExtent l="0" t="0" r="0" b="0"/>
                  <wp:docPr id="3" name="图片 3" descr="9ba3da99fb4f591dc0bd715843fd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ba3da99fb4f591dc0bd715843fd336"/>
                          <pic:cNvPicPr>
                            <a:picLocks noChangeAspect="1"/>
                          </pic:cNvPicPr>
                        </pic:nvPicPr>
                        <pic:blipFill>
                          <a:blip r:embed="rId14"/>
                          <a:stretch>
                            <a:fillRect/>
                          </a:stretch>
                        </pic:blipFill>
                        <pic:spPr>
                          <a:xfrm>
                            <a:off x="0" y="0"/>
                            <a:ext cx="5151755" cy="1978025"/>
                          </a:xfrm>
                          <a:prstGeom prst="rect">
                            <a:avLst/>
                          </a:prstGeom>
                        </pic:spPr>
                      </pic:pic>
                    </a:graphicData>
                  </a:graphic>
                </wp:inline>
              </w:drawing>
            </w:r>
          </w:p>
          <w:p w14:paraId="1C152AFC">
            <w:pPr>
              <w:shd w:val="clear" w:color="auto" w:fill="auto"/>
              <w:adjustRightInd w:val="0"/>
              <w:snapToGrid w:val="0"/>
              <w:spacing w:line="360" w:lineRule="auto"/>
              <w:jc w:val="center"/>
              <w:rPr>
                <w:rFonts w:hint="eastAsia"/>
                <w:color w:val="auto"/>
                <w:sz w:val="24"/>
                <w:highlight w:val="none"/>
                <w:lang w:val="en-US" w:eastAsia="zh-CN"/>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4</w:t>
            </w:r>
            <w:r>
              <w:rPr>
                <w:b/>
                <w:color w:val="auto"/>
                <w:szCs w:val="21"/>
                <w:highlight w:val="none"/>
              </w:rPr>
              <w:t xml:space="preserve">  </w:t>
            </w:r>
            <w:r>
              <w:rPr>
                <w:rFonts w:hint="eastAsia"/>
                <w:b/>
                <w:color w:val="auto"/>
                <w:szCs w:val="21"/>
                <w:highlight w:val="none"/>
                <w:lang w:val="en-US" w:eastAsia="zh-CN"/>
              </w:rPr>
              <w:t>酸性废气处理</w:t>
            </w:r>
            <w:r>
              <w:rPr>
                <w:rFonts w:hint="eastAsia"/>
                <w:b/>
                <w:color w:val="auto"/>
                <w:szCs w:val="21"/>
                <w:highlight w:val="none"/>
              </w:rPr>
              <w:t>工艺流程图</w:t>
            </w:r>
          </w:p>
          <w:p w14:paraId="43CCA73B">
            <w:pPr>
              <w:shd w:val="clear" w:color="auto" w:fill="auto"/>
              <w:adjustRightInd w:val="0"/>
              <w:snapToGrid w:val="0"/>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有机</w:t>
            </w:r>
            <w:r>
              <w:rPr>
                <w:rFonts w:hint="eastAsia"/>
                <w:color w:val="auto"/>
                <w:sz w:val="24"/>
                <w:highlight w:val="none"/>
              </w:rPr>
              <w:t>废气处理工艺流程见图</w:t>
            </w:r>
            <w:r>
              <w:rPr>
                <w:rFonts w:hint="eastAsia"/>
                <w:color w:val="auto"/>
                <w:sz w:val="24"/>
                <w:highlight w:val="none"/>
                <w:lang w:val="en-US" w:eastAsia="zh-CN"/>
              </w:rPr>
              <w:t>2-5所示。</w:t>
            </w:r>
          </w:p>
          <w:p w14:paraId="20DC1789">
            <w:pPr>
              <w:shd w:val="clear" w:color="auto" w:fill="auto"/>
              <w:adjustRightInd w:val="0"/>
              <w:snapToGrid w:val="0"/>
              <w:spacing w:line="360" w:lineRule="auto"/>
              <w:jc w:val="center"/>
              <w:rPr>
                <w:rFonts w:hint="eastAsia" w:eastAsia="宋体"/>
                <w:b/>
                <w:color w:val="auto"/>
                <w:szCs w:val="21"/>
                <w:highlight w:val="none"/>
                <w:lang w:eastAsia="zh-CN"/>
              </w:rPr>
            </w:pPr>
            <w:r>
              <w:rPr>
                <w:rFonts w:hint="eastAsia" w:eastAsia="宋体"/>
                <w:b/>
                <w:color w:val="auto"/>
                <w:szCs w:val="21"/>
                <w:highlight w:val="none"/>
                <w:lang w:eastAsia="zh-CN"/>
              </w:rPr>
              <w:drawing>
                <wp:inline distT="0" distB="0" distL="114300" distR="114300">
                  <wp:extent cx="5045710" cy="653415"/>
                  <wp:effectExtent l="0" t="0" r="0" b="0"/>
                  <wp:docPr id="5" name="图片 5" descr="9f233e9961d05442be14f454f8dd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f233e9961d05442be14f454f8dd496"/>
                          <pic:cNvPicPr>
                            <a:picLocks noChangeAspect="1"/>
                          </pic:cNvPicPr>
                        </pic:nvPicPr>
                        <pic:blipFill>
                          <a:blip r:embed="rId15"/>
                          <a:stretch>
                            <a:fillRect/>
                          </a:stretch>
                        </pic:blipFill>
                        <pic:spPr>
                          <a:xfrm>
                            <a:off x="0" y="0"/>
                            <a:ext cx="5045710" cy="653415"/>
                          </a:xfrm>
                          <a:prstGeom prst="rect">
                            <a:avLst/>
                          </a:prstGeom>
                        </pic:spPr>
                      </pic:pic>
                    </a:graphicData>
                  </a:graphic>
                </wp:inline>
              </w:drawing>
            </w:r>
          </w:p>
          <w:p w14:paraId="665A6842">
            <w:pPr>
              <w:shd w:val="clear" w:color="auto" w:fill="auto"/>
              <w:adjustRightInd w:val="0"/>
              <w:snapToGrid w:val="0"/>
              <w:spacing w:line="360" w:lineRule="auto"/>
              <w:jc w:val="center"/>
              <w:rPr>
                <w:rFonts w:hint="eastAsia"/>
                <w:b/>
                <w:color w:val="auto"/>
                <w:szCs w:val="21"/>
                <w:highlight w:val="none"/>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5</w:t>
            </w:r>
            <w:r>
              <w:rPr>
                <w:b/>
                <w:color w:val="auto"/>
                <w:szCs w:val="21"/>
                <w:highlight w:val="none"/>
              </w:rPr>
              <w:t xml:space="preserve">  </w:t>
            </w:r>
            <w:r>
              <w:rPr>
                <w:rFonts w:hint="eastAsia"/>
                <w:b/>
                <w:color w:val="auto"/>
                <w:szCs w:val="21"/>
                <w:highlight w:val="none"/>
                <w:lang w:val="en-US" w:eastAsia="zh-CN"/>
              </w:rPr>
              <w:t>有机废气处理</w:t>
            </w:r>
            <w:r>
              <w:rPr>
                <w:rFonts w:hint="eastAsia"/>
                <w:b/>
                <w:color w:val="auto"/>
                <w:szCs w:val="21"/>
                <w:highlight w:val="none"/>
              </w:rPr>
              <w:t>工艺流程图</w:t>
            </w:r>
          </w:p>
          <w:p w14:paraId="33F52461">
            <w:pPr>
              <w:shd w:val="clear" w:color="auto" w:fill="auto"/>
              <w:adjustRightInd w:val="0"/>
              <w:snapToGrid w:val="0"/>
              <w:spacing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碎样粉尘处理工艺流程见图2-6所示。</w:t>
            </w:r>
          </w:p>
          <w:p w14:paraId="6A6E5C34">
            <w:pPr>
              <w:shd w:val="clear" w:color="auto" w:fill="auto"/>
              <w:adjustRightInd w:val="0"/>
              <w:snapToGrid w:val="0"/>
              <w:spacing w:line="360" w:lineRule="auto"/>
              <w:jc w:val="center"/>
              <w:rPr>
                <w:rFonts w:hint="eastAsia" w:eastAsia="宋体"/>
                <w:color w:val="auto"/>
                <w:sz w:val="24"/>
                <w:highlight w:val="none"/>
                <w:lang w:eastAsia="zh-CN"/>
              </w:rPr>
            </w:pPr>
            <w:r>
              <w:rPr>
                <w:rFonts w:hint="eastAsia" w:eastAsia="宋体"/>
                <w:color w:val="auto"/>
                <w:sz w:val="24"/>
                <w:highlight w:val="none"/>
                <w:lang w:eastAsia="zh-CN"/>
              </w:rPr>
              <w:drawing>
                <wp:inline distT="0" distB="0" distL="114300" distR="114300">
                  <wp:extent cx="4811395" cy="636905"/>
                  <wp:effectExtent l="0" t="0" r="0" b="0"/>
                  <wp:docPr id="16" name="图片 16" descr="8301871eb00b4fe872d4031030d6d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8301871eb00b4fe872d4031030d6db5"/>
                          <pic:cNvPicPr>
                            <a:picLocks noChangeAspect="1"/>
                          </pic:cNvPicPr>
                        </pic:nvPicPr>
                        <pic:blipFill>
                          <a:blip r:embed="rId16"/>
                          <a:stretch>
                            <a:fillRect/>
                          </a:stretch>
                        </pic:blipFill>
                        <pic:spPr>
                          <a:xfrm>
                            <a:off x="0" y="0"/>
                            <a:ext cx="4811395" cy="636905"/>
                          </a:xfrm>
                          <a:prstGeom prst="rect">
                            <a:avLst/>
                          </a:prstGeom>
                        </pic:spPr>
                      </pic:pic>
                    </a:graphicData>
                  </a:graphic>
                </wp:inline>
              </w:drawing>
            </w:r>
          </w:p>
          <w:p w14:paraId="79A1B3EB">
            <w:pPr>
              <w:shd w:val="clear" w:color="auto" w:fill="auto"/>
              <w:adjustRightInd w:val="0"/>
              <w:snapToGrid w:val="0"/>
              <w:spacing w:line="360" w:lineRule="auto"/>
              <w:jc w:val="center"/>
              <w:rPr>
                <w:rFonts w:hint="eastAsia"/>
                <w:color w:val="auto"/>
                <w:sz w:val="24"/>
                <w:highlight w:val="none"/>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6</w:t>
            </w:r>
            <w:r>
              <w:rPr>
                <w:b/>
                <w:color w:val="auto"/>
                <w:szCs w:val="21"/>
                <w:highlight w:val="none"/>
              </w:rPr>
              <w:t xml:space="preserve"> </w:t>
            </w:r>
            <w:r>
              <w:rPr>
                <w:rFonts w:hint="eastAsia"/>
                <w:b/>
                <w:color w:val="auto"/>
                <w:szCs w:val="21"/>
                <w:highlight w:val="none"/>
                <w:lang w:val="en-US" w:eastAsia="zh-CN"/>
              </w:rPr>
              <w:t>碎样粉尘处理</w:t>
            </w:r>
            <w:r>
              <w:rPr>
                <w:rFonts w:hint="eastAsia"/>
                <w:b/>
                <w:color w:val="auto"/>
                <w:szCs w:val="21"/>
                <w:highlight w:val="none"/>
              </w:rPr>
              <w:t>工艺流程图</w:t>
            </w:r>
          </w:p>
          <w:p w14:paraId="18BBF124">
            <w:pPr>
              <w:shd w:val="clear" w:color="auto" w:fill="auto"/>
              <w:adjustRightInd w:val="0"/>
              <w:snapToGrid w:val="0"/>
              <w:spacing w:line="360" w:lineRule="auto"/>
              <w:ind w:firstLine="480" w:firstLineChars="200"/>
              <w:rPr>
                <w:rFonts w:hint="eastAsia"/>
                <w:color w:val="auto"/>
                <w:sz w:val="24"/>
                <w:highlight w:val="none"/>
              </w:rPr>
            </w:pPr>
            <w:r>
              <w:rPr>
                <w:rFonts w:hint="eastAsia"/>
                <w:color w:val="auto"/>
                <w:sz w:val="24"/>
                <w:highlight w:val="none"/>
              </w:rPr>
              <w:t>③废水处理工艺流程图</w:t>
            </w:r>
          </w:p>
          <w:p w14:paraId="4D3A6B91">
            <w:pPr>
              <w:shd w:val="clear" w:color="auto" w:fill="auto"/>
              <w:adjustRightInd w:val="0"/>
              <w:snapToGrid w:val="0"/>
              <w:spacing w:line="360" w:lineRule="auto"/>
              <w:ind w:firstLine="480" w:firstLineChars="200"/>
              <w:rPr>
                <w:rFonts w:hint="eastAsia"/>
                <w:color w:val="auto"/>
                <w:sz w:val="24"/>
                <w:highlight w:val="none"/>
              </w:rPr>
            </w:pPr>
            <w:r>
              <w:rPr>
                <w:rFonts w:hint="eastAsia"/>
                <w:color w:val="auto"/>
                <w:sz w:val="24"/>
                <w:highlight w:val="none"/>
              </w:rPr>
              <w:t>废水处理工艺流程见图</w:t>
            </w:r>
            <w:r>
              <w:rPr>
                <w:rFonts w:hint="eastAsia"/>
                <w:color w:val="auto"/>
                <w:sz w:val="24"/>
                <w:highlight w:val="none"/>
                <w:lang w:val="en-US" w:eastAsia="zh-CN"/>
              </w:rPr>
              <w:t>2-7</w:t>
            </w:r>
            <w:r>
              <w:rPr>
                <w:rFonts w:hint="eastAsia"/>
                <w:color w:val="auto"/>
                <w:sz w:val="24"/>
                <w:highlight w:val="none"/>
              </w:rPr>
              <w:t>。</w:t>
            </w:r>
          </w:p>
          <w:p w14:paraId="2F6F9E04">
            <w:pPr>
              <w:shd w:val="clear" w:color="auto" w:fill="auto"/>
              <w:adjustRightInd w:val="0"/>
              <w:snapToGrid w:val="0"/>
              <w:spacing w:line="360" w:lineRule="auto"/>
              <w:jc w:val="center"/>
              <w:rPr>
                <w:rFonts w:hint="eastAsia" w:eastAsia="宋体"/>
                <w:b/>
                <w:color w:val="auto"/>
                <w:szCs w:val="21"/>
                <w:highlight w:val="none"/>
                <w:lang w:eastAsia="zh-CN"/>
              </w:rPr>
            </w:pPr>
            <w:r>
              <w:rPr>
                <w:rFonts w:hint="eastAsia" w:eastAsia="宋体"/>
                <w:b/>
                <w:color w:val="auto"/>
                <w:szCs w:val="21"/>
                <w:highlight w:val="none"/>
                <w:lang w:eastAsia="zh-CN"/>
              </w:rPr>
              <w:drawing>
                <wp:inline distT="0" distB="0" distL="114300" distR="114300">
                  <wp:extent cx="3851275" cy="1398905"/>
                  <wp:effectExtent l="0" t="0" r="0" b="0"/>
                  <wp:docPr id="18"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CB019B1-382A-4266-B25C-5B523AA43C14-2" descr="wps"/>
                          <pic:cNvPicPr>
                            <a:picLocks noChangeAspect="1"/>
                          </pic:cNvPicPr>
                        </pic:nvPicPr>
                        <pic:blipFill>
                          <a:blip r:embed="rId17"/>
                          <a:stretch>
                            <a:fillRect/>
                          </a:stretch>
                        </pic:blipFill>
                        <pic:spPr>
                          <a:xfrm>
                            <a:off x="0" y="0"/>
                            <a:ext cx="3851275" cy="1398905"/>
                          </a:xfrm>
                          <a:prstGeom prst="rect">
                            <a:avLst/>
                          </a:prstGeom>
                        </pic:spPr>
                      </pic:pic>
                    </a:graphicData>
                  </a:graphic>
                </wp:inline>
              </w:drawing>
            </w:r>
          </w:p>
          <w:p w14:paraId="00D0AA2C">
            <w:pPr>
              <w:shd w:val="clear" w:color="auto" w:fill="auto"/>
              <w:adjustRightInd w:val="0"/>
              <w:snapToGrid w:val="0"/>
              <w:spacing w:line="360" w:lineRule="auto"/>
              <w:jc w:val="center"/>
              <w:rPr>
                <w:rFonts w:hint="eastAsia"/>
                <w:b/>
                <w:color w:val="auto"/>
                <w:szCs w:val="21"/>
                <w:highlight w:val="none"/>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7</w:t>
            </w:r>
            <w:r>
              <w:rPr>
                <w:b/>
                <w:color w:val="auto"/>
                <w:szCs w:val="21"/>
                <w:highlight w:val="none"/>
              </w:rPr>
              <w:t xml:space="preserve">  </w:t>
            </w:r>
            <w:r>
              <w:rPr>
                <w:rFonts w:hint="eastAsia"/>
                <w:b/>
                <w:color w:val="auto"/>
                <w:szCs w:val="21"/>
                <w:highlight w:val="none"/>
                <w:lang w:val="en-US" w:eastAsia="zh-CN"/>
              </w:rPr>
              <w:t>废水处理</w:t>
            </w:r>
            <w:r>
              <w:rPr>
                <w:rFonts w:hint="eastAsia"/>
                <w:b/>
                <w:color w:val="auto"/>
                <w:szCs w:val="21"/>
                <w:highlight w:val="none"/>
              </w:rPr>
              <w:t>工艺流程图</w:t>
            </w:r>
          </w:p>
          <w:p w14:paraId="748E133E">
            <w:pPr>
              <w:adjustRightInd w:val="0"/>
              <w:snapToGrid w:val="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表2-5 运营期主要污染工序一览表</w:t>
            </w:r>
          </w:p>
          <w:tbl>
            <w:tblPr>
              <w:tblStyle w:val="27"/>
              <w:tblW w:w="7958"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534"/>
              <w:gridCol w:w="1652"/>
              <w:gridCol w:w="1976"/>
              <w:gridCol w:w="3144"/>
            </w:tblGrid>
            <w:tr w14:paraId="7BE82FD8">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tcBorders>
                    <w:bottom w:val="single" w:color="auto" w:sz="4" w:space="0"/>
                    <w:right w:val="single" w:color="auto" w:sz="4" w:space="0"/>
                    <w:tl2br w:val="nil"/>
                    <w:tr2bl w:val="nil"/>
                  </w:tcBorders>
                  <w:noWrap w:val="0"/>
                  <w:vAlign w:val="center"/>
                </w:tcPr>
                <w:p w14:paraId="3DB3402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b/>
                      <w:color w:val="auto"/>
                      <w:sz w:val="21"/>
                      <w:szCs w:val="24"/>
                      <w:highlight w:val="none"/>
                    </w:rPr>
                  </w:pPr>
                  <w:r>
                    <w:rPr>
                      <w:rFonts w:hint="eastAsia"/>
                      <w:b/>
                      <w:color w:val="auto"/>
                      <w:sz w:val="21"/>
                      <w:szCs w:val="24"/>
                      <w:highlight w:val="none"/>
                    </w:rPr>
                    <w:t>污染类别</w:t>
                  </w:r>
                </w:p>
              </w:tc>
              <w:tc>
                <w:tcPr>
                  <w:tcW w:w="2186" w:type="dxa"/>
                  <w:gridSpan w:val="2"/>
                  <w:tcBorders>
                    <w:left w:val="single" w:color="auto" w:sz="4" w:space="0"/>
                    <w:bottom w:val="single" w:color="auto" w:sz="4" w:space="0"/>
                    <w:right w:val="single" w:color="auto" w:sz="4" w:space="0"/>
                    <w:tl2br w:val="nil"/>
                    <w:tr2bl w:val="nil"/>
                  </w:tcBorders>
                  <w:noWrap w:val="0"/>
                  <w:vAlign w:val="center"/>
                </w:tcPr>
                <w:p w14:paraId="032BFF2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b/>
                      <w:color w:val="auto"/>
                      <w:sz w:val="21"/>
                      <w:szCs w:val="24"/>
                      <w:highlight w:val="none"/>
                    </w:rPr>
                  </w:pPr>
                  <w:r>
                    <w:rPr>
                      <w:rFonts w:hint="eastAsia"/>
                      <w:b/>
                      <w:color w:val="auto"/>
                      <w:sz w:val="21"/>
                      <w:szCs w:val="24"/>
                      <w:highlight w:val="none"/>
                    </w:rPr>
                    <w:t>污染源名称</w:t>
                  </w:r>
                </w:p>
              </w:tc>
              <w:tc>
                <w:tcPr>
                  <w:tcW w:w="1976" w:type="dxa"/>
                  <w:tcBorders>
                    <w:left w:val="single" w:color="auto" w:sz="4" w:space="0"/>
                    <w:bottom w:val="single" w:color="auto" w:sz="4" w:space="0"/>
                    <w:right w:val="single" w:color="auto" w:sz="4" w:space="0"/>
                    <w:tl2br w:val="nil"/>
                    <w:tr2bl w:val="nil"/>
                  </w:tcBorders>
                  <w:noWrap w:val="0"/>
                  <w:vAlign w:val="center"/>
                </w:tcPr>
                <w:p w14:paraId="661697D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b/>
                      <w:color w:val="auto"/>
                      <w:sz w:val="21"/>
                      <w:szCs w:val="24"/>
                      <w:highlight w:val="none"/>
                    </w:rPr>
                  </w:pPr>
                  <w:r>
                    <w:rPr>
                      <w:rFonts w:hint="eastAsia"/>
                      <w:b/>
                      <w:color w:val="auto"/>
                      <w:sz w:val="21"/>
                      <w:szCs w:val="24"/>
                      <w:highlight w:val="none"/>
                    </w:rPr>
                    <w:t>产污环节</w:t>
                  </w:r>
                </w:p>
              </w:tc>
              <w:tc>
                <w:tcPr>
                  <w:tcW w:w="3144" w:type="dxa"/>
                  <w:tcBorders>
                    <w:left w:val="single" w:color="auto" w:sz="4" w:space="0"/>
                    <w:bottom w:val="single" w:color="auto" w:sz="4" w:space="0"/>
                    <w:tl2br w:val="nil"/>
                    <w:tr2bl w:val="nil"/>
                  </w:tcBorders>
                  <w:noWrap w:val="0"/>
                  <w:vAlign w:val="center"/>
                </w:tcPr>
                <w:p w14:paraId="7A06AB1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b/>
                      <w:color w:val="auto"/>
                      <w:sz w:val="21"/>
                      <w:szCs w:val="24"/>
                      <w:highlight w:val="none"/>
                    </w:rPr>
                  </w:pPr>
                  <w:r>
                    <w:rPr>
                      <w:rFonts w:hint="eastAsia"/>
                      <w:b/>
                      <w:color w:val="auto"/>
                      <w:sz w:val="21"/>
                      <w:szCs w:val="24"/>
                      <w:highlight w:val="none"/>
                    </w:rPr>
                    <w:t>主要污染因子</w:t>
                  </w:r>
                </w:p>
              </w:tc>
            </w:tr>
            <w:tr w14:paraId="57B9962A">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restart"/>
                  <w:tcBorders>
                    <w:top w:val="single" w:color="auto" w:sz="4" w:space="0"/>
                    <w:bottom w:val="single" w:color="auto" w:sz="4" w:space="0"/>
                    <w:right w:val="single" w:color="auto" w:sz="4" w:space="0"/>
                    <w:tl2br w:val="nil"/>
                    <w:tr2bl w:val="nil"/>
                  </w:tcBorders>
                  <w:noWrap w:val="0"/>
                  <w:vAlign w:val="center"/>
                </w:tcPr>
                <w:p w14:paraId="79F5243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废气</w:t>
                  </w:r>
                </w:p>
              </w:tc>
              <w:tc>
                <w:tcPr>
                  <w:tcW w:w="21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7A1C44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酸</w:t>
                  </w:r>
                  <w:r>
                    <w:rPr>
                      <w:rFonts w:hint="eastAsia" w:eastAsia="宋体"/>
                      <w:color w:val="auto"/>
                      <w:sz w:val="21"/>
                      <w:szCs w:val="24"/>
                      <w:highlight w:val="none"/>
                      <w:lang w:val="en-US" w:eastAsia="zh-CN"/>
                    </w:rPr>
                    <w:t>碱</w:t>
                  </w:r>
                  <w:r>
                    <w:rPr>
                      <w:rFonts w:hint="eastAsia"/>
                      <w:color w:val="auto"/>
                      <w:sz w:val="21"/>
                      <w:szCs w:val="24"/>
                      <w:highlight w:val="none"/>
                    </w:rPr>
                    <w:t>废气</w:t>
                  </w:r>
                </w:p>
              </w:tc>
              <w:tc>
                <w:tcPr>
                  <w:tcW w:w="19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523349A">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实验过程</w:t>
                  </w:r>
                </w:p>
              </w:tc>
              <w:tc>
                <w:tcPr>
                  <w:tcW w:w="3144" w:type="dxa"/>
                  <w:tcBorders>
                    <w:top w:val="single" w:color="auto" w:sz="4" w:space="0"/>
                    <w:left w:val="single" w:color="auto" w:sz="4" w:space="0"/>
                    <w:bottom w:val="single" w:color="auto" w:sz="4" w:space="0"/>
                    <w:tl2br w:val="nil"/>
                    <w:tr2bl w:val="nil"/>
                  </w:tcBorders>
                  <w:noWrap w:val="0"/>
                  <w:vAlign w:val="center"/>
                </w:tcPr>
                <w:p w14:paraId="2C39B67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宋体"/>
                      <w:color w:val="auto"/>
                      <w:position w:val="2"/>
                      <w:sz w:val="21"/>
                      <w:szCs w:val="24"/>
                      <w:highlight w:val="none"/>
                      <w:vertAlign w:val="baseline"/>
                      <w:lang w:val="en-US" w:eastAsia="zh-CN"/>
                    </w:rPr>
                  </w:pPr>
                  <w:r>
                    <w:rPr>
                      <w:rFonts w:hint="eastAsia"/>
                      <w:color w:val="auto"/>
                      <w:position w:val="2"/>
                      <w:sz w:val="21"/>
                      <w:szCs w:val="24"/>
                      <w:highlight w:val="none"/>
                    </w:rPr>
                    <w:t>硫酸雾、氯化氢、</w:t>
                  </w:r>
                  <w:r>
                    <w:rPr>
                      <w:rFonts w:hint="default" w:ascii="Times New Roman" w:hAnsi="Times New Roman" w:eastAsia="Times New Roman"/>
                      <w:color w:val="auto"/>
                      <w:position w:val="2"/>
                      <w:sz w:val="21"/>
                      <w:szCs w:val="24"/>
                      <w:highlight w:val="none"/>
                    </w:rPr>
                    <w:t>NO</w:t>
                  </w:r>
                  <w:r>
                    <w:rPr>
                      <w:rFonts w:hint="default" w:ascii="Times New Roman" w:hAnsi="Times New Roman" w:eastAsia="Times New Roman"/>
                      <w:color w:val="auto"/>
                      <w:position w:val="2"/>
                      <w:sz w:val="21"/>
                      <w:szCs w:val="24"/>
                      <w:highlight w:val="none"/>
                      <w:vertAlign w:val="subscript"/>
                    </w:rPr>
                    <w:t>X</w:t>
                  </w:r>
                  <w:r>
                    <w:rPr>
                      <w:rFonts w:hint="eastAsia" w:ascii="Times New Roman" w:hAnsi="Times New Roman" w:eastAsia="宋体"/>
                      <w:color w:val="auto"/>
                      <w:position w:val="2"/>
                      <w:sz w:val="21"/>
                      <w:szCs w:val="24"/>
                      <w:highlight w:val="none"/>
                      <w:vertAlign w:val="baseline"/>
                      <w:lang w:eastAsia="zh-CN"/>
                    </w:rPr>
                    <w:t>、</w:t>
                  </w:r>
                  <w:r>
                    <w:rPr>
                      <w:rFonts w:hint="eastAsia" w:ascii="Times New Roman" w:hAnsi="Times New Roman" w:eastAsia="宋体"/>
                      <w:color w:val="auto"/>
                      <w:position w:val="2"/>
                      <w:sz w:val="21"/>
                      <w:szCs w:val="24"/>
                      <w:highlight w:val="none"/>
                      <w:vertAlign w:val="baseline"/>
                      <w:lang w:val="en-US" w:eastAsia="zh-CN"/>
                    </w:rPr>
                    <w:t>氟化物</w:t>
                  </w:r>
                </w:p>
              </w:tc>
            </w:tr>
            <w:tr w14:paraId="6CD8E1FF">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top w:val="single" w:color="auto" w:sz="4" w:space="0"/>
                    <w:bottom w:val="single" w:color="auto" w:sz="4" w:space="0"/>
                    <w:right w:val="single" w:color="auto" w:sz="4" w:space="0"/>
                    <w:tl2br w:val="nil"/>
                    <w:tr2bl w:val="nil"/>
                  </w:tcBorders>
                  <w:noWrap w:val="0"/>
                  <w:vAlign w:val="center"/>
                </w:tcPr>
                <w:p w14:paraId="37B80402">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21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CE21BA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有机废气</w:t>
                  </w:r>
                </w:p>
              </w:tc>
              <w:tc>
                <w:tcPr>
                  <w:tcW w:w="19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4799CFF">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3144" w:type="dxa"/>
                  <w:tcBorders>
                    <w:top w:val="single" w:color="auto" w:sz="4" w:space="0"/>
                    <w:left w:val="single" w:color="auto" w:sz="4" w:space="0"/>
                    <w:bottom w:val="single" w:color="auto" w:sz="4" w:space="0"/>
                    <w:tl2br w:val="nil"/>
                    <w:tr2bl w:val="nil"/>
                  </w:tcBorders>
                  <w:noWrap w:val="0"/>
                  <w:vAlign w:val="center"/>
                </w:tcPr>
                <w:p w14:paraId="4D5934A9">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ascii="Times New Roman" w:hAnsi="Times New Roman" w:eastAsia="宋体" w:cs="Times New Roman"/>
                      <w:i w:val="0"/>
                      <w:iCs w:val="0"/>
                      <w:snapToGrid w:val="0"/>
                      <w:color w:val="auto"/>
                      <w:kern w:val="0"/>
                      <w:sz w:val="21"/>
                      <w:szCs w:val="21"/>
                      <w:highlight w:val="none"/>
                      <w:u w:val="none"/>
                      <w:lang w:val="en-US" w:eastAsia="zh-CN" w:bidi="ar"/>
                    </w:rPr>
                    <w:t>非甲烷总烃</w:t>
                  </w:r>
                  <w:r>
                    <w:rPr>
                      <w:rFonts w:hint="eastAsia" w:ascii="Times New Roman" w:hAnsi="Times New Roman" w:cs="Times New Roman"/>
                      <w:i w:val="0"/>
                      <w:iCs w:val="0"/>
                      <w:snapToGrid w:val="0"/>
                      <w:color w:val="auto"/>
                      <w:kern w:val="0"/>
                      <w:sz w:val="21"/>
                      <w:szCs w:val="21"/>
                      <w:highlight w:val="none"/>
                      <w:u w:val="none"/>
                      <w:lang w:val="en-US" w:eastAsia="zh-CN" w:bidi="ar"/>
                    </w:rPr>
                    <w:t>、甲醇、甲苯、二氯甲烷、三氯甲烷</w:t>
                  </w:r>
                </w:p>
              </w:tc>
            </w:tr>
            <w:tr w14:paraId="4AC9919E">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top w:val="single" w:color="auto" w:sz="4" w:space="0"/>
                    <w:bottom w:val="single" w:color="auto" w:sz="4" w:space="0"/>
                    <w:right w:val="single" w:color="auto" w:sz="4" w:space="0"/>
                    <w:tl2br w:val="nil"/>
                    <w:tr2bl w:val="nil"/>
                  </w:tcBorders>
                  <w:noWrap w:val="0"/>
                  <w:vAlign w:val="center"/>
                </w:tcPr>
                <w:p w14:paraId="0C2E1E7F">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21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174F81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eastAsia="宋体"/>
                      <w:color w:val="auto"/>
                      <w:sz w:val="21"/>
                      <w:szCs w:val="24"/>
                      <w:highlight w:val="none"/>
                      <w:lang w:val="en-US" w:eastAsia="zh-CN"/>
                    </w:rPr>
                    <w:t>粉尘</w:t>
                  </w:r>
                </w:p>
              </w:tc>
              <w:tc>
                <w:tcPr>
                  <w:tcW w:w="19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2A549B5">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3144" w:type="dxa"/>
                  <w:tcBorders>
                    <w:top w:val="single" w:color="auto" w:sz="4" w:space="0"/>
                    <w:left w:val="single" w:color="auto" w:sz="4" w:space="0"/>
                    <w:bottom w:val="single" w:color="auto" w:sz="4" w:space="0"/>
                    <w:tl2br w:val="nil"/>
                    <w:tr2bl w:val="nil"/>
                  </w:tcBorders>
                  <w:noWrap w:val="0"/>
                  <w:vAlign w:val="center"/>
                </w:tcPr>
                <w:p w14:paraId="45FB7CA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eastAsia" w:ascii="Times New Roman" w:hAnsi="Times New Roman" w:eastAsia="宋体" w:cs="Times New Roman"/>
                      <w:i w:val="0"/>
                      <w:iCs w:val="0"/>
                      <w:snapToGrid w:val="0"/>
                      <w:color w:val="auto"/>
                      <w:kern w:val="0"/>
                      <w:sz w:val="21"/>
                      <w:szCs w:val="21"/>
                      <w:highlight w:val="none"/>
                      <w:u w:val="none"/>
                      <w:lang w:val="en-US" w:eastAsia="zh-CN" w:bidi="ar"/>
                    </w:rPr>
                    <w:t>颗粒物</w:t>
                  </w:r>
                </w:p>
              </w:tc>
            </w:tr>
            <w:tr w14:paraId="62CD51C1">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restart"/>
                  <w:tcBorders>
                    <w:top w:val="single" w:color="auto" w:sz="4" w:space="0"/>
                    <w:bottom w:val="single" w:color="auto" w:sz="4" w:space="0"/>
                    <w:right w:val="single" w:color="auto" w:sz="4" w:space="0"/>
                    <w:tl2br w:val="nil"/>
                    <w:tr2bl w:val="nil"/>
                  </w:tcBorders>
                  <w:noWrap w:val="0"/>
                  <w:vAlign w:val="center"/>
                </w:tcPr>
                <w:p w14:paraId="32BD059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废水</w:t>
                  </w:r>
                </w:p>
              </w:tc>
              <w:tc>
                <w:tcPr>
                  <w:tcW w:w="2186"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0AE81A7">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Noto Sans CJK JP Regular" w:hAnsi="Noto Sans CJK JP Regular" w:eastAsia="宋体" w:cs="Noto Sans CJK JP Regular"/>
                      <w:color w:val="auto"/>
                      <w:kern w:val="0"/>
                      <w:sz w:val="21"/>
                      <w:szCs w:val="24"/>
                      <w:highlight w:val="none"/>
                      <w:lang w:val="en-US" w:eastAsia="en-US" w:bidi="ar-SA"/>
                    </w:rPr>
                  </w:pPr>
                  <w:r>
                    <w:rPr>
                      <w:rFonts w:hint="eastAsia"/>
                      <w:color w:val="auto"/>
                      <w:sz w:val="21"/>
                      <w:szCs w:val="24"/>
                      <w:highlight w:val="none"/>
                    </w:rPr>
                    <w:t>清洗废水（后期实验清洗废水）</w:t>
                  </w:r>
                </w:p>
              </w:tc>
              <w:tc>
                <w:tcPr>
                  <w:tcW w:w="197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ADD11C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Noto Sans CJK JP Regular" w:hAnsi="Noto Sans CJK JP Regular" w:eastAsia="宋体" w:cs="Noto Sans CJK JP Regular"/>
                      <w:color w:val="auto"/>
                      <w:kern w:val="0"/>
                      <w:sz w:val="21"/>
                      <w:szCs w:val="24"/>
                      <w:highlight w:val="none"/>
                      <w:lang w:val="en-US" w:eastAsia="en-US" w:bidi="ar-SA"/>
                    </w:rPr>
                  </w:pPr>
                  <w:r>
                    <w:rPr>
                      <w:rFonts w:hint="eastAsia"/>
                      <w:color w:val="auto"/>
                      <w:sz w:val="21"/>
                      <w:szCs w:val="24"/>
                      <w:highlight w:val="none"/>
                    </w:rPr>
                    <w:t>仪器、器皿清洗</w:t>
                  </w:r>
                </w:p>
              </w:tc>
              <w:tc>
                <w:tcPr>
                  <w:tcW w:w="3144" w:type="dxa"/>
                  <w:tcBorders>
                    <w:top w:val="single" w:color="auto" w:sz="4" w:space="0"/>
                    <w:left w:val="single" w:color="auto" w:sz="4" w:space="0"/>
                    <w:bottom w:val="single" w:color="auto" w:sz="4" w:space="0"/>
                    <w:tl2br w:val="nil"/>
                    <w:tr2bl w:val="nil"/>
                  </w:tcBorders>
                  <w:shd w:val="clear" w:color="auto" w:fill="auto"/>
                  <w:noWrap w:val="0"/>
                  <w:vAlign w:val="center"/>
                </w:tcPr>
                <w:p w14:paraId="313422C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Times New Roman" w:hAnsi="Times New Roman" w:eastAsia="宋体" w:cs="Noto Sans CJK JP Regular"/>
                      <w:color w:val="auto"/>
                      <w:kern w:val="0"/>
                      <w:sz w:val="21"/>
                      <w:szCs w:val="24"/>
                      <w:highlight w:val="none"/>
                      <w:lang w:val="en-US" w:eastAsia="zh-CN" w:bidi="ar-SA"/>
                    </w:rPr>
                  </w:pPr>
                  <w:r>
                    <w:rPr>
                      <w:rFonts w:hint="default" w:ascii="Times New Roman" w:hAnsi="Times New Roman" w:eastAsia="Times New Roman"/>
                      <w:color w:val="auto"/>
                      <w:sz w:val="21"/>
                      <w:szCs w:val="24"/>
                      <w:highlight w:val="none"/>
                    </w:rPr>
                    <w:t>pH、COD、BOD</w:t>
                  </w:r>
                  <w:r>
                    <w:rPr>
                      <w:rFonts w:hint="default" w:ascii="Times New Roman" w:hAnsi="Times New Roman" w:eastAsia="Times New Roman"/>
                      <w:color w:val="auto"/>
                      <w:sz w:val="21"/>
                      <w:szCs w:val="24"/>
                      <w:highlight w:val="none"/>
                      <w:vertAlign w:val="subscript"/>
                    </w:rPr>
                    <w:t>5</w:t>
                  </w:r>
                  <w:r>
                    <w:rPr>
                      <w:rFonts w:hint="default" w:ascii="Times New Roman" w:hAnsi="Times New Roman" w:eastAsia="Times New Roman"/>
                      <w:color w:val="auto"/>
                      <w:sz w:val="21"/>
                      <w:szCs w:val="24"/>
                      <w:highlight w:val="none"/>
                    </w:rPr>
                    <w:t>、SS、氨氮</w:t>
                  </w:r>
                  <w:r>
                    <w:rPr>
                      <w:rFonts w:hint="eastAsia" w:ascii="Times New Roman" w:hAnsi="Times New Roman" w:eastAsia="宋体"/>
                      <w:color w:val="auto"/>
                      <w:sz w:val="21"/>
                      <w:szCs w:val="24"/>
                      <w:highlight w:val="none"/>
                      <w:lang w:val="en-US" w:eastAsia="zh-CN"/>
                    </w:rPr>
                    <w:t>等</w:t>
                  </w:r>
                </w:p>
              </w:tc>
            </w:tr>
            <w:tr w14:paraId="4D2FA9EE">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top w:val="single" w:color="auto" w:sz="4" w:space="0"/>
                    <w:bottom w:val="single" w:color="auto" w:sz="4" w:space="0"/>
                    <w:right w:val="single" w:color="auto" w:sz="4" w:space="0"/>
                    <w:tl2br w:val="nil"/>
                    <w:tr2bl w:val="nil"/>
                  </w:tcBorders>
                  <w:noWrap w:val="0"/>
                  <w:vAlign w:val="center"/>
                </w:tcPr>
                <w:p w14:paraId="5D5697E4">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21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DF5FA58">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纯水制备浓水</w:t>
                  </w:r>
                </w:p>
              </w:tc>
              <w:tc>
                <w:tcPr>
                  <w:tcW w:w="19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094F6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纯水制备</w:t>
                  </w:r>
                </w:p>
              </w:tc>
              <w:tc>
                <w:tcPr>
                  <w:tcW w:w="3144" w:type="dxa"/>
                  <w:tcBorders>
                    <w:top w:val="single" w:color="auto" w:sz="4" w:space="0"/>
                    <w:left w:val="single" w:color="auto" w:sz="4" w:space="0"/>
                    <w:bottom w:val="single" w:color="auto" w:sz="4" w:space="0"/>
                    <w:tl2br w:val="nil"/>
                    <w:tr2bl w:val="nil"/>
                  </w:tcBorders>
                  <w:noWrap w:val="0"/>
                  <w:vAlign w:val="center"/>
                </w:tcPr>
                <w:p w14:paraId="34DD15F4">
                  <w:pPr>
                    <w:pageBreakBefore w:val="0"/>
                    <w:kinsoku/>
                    <w:wordWrap/>
                    <w:topLinePunct w:val="0"/>
                    <w:bidi w:val="0"/>
                    <w:spacing w:beforeLines="0" w:afterLines="0"/>
                    <w:jc w:val="center"/>
                    <w:rPr>
                      <w:rFonts w:hint="default" w:ascii="Times New Roman" w:hAnsi="Times New Roman" w:eastAsia="Times New Roman"/>
                      <w:color w:val="auto"/>
                      <w:sz w:val="21"/>
                      <w:szCs w:val="24"/>
                      <w:highlight w:val="none"/>
                    </w:rPr>
                  </w:pPr>
                  <w:r>
                    <w:rPr>
                      <w:rFonts w:hint="eastAsia" w:ascii="宋体" w:hAnsi="宋体" w:eastAsia="宋体"/>
                      <w:color w:val="auto"/>
                      <w:sz w:val="21"/>
                      <w:szCs w:val="24"/>
                      <w:highlight w:val="none"/>
                    </w:rPr>
                    <w:t>钙离子、镁离子、氯离子</w:t>
                  </w:r>
                </w:p>
              </w:tc>
            </w:tr>
            <w:tr w14:paraId="5D2E159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tcBorders>
                    <w:top w:val="single" w:color="auto" w:sz="4" w:space="0"/>
                    <w:bottom w:val="single" w:color="auto" w:sz="4" w:space="0"/>
                    <w:right w:val="single" w:color="auto" w:sz="4" w:space="0"/>
                    <w:tl2br w:val="nil"/>
                    <w:tr2bl w:val="nil"/>
                  </w:tcBorders>
                  <w:noWrap w:val="0"/>
                  <w:vAlign w:val="center"/>
                </w:tcPr>
                <w:p w14:paraId="3F2EBE9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噪声</w:t>
                  </w:r>
                </w:p>
              </w:tc>
              <w:tc>
                <w:tcPr>
                  <w:tcW w:w="21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32F1DB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设备噪声</w:t>
                  </w:r>
                </w:p>
              </w:tc>
              <w:tc>
                <w:tcPr>
                  <w:tcW w:w="19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809D7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实验设备、排风系统</w:t>
                  </w:r>
                </w:p>
              </w:tc>
              <w:tc>
                <w:tcPr>
                  <w:tcW w:w="3144" w:type="dxa"/>
                  <w:tcBorders>
                    <w:top w:val="single" w:color="auto" w:sz="4" w:space="0"/>
                    <w:left w:val="single" w:color="auto" w:sz="4" w:space="0"/>
                    <w:bottom w:val="single" w:color="auto" w:sz="4" w:space="0"/>
                    <w:tl2br w:val="nil"/>
                    <w:tr2bl w:val="nil"/>
                  </w:tcBorders>
                  <w:noWrap w:val="0"/>
                  <w:vAlign w:val="center"/>
                </w:tcPr>
                <w:p w14:paraId="7EB3C8A9">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设备噪声</w:t>
                  </w:r>
                </w:p>
              </w:tc>
            </w:tr>
            <w:tr w14:paraId="58BFCA3A">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restart"/>
                  <w:tcBorders>
                    <w:top w:val="single" w:color="auto" w:sz="4" w:space="0"/>
                    <w:right w:val="single" w:color="auto" w:sz="4" w:space="0"/>
                    <w:tl2br w:val="nil"/>
                    <w:tr2bl w:val="nil"/>
                  </w:tcBorders>
                  <w:noWrap w:val="0"/>
                  <w:vAlign w:val="center"/>
                </w:tcPr>
                <w:p w14:paraId="27BB010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固废</w:t>
                  </w:r>
                </w:p>
              </w:tc>
              <w:tc>
                <w:tcPr>
                  <w:tcW w:w="534" w:type="dxa"/>
                  <w:vMerge w:val="restart"/>
                  <w:tcBorders>
                    <w:top w:val="single" w:color="auto" w:sz="4" w:space="0"/>
                    <w:left w:val="single" w:color="auto" w:sz="4" w:space="0"/>
                    <w:right w:val="single" w:color="auto" w:sz="4" w:space="0"/>
                    <w:tl2br w:val="nil"/>
                    <w:tr2bl w:val="nil"/>
                  </w:tcBorders>
                  <w:noWrap w:val="0"/>
                  <w:vAlign w:val="center"/>
                </w:tcPr>
                <w:p w14:paraId="36B53C9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w w:val="95"/>
                      <w:sz w:val="21"/>
                      <w:szCs w:val="24"/>
                      <w:highlight w:val="none"/>
                    </w:rPr>
                  </w:pPr>
                  <w:r>
                    <w:rPr>
                      <w:rFonts w:hint="eastAsia"/>
                      <w:color w:val="auto"/>
                      <w:w w:val="95"/>
                      <w:sz w:val="21"/>
                      <w:szCs w:val="24"/>
                      <w:highlight w:val="none"/>
                    </w:rPr>
                    <w:t>一般固废</w:t>
                  </w:r>
                </w:p>
              </w:tc>
              <w:tc>
                <w:tcPr>
                  <w:tcW w:w="1652"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492A52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Noto Sans CJK JP Regular" w:hAnsi="Noto Sans CJK JP Regular" w:eastAsia="宋体" w:cs="Noto Sans CJK JP Regular"/>
                      <w:color w:val="auto"/>
                      <w:kern w:val="0"/>
                      <w:sz w:val="21"/>
                      <w:szCs w:val="24"/>
                      <w:highlight w:val="none"/>
                      <w:lang w:val="en-US" w:eastAsia="zh-CN" w:bidi="ar-SA"/>
                    </w:rPr>
                  </w:pPr>
                  <w:r>
                    <w:rPr>
                      <w:rFonts w:hint="eastAsia"/>
                      <w:color w:val="auto"/>
                      <w:sz w:val="21"/>
                      <w:szCs w:val="24"/>
                      <w:highlight w:val="none"/>
                      <w:lang w:val="en-US" w:eastAsia="zh-CN"/>
                    </w:rPr>
                    <w:t>废样品</w:t>
                  </w:r>
                </w:p>
              </w:tc>
              <w:tc>
                <w:tcPr>
                  <w:tcW w:w="1976" w:type="dxa"/>
                  <w:vMerge w:val="restart"/>
                  <w:tcBorders>
                    <w:top w:val="single" w:color="auto" w:sz="4" w:space="0"/>
                    <w:left w:val="single" w:color="auto" w:sz="4" w:space="0"/>
                    <w:right w:val="single" w:color="auto" w:sz="4" w:space="0"/>
                    <w:tl2br w:val="nil"/>
                    <w:tr2bl w:val="nil"/>
                  </w:tcBorders>
                  <w:shd w:val="clear" w:color="auto" w:fill="auto"/>
                  <w:noWrap w:val="0"/>
                  <w:vAlign w:val="center"/>
                </w:tcPr>
                <w:p w14:paraId="519D622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eastAsia="zh-CN"/>
                    </w:rPr>
                  </w:pPr>
                  <w:r>
                    <w:rPr>
                      <w:rFonts w:hint="eastAsia"/>
                      <w:color w:val="auto"/>
                      <w:sz w:val="21"/>
                      <w:szCs w:val="24"/>
                      <w:highlight w:val="none"/>
                      <w:lang w:val="en-US" w:eastAsia="zh-CN"/>
                    </w:rPr>
                    <w:t>实验过程</w:t>
                  </w:r>
                </w:p>
              </w:tc>
              <w:tc>
                <w:tcPr>
                  <w:tcW w:w="3144" w:type="dxa"/>
                  <w:tcBorders>
                    <w:top w:val="single" w:color="auto" w:sz="4" w:space="0"/>
                    <w:left w:val="single" w:color="auto" w:sz="4" w:space="0"/>
                    <w:bottom w:val="single" w:color="auto" w:sz="4" w:space="0"/>
                    <w:tl2br w:val="nil"/>
                    <w:tr2bl w:val="nil"/>
                  </w:tcBorders>
                  <w:shd w:val="clear" w:color="auto" w:fill="auto"/>
                  <w:noWrap w:val="0"/>
                  <w:vAlign w:val="center"/>
                </w:tcPr>
                <w:p w14:paraId="0AB9671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Noto Sans CJK JP Regular" w:hAnsi="Noto Sans CJK JP Regular" w:eastAsia="宋体" w:cs="Noto Sans CJK JP Regular"/>
                      <w:color w:val="auto"/>
                      <w:kern w:val="0"/>
                      <w:sz w:val="21"/>
                      <w:szCs w:val="24"/>
                      <w:highlight w:val="none"/>
                      <w:lang w:val="en-US" w:eastAsia="en-US" w:bidi="ar-SA"/>
                    </w:rPr>
                  </w:pPr>
                  <w:r>
                    <w:rPr>
                      <w:rFonts w:hint="eastAsia"/>
                      <w:color w:val="auto"/>
                      <w:sz w:val="21"/>
                      <w:szCs w:val="24"/>
                      <w:highlight w:val="none"/>
                      <w:lang w:val="en-US" w:eastAsia="zh-CN"/>
                    </w:rPr>
                    <w:t>矿石碎渣等</w:t>
                  </w:r>
                </w:p>
              </w:tc>
            </w:tr>
            <w:tr w14:paraId="5D5C8BF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59FDF751">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6D6ED25E">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49405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lang w:val="en-US" w:eastAsia="zh-CN"/>
                    </w:rPr>
                    <w:t>废纸屑及未被污染的</w:t>
                  </w:r>
                  <w:r>
                    <w:rPr>
                      <w:rFonts w:hint="eastAsia"/>
                      <w:color w:val="auto"/>
                      <w:sz w:val="21"/>
                      <w:szCs w:val="24"/>
                      <w:highlight w:val="none"/>
                    </w:rPr>
                    <w:t>废包装材料</w:t>
                  </w:r>
                </w:p>
              </w:tc>
              <w:tc>
                <w:tcPr>
                  <w:tcW w:w="1976" w:type="dxa"/>
                  <w:vMerge w:val="continue"/>
                  <w:tcBorders>
                    <w:left w:val="single" w:color="auto" w:sz="4" w:space="0"/>
                    <w:bottom w:val="single" w:color="auto" w:sz="4" w:space="0"/>
                    <w:right w:val="single" w:color="auto" w:sz="4" w:space="0"/>
                    <w:tl2br w:val="nil"/>
                    <w:tr2bl w:val="nil"/>
                  </w:tcBorders>
                  <w:noWrap w:val="0"/>
                  <w:vAlign w:val="center"/>
                </w:tcPr>
                <w:p w14:paraId="5EAB06A9">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eastAsia="zh-CN"/>
                    </w:rPr>
                  </w:pPr>
                </w:p>
              </w:tc>
              <w:tc>
                <w:tcPr>
                  <w:tcW w:w="3144" w:type="dxa"/>
                  <w:tcBorders>
                    <w:top w:val="single" w:color="auto" w:sz="4" w:space="0"/>
                    <w:left w:val="single" w:color="auto" w:sz="4" w:space="0"/>
                    <w:bottom w:val="single" w:color="auto" w:sz="4" w:space="0"/>
                    <w:tl2br w:val="nil"/>
                    <w:tr2bl w:val="nil"/>
                  </w:tcBorders>
                  <w:noWrap w:val="0"/>
                  <w:vAlign w:val="center"/>
                </w:tcPr>
                <w:p w14:paraId="3FCFD35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color w:val="auto"/>
                      <w:sz w:val="21"/>
                      <w:szCs w:val="24"/>
                      <w:highlight w:val="none"/>
                    </w:rPr>
                  </w:pPr>
                  <w:r>
                    <w:rPr>
                      <w:rFonts w:hint="eastAsia"/>
                      <w:color w:val="auto"/>
                      <w:sz w:val="21"/>
                      <w:szCs w:val="24"/>
                      <w:highlight w:val="none"/>
                      <w:lang w:val="en-US" w:eastAsia="zh-CN"/>
                    </w:rPr>
                    <w:t>废纸屑及未被污染的</w:t>
                  </w:r>
                  <w:r>
                    <w:rPr>
                      <w:rFonts w:hint="eastAsia"/>
                      <w:color w:val="auto"/>
                      <w:sz w:val="21"/>
                      <w:szCs w:val="24"/>
                      <w:highlight w:val="none"/>
                    </w:rPr>
                    <w:t>废包装材料</w:t>
                  </w:r>
                </w:p>
              </w:tc>
            </w:tr>
            <w:tr w14:paraId="2C3D9664">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60FD4C7C">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5381D49E">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9AF0BE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Noto Sans CJK JP Regular" w:hAnsi="Noto Sans CJK JP Regular" w:eastAsia="宋体" w:cs="Noto Sans CJK JP Regular"/>
                      <w:color w:val="auto"/>
                      <w:kern w:val="0"/>
                      <w:sz w:val="21"/>
                      <w:szCs w:val="24"/>
                      <w:highlight w:val="none"/>
                      <w:lang w:val="en-US" w:eastAsia="zh-CN" w:bidi="ar-SA"/>
                    </w:rPr>
                  </w:pPr>
                  <w:r>
                    <w:rPr>
                      <w:rFonts w:hint="eastAsia" w:eastAsia="宋体"/>
                      <w:color w:val="auto"/>
                      <w:sz w:val="21"/>
                      <w:szCs w:val="24"/>
                      <w:highlight w:val="none"/>
                      <w:lang w:val="en-US" w:eastAsia="zh-CN"/>
                    </w:rPr>
                    <w:t>收尘灰</w:t>
                  </w:r>
                </w:p>
              </w:tc>
              <w:tc>
                <w:tcPr>
                  <w:tcW w:w="197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62DFD1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Noto Sans CJK JP Regular" w:hAnsi="Noto Sans CJK JP Regular" w:eastAsia="宋体" w:cs="Noto Sans CJK JP Regular"/>
                      <w:color w:val="auto"/>
                      <w:kern w:val="0"/>
                      <w:sz w:val="21"/>
                      <w:szCs w:val="24"/>
                      <w:highlight w:val="none"/>
                      <w:lang w:val="en-US" w:eastAsia="zh-CN" w:bidi="ar-SA"/>
                    </w:rPr>
                  </w:pPr>
                  <w:r>
                    <w:rPr>
                      <w:rFonts w:hint="eastAsia" w:eastAsia="宋体"/>
                      <w:color w:val="auto"/>
                      <w:sz w:val="21"/>
                      <w:szCs w:val="24"/>
                      <w:highlight w:val="none"/>
                      <w:lang w:val="en-US" w:eastAsia="zh-CN"/>
                    </w:rPr>
                    <w:t>碎样粉尘经除尘器处理后收集</w:t>
                  </w:r>
                </w:p>
              </w:tc>
              <w:tc>
                <w:tcPr>
                  <w:tcW w:w="3144" w:type="dxa"/>
                  <w:tcBorders>
                    <w:top w:val="single" w:color="auto" w:sz="4" w:space="0"/>
                    <w:left w:val="single" w:color="auto" w:sz="4" w:space="0"/>
                    <w:bottom w:val="single" w:color="auto" w:sz="4" w:space="0"/>
                    <w:tl2br w:val="nil"/>
                    <w:tr2bl w:val="nil"/>
                  </w:tcBorders>
                  <w:shd w:val="clear" w:color="auto" w:fill="auto"/>
                  <w:noWrap w:val="0"/>
                  <w:vAlign w:val="center"/>
                </w:tcPr>
                <w:p w14:paraId="0B14C544">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eastAsia" w:ascii="Noto Sans CJK JP Regular" w:hAnsi="Noto Sans CJK JP Regular" w:eastAsia="宋体" w:cs="Noto Sans CJK JP Regular"/>
                      <w:color w:val="auto"/>
                      <w:kern w:val="0"/>
                      <w:sz w:val="21"/>
                      <w:szCs w:val="24"/>
                      <w:highlight w:val="none"/>
                      <w:lang w:val="en-US" w:eastAsia="zh-CN" w:bidi="ar-SA"/>
                    </w:rPr>
                  </w:pPr>
                  <w:r>
                    <w:rPr>
                      <w:rFonts w:hint="eastAsia" w:eastAsia="宋体"/>
                      <w:color w:val="auto"/>
                      <w:sz w:val="21"/>
                      <w:szCs w:val="24"/>
                      <w:highlight w:val="none"/>
                      <w:lang w:val="en-US" w:eastAsia="zh-CN"/>
                    </w:rPr>
                    <w:t>收尘灰</w:t>
                  </w:r>
                </w:p>
              </w:tc>
            </w:tr>
            <w:tr w14:paraId="506DCE8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40A58BA7">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3013A4AE">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87E05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default" w:eastAsia="宋体"/>
                      <w:color w:val="auto"/>
                      <w:sz w:val="21"/>
                      <w:szCs w:val="24"/>
                      <w:highlight w:val="none"/>
                      <w:lang w:val="en-US" w:eastAsia="zh-CN"/>
                    </w:rPr>
                    <w:t>废滤芯</w:t>
                  </w:r>
                </w:p>
              </w:tc>
              <w:tc>
                <w:tcPr>
                  <w:tcW w:w="19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AB1345">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纯水制备</w:t>
                  </w:r>
                </w:p>
              </w:tc>
              <w:tc>
                <w:tcPr>
                  <w:tcW w:w="3144" w:type="dxa"/>
                  <w:tcBorders>
                    <w:top w:val="single" w:color="auto" w:sz="4" w:space="0"/>
                    <w:left w:val="single" w:color="auto" w:sz="4" w:space="0"/>
                    <w:bottom w:val="single" w:color="auto" w:sz="4" w:space="0"/>
                    <w:tl2br w:val="nil"/>
                    <w:tr2bl w:val="nil"/>
                  </w:tcBorders>
                  <w:noWrap w:val="0"/>
                  <w:vAlign w:val="center"/>
                </w:tcPr>
                <w:p w14:paraId="3DB5A30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滤芯</w:t>
                  </w:r>
                </w:p>
              </w:tc>
            </w:tr>
            <w:tr w14:paraId="07B2AF19">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07EAB899">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bottom w:val="single" w:color="auto" w:sz="4" w:space="0"/>
                    <w:right w:val="single" w:color="auto" w:sz="4" w:space="0"/>
                    <w:tl2br w:val="nil"/>
                    <w:tr2bl w:val="nil"/>
                  </w:tcBorders>
                  <w:noWrap w:val="0"/>
                  <w:vAlign w:val="center"/>
                </w:tcPr>
                <w:p w14:paraId="563208AD">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56528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default" w:eastAsia="宋体"/>
                      <w:color w:val="auto"/>
                      <w:sz w:val="21"/>
                      <w:szCs w:val="24"/>
                      <w:highlight w:val="none"/>
                      <w:lang w:val="en-US" w:eastAsia="zh-CN"/>
                    </w:rPr>
                    <w:t>灭菌后的废培养皿</w:t>
                  </w:r>
                </w:p>
              </w:tc>
              <w:tc>
                <w:tcPr>
                  <w:tcW w:w="19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C12BD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实验过程</w:t>
                  </w:r>
                </w:p>
              </w:tc>
              <w:tc>
                <w:tcPr>
                  <w:tcW w:w="3144" w:type="dxa"/>
                  <w:tcBorders>
                    <w:top w:val="single" w:color="auto" w:sz="4" w:space="0"/>
                    <w:left w:val="single" w:color="auto" w:sz="4" w:space="0"/>
                    <w:bottom w:val="single" w:color="auto" w:sz="4" w:space="0"/>
                    <w:tl2br w:val="nil"/>
                    <w:tr2bl w:val="nil"/>
                  </w:tcBorders>
                  <w:noWrap w:val="0"/>
                  <w:vAlign w:val="center"/>
                </w:tcPr>
                <w:p w14:paraId="7E2F418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废培养</w:t>
                  </w:r>
                  <w:r>
                    <w:rPr>
                      <w:rFonts w:hint="default" w:eastAsia="宋体"/>
                      <w:color w:val="auto"/>
                      <w:sz w:val="21"/>
                      <w:szCs w:val="24"/>
                      <w:highlight w:val="none"/>
                      <w:lang w:val="en-US" w:eastAsia="zh-CN"/>
                    </w:rPr>
                    <w:t>皿</w:t>
                  </w:r>
                </w:p>
              </w:tc>
            </w:tr>
            <w:tr w14:paraId="416D982F">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5C7EE83A">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restart"/>
                  <w:tcBorders>
                    <w:top w:val="single" w:color="auto" w:sz="4" w:space="0"/>
                    <w:left w:val="single" w:color="auto" w:sz="4" w:space="0"/>
                    <w:right w:val="single" w:color="auto" w:sz="4" w:space="0"/>
                    <w:tl2br w:val="nil"/>
                    <w:tr2bl w:val="nil"/>
                  </w:tcBorders>
                  <w:noWrap w:val="0"/>
                  <w:vAlign w:val="center"/>
                </w:tcPr>
                <w:p w14:paraId="6099D177">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w w:val="95"/>
                      <w:sz w:val="21"/>
                      <w:szCs w:val="24"/>
                      <w:highlight w:val="none"/>
                    </w:rPr>
                  </w:pPr>
                  <w:r>
                    <w:rPr>
                      <w:rFonts w:hint="eastAsia"/>
                      <w:color w:val="auto"/>
                      <w:w w:val="95"/>
                      <w:sz w:val="21"/>
                      <w:szCs w:val="24"/>
                      <w:highlight w:val="none"/>
                    </w:rPr>
                    <w:t>危险废物</w:t>
                  </w:r>
                </w:p>
              </w:tc>
              <w:tc>
                <w:tcPr>
                  <w:tcW w:w="16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22780E">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eastAsia="宋体"/>
                      <w:color w:val="auto"/>
                      <w:sz w:val="21"/>
                      <w:szCs w:val="24"/>
                      <w:highlight w:val="none"/>
                      <w:lang w:val="en-US" w:eastAsia="zh-CN"/>
                    </w:rPr>
                    <w:t>实验室废液</w:t>
                  </w:r>
                </w:p>
              </w:tc>
              <w:tc>
                <w:tcPr>
                  <w:tcW w:w="19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66FF158">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实验过程</w:t>
                  </w:r>
                </w:p>
              </w:tc>
              <w:tc>
                <w:tcPr>
                  <w:tcW w:w="3144" w:type="dxa"/>
                  <w:tcBorders>
                    <w:top w:val="single" w:color="auto" w:sz="4" w:space="0"/>
                    <w:left w:val="single" w:color="auto" w:sz="4" w:space="0"/>
                    <w:bottom w:val="single" w:color="auto" w:sz="4" w:space="0"/>
                    <w:tl2br w:val="nil"/>
                    <w:tr2bl w:val="nil"/>
                  </w:tcBorders>
                  <w:noWrap w:val="0"/>
                  <w:vAlign w:val="center"/>
                </w:tcPr>
                <w:p w14:paraId="0F5FD87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color w:val="auto"/>
                      <w:sz w:val="21"/>
                      <w:szCs w:val="24"/>
                      <w:highlight w:val="none"/>
                      <w:lang w:val="en-US"/>
                    </w:rPr>
                  </w:pPr>
                  <w:r>
                    <w:rPr>
                      <w:rFonts w:hint="default"/>
                      <w:color w:val="auto"/>
                      <w:sz w:val="21"/>
                      <w:szCs w:val="24"/>
                      <w:highlight w:val="none"/>
                      <w:lang w:val="en-US"/>
                    </w:rPr>
                    <w:t>废酸、金属离子、有机溶剂及其他试剂的实验室废液</w:t>
                  </w:r>
                </w:p>
              </w:tc>
            </w:tr>
            <w:tr w14:paraId="529D443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1EF19295">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30110E3F">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op w:val="single" w:color="auto" w:sz="4" w:space="0"/>
                    <w:tl2br w:val="nil"/>
                    <w:tr2bl w:val="nil"/>
                  </w:tcBorders>
                  <w:noWrap w:val="0"/>
                  <w:vAlign w:val="center"/>
                </w:tcPr>
                <w:p w14:paraId="73899A6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color w:val="auto"/>
                      <w:sz w:val="21"/>
                      <w:szCs w:val="24"/>
                      <w:highlight w:val="none"/>
                    </w:rPr>
                  </w:pPr>
                  <w:r>
                    <w:rPr>
                      <w:rFonts w:hint="eastAsia"/>
                      <w:color w:val="auto"/>
                      <w:sz w:val="21"/>
                      <w:szCs w:val="24"/>
                      <w:highlight w:val="none"/>
                    </w:rPr>
                    <w:t>废试剂包装物等沾染物</w:t>
                  </w:r>
                </w:p>
              </w:tc>
              <w:tc>
                <w:tcPr>
                  <w:tcW w:w="1976" w:type="dxa"/>
                  <w:vMerge w:val="continue"/>
                  <w:tcBorders>
                    <w:top w:val="single" w:color="auto" w:sz="4" w:space="0"/>
                    <w:right w:val="single" w:color="auto" w:sz="4" w:space="0"/>
                    <w:tl2br w:val="nil"/>
                    <w:tr2bl w:val="nil"/>
                  </w:tcBorders>
                  <w:noWrap w:val="0"/>
                  <w:vAlign w:val="center"/>
                </w:tcPr>
                <w:p w14:paraId="5666B789">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3144" w:type="dxa"/>
                  <w:tcBorders>
                    <w:top w:val="single" w:color="auto" w:sz="4" w:space="0"/>
                    <w:left w:val="single" w:color="auto" w:sz="4" w:space="0"/>
                    <w:bottom w:val="single" w:color="auto" w:sz="4" w:space="0"/>
                    <w:tl2br w:val="nil"/>
                    <w:tr2bl w:val="nil"/>
                  </w:tcBorders>
                  <w:noWrap w:val="0"/>
                  <w:vAlign w:val="center"/>
                </w:tcPr>
                <w:p w14:paraId="4B2204A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default" w:eastAsia="宋体"/>
                      <w:color w:val="auto"/>
                      <w:sz w:val="21"/>
                      <w:szCs w:val="24"/>
                      <w:highlight w:val="none"/>
                      <w:lang w:val="en-US" w:eastAsia="zh-CN"/>
                    </w:rPr>
                    <w:t>废试剂瓶、废手套等</w:t>
                  </w:r>
                </w:p>
              </w:tc>
            </w:tr>
            <w:tr w14:paraId="54D675AD">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7DF71728">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72FC412F">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l2br w:val="nil"/>
                    <w:tr2bl w:val="nil"/>
                  </w:tcBorders>
                  <w:noWrap w:val="0"/>
                  <w:vAlign w:val="center"/>
                </w:tcPr>
                <w:p w14:paraId="0500EB0A">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宋体"/>
                      <w:color w:val="auto"/>
                      <w:sz w:val="21"/>
                      <w:szCs w:val="24"/>
                      <w:highlight w:val="none"/>
                      <w:lang w:val="en-US" w:eastAsia="zh-CN"/>
                    </w:rPr>
                  </w:pPr>
                  <w:r>
                    <w:rPr>
                      <w:rFonts w:hint="eastAsia" w:eastAsia="宋体"/>
                      <w:color w:val="auto"/>
                      <w:sz w:val="21"/>
                      <w:szCs w:val="24"/>
                      <w:highlight w:val="none"/>
                      <w:lang w:val="en-US" w:eastAsia="zh-CN"/>
                    </w:rPr>
                    <w:t>废活性炭</w:t>
                  </w:r>
                </w:p>
              </w:tc>
              <w:tc>
                <w:tcPr>
                  <w:tcW w:w="1976" w:type="dxa"/>
                  <w:tcBorders>
                    <w:right w:val="single" w:color="auto" w:sz="4" w:space="0"/>
                    <w:tl2br w:val="nil"/>
                    <w:tr2bl w:val="nil"/>
                  </w:tcBorders>
                  <w:noWrap w:val="0"/>
                  <w:vAlign w:val="center"/>
                </w:tcPr>
                <w:p w14:paraId="2120F71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eastAsia="zh-CN"/>
                    </w:rPr>
                  </w:pPr>
                  <w:r>
                    <w:rPr>
                      <w:rFonts w:hint="eastAsia"/>
                      <w:color w:val="auto"/>
                      <w:sz w:val="21"/>
                      <w:szCs w:val="24"/>
                      <w:highlight w:val="none"/>
                    </w:rPr>
                    <w:t>废气</w:t>
                  </w:r>
                  <w:r>
                    <w:rPr>
                      <w:rFonts w:hint="eastAsia"/>
                      <w:color w:val="auto"/>
                      <w:sz w:val="21"/>
                      <w:szCs w:val="24"/>
                      <w:highlight w:val="none"/>
                      <w:lang w:val="en-US" w:eastAsia="zh-CN"/>
                    </w:rPr>
                    <w:t>治理</w:t>
                  </w:r>
                </w:p>
              </w:tc>
              <w:tc>
                <w:tcPr>
                  <w:tcW w:w="3144" w:type="dxa"/>
                  <w:tcBorders>
                    <w:top w:val="single" w:color="auto" w:sz="4" w:space="0"/>
                    <w:left w:val="single" w:color="auto" w:sz="4" w:space="0"/>
                    <w:bottom w:val="single" w:color="auto" w:sz="4" w:space="0"/>
                    <w:tl2br w:val="nil"/>
                    <w:tr2bl w:val="nil"/>
                  </w:tcBorders>
                  <w:noWrap w:val="0"/>
                  <w:vAlign w:val="center"/>
                </w:tcPr>
                <w:p w14:paraId="7ACE6C2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1"/>
                      <w:szCs w:val="24"/>
                      <w:highlight w:val="none"/>
                    </w:rPr>
                  </w:pPr>
                  <w:r>
                    <w:rPr>
                      <w:rFonts w:hint="eastAsia" w:eastAsia="宋体"/>
                      <w:color w:val="auto"/>
                      <w:sz w:val="21"/>
                      <w:szCs w:val="24"/>
                      <w:highlight w:val="none"/>
                      <w:lang w:val="en-US" w:eastAsia="zh-CN"/>
                    </w:rPr>
                    <w:t>活性炭</w:t>
                  </w:r>
                </w:p>
              </w:tc>
            </w:tr>
            <w:tr w14:paraId="04FAA275">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2CD49AFA">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554EEDD4">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l2br w:val="nil"/>
                    <w:tr2bl w:val="nil"/>
                  </w:tcBorders>
                  <w:noWrap w:val="0"/>
                  <w:vAlign w:val="center"/>
                </w:tcPr>
                <w:p w14:paraId="7C768A3A">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val="en-US" w:eastAsia="zh-CN"/>
                    </w:rPr>
                  </w:pPr>
                  <w:r>
                    <w:rPr>
                      <w:rFonts w:hint="eastAsia" w:eastAsia="宋体"/>
                      <w:color w:val="auto"/>
                      <w:sz w:val="21"/>
                      <w:szCs w:val="24"/>
                      <w:highlight w:val="none"/>
                      <w:lang w:val="en-US" w:eastAsia="zh-CN"/>
                    </w:rPr>
                    <w:t>废试剂</w:t>
                  </w:r>
                </w:p>
              </w:tc>
              <w:tc>
                <w:tcPr>
                  <w:tcW w:w="1976" w:type="dxa"/>
                  <w:tcBorders>
                    <w:right w:val="single" w:color="auto" w:sz="4" w:space="0"/>
                    <w:tl2br w:val="nil"/>
                    <w:tr2bl w:val="nil"/>
                  </w:tcBorders>
                  <w:noWrap w:val="0"/>
                  <w:vAlign w:val="center"/>
                </w:tcPr>
                <w:p w14:paraId="456A58B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val="en-US" w:eastAsia="zh-CN"/>
                    </w:rPr>
                  </w:pPr>
                  <w:r>
                    <w:rPr>
                      <w:rFonts w:hint="eastAsia"/>
                      <w:color w:val="auto"/>
                      <w:sz w:val="21"/>
                      <w:szCs w:val="24"/>
                      <w:highlight w:val="none"/>
                      <w:lang w:val="en-US" w:eastAsia="zh-CN"/>
                    </w:rPr>
                    <w:t>实验过程</w:t>
                  </w:r>
                </w:p>
              </w:tc>
              <w:tc>
                <w:tcPr>
                  <w:tcW w:w="3144" w:type="dxa"/>
                  <w:tcBorders>
                    <w:top w:val="single" w:color="auto" w:sz="4" w:space="0"/>
                    <w:left w:val="single" w:color="auto" w:sz="4" w:space="0"/>
                    <w:bottom w:val="single" w:color="auto" w:sz="4" w:space="0"/>
                    <w:tl2br w:val="nil"/>
                    <w:tr2bl w:val="nil"/>
                  </w:tcBorders>
                  <w:noWrap w:val="0"/>
                  <w:vAlign w:val="center"/>
                </w:tcPr>
                <w:p w14:paraId="679AD78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val="en-US" w:eastAsia="zh-CN"/>
                    </w:rPr>
                  </w:pPr>
                  <w:r>
                    <w:rPr>
                      <w:rFonts w:hint="eastAsia" w:eastAsia="宋体"/>
                      <w:color w:val="auto"/>
                      <w:sz w:val="21"/>
                      <w:szCs w:val="24"/>
                      <w:highlight w:val="none"/>
                      <w:lang w:val="en-US" w:eastAsia="zh-CN"/>
                    </w:rPr>
                    <w:t>过期的试剂</w:t>
                  </w:r>
                </w:p>
              </w:tc>
            </w:tr>
            <w:tr w14:paraId="63F4A25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1" w:hRule="atLeast"/>
                <w:jc w:val="center"/>
              </w:trPr>
              <w:tc>
                <w:tcPr>
                  <w:tcW w:w="652" w:type="dxa"/>
                  <w:vMerge w:val="continue"/>
                  <w:tcBorders>
                    <w:right w:val="single" w:color="auto" w:sz="4" w:space="0"/>
                    <w:tl2br w:val="nil"/>
                    <w:tr2bl w:val="nil"/>
                  </w:tcBorders>
                  <w:noWrap w:val="0"/>
                  <w:vAlign w:val="center"/>
                </w:tcPr>
                <w:p w14:paraId="4991C02D">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3002051A">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l2br w:val="nil"/>
                    <w:tr2bl w:val="nil"/>
                  </w:tcBorders>
                  <w:noWrap w:val="0"/>
                  <w:vAlign w:val="center"/>
                </w:tcPr>
                <w:p w14:paraId="4A11ADF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污泥</w:t>
                  </w:r>
                </w:p>
              </w:tc>
              <w:tc>
                <w:tcPr>
                  <w:tcW w:w="1976" w:type="dxa"/>
                  <w:tcBorders>
                    <w:right w:val="single" w:color="auto" w:sz="4" w:space="0"/>
                    <w:tl2br w:val="nil"/>
                    <w:tr2bl w:val="nil"/>
                  </w:tcBorders>
                  <w:noWrap w:val="0"/>
                  <w:vAlign w:val="center"/>
                </w:tcPr>
                <w:p w14:paraId="3674C6F7">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color w:val="auto"/>
                      <w:sz w:val="21"/>
                      <w:szCs w:val="24"/>
                      <w:highlight w:val="none"/>
                      <w:lang w:val="en-US" w:eastAsia="zh-CN"/>
                    </w:rPr>
                  </w:pPr>
                  <w:r>
                    <w:rPr>
                      <w:rFonts w:hint="eastAsia"/>
                      <w:color w:val="auto"/>
                      <w:sz w:val="21"/>
                      <w:szCs w:val="24"/>
                      <w:highlight w:val="none"/>
                      <w:lang w:val="en-US" w:eastAsia="zh-CN"/>
                    </w:rPr>
                    <w:t>实验废水预处理</w:t>
                  </w:r>
                </w:p>
              </w:tc>
              <w:tc>
                <w:tcPr>
                  <w:tcW w:w="3144" w:type="dxa"/>
                  <w:tcBorders>
                    <w:top w:val="single" w:color="auto" w:sz="4" w:space="0"/>
                    <w:left w:val="single" w:color="auto" w:sz="4" w:space="0"/>
                    <w:bottom w:val="single" w:color="auto" w:sz="4" w:space="0"/>
                    <w:tl2br w:val="nil"/>
                    <w:tr2bl w:val="nil"/>
                  </w:tcBorders>
                  <w:noWrap w:val="0"/>
                  <w:vAlign w:val="center"/>
                </w:tcPr>
                <w:p w14:paraId="2546BD2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污泥</w:t>
                  </w:r>
                </w:p>
              </w:tc>
            </w:tr>
            <w:tr w14:paraId="6A1F058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52" w:type="dxa"/>
                  <w:vMerge w:val="continue"/>
                  <w:tcBorders>
                    <w:right w:val="single" w:color="auto" w:sz="4" w:space="0"/>
                    <w:tl2br w:val="nil"/>
                    <w:tr2bl w:val="nil"/>
                  </w:tcBorders>
                  <w:noWrap w:val="0"/>
                  <w:vAlign w:val="center"/>
                </w:tcPr>
                <w:p w14:paraId="17179B27">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534" w:type="dxa"/>
                  <w:vMerge w:val="continue"/>
                  <w:tcBorders>
                    <w:left w:val="single" w:color="auto" w:sz="4" w:space="0"/>
                    <w:right w:val="single" w:color="auto" w:sz="4" w:space="0"/>
                    <w:tl2br w:val="nil"/>
                    <w:tr2bl w:val="nil"/>
                  </w:tcBorders>
                  <w:noWrap w:val="0"/>
                  <w:vAlign w:val="center"/>
                </w:tcPr>
                <w:p w14:paraId="3E4D7A0B">
                  <w:pPr>
                    <w:pStyle w:val="92"/>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eastAsia="Times New Roman"/>
                      <w:color w:val="auto"/>
                      <w:sz w:val="2"/>
                      <w:szCs w:val="24"/>
                      <w:highlight w:val="none"/>
                    </w:rPr>
                  </w:pPr>
                </w:p>
              </w:tc>
              <w:tc>
                <w:tcPr>
                  <w:tcW w:w="1652" w:type="dxa"/>
                  <w:tcBorders>
                    <w:tl2br w:val="nil"/>
                    <w:tr2bl w:val="nil"/>
                  </w:tcBorders>
                  <w:noWrap w:val="0"/>
                  <w:vAlign w:val="center"/>
                </w:tcPr>
                <w:p w14:paraId="7B8ED40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val="en-US" w:eastAsia="zh-CN"/>
                    </w:rPr>
                  </w:pPr>
                  <w:r>
                    <w:rPr>
                      <w:rFonts w:hint="eastAsia" w:eastAsia="宋体"/>
                      <w:color w:val="auto"/>
                      <w:sz w:val="21"/>
                      <w:szCs w:val="24"/>
                      <w:highlight w:val="none"/>
                      <w:lang w:val="en-US" w:eastAsia="zh-CN"/>
                    </w:rPr>
                    <w:t>废过滤介质</w:t>
                  </w:r>
                </w:p>
              </w:tc>
              <w:tc>
                <w:tcPr>
                  <w:tcW w:w="1976" w:type="dxa"/>
                  <w:tcBorders>
                    <w:right w:val="single" w:color="auto" w:sz="4" w:space="0"/>
                    <w:tl2br w:val="nil"/>
                    <w:tr2bl w:val="nil"/>
                  </w:tcBorders>
                  <w:noWrap w:val="0"/>
                  <w:vAlign w:val="center"/>
                </w:tcPr>
                <w:p w14:paraId="6CFFF244">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eastAsia="宋体"/>
                      <w:color w:val="auto"/>
                      <w:sz w:val="21"/>
                      <w:szCs w:val="24"/>
                      <w:highlight w:val="none"/>
                      <w:lang w:val="en-US" w:eastAsia="zh-CN"/>
                    </w:rPr>
                  </w:pPr>
                  <w:r>
                    <w:rPr>
                      <w:rFonts w:hint="eastAsia"/>
                      <w:color w:val="auto"/>
                      <w:sz w:val="21"/>
                      <w:szCs w:val="24"/>
                      <w:highlight w:val="none"/>
                      <w:lang w:val="en-US" w:eastAsia="zh-CN"/>
                    </w:rPr>
                    <w:t>微生物实验室空气净化系统</w:t>
                  </w:r>
                </w:p>
              </w:tc>
              <w:tc>
                <w:tcPr>
                  <w:tcW w:w="3144" w:type="dxa"/>
                  <w:tcBorders>
                    <w:top w:val="single" w:color="auto" w:sz="4" w:space="0"/>
                    <w:left w:val="single" w:color="auto" w:sz="4" w:space="0"/>
                    <w:tl2br w:val="nil"/>
                    <w:tr2bl w:val="nil"/>
                  </w:tcBorders>
                  <w:noWrap w:val="0"/>
                  <w:vAlign w:val="center"/>
                </w:tcPr>
                <w:p w14:paraId="1DC0D974">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eastAsia" w:eastAsia="宋体"/>
                      <w:color w:val="auto"/>
                      <w:sz w:val="21"/>
                      <w:szCs w:val="24"/>
                      <w:highlight w:val="none"/>
                      <w:lang w:val="en-US" w:eastAsia="zh-CN"/>
                    </w:rPr>
                  </w:pPr>
                  <w:r>
                    <w:rPr>
                      <w:rFonts w:hint="eastAsia"/>
                      <w:color w:val="auto"/>
                      <w:sz w:val="21"/>
                      <w:szCs w:val="24"/>
                      <w:highlight w:val="none"/>
                      <w:lang w:val="en-US" w:eastAsia="zh-CN"/>
                    </w:rPr>
                    <w:t>空气净化系统</w:t>
                  </w:r>
                  <w:r>
                    <w:rPr>
                      <w:rFonts w:hint="eastAsia" w:eastAsia="宋体"/>
                      <w:color w:val="auto"/>
                      <w:sz w:val="21"/>
                      <w:szCs w:val="24"/>
                      <w:highlight w:val="none"/>
                      <w:lang w:val="en-US" w:eastAsia="zh-CN"/>
                    </w:rPr>
                    <w:t>过滤介质</w:t>
                  </w:r>
                </w:p>
              </w:tc>
            </w:tr>
          </w:tbl>
          <w:p w14:paraId="40C8EB42">
            <w:pPr>
              <w:pStyle w:val="26"/>
              <w:ind w:left="0" w:leftChars="0" w:firstLine="0" w:firstLineChars="0"/>
              <w:rPr>
                <w:rFonts w:hint="eastAsia"/>
                <w:color w:val="auto"/>
                <w:highlight w:val="none"/>
              </w:rPr>
            </w:pPr>
          </w:p>
        </w:tc>
      </w:tr>
      <w:tr w14:paraId="70A8C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37" w:hRule="atLeast"/>
          <w:jc w:val="center"/>
        </w:trPr>
        <w:tc>
          <w:tcPr>
            <w:tcW w:w="674" w:type="dxa"/>
            <w:noWrap w:val="0"/>
            <w:vAlign w:val="center"/>
          </w:tcPr>
          <w:p w14:paraId="60CC0941">
            <w:pPr>
              <w:pStyle w:val="22"/>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bCs/>
                <w:color w:val="auto"/>
                <w:kern w:val="2"/>
                <w:sz w:val="21"/>
                <w:szCs w:val="21"/>
                <w:highlight w:val="none"/>
              </w:rPr>
              <w:t>与项目有关的原有环境污染问题</w:t>
            </w:r>
          </w:p>
        </w:tc>
        <w:tc>
          <w:tcPr>
            <w:tcW w:w="8331" w:type="dxa"/>
            <w:noWrap w:val="0"/>
            <w:vAlign w:val="top"/>
          </w:tcPr>
          <w:p w14:paraId="7CA61D8E">
            <w:pPr>
              <w:adjustRightInd w:val="0"/>
              <w:snapToGrid w:val="0"/>
              <w:spacing w:line="360" w:lineRule="auto"/>
              <w:ind w:firstLine="482" w:firstLineChars="200"/>
              <w:rPr>
                <w:rFonts w:hint="eastAsia"/>
                <w:b/>
                <w:bCs w:val="0"/>
                <w:color w:val="auto"/>
                <w:sz w:val="24"/>
                <w:highlight w:val="none"/>
                <w:lang w:val="en-US" w:eastAsia="zh-CN"/>
              </w:rPr>
            </w:pPr>
            <w:r>
              <w:rPr>
                <w:rFonts w:hint="eastAsia"/>
                <w:b/>
                <w:bCs w:val="0"/>
                <w:color w:val="auto"/>
                <w:sz w:val="24"/>
                <w:highlight w:val="none"/>
                <w:lang w:val="en-US" w:eastAsia="zh-CN"/>
              </w:rPr>
              <w:t>1.现有工程环保手续履行情况</w:t>
            </w:r>
          </w:p>
          <w:p w14:paraId="619FA60C">
            <w:pPr>
              <w:adjustRightInd w:val="0"/>
              <w:snapToGrid w:val="0"/>
              <w:spacing w:line="360" w:lineRule="auto"/>
              <w:ind w:firstLine="480" w:firstLineChars="200"/>
              <w:rPr>
                <w:rFonts w:hint="default" w:eastAsia="宋体"/>
                <w:color w:val="auto"/>
                <w:sz w:val="24"/>
                <w:highlight w:val="none"/>
                <w:lang w:val="en-US" w:eastAsia="zh-CN"/>
              </w:rPr>
            </w:pPr>
            <w:r>
              <w:rPr>
                <w:rFonts w:hint="eastAsia"/>
                <w:bCs/>
                <w:color w:val="auto"/>
                <w:sz w:val="24"/>
                <w:highlight w:val="none"/>
                <w:lang w:val="en-US" w:eastAsia="zh-CN"/>
              </w:rPr>
              <w:t>核工业二0三研究所位于</w:t>
            </w:r>
            <w:r>
              <w:rPr>
                <w:rFonts w:hint="eastAsia"/>
                <w:color w:val="auto"/>
                <w:sz w:val="24"/>
                <w:highlight w:val="none"/>
              </w:rPr>
              <w:t>陕西省西咸新区沣东新城</w:t>
            </w:r>
            <w:r>
              <w:rPr>
                <w:rFonts w:hint="eastAsia"/>
                <w:color w:val="auto"/>
                <w:sz w:val="24"/>
                <w:highlight w:val="none"/>
                <w:lang w:val="en-US" w:eastAsia="zh-CN"/>
              </w:rPr>
              <w:t>科源三路869号，</w:t>
            </w:r>
            <w:r>
              <w:rPr>
                <w:rFonts w:ascii="Times New Roman" w:hAnsi="Times New Roman" w:eastAsia="宋体"/>
                <w:color w:val="auto"/>
                <w:sz w:val="24"/>
                <w:szCs w:val="24"/>
                <w:highlight w:val="none"/>
              </w:rPr>
              <w:t xml:space="preserve">中心位置地理坐标为E </w:t>
            </w:r>
            <w:r>
              <w:rPr>
                <w:rFonts w:hint="eastAsia" w:ascii="Times New Roman" w:hAnsi="Times New Roman" w:eastAsia="宋体"/>
                <w:color w:val="auto"/>
                <w:sz w:val="24"/>
                <w:szCs w:val="24"/>
                <w:highlight w:val="none"/>
              </w:rPr>
              <w:t>108°46'00.51"</w:t>
            </w:r>
            <w:r>
              <w:rPr>
                <w:rFonts w:ascii="Times New Roman" w:hAnsi="Times New Roman" w:eastAsia="宋体"/>
                <w:color w:val="auto"/>
                <w:sz w:val="24"/>
                <w:szCs w:val="24"/>
                <w:highlight w:val="none"/>
              </w:rPr>
              <w:t xml:space="preserve">，N </w:t>
            </w:r>
            <w:r>
              <w:rPr>
                <w:rFonts w:hint="eastAsia" w:ascii="Times New Roman" w:hAnsi="Times New Roman" w:eastAsia="宋体"/>
                <w:color w:val="auto"/>
                <w:sz w:val="24"/>
                <w:szCs w:val="24"/>
                <w:highlight w:val="none"/>
              </w:rPr>
              <w:t>34°15'45.80"</w:t>
            </w:r>
            <w:r>
              <w:rPr>
                <w:rFonts w:ascii="Times New Roman" w:hAnsi="Times New Roman" w:eastAsia="宋体"/>
                <w:color w:val="auto"/>
                <w:sz w:val="24"/>
                <w:szCs w:val="24"/>
                <w:highlight w:val="none"/>
              </w:rPr>
              <w:t>，</w:t>
            </w:r>
            <w:r>
              <w:rPr>
                <w:rFonts w:hint="eastAsia"/>
                <w:bCs/>
                <w:color w:val="auto"/>
                <w:sz w:val="24"/>
                <w:highlight w:val="none"/>
                <w:lang w:val="en-US" w:eastAsia="zh-CN"/>
              </w:rPr>
              <w:t>核工业二0三研究所</w:t>
            </w:r>
            <w:r>
              <w:rPr>
                <w:rFonts w:hint="eastAsia"/>
                <w:color w:val="auto"/>
                <w:sz w:val="24"/>
                <w:szCs w:val="24"/>
                <w:highlight w:val="none"/>
                <w:lang w:val="en-US" w:eastAsia="zh-CN"/>
              </w:rPr>
              <w:t>科研生产能力建设</w:t>
            </w:r>
            <w:r>
              <w:rPr>
                <w:rFonts w:hint="eastAsia" w:ascii="Times New Roman" w:hAnsi="Times New Roman" w:eastAsia="宋体"/>
                <w:color w:val="auto"/>
                <w:sz w:val="24"/>
                <w:szCs w:val="24"/>
                <w:highlight w:val="none"/>
              </w:rPr>
              <w:t>项目实际总投资</w:t>
            </w:r>
            <w:r>
              <w:rPr>
                <w:rFonts w:hint="eastAsia" w:ascii="Times New Roman" w:hAnsi="Times New Roman" w:eastAsia="宋体"/>
                <w:color w:val="auto"/>
                <w:sz w:val="24"/>
                <w:szCs w:val="24"/>
                <w:highlight w:val="none"/>
                <w:lang w:val="en-US" w:eastAsia="zh-CN"/>
              </w:rPr>
              <w:t>1.5亿</w:t>
            </w:r>
            <w:r>
              <w:rPr>
                <w:rFonts w:hint="eastAsia" w:ascii="Times New Roman" w:hAnsi="Times New Roman" w:eastAsia="宋体"/>
                <w:color w:val="auto"/>
                <w:sz w:val="24"/>
                <w:szCs w:val="24"/>
                <w:highlight w:val="none"/>
              </w:rPr>
              <w:t>，环保投资</w:t>
            </w:r>
            <w:r>
              <w:rPr>
                <w:rFonts w:hint="eastAsia" w:ascii="Times New Roman" w:hAnsi="Times New Roman" w:eastAsia="宋体"/>
                <w:color w:val="auto"/>
                <w:sz w:val="24"/>
                <w:szCs w:val="24"/>
                <w:highlight w:val="none"/>
                <w:lang w:val="en-US" w:eastAsia="zh-CN"/>
              </w:rPr>
              <w:t>363.4</w:t>
            </w:r>
            <w:r>
              <w:rPr>
                <w:rFonts w:hint="eastAsia" w:ascii="Times New Roman" w:hAnsi="Times New Roman" w:eastAsia="宋体"/>
                <w:color w:val="auto"/>
                <w:sz w:val="24"/>
                <w:szCs w:val="24"/>
                <w:highlight w:val="none"/>
              </w:rPr>
              <w:t>万，占总投资的</w:t>
            </w:r>
            <w:r>
              <w:rPr>
                <w:rFonts w:hint="eastAsia" w:ascii="Times New Roman" w:hAnsi="Times New Roman" w:eastAsia="宋体"/>
                <w:color w:val="auto"/>
                <w:sz w:val="24"/>
                <w:szCs w:val="24"/>
                <w:highlight w:val="none"/>
                <w:lang w:val="en-US" w:eastAsia="zh-CN"/>
              </w:rPr>
              <w:t>2.42</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val="en-US" w:eastAsia="zh-CN"/>
              </w:rPr>
              <w:t>项目于</w:t>
            </w:r>
            <w:r>
              <w:rPr>
                <w:rFonts w:ascii="Times New Roman" w:hAnsi="Times New Roman" w:eastAsia="宋体"/>
                <w:color w:val="auto"/>
                <w:sz w:val="24"/>
                <w:szCs w:val="24"/>
                <w:highlight w:val="none"/>
              </w:rPr>
              <w:t>20</w:t>
            </w: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5</w:t>
            </w:r>
            <w:r>
              <w:rPr>
                <w:rFonts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10</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开工建设，2020年10月建成试运行。</w:t>
            </w:r>
          </w:p>
          <w:p w14:paraId="28B78811">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现有工程历次环评、验收情况见表2-6。从调查情况可以看出，公司现有工程及配套设施的建设均履行过环境影响评价手续，环保手续齐全。</w:t>
            </w:r>
          </w:p>
          <w:p w14:paraId="39F83C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Cs/>
                <w:color w:val="auto"/>
                <w:sz w:val="24"/>
                <w:highlight w:val="none"/>
                <w:lang w:val="en-US" w:eastAsia="zh-CN"/>
              </w:rPr>
            </w:pPr>
            <w:r>
              <w:rPr>
                <w:rFonts w:hint="eastAsia"/>
                <w:b/>
                <w:bCs w:val="0"/>
                <w:color w:val="auto"/>
                <w:sz w:val="21"/>
                <w:szCs w:val="21"/>
                <w:highlight w:val="none"/>
                <w:lang w:val="en-US" w:eastAsia="zh-CN"/>
              </w:rPr>
              <w:t>表2-6 现有工程环保手续执行情况</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771"/>
              <w:gridCol w:w="1138"/>
              <w:gridCol w:w="1280"/>
              <w:gridCol w:w="1280"/>
              <w:gridCol w:w="2915"/>
              <w:gridCol w:w="731"/>
            </w:tblGrid>
            <w:tr w14:paraId="6A6F19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90" w:hRule="atLeast"/>
                <w:tblHeader/>
                <w:jc w:val="center"/>
              </w:trPr>
              <w:tc>
                <w:tcPr>
                  <w:tcW w:w="475" w:type="pct"/>
                  <w:tcBorders>
                    <w:bottom w:val="single" w:color="auto" w:sz="4" w:space="0"/>
                    <w:right w:val="single" w:color="auto" w:sz="4" w:space="0"/>
                  </w:tcBorders>
                  <w:noWrap w:val="0"/>
                  <w:vAlign w:val="center"/>
                </w:tcPr>
                <w:p w14:paraId="53A1590E">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批次</w:t>
                  </w:r>
                </w:p>
              </w:tc>
              <w:tc>
                <w:tcPr>
                  <w:tcW w:w="700" w:type="pct"/>
                  <w:tcBorders>
                    <w:left w:val="single" w:color="auto" w:sz="4" w:space="0"/>
                    <w:bottom w:val="single" w:color="auto" w:sz="4" w:space="0"/>
                    <w:right w:val="single" w:color="auto" w:sz="4" w:space="0"/>
                  </w:tcBorders>
                  <w:noWrap w:val="0"/>
                  <w:vAlign w:val="center"/>
                </w:tcPr>
                <w:p w14:paraId="7388E3CF">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时间</w:t>
                  </w:r>
                </w:p>
              </w:tc>
              <w:tc>
                <w:tcPr>
                  <w:tcW w:w="788" w:type="pct"/>
                  <w:tcBorders>
                    <w:left w:val="single" w:color="auto" w:sz="4" w:space="0"/>
                    <w:bottom w:val="single" w:color="auto" w:sz="4" w:space="0"/>
                    <w:right w:val="single" w:color="auto" w:sz="4" w:space="0"/>
                  </w:tcBorders>
                  <w:noWrap w:val="0"/>
                  <w:vAlign w:val="center"/>
                </w:tcPr>
                <w:p w14:paraId="788B2475">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部门、机构、单位</w:t>
                  </w:r>
                </w:p>
              </w:tc>
              <w:tc>
                <w:tcPr>
                  <w:tcW w:w="788" w:type="pct"/>
                  <w:tcBorders>
                    <w:left w:val="single" w:color="auto" w:sz="4" w:space="0"/>
                    <w:bottom w:val="single" w:color="auto" w:sz="4" w:space="0"/>
                    <w:right w:val="single" w:color="auto" w:sz="4" w:space="0"/>
                  </w:tcBorders>
                  <w:noWrap w:val="0"/>
                  <w:vAlign w:val="center"/>
                </w:tcPr>
                <w:p w14:paraId="1C369F14">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文号</w:t>
                  </w:r>
                </w:p>
              </w:tc>
              <w:tc>
                <w:tcPr>
                  <w:tcW w:w="1796" w:type="pct"/>
                  <w:tcBorders>
                    <w:left w:val="single" w:color="auto" w:sz="4" w:space="0"/>
                    <w:bottom w:val="single" w:color="auto" w:sz="4" w:space="0"/>
                    <w:right w:val="single" w:color="auto" w:sz="4" w:space="0"/>
                  </w:tcBorders>
                  <w:noWrap w:val="0"/>
                  <w:vAlign w:val="center"/>
                </w:tcPr>
                <w:p w14:paraId="67AC5708">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名称</w:t>
                  </w:r>
                </w:p>
              </w:tc>
              <w:tc>
                <w:tcPr>
                  <w:tcW w:w="449" w:type="pct"/>
                  <w:tcBorders>
                    <w:left w:val="single" w:color="auto" w:sz="4" w:space="0"/>
                    <w:bottom w:val="single" w:color="auto" w:sz="4" w:space="0"/>
                  </w:tcBorders>
                  <w:noWrap w:val="0"/>
                  <w:vAlign w:val="center"/>
                </w:tcPr>
                <w:p w14:paraId="3BFAC85C">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批复</w:t>
                  </w:r>
                </w:p>
                <w:p w14:paraId="4CFCDA4F">
                  <w:pPr>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lang w:bidi="ar"/>
                    </w:rPr>
                    <w:t>内容</w:t>
                  </w:r>
                </w:p>
              </w:tc>
            </w:tr>
            <w:tr w14:paraId="26C145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restart"/>
                  <w:tcBorders>
                    <w:top w:val="single" w:color="auto" w:sz="4" w:space="0"/>
                    <w:right w:val="single" w:color="auto" w:sz="4" w:space="0"/>
                  </w:tcBorders>
                  <w:noWrap w:val="0"/>
                  <w:vAlign w:val="center"/>
                </w:tcPr>
                <w:p w14:paraId="3FB5B03A">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三研究所科研生产能力建设项目</w:t>
                  </w:r>
                </w:p>
              </w:tc>
              <w:tc>
                <w:tcPr>
                  <w:tcW w:w="700" w:type="pct"/>
                  <w:tcBorders>
                    <w:top w:val="single" w:color="auto" w:sz="4" w:space="0"/>
                    <w:left w:val="single" w:color="auto" w:sz="4" w:space="0"/>
                    <w:bottom w:val="single" w:color="auto" w:sz="4" w:space="0"/>
                    <w:right w:val="single" w:color="auto" w:sz="4" w:space="0"/>
                  </w:tcBorders>
                  <w:noWrap w:val="0"/>
                  <w:vAlign w:val="center"/>
                </w:tcPr>
                <w:p w14:paraId="4ED2BBD3">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15</w:t>
                  </w:r>
                  <w:r>
                    <w:rPr>
                      <w:rFonts w:hint="default" w:ascii="Times New Roman" w:hAnsi="Times New Roman" w:eastAsia="宋体" w:cs="Times New Roman"/>
                      <w:color w:val="auto"/>
                      <w:kern w:val="0"/>
                      <w:sz w:val="21"/>
                      <w:szCs w:val="21"/>
                      <w:highlight w:val="none"/>
                      <w:lang w:bidi="ar"/>
                    </w:rPr>
                    <w:t>年</w:t>
                  </w:r>
                  <w:r>
                    <w:rPr>
                      <w:rFonts w:hint="eastAsia" w:ascii="Times New Roman" w:hAnsi="Times New Roman" w:eastAsia="宋体" w:cs="Times New Roman"/>
                      <w:color w:val="auto"/>
                      <w:kern w:val="0"/>
                      <w:sz w:val="21"/>
                      <w:szCs w:val="21"/>
                      <w:highlight w:val="none"/>
                      <w:lang w:val="en-US" w:eastAsia="zh-CN" w:bidi="ar"/>
                    </w:rPr>
                    <w:t>5</w:t>
                  </w:r>
                  <w:r>
                    <w:rPr>
                      <w:rFonts w:hint="default" w:ascii="Times New Roman" w:hAnsi="Times New Roman" w:eastAsia="宋体" w:cs="Times New Roman"/>
                      <w:color w:val="auto"/>
                      <w:kern w:val="0"/>
                      <w:sz w:val="21"/>
                      <w:szCs w:val="21"/>
                      <w:highlight w:val="none"/>
                      <w:lang w:bidi="ar"/>
                    </w:rPr>
                    <w:t>月</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00C6FA35">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中国地质调查局西安地质调查中心</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78AD6A65">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w:t>
                  </w:r>
                </w:p>
              </w:tc>
              <w:tc>
                <w:tcPr>
                  <w:tcW w:w="1796" w:type="pct"/>
                  <w:tcBorders>
                    <w:top w:val="single" w:color="auto" w:sz="4" w:space="0"/>
                    <w:left w:val="single" w:color="auto" w:sz="4" w:space="0"/>
                    <w:bottom w:val="single" w:color="auto" w:sz="4" w:space="0"/>
                    <w:right w:val="single" w:color="auto" w:sz="4" w:space="0"/>
                  </w:tcBorders>
                  <w:noWrap w:val="0"/>
                  <w:vAlign w:val="center"/>
                </w:tcPr>
                <w:p w14:paraId="01AEFA79">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三研究所科研生产能力建设项目环境影响报告表</w:t>
                  </w:r>
                </w:p>
              </w:tc>
              <w:tc>
                <w:tcPr>
                  <w:tcW w:w="449" w:type="pct"/>
                  <w:tcBorders>
                    <w:top w:val="single" w:color="auto" w:sz="4" w:space="0"/>
                    <w:left w:val="single" w:color="auto" w:sz="4" w:space="0"/>
                    <w:bottom w:val="single" w:color="auto" w:sz="4" w:space="0"/>
                  </w:tcBorders>
                  <w:noWrap w:val="0"/>
                  <w:vAlign w:val="center"/>
                </w:tcPr>
                <w:p w14:paraId="25A9B5F6">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w:t>
                  </w:r>
                </w:p>
              </w:tc>
            </w:tr>
            <w:tr w14:paraId="2EA31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continue"/>
                  <w:tcBorders>
                    <w:right w:val="single" w:color="auto" w:sz="4" w:space="0"/>
                  </w:tcBorders>
                  <w:noWrap w:val="0"/>
                  <w:vAlign w:val="center"/>
                </w:tcPr>
                <w:p w14:paraId="66B2436C">
                  <w:pPr>
                    <w:jc w:val="center"/>
                    <w:rPr>
                      <w:rFonts w:hint="default" w:ascii="Times New Roman" w:hAnsi="Times New Roman" w:eastAsia="宋体" w:cs="Times New Roman"/>
                      <w:color w:val="auto"/>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noWrap w:val="0"/>
                  <w:vAlign w:val="center"/>
                </w:tcPr>
                <w:p w14:paraId="621E8F4E">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15</w:t>
                  </w:r>
                  <w:r>
                    <w:rPr>
                      <w:rFonts w:hint="default" w:ascii="Times New Roman" w:hAnsi="Times New Roman" w:eastAsia="宋体" w:cs="Times New Roman"/>
                      <w:color w:val="auto"/>
                      <w:kern w:val="0"/>
                      <w:sz w:val="21"/>
                      <w:szCs w:val="21"/>
                      <w:highlight w:val="none"/>
                      <w:lang w:bidi="ar"/>
                    </w:rPr>
                    <w:t>年</w:t>
                  </w:r>
                  <w:r>
                    <w:rPr>
                      <w:rFonts w:hint="eastAsia" w:ascii="Times New Roman" w:hAnsi="Times New Roman" w:eastAsia="宋体" w:cs="Times New Roman"/>
                      <w:color w:val="auto"/>
                      <w:kern w:val="0"/>
                      <w:sz w:val="21"/>
                      <w:szCs w:val="21"/>
                      <w:highlight w:val="none"/>
                      <w:lang w:val="en-US" w:eastAsia="zh-CN" w:bidi="ar"/>
                    </w:rPr>
                    <w:t>5</w:t>
                  </w:r>
                  <w:r>
                    <w:rPr>
                      <w:rFonts w:hint="default" w:ascii="Times New Roman" w:hAnsi="Times New Roman" w:eastAsia="宋体" w:cs="Times New Roman"/>
                      <w:color w:val="auto"/>
                      <w:kern w:val="0"/>
                      <w:sz w:val="21"/>
                      <w:szCs w:val="21"/>
                      <w:highlight w:val="none"/>
                      <w:lang w:bidi="ar"/>
                    </w:rPr>
                    <w:t>月</w:t>
                  </w:r>
                  <w:r>
                    <w:rPr>
                      <w:rFonts w:hint="eastAsia" w:ascii="Times New Roman" w:hAnsi="Times New Roman" w:eastAsia="宋体" w:cs="Times New Roman"/>
                      <w:color w:val="auto"/>
                      <w:kern w:val="0"/>
                      <w:sz w:val="21"/>
                      <w:szCs w:val="21"/>
                      <w:highlight w:val="none"/>
                      <w:lang w:val="en-US" w:eastAsia="zh-CN" w:bidi="ar"/>
                    </w:rPr>
                    <w:t>22日</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186F7C15">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西安市环境保护局沣渭新区分局</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31F7A4B5">
                  <w:pPr>
                    <w:jc w:val="center"/>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bidi="ar"/>
                    </w:rPr>
                    <w:t>市环沣渭批复</w:t>
                  </w: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15</w:t>
                  </w:r>
                  <w:r>
                    <w:rPr>
                      <w:rFonts w:hint="default" w:ascii="Times New Roman" w:hAnsi="Times New Roman" w:eastAsia="宋体" w:cs="Times New Roman"/>
                      <w:color w:val="auto"/>
                      <w:kern w:val="0"/>
                      <w:sz w:val="21"/>
                      <w:szCs w:val="21"/>
                      <w:highlight w:val="none"/>
                      <w:lang w:bidi="ar"/>
                    </w:rPr>
                    <w:t>]</w:t>
                  </w:r>
                  <w:r>
                    <w:rPr>
                      <w:rFonts w:hint="eastAsia" w:ascii="Times New Roman" w:hAnsi="Times New Roman" w:eastAsia="宋体" w:cs="Times New Roman"/>
                      <w:color w:val="auto"/>
                      <w:kern w:val="0"/>
                      <w:sz w:val="21"/>
                      <w:szCs w:val="21"/>
                      <w:highlight w:val="none"/>
                      <w:lang w:val="en-US" w:eastAsia="zh-CN" w:bidi="ar"/>
                    </w:rPr>
                    <w:t>15</w:t>
                  </w:r>
                  <w:r>
                    <w:rPr>
                      <w:rFonts w:hint="default" w:ascii="Times New Roman" w:hAnsi="Times New Roman" w:eastAsia="宋体" w:cs="Times New Roman"/>
                      <w:color w:val="auto"/>
                      <w:kern w:val="0"/>
                      <w:sz w:val="21"/>
                      <w:szCs w:val="21"/>
                      <w:highlight w:val="none"/>
                      <w:lang w:bidi="ar"/>
                    </w:rPr>
                    <w:t>号</w:t>
                  </w:r>
                </w:p>
              </w:tc>
              <w:tc>
                <w:tcPr>
                  <w:tcW w:w="1796" w:type="pct"/>
                  <w:tcBorders>
                    <w:top w:val="single" w:color="auto" w:sz="4" w:space="0"/>
                    <w:left w:val="single" w:color="auto" w:sz="4" w:space="0"/>
                    <w:bottom w:val="single" w:color="auto" w:sz="4" w:space="0"/>
                    <w:right w:val="single" w:color="auto" w:sz="4" w:space="0"/>
                  </w:tcBorders>
                  <w:noWrap w:val="0"/>
                  <w:vAlign w:val="center"/>
                </w:tcPr>
                <w:p w14:paraId="05CA215C">
                  <w:pPr>
                    <w:jc w:val="center"/>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bidi="ar"/>
                    </w:rPr>
                    <w:t>关于</w:t>
                  </w: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三研究所科研生产能力建设项目环境影响报告表</w:t>
                  </w:r>
                  <w:r>
                    <w:rPr>
                      <w:rFonts w:hint="default" w:ascii="Times New Roman" w:hAnsi="Times New Roman" w:eastAsia="宋体" w:cs="Times New Roman"/>
                      <w:color w:val="auto"/>
                      <w:kern w:val="0"/>
                      <w:sz w:val="21"/>
                      <w:szCs w:val="21"/>
                      <w:highlight w:val="none"/>
                      <w:lang w:bidi="ar"/>
                    </w:rPr>
                    <w:t>的</w:t>
                  </w:r>
                  <w:r>
                    <w:rPr>
                      <w:rFonts w:hint="eastAsia" w:ascii="Times New Roman" w:hAnsi="Times New Roman" w:eastAsia="宋体" w:cs="Times New Roman"/>
                      <w:color w:val="auto"/>
                      <w:kern w:val="0"/>
                      <w:sz w:val="21"/>
                      <w:szCs w:val="21"/>
                      <w:highlight w:val="none"/>
                      <w:lang w:val="en-US" w:eastAsia="zh-CN" w:bidi="ar"/>
                    </w:rPr>
                    <w:t>批复</w:t>
                  </w:r>
                </w:p>
              </w:tc>
              <w:tc>
                <w:tcPr>
                  <w:tcW w:w="449" w:type="pct"/>
                  <w:tcBorders>
                    <w:top w:val="single" w:color="auto" w:sz="4" w:space="0"/>
                    <w:left w:val="single" w:color="auto" w:sz="4" w:space="0"/>
                    <w:bottom w:val="single" w:color="auto" w:sz="4" w:space="0"/>
                  </w:tcBorders>
                  <w:noWrap w:val="0"/>
                  <w:vAlign w:val="center"/>
                </w:tcPr>
                <w:p w14:paraId="75B2B87F">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同意</w:t>
                  </w:r>
                </w:p>
                <w:p w14:paraId="546B2671">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建设</w:t>
                  </w:r>
                </w:p>
              </w:tc>
            </w:tr>
            <w:tr w14:paraId="3D7755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continue"/>
                  <w:tcBorders>
                    <w:right w:val="single" w:color="auto" w:sz="4" w:space="0"/>
                  </w:tcBorders>
                  <w:noWrap w:val="0"/>
                  <w:vAlign w:val="center"/>
                </w:tcPr>
                <w:p w14:paraId="38BA9AF7">
                  <w:pPr>
                    <w:rPr>
                      <w:rFonts w:hint="default" w:ascii="Times New Roman" w:hAnsi="Times New Roman" w:eastAsia="宋体" w:cs="Times New Roman"/>
                      <w:color w:val="auto"/>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noWrap w:val="0"/>
                  <w:vAlign w:val="center"/>
                </w:tcPr>
                <w:p w14:paraId="3FB48E3E">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20</w:t>
                  </w:r>
                  <w:r>
                    <w:rPr>
                      <w:rFonts w:hint="default" w:ascii="Times New Roman" w:hAnsi="Times New Roman" w:eastAsia="宋体" w:cs="Times New Roman"/>
                      <w:color w:val="auto"/>
                      <w:kern w:val="0"/>
                      <w:sz w:val="21"/>
                      <w:szCs w:val="21"/>
                      <w:highlight w:val="none"/>
                      <w:lang w:bidi="ar"/>
                    </w:rPr>
                    <w:t>年</w:t>
                  </w:r>
                  <w:r>
                    <w:rPr>
                      <w:rFonts w:hint="eastAsia" w:ascii="Times New Roman" w:hAnsi="Times New Roman" w:eastAsia="宋体" w:cs="Times New Roman"/>
                      <w:color w:val="auto"/>
                      <w:kern w:val="0"/>
                      <w:sz w:val="21"/>
                      <w:szCs w:val="21"/>
                      <w:highlight w:val="none"/>
                      <w:lang w:val="en-US" w:eastAsia="zh-CN" w:bidi="ar"/>
                    </w:rPr>
                    <w:t>12</w:t>
                  </w:r>
                  <w:r>
                    <w:rPr>
                      <w:rFonts w:hint="default" w:ascii="Times New Roman" w:hAnsi="Times New Roman" w:eastAsia="宋体" w:cs="Times New Roman"/>
                      <w:color w:val="auto"/>
                      <w:kern w:val="0"/>
                      <w:sz w:val="21"/>
                      <w:szCs w:val="21"/>
                      <w:highlight w:val="none"/>
                      <w:lang w:bidi="ar"/>
                    </w:rPr>
                    <w:t>月</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4BEC004A">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中核（陕西）环境科技有限公司</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107EC36C">
                  <w:pPr>
                    <w:jc w:val="center"/>
                    <w:rPr>
                      <w:rFonts w:hint="eastAsia" w:ascii="Times New Roman" w:hAnsi="Times New Roman" w:eastAsia="宋体" w:cs="Times New Roman"/>
                      <w:color w:val="auto"/>
                      <w:kern w:val="0"/>
                      <w:sz w:val="21"/>
                      <w:szCs w:val="21"/>
                      <w:highlight w:val="none"/>
                      <w:lang w:eastAsia="zh-CN"/>
                    </w:rPr>
                  </w:pPr>
                  <w:r>
                    <w:rPr>
                      <w:rFonts w:hint="eastAsia" w:ascii="Times New Roman" w:hAnsi="Times New Roman" w:eastAsia="宋体" w:cs="Times New Roman"/>
                      <w:color w:val="auto"/>
                      <w:kern w:val="0"/>
                      <w:sz w:val="21"/>
                      <w:szCs w:val="21"/>
                      <w:highlight w:val="none"/>
                      <w:lang w:val="en-US" w:eastAsia="zh-CN" w:bidi="ar"/>
                    </w:rPr>
                    <w:t>/</w:t>
                  </w:r>
                </w:p>
              </w:tc>
              <w:tc>
                <w:tcPr>
                  <w:tcW w:w="1796" w:type="pct"/>
                  <w:tcBorders>
                    <w:top w:val="single" w:color="auto" w:sz="4" w:space="0"/>
                    <w:left w:val="single" w:color="auto" w:sz="4" w:space="0"/>
                    <w:bottom w:val="single" w:color="auto" w:sz="4" w:space="0"/>
                    <w:right w:val="single" w:color="auto" w:sz="4" w:space="0"/>
                  </w:tcBorders>
                  <w:noWrap w:val="0"/>
                  <w:vAlign w:val="center"/>
                </w:tcPr>
                <w:p w14:paraId="68BE279D">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三研究所科研生产能力建设项目竣工环境保护验收监测报告表</w:t>
                  </w:r>
                </w:p>
              </w:tc>
              <w:tc>
                <w:tcPr>
                  <w:tcW w:w="449" w:type="pct"/>
                  <w:tcBorders>
                    <w:top w:val="single" w:color="auto" w:sz="4" w:space="0"/>
                    <w:left w:val="single" w:color="auto" w:sz="4" w:space="0"/>
                    <w:bottom w:val="single" w:color="auto" w:sz="4" w:space="0"/>
                  </w:tcBorders>
                  <w:noWrap w:val="0"/>
                  <w:vAlign w:val="center"/>
                </w:tcPr>
                <w:p w14:paraId="0C8F8363">
                  <w:pPr>
                    <w:jc w:val="center"/>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bidi="ar"/>
                    </w:rPr>
                    <w:t>/</w:t>
                  </w:r>
                </w:p>
              </w:tc>
            </w:tr>
            <w:tr w14:paraId="0A4212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continue"/>
                  <w:tcBorders>
                    <w:right w:val="single" w:color="auto" w:sz="4" w:space="0"/>
                  </w:tcBorders>
                  <w:noWrap w:val="0"/>
                  <w:vAlign w:val="center"/>
                </w:tcPr>
                <w:p w14:paraId="02743C56">
                  <w:pPr>
                    <w:rPr>
                      <w:rFonts w:hint="default" w:ascii="Times New Roman" w:hAnsi="Times New Roman" w:eastAsia="宋体" w:cs="Times New Roman"/>
                      <w:color w:val="auto"/>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noWrap w:val="0"/>
                  <w:vAlign w:val="center"/>
                </w:tcPr>
                <w:p w14:paraId="6B6A801D">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21</w:t>
                  </w:r>
                  <w:r>
                    <w:rPr>
                      <w:rFonts w:hint="default" w:ascii="Times New Roman" w:hAnsi="Times New Roman" w:eastAsia="宋体" w:cs="Times New Roman"/>
                      <w:color w:val="auto"/>
                      <w:kern w:val="0"/>
                      <w:sz w:val="21"/>
                      <w:szCs w:val="21"/>
                      <w:highlight w:val="none"/>
                      <w:lang w:bidi="ar"/>
                    </w:rPr>
                    <w:t>年</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月</w:t>
                  </w:r>
                  <w:r>
                    <w:rPr>
                      <w:rFonts w:hint="eastAsia" w:ascii="Times New Roman" w:hAnsi="Times New Roman" w:eastAsia="宋体" w:cs="Times New Roman"/>
                      <w:color w:val="auto"/>
                      <w:kern w:val="0"/>
                      <w:sz w:val="21"/>
                      <w:szCs w:val="21"/>
                      <w:highlight w:val="none"/>
                      <w:lang w:val="en-US" w:eastAsia="zh-CN" w:bidi="ar"/>
                    </w:rPr>
                    <w:t>18日</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6BDCEADF">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中核（陕西）环境科技有限公司</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37713C2C">
                  <w:pPr>
                    <w:jc w:val="center"/>
                    <w:rPr>
                      <w:rFonts w:hint="eastAsia" w:ascii="Times New Roman" w:hAnsi="Times New Roman" w:eastAsia="宋体" w:cs="Times New Roman"/>
                      <w:color w:val="auto"/>
                      <w:kern w:val="0"/>
                      <w:sz w:val="21"/>
                      <w:szCs w:val="21"/>
                      <w:highlight w:val="none"/>
                      <w:lang w:eastAsia="zh-CN"/>
                    </w:rPr>
                  </w:pPr>
                  <w:r>
                    <w:rPr>
                      <w:rFonts w:hint="eastAsia" w:ascii="Times New Roman" w:hAnsi="Times New Roman" w:eastAsia="宋体" w:cs="Times New Roman"/>
                      <w:color w:val="auto"/>
                      <w:kern w:val="0"/>
                      <w:sz w:val="21"/>
                      <w:szCs w:val="21"/>
                      <w:highlight w:val="none"/>
                      <w:lang w:val="en-US" w:eastAsia="zh-CN" w:bidi="ar"/>
                    </w:rPr>
                    <w:t>/</w:t>
                  </w:r>
                </w:p>
              </w:tc>
              <w:tc>
                <w:tcPr>
                  <w:tcW w:w="1796" w:type="pct"/>
                  <w:tcBorders>
                    <w:top w:val="single" w:color="auto" w:sz="4" w:space="0"/>
                    <w:left w:val="single" w:color="auto" w:sz="4" w:space="0"/>
                    <w:bottom w:val="single" w:color="auto" w:sz="4" w:space="0"/>
                    <w:right w:val="single" w:color="auto" w:sz="4" w:space="0"/>
                  </w:tcBorders>
                  <w:noWrap w:val="0"/>
                  <w:vAlign w:val="center"/>
                </w:tcPr>
                <w:p w14:paraId="50EAB1A8">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三研究所科研生产能力建设项目竣工</w:t>
                  </w:r>
                  <w:r>
                    <w:rPr>
                      <w:rFonts w:hint="eastAsia" w:ascii="Times New Roman" w:hAnsi="Times New Roman" w:eastAsia="宋体" w:cs="Times New Roman"/>
                      <w:color w:val="auto"/>
                      <w:kern w:val="0"/>
                      <w:sz w:val="21"/>
                      <w:szCs w:val="21"/>
                      <w:highlight w:val="none"/>
                      <w:lang w:val="en-US" w:eastAsia="zh-CN" w:bidi="ar"/>
                    </w:rPr>
                    <w:t>环</w:t>
                  </w:r>
                  <w:r>
                    <w:rPr>
                      <w:rFonts w:hint="default" w:ascii="Times New Roman" w:hAnsi="Times New Roman" w:eastAsia="宋体" w:cs="Times New Roman"/>
                      <w:color w:val="auto"/>
                      <w:kern w:val="0"/>
                      <w:sz w:val="21"/>
                      <w:szCs w:val="21"/>
                      <w:highlight w:val="none"/>
                      <w:lang w:bidi="ar"/>
                    </w:rPr>
                    <w:t>境保护验收会验收组意见</w:t>
                  </w:r>
                </w:p>
              </w:tc>
              <w:tc>
                <w:tcPr>
                  <w:tcW w:w="449" w:type="pct"/>
                  <w:tcBorders>
                    <w:top w:val="single" w:color="auto" w:sz="4" w:space="0"/>
                    <w:left w:val="single" w:color="auto" w:sz="4" w:space="0"/>
                    <w:bottom w:val="single" w:color="auto" w:sz="4" w:space="0"/>
                  </w:tcBorders>
                  <w:noWrap w:val="0"/>
                  <w:vAlign w:val="center"/>
                </w:tcPr>
                <w:p w14:paraId="23864AEB">
                  <w:pPr>
                    <w:jc w:val="center"/>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bidi="ar"/>
                    </w:rPr>
                    <w:t>/</w:t>
                  </w:r>
                </w:p>
              </w:tc>
            </w:tr>
            <w:tr w14:paraId="2A06E1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continue"/>
                  <w:tcBorders>
                    <w:right w:val="single" w:color="auto" w:sz="4" w:space="0"/>
                  </w:tcBorders>
                  <w:noWrap w:val="0"/>
                  <w:vAlign w:val="center"/>
                </w:tcPr>
                <w:p w14:paraId="7FBBB200">
                  <w:pPr>
                    <w:rPr>
                      <w:rFonts w:hint="default" w:ascii="Times New Roman" w:hAnsi="Times New Roman" w:eastAsia="宋体" w:cs="Times New Roman"/>
                      <w:color w:val="auto"/>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noWrap w:val="0"/>
                  <w:vAlign w:val="center"/>
                </w:tcPr>
                <w:p w14:paraId="49AA8084">
                  <w:pPr>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20</w:t>
                  </w:r>
                  <w:r>
                    <w:rPr>
                      <w:rFonts w:hint="eastAsia" w:ascii="Times New Roman" w:hAnsi="Times New Roman" w:eastAsia="宋体" w:cs="Times New Roman"/>
                      <w:color w:val="auto"/>
                      <w:kern w:val="0"/>
                      <w:sz w:val="21"/>
                      <w:szCs w:val="21"/>
                      <w:highlight w:val="none"/>
                      <w:lang w:val="en-US" w:eastAsia="zh-CN" w:bidi="ar"/>
                    </w:rPr>
                    <w:t>23</w:t>
                  </w:r>
                  <w:r>
                    <w:rPr>
                      <w:rFonts w:hint="default" w:ascii="Times New Roman" w:hAnsi="Times New Roman" w:eastAsia="宋体" w:cs="Times New Roman"/>
                      <w:color w:val="auto"/>
                      <w:kern w:val="0"/>
                      <w:sz w:val="21"/>
                      <w:szCs w:val="21"/>
                      <w:highlight w:val="none"/>
                      <w:lang w:bidi="ar"/>
                    </w:rPr>
                    <w:t>年</w:t>
                  </w:r>
                  <w:r>
                    <w:rPr>
                      <w:rFonts w:hint="eastAsia" w:ascii="Times New Roman" w:hAnsi="Times New Roman" w:eastAsia="宋体" w:cs="Times New Roman"/>
                      <w:color w:val="auto"/>
                      <w:kern w:val="0"/>
                      <w:sz w:val="21"/>
                      <w:szCs w:val="21"/>
                      <w:highlight w:val="none"/>
                      <w:lang w:val="en-US" w:eastAsia="zh-CN" w:bidi="ar"/>
                    </w:rPr>
                    <w:t>8</w:t>
                  </w:r>
                  <w:r>
                    <w:rPr>
                      <w:rFonts w:hint="default" w:ascii="Times New Roman" w:hAnsi="Times New Roman" w:eastAsia="宋体" w:cs="Times New Roman"/>
                      <w:color w:val="auto"/>
                      <w:kern w:val="0"/>
                      <w:sz w:val="21"/>
                      <w:szCs w:val="21"/>
                      <w:highlight w:val="none"/>
                      <w:lang w:bidi="ar"/>
                    </w:rPr>
                    <w:t>月</w:t>
                  </w:r>
                  <w:r>
                    <w:rPr>
                      <w:rFonts w:hint="eastAsia" w:ascii="Times New Roman" w:hAnsi="Times New Roman" w:eastAsia="宋体" w:cs="Times New Roman"/>
                      <w:color w:val="auto"/>
                      <w:kern w:val="0"/>
                      <w:sz w:val="21"/>
                      <w:szCs w:val="21"/>
                      <w:highlight w:val="none"/>
                      <w:lang w:val="en-US" w:eastAsia="zh-CN" w:bidi="ar"/>
                    </w:rPr>
                    <w:t>29日</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0C08CFB1">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陕西省西咸新区生态环境局（沣东）工作部</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0E3154DA">
                  <w:pPr>
                    <w:jc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610163-2023-027-L</w:t>
                  </w:r>
                </w:p>
              </w:tc>
              <w:tc>
                <w:tcPr>
                  <w:tcW w:w="1796" w:type="pct"/>
                  <w:tcBorders>
                    <w:top w:val="single" w:color="auto" w:sz="4" w:space="0"/>
                    <w:left w:val="single" w:color="auto" w:sz="4" w:space="0"/>
                    <w:bottom w:val="single" w:color="auto" w:sz="4" w:space="0"/>
                    <w:right w:val="single" w:color="auto" w:sz="4" w:space="0"/>
                  </w:tcBorders>
                  <w:noWrap w:val="0"/>
                  <w:vAlign w:val="center"/>
                </w:tcPr>
                <w:p w14:paraId="5CDE287F">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核工业二</w:t>
                  </w:r>
                  <w:r>
                    <w:rPr>
                      <w:rFonts w:hint="eastAsia" w:cs="Times New Roman"/>
                      <w:color w:val="auto"/>
                      <w:kern w:val="0"/>
                      <w:sz w:val="21"/>
                      <w:szCs w:val="21"/>
                      <w:highlight w:val="none"/>
                      <w:lang w:eastAsia="zh-CN"/>
                    </w:rPr>
                    <w:t>0</w:t>
                  </w:r>
                  <w:r>
                    <w:rPr>
                      <w:rFonts w:hint="default" w:ascii="Times New Roman" w:hAnsi="Times New Roman" w:eastAsia="宋体" w:cs="Times New Roman"/>
                      <w:color w:val="auto"/>
                      <w:kern w:val="0"/>
                      <w:sz w:val="21"/>
                      <w:szCs w:val="21"/>
                      <w:highlight w:val="none"/>
                    </w:rPr>
                    <w:t>三研究所突发环境事件应急预案备案表</w:t>
                  </w:r>
                </w:p>
              </w:tc>
              <w:tc>
                <w:tcPr>
                  <w:tcW w:w="449" w:type="pct"/>
                  <w:tcBorders>
                    <w:top w:val="single" w:color="auto" w:sz="4" w:space="0"/>
                    <w:left w:val="single" w:color="auto" w:sz="4" w:space="0"/>
                    <w:bottom w:val="single" w:color="auto" w:sz="4" w:space="0"/>
                  </w:tcBorders>
                  <w:noWrap w:val="0"/>
                  <w:vAlign w:val="center"/>
                </w:tcPr>
                <w:p w14:paraId="1BC01C95">
                  <w:pPr>
                    <w:jc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r>
            <w:tr w14:paraId="2D0C7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jc w:val="center"/>
              </w:trPr>
              <w:tc>
                <w:tcPr>
                  <w:tcW w:w="475" w:type="pct"/>
                  <w:vMerge w:val="continue"/>
                  <w:tcBorders>
                    <w:right w:val="single" w:color="auto" w:sz="4" w:space="0"/>
                  </w:tcBorders>
                  <w:noWrap w:val="0"/>
                  <w:vAlign w:val="center"/>
                </w:tcPr>
                <w:p w14:paraId="4B66D12B">
                  <w:pPr>
                    <w:rPr>
                      <w:rFonts w:hint="default" w:ascii="Times New Roman" w:hAnsi="Times New Roman" w:eastAsia="宋体" w:cs="Times New Roman"/>
                      <w:color w:val="auto"/>
                      <w:sz w:val="21"/>
                      <w:szCs w:val="21"/>
                      <w:highlight w:val="none"/>
                    </w:rPr>
                  </w:pPr>
                </w:p>
              </w:tc>
              <w:tc>
                <w:tcPr>
                  <w:tcW w:w="700" w:type="pct"/>
                  <w:tcBorders>
                    <w:top w:val="single" w:color="auto" w:sz="4" w:space="0"/>
                    <w:left w:val="single" w:color="auto" w:sz="4" w:space="0"/>
                    <w:right w:val="single" w:color="auto" w:sz="4" w:space="0"/>
                  </w:tcBorders>
                  <w:noWrap w:val="0"/>
                  <w:vAlign w:val="center"/>
                </w:tcPr>
                <w:p w14:paraId="364DA27A">
                  <w:pPr>
                    <w:jc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2021年7月12日</w:t>
                  </w:r>
                </w:p>
              </w:tc>
              <w:tc>
                <w:tcPr>
                  <w:tcW w:w="3374" w:type="pct"/>
                  <w:gridSpan w:val="3"/>
                  <w:tcBorders>
                    <w:top w:val="single" w:color="auto" w:sz="4" w:space="0"/>
                    <w:left w:val="single" w:color="auto" w:sz="4" w:space="0"/>
                    <w:right w:val="single" w:color="auto" w:sz="4" w:space="0"/>
                  </w:tcBorders>
                  <w:noWrap w:val="0"/>
                  <w:vAlign w:val="center"/>
                </w:tcPr>
                <w:p w14:paraId="2138FC1F">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排污许可：</w:t>
                  </w:r>
                </w:p>
                <w:p w14:paraId="3CE36575">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12100000435630837Y001X</w:t>
                  </w:r>
                </w:p>
              </w:tc>
              <w:tc>
                <w:tcPr>
                  <w:tcW w:w="449" w:type="pct"/>
                  <w:tcBorders>
                    <w:top w:val="single" w:color="auto" w:sz="4" w:space="0"/>
                    <w:left w:val="single" w:color="auto" w:sz="4" w:space="0"/>
                  </w:tcBorders>
                  <w:noWrap w:val="0"/>
                  <w:vAlign w:val="center"/>
                </w:tcPr>
                <w:p w14:paraId="30B1C384">
                  <w:pPr>
                    <w:jc w:val="center"/>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r>
          </w:tbl>
          <w:p w14:paraId="781FAA8A">
            <w:pPr>
              <w:adjustRightInd w:val="0"/>
              <w:snapToGrid w:val="0"/>
              <w:spacing w:line="360" w:lineRule="auto"/>
              <w:ind w:firstLine="482" w:firstLineChars="200"/>
              <w:rPr>
                <w:rFonts w:hint="eastAsia"/>
                <w:b/>
                <w:bCs w:val="0"/>
                <w:color w:val="auto"/>
                <w:sz w:val="24"/>
                <w:highlight w:val="none"/>
                <w:lang w:val="en-US" w:eastAsia="zh-CN"/>
              </w:rPr>
            </w:pPr>
            <w:r>
              <w:rPr>
                <w:rFonts w:hint="eastAsia"/>
                <w:b/>
                <w:bCs w:val="0"/>
                <w:color w:val="auto"/>
                <w:sz w:val="24"/>
                <w:highlight w:val="none"/>
                <w:lang w:val="en-US" w:eastAsia="zh-CN"/>
              </w:rPr>
              <w:t>2.现有工程建设内容</w:t>
            </w:r>
          </w:p>
          <w:p w14:paraId="284960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bCs/>
                <w:color w:val="auto"/>
                <w:sz w:val="24"/>
                <w:highlight w:val="none"/>
                <w:lang w:val="en-US" w:eastAsia="zh-CN"/>
              </w:rPr>
            </w:pPr>
            <w:r>
              <w:rPr>
                <w:rFonts w:hint="eastAsia"/>
                <w:bCs/>
                <w:color w:val="auto"/>
                <w:sz w:val="24"/>
                <w:highlight w:val="none"/>
                <w:lang w:val="en-US" w:eastAsia="zh-CN"/>
              </w:rPr>
              <w:t>①现有工程组成</w:t>
            </w:r>
          </w:p>
          <w:p w14:paraId="1B98ED2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宋体"/>
                <w:bCs/>
                <w:color w:val="auto"/>
                <w:sz w:val="24"/>
                <w:highlight w:val="none"/>
                <w:lang w:val="en-US" w:eastAsia="zh-CN"/>
              </w:rPr>
            </w:pPr>
            <w:r>
              <w:rPr>
                <w:rFonts w:hint="eastAsia"/>
                <w:color w:val="auto"/>
                <w:sz w:val="24"/>
                <w:highlight w:val="none"/>
                <w:lang w:val="en-US" w:eastAsia="zh-CN"/>
              </w:rPr>
              <w:t>现有</w:t>
            </w:r>
            <w:r>
              <w:rPr>
                <w:color w:val="auto"/>
                <w:sz w:val="24"/>
                <w:highlight w:val="none"/>
              </w:rPr>
              <w:t>工程组成及内容详见表</w:t>
            </w:r>
            <w:r>
              <w:rPr>
                <w:rFonts w:hint="eastAsia"/>
                <w:color w:val="auto"/>
                <w:sz w:val="24"/>
                <w:highlight w:val="none"/>
              </w:rPr>
              <w:t>2-</w:t>
            </w:r>
            <w:r>
              <w:rPr>
                <w:rFonts w:hint="eastAsia"/>
                <w:color w:val="auto"/>
                <w:sz w:val="24"/>
                <w:highlight w:val="none"/>
                <w:lang w:val="en-US" w:eastAsia="zh-CN"/>
              </w:rPr>
              <w:t>7。</w:t>
            </w:r>
          </w:p>
          <w:p w14:paraId="257315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val="0"/>
                <w:color w:val="auto"/>
                <w:sz w:val="21"/>
                <w:szCs w:val="21"/>
                <w:highlight w:val="none"/>
                <w:lang w:val="en-US" w:eastAsia="zh-CN"/>
              </w:rPr>
            </w:pPr>
            <w:r>
              <w:rPr>
                <w:rFonts w:hint="eastAsia"/>
                <w:b/>
                <w:bCs w:val="0"/>
                <w:color w:val="auto"/>
                <w:sz w:val="21"/>
                <w:szCs w:val="21"/>
                <w:highlight w:val="none"/>
                <w:lang w:val="en-US" w:eastAsia="zh-CN"/>
              </w:rPr>
              <w:t>表2-7  现有工程组成一览表</w:t>
            </w:r>
          </w:p>
          <w:tbl>
            <w:tblPr>
              <w:tblStyle w:val="27"/>
              <w:tblW w:w="78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326"/>
              <w:gridCol w:w="5671"/>
            </w:tblGrid>
            <w:tr w14:paraId="09A66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02" w:type="dxa"/>
                  <w:tcBorders>
                    <w:tl2br w:val="nil"/>
                    <w:tr2bl w:val="nil"/>
                  </w:tcBorders>
                  <w:noWrap w:val="0"/>
                  <w:vAlign w:val="center"/>
                </w:tcPr>
                <w:p w14:paraId="1AE9C4D6">
                  <w:pPr>
                    <w:pStyle w:val="74"/>
                    <w:widowControl w:val="0"/>
                    <w:spacing w:line="240" w:lineRule="auto"/>
                    <w:rPr>
                      <w:rFonts w:hint="default" w:ascii="Times New Roman" w:hAnsi="Times New Roman" w:cs="Times New Roman"/>
                      <w:b/>
                      <w:color w:val="auto"/>
                      <w:spacing w:val="4"/>
                      <w:szCs w:val="21"/>
                      <w:highlight w:val="none"/>
                    </w:rPr>
                  </w:pPr>
                  <w:r>
                    <w:rPr>
                      <w:rFonts w:hint="default" w:ascii="Times New Roman" w:hAnsi="Times New Roman" w:cs="Times New Roman"/>
                      <w:b/>
                      <w:color w:val="auto"/>
                      <w:spacing w:val="4"/>
                      <w:szCs w:val="21"/>
                      <w:highlight w:val="none"/>
                    </w:rPr>
                    <w:t>类别</w:t>
                  </w:r>
                </w:p>
              </w:tc>
              <w:tc>
                <w:tcPr>
                  <w:tcW w:w="1326" w:type="dxa"/>
                  <w:tcBorders>
                    <w:tl2br w:val="nil"/>
                    <w:tr2bl w:val="nil"/>
                  </w:tcBorders>
                  <w:noWrap w:val="0"/>
                  <w:vAlign w:val="center"/>
                </w:tcPr>
                <w:p w14:paraId="680B7FE3">
                  <w:pPr>
                    <w:adjustRightInd w:val="0"/>
                    <w:snapToGrid w:val="0"/>
                    <w:jc w:val="center"/>
                    <w:rPr>
                      <w:rFonts w:hint="default" w:ascii="Times New Roman" w:hAnsi="Times New Roman" w:cs="Times New Roman"/>
                      <w:b/>
                      <w:color w:val="auto"/>
                      <w:spacing w:val="4"/>
                      <w:szCs w:val="21"/>
                      <w:highlight w:val="none"/>
                    </w:rPr>
                  </w:pPr>
                  <w:r>
                    <w:rPr>
                      <w:rFonts w:hint="default" w:ascii="Times New Roman" w:hAnsi="Times New Roman" w:cs="Times New Roman"/>
                      <w:b/>
                      <w:color w:val="auto"/>
                      <w:spacing w:val="4"/>
                      <w:szCs w:val="21"/>
                      <w:highlight w:val="none"/>
                    </w:rPr>
                    <w:t>建设项目</w:t>
                  </w:r>
                </w:p>
              </w:tc>
              <w:tc>
                <w:tcPr>
                  <w:tcW w:w="5671" w:type="dxa"/>
                  <w:tcBorders>
                    <w:tl2br w:val="nil"/>
                    <w:tr2bl w:val="nil"/>
                  </w:tcBorders>
                  <w:noWrap w:val="0"/>
                  <w:vAlign w:val="center"/>
                </w:tcPr>
                <w:p w14:paraId="57642336">
                  <w:pPr>
                    <w:adjustRightInd w:val="0"/>
                    <w:snapToGrid w:val="0"/>
                    <w:jc w:val="center"/>
                    <w:rPr>
                      <w:rFonts w:hint="default" w:ascii="Times New Roman" w:hAnsi="Times New Roman" w:cs="Times New Roman"/>
                      <w:b/>
                      <w:color w:val="auto"/>
                      <w:spacing w:val="4"/>
                      <w:szCs w:val="21"/>
                      <w:highlight w:val="none"/>
                    </w:rPr>
                  </w:pPr>
                  <w:r>
                    <w:rPr>
                      <w:rFonts w:hint="default" w:ascii="Times New Roman" w:hAnsi="Times New Roman" w:cs="Times New Roman"/>
                      <w:b/>
                      <w:color w:val="auto"/>
                      <w:spacing w:val="4"/>
                      <w:szCs w:val="21"/>
                      <w:highlight w:val="none"/>
                    </w:rPr>
                    <w:t>建设内容</w:t>
                  </w:r>
                </w:p>
              </w:tc>
            </w:tr>
            <w:tr w14:paraId="03716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902" w:type="dxa"/>
                  <w:vMerge w:val="restart"/>
                  <w:tcBorders>
                    <w:tl2br w:val="nil"/>
                    <w:tr2bl w:val="nil"/>
                  </w:tcBorders>
                  <w:noWrap w:val="0"/>
                  <w:vAlign w:val="center"/>
                </w:tcPr>
                <w:p w14:paraId="7DF831FE">
                  <w:pPr>
                    <w:adjustRightInd w:val="0"/>
                    <w:snapToGrid w:val="0"/>
                    <w:jc w:val="center"/>
                    <w:rPr>
                      <w:rFonts w:hint="default" w:ascii="Times New Roman" w:hAnsi="Times New Roman" w:eastAsia="宋体" w:cs="Times New Roman"/>
                      <w:b/>
                      <w:color w:val="auto"/>
                      <w:spacing w:val="-6"/>
                      <w:szCs w:val="21"/>
                      <w:highlight w:val="none"/>
                      <w:lang w:val="en-US" w:eastAsia="zh-CN"/>
                    </w:rPr>
                  </w:pPr>
                  <w:r>
                    <w:rPr>
                      <w:rFonts w:hint="default" w:ascii="Times New Roman" w:hAnsi="Times New Roman" w:cs="Times New Roman"/>
                      <w:b/>
                      <w:color w:val="auto"/>
                      <w:spacing w:val="-6"/>
                      <w:szCs w:val="21"/>
                      <w:highlight w:val="none"/>
                      <w:lang w:val="en-US" w:eastAsia="zh-CN"/>
                    </w:rPr>
                    <w:t>主体工程</w:t>
                  </w:r>
                </w:p>
              </w:tc>
              <w:tc>
                <w:tcPr>
                  <w:tcW w:w="1326" w:type="dxa"/>
                  <w:tcBorders>
                    <w:tl2br w:val="nil"/>
                    <w:tr2bl w:val="nil"/>
                  </w:tcBorders>
                  <w:noWrap w:val="0"/>
                  <w:vAlign w:val="center"/>
                </w:tcPr>
                <w:p w14:paraId="778AD923">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科技大楼</w:t>
                  </w:r>
                </w:p>
              </w:tc>
              <w:tc>
                <w:tcPr>
                  <w:tcW w:w="5671" w:type="dxa"/>
                  <w:tcBorders>
                    <w:tl2br w:val="nil"/>
                    <w:tr2bl w:val="nil"/>
                  </w:tcBorders>
                  <w:noWrap w:val="0"/>
                  <w:vAlign w:val="center"/>
                </w:tcPr>
                <w:p w14:paraId="0F22890A">
                  <w:pPr>
                    <w:adjustRightInd w:val="0"/>
                    <w:snapToGrid w:val="0"/>
                    <w:ind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lang w:val="en-US" w:eastAsia="zh-CN"/>
                    </w:rPr>
                    <w:t>1座，科技综合楼A座为办公用</w:t>
                  </w:r>
                  <w:r>
                    <w:rPr>
                      <w:rFonts w:hint="default" w:ascii="Times New Roman" w:hAnsi="Times New Roman" w:eastAsia="宋体" w:cs="Times New Roman"/>
                      <w:color w:val="auto"/>
                      <w:sz w:val="21"/>
                      <w:szCs w:val="21"/>
                      <w:highlight w:val="none"/>
                      <w:lang w:val="en-GB" w:eastAsia="en-GB"/>
                    </w:rPr>
                    <w:t>科技大楼</w:t>
                  </w:r>
                  <w:r>
                    <w:rPr>
                      <w:rFonts w:hint="default" w:ascii="Times New Roman" w:hAnsi="Times New Roman" w:eastAsia="宋体" w:cs="Times New Roman"/>
                      <w:color w:val="auto"/>
                      <w:sz w:val="21"/>
                      <w:szCs w:val="21"/>
                      <w:highlight w:val="none"/>
                      <w:lang w:val="en-GB" w:eastAsia="zh-CN"/>
                    </w:rPr>
                    <w:t>，</w:t>
                  </w:r>
                  <w:r>
                    <w:rPr>
                      <w:rFonts w:hint="default" w:ascii="Times New Roman" w:hAnsi="Times New Roman" w:eastAsia="宋体" w:cs="Times New Roman"/>
                      <w:color w:val="auto"/>
                      <w:sz w:val="21"/>
                      <w:szCs w:val="21"/>
                      <w:highlight w:val="none"/>
                      <w:lang w:val="en-US" w:eastAsia="zh-CN"/>
                    </w:rPr>
                    <w:t>A座地上15层，地下1层，总高62.4m，总建筑面积23605.48m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w:t>
                  </w:r>
                </w:p>
              </w:tc>
            </w:tr>
            <w:tr w14:paraId="25D44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02" w:type="dxa"/>
                  <w:vMerge w:val="continue"/>
                  <w:tcBorders>
                    <w:tl2br w:val="nil"/>
                    <w:tr2bl w:val="nil"/>
                  </w:tcBorders>
                  <w:noWrap w:val="0"/>
                  <w:vAlign w:val="center"/>
                </w:tcPr>
                <w:p w14:paraId="2E6713E7">
                  <w:pPr>
                    <w:adjustRightInd w:val="0"/>
                    <w:snapToGrid w:val="0"/>
                    <w:jc w:val="center"/>
                    <w:rPr>
                      <w:rFonts w:hint="default" w:ascii="Times New Roman" w:hAnsi="Times New Roman" w:cs="Times New Roman"/>
                      <w:b/>
                      <w:color w:val="auto"/>
                      <w:spacing w:val="-6"/>
                      <w:szCs w:val="21"/>
                      <w:highlight w:val="none"/>
                      <w:lang w:val="en-US" w:eastAsia="zh-CN"/>
                    </w:rPr>
                  </w:pPr>
                </w:p>
              </w:tc>
              <w:tc>
                <w:tcPr>
                  <w:tcW w:w="1326" w:type="dxa"/>
                  <w:tcBorders>
                    <w:tl2br w:val="nil"/>
                    <w:tr2bl w:val="nil"/>
                  </w:tcBorders>
                  <w:shd w:val="clear" w:color="auto" w:fill="auto"/>
                  <w:noWrap w:val="0"/>
                  <w:vAlign w:val="center"/>
                </w:tcPr>
                <w:p w14:paraId="0FC0D67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分析测试中心</w:t>
                  </w:r>
                </w:p>
              </w:tc>
              <w:tc>
                <w:tcPr>
                  <w:tcW w:w="5671" w:type="dxa"/>
                  <w:tcBorders>
                    <w:tl2br w:val="nil"/>
                    <w:tr2bl w:val="nil"/>
                  </w:tcBorders>
                  <w:shd w:val="clear" w:color="auto" w:fill="auto"/>
                  <w:noWrap w:val="0"/>
                  <w:vAlign w:val="center"/>
                </w:tcPr>
                <w:p w14:paraId="6BAF755E">
                  <w:pPr>
                    <w:adjustRightInd w:val="0"/>
                    <w:snapToGrid w:val="0"/>
                    <w:ind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rPr>
                    <w:t>1座，科技综合楼B座为分析测试中心，B座地上5层，地下1层，建筑高度22.40m</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建筑面积5849m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实验项目为酸（碱）熔矿分析实验。</w:t>
                  </w:r>
                </w:p>
              </w:tc>
            </w:tr>
            <w:tr w14:paraId="2FBD84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02" w:type="dxa"/>
                  <w:vMerge w:val="continue"/>
                  <w:tcBorders>
                    <w:tl2br w:val="nil"/>
                    <w:tr2bl w:val="nil"/>
                  </w:tcBorders>
                  <w:noWrap w:val="0"/>
                  <w:vAlign w:val="center"/>
                </w:tcPr>
                <w:p w14:paraId="2720448F">
                  <w:pPr>
                    <w:adjustRightInd w:val="0"/>
                    <w:snapToGrid w:val="0"/>
                    <w:jc w:val="center"/>
                    <w:rPr>
                      <w:rFonts w:hint="default" w:ascii="Times New Roman" w:hAnsi="Times New Roman" w:cs="Times New Roman"/>
                      <w:b/>
                      <w:color w:val="auto"/>
                      <w:spacing w:val="-6"/>
                      <w:szCs w:val="21"/>
                      <w:highlight w:val="none"/>
                      <w:lang w:val="en-US" w:eastAsia="zh-CN"/>
                    </w:rPr>
                  </w:pPr>
                </w:p>
              </w:tc>
              <w:tc>
                <w:tcPr>
                  <w:tcW w:w="1326" w:type="dxa"/>
                  <w:tcBorders>
                    <w:tl2br w:val="nil"/>
                    <w:tr2bl w:val="nil"/>
                  </w:tcBorders>
                  <w:shd w:val="clear" w:color="auto" w:fill="auto"/>
                  <w:noWrap w:val="0"/>
                  <w:vAlign w:val="center"/>
                </w:tcPr>
                <w:p w14:paraId="16787C8D">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服务楼</w:t>
                  </w:r>
                </w:p>
              </w:tc>
              <w:tc>
                <w:tcPr>
                  <w:tcW w:w="5671" w:type="dxa"/>
                  <w:tcBorders>
                    <w:tl2br w:val="nil"/>
                    <w:tr2bl w:val="nil"/>
                  </w:tcBorders>
                  <w:shd w:val="clear" w:color="auto" w:fill="auto"/>
                  <w:noWrap w:val="0"/>
                  <w:vAlign w:val="center"/>
                </w:tcPr>
                <w:p w14:paraId="07E66934">
                  <w:pPr>
                    <w:adjustRightInd w:val="0"/>
                    <w:snapToGrid w:val="0"/>
                    <w:ind w:firstLine="42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sz w:val="21"/>
                      <w:szCs w:val="21"/>
                      <w:highlight w:val="none"/>
                      <w:lang w:val="en-US" w:eastAsia="zh-CN"/>
                    </w:rPr>
                    <w:t>服务楼1座，建筑面积5704m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，5层，建筑高度22.35m，其中：1楼布设食堂，2楼布设自助餐厅，包间，职工活动中心，3-5层为职工宿舍。</w:t>
                  </w:r>
                </w:p>
              </w:tc>
            </w:tr>
            <w:tr w14:paraId="229E4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02" w:type="dxa"/>
                  <w:vMerge w:val="restart"/>
                  <w:tcBorders>
                    <w:tl2br w:val="nil"/>
                    <w:tr2bl w:val="nil"/>
                  </w:tcBorders>
                  <w:noWrap w:val="0"/>
                  <w:vAlign w:val="center"/>
                </w:tcPr>
                <w:p w14:paraId="6EB9AF71">
                  <w:pPr>
                    <w:adjustRightInd w:val="0"/>
                    <w:snapToGrid w:val="0"/>
                    <w:jc w:val="center"/>
                    <w:rPr>
                      <w:rFonts w:hint="default" w:ascii="Times New Roman" w:hAnsi="Times New Roman" w:eastAsia="宋体" w:cs="Times New Roman"/>
                      <w:b/>
                      <w:color w:val="auto"/>
                      <w:spacing w:val="-6"/>
                      <w:szCs w:val="21"/>
                      <w:highlight w:val="none"/>
                      <w:lang w:val="en-US" w:eastAsia="zh-CN"/>
                    </w:rPr>
                  </w:pPr>
                  <w:r>
                    <w:rPr>
                      <w:rFonts w:hint="default" w:ascii="Times New Roman" w:hAnsi="Times New Roman" w:cs="Times New Roman"/>
                      <w:b/>
                      <w:color w:val="auto"/>
                      <w:spacing w:val="-6"/>
                      <w:szCs w:val="21"/>
                      <w:highlight w:val="none"/>
                      <w:lang w:val="en-US" w:eastAsia="zh-CN"/>
                    </w:rPr>
                    <w:t>公用工程</w:t>
                  </w:r>
                </w:p>
              </w:tc>
              <w:tc>
                <w:tcPr>
                  <w:tcW w:w="1326" w:type="dxa"/>
                  <w:tcBorders>
                    <w:tl2br w:val="nil"/>
                    <w:tr2bl w:val="nil"/>
                  </w:tcBorders>
                  <w:noWrap w:val="0"/>
                  <w:vAlign w:val="center"/>
                </w:tcPr>
                <w:p w14:paraId="08D6461C">
                  <w:pPr>
                    <w:adjustRightInd w:val="0"/>
                    <w:snapToGrid w:val="0"/>
                    <w:jc w:val="center"/>
                    <w:rPr>
                      <w:rFonts w:hint="default" w:ascii="Times New Roman" w:hAnsi="Times New Roman" w:eastAsia="宋体" w:cs="Times New Roman"/>
                      <w:color w:val="auto"/>
                      <w:spacing w:val="-6"/>
                      <w:szCs w:val="21"/>
                      <w:highlight w:val="none"/>
                      <w:lang w:eastAsia="zh-CN"/>
                    </w:rPr>
                  </w:pPr>
                  <w:r>
                    <w:rPr>
                      <w:rFonts w:hint="default" w:ascii="Times New Roman" w:hAnsi="Times New Roman" w:cs="Times New Roman"/>
                      <w:color w:val="auto"/>
                      <w:spacing w:val="-6"/>
                      <w:szCs w:val="21"/>
                      <w:highlight w:val="none"/>
                      <w:lang w:val="en-US" w:eastAsia="zh-CN"/>
                    </w:rPr>
                    <w:t>地下车库</w:t>
                  </w:r>
                  <w:r>
                    <w:rPr>
                      <w:rFonts w:hint="default" w:ascii="Times New Roman" w:hAnsi="Times New Roman" w:eastAsia="宋体" w:cs="Times New Roman"/>
                      <w:color w:val="auto"/>
                      <w:kern w:val="2"/>
                      <w:sz w:val="21"/>
                      <w:szCs w:val="21"/>
                      <w:highlight w:val="none"/>
                      <w:lang w:bidi="ar"/>
                    </w:rPr>
                    <w:t>（含设备用房）</w:t>
                  </w:r>
                </w:p>
              </w:tc>
              <w:tc>
                <w:tcPr>
                  <w:tcW w:w="5671" w:type="dxa"/>
                  <w:tcBorders>
                    <w:tl2br w:val="nil"/>
                    <w:tr2bl w:val="nil"/>
                  </w:tcBorders>
                  <w:noWrap w:val="0"/>
                  <w:vAlign w:val="center"/>
                </w:tcPr>
                <w:p w14:paraId="16A7DCFF">
                  <w:pPr>
                    <w:adjustRightInd w:val="0"/>
                    <w:snapToGrid w:val="0"/>
                    <w:ind w:firstLine="420" w:firstLineChars="200"/>
                    <w:rPr>
                      <w:rFonts w:hint="default" w:ascii="Times New Roman" w:hAnsi="Times New Roman" w:cs="Times New Roman"/>
                      <w:color w:val="auto"/>
                      <w:spacing w:val="4"/>
                      <w:szCs w:val="21"/>
                      <w:highlight w:val="none"/>
                    </w:rPr>
                  </w:pPr>
                  <w:r>
                    <w:rPr>
                      <w:rFonts w:hint="default" w:ascii="Times New Roman" w:hAnsi="Times New Roman" w:eastAsia="宋体" w:cs="Times New Roman"/>
                      <w:color w:val="auto"/>
                      <w:kern w:val="2"/>
                      <w:sz w:val="21"/>
                      <w:szCs w:val="21"/>
                      <w:highlight w:val="none"/>
                      <w:lang w:bidi="ar"/>
                    </w:rPr>
                    <w:t>建筑面积</w:t>
                  </w:r>
                  <w:r>
                    <w:rPr>
                      <w:rFonts w:hint="default" w:ascii="Times New Roman" w:hAnsi="Times New Roman" w:eastAsia="宋体" w:cs="Times New Roman"/>
                      <w:color w:val="auto"/>
                      <w:kern w:val="2"/>
                      <w:sz w:val="21"/>
                      <w:szCs w:val="21"/>
                      <w:highlight w:val="none"/>
                      <w:lang w:val="en-US" w:eastAsia="zh-CN" w:bidi="ar"/>
                    </w:rPr>
                    <w:t>2509.73</w:t>
                  </w:r>
                  <w:r>
                    <w:rPr>
                      <w:rFonts w:hint="default" w:ascii="Times New Roman" w:hAnsi="Times New Roman" w:eastAsia="宋体" w:cs="Times New Roman"/>
                      <w:color w:val="auto"/>
                      <w:kern w:val="2"/>
                      <w:sz w:val="21"/>
                      <w:szCs w:val="21"/>
                      <w:highlight w:val="none"/>
                      <w:lang w:bidi="ar"/>
                    </w:rPr>
                    <w:t>m</w:t>
                  </w:r>
                  <w:r>
                    <w:rPr>
                      <w:rFonts w:hint="default" w:ascii="Times New Roman" w:hAnsi="Times New Roman" w:eastAsia="宋体" w:cs="Times New Roman"/>
                      <w:color w:val="auto"/>
                      <w:kern w:val="2"/>
                      <w:sz w:val="21"/>
                      <w:szCs w:val="21"/>
                      <w:highlight w:val="none"/>
                      <w:vertAlign w:val="superscript"/>
                      <w:lang w:bidi="ar"/>
                    </w:rPr>
                    <w:t>2</w:t>
                  </w:r>
                  <w:r>
                    <w:rPr>
                      <w:rFonts w:hint="default" w:ascii="Times New Roman" w:hAnsi="Times New Roman" w:eastAsia="宋体" w:cs="Times New Roman"/>
                      <w:color w:val="auto"/>
                      <w:kern w:val="2"/>
                      <w:sz w:val="21"/>
                      <w:szCs w:val="21"/>
                      <w:highlight w:val="none"/>
                      <w:lang w:bidi="ar"/>
                    </w:rPr>
                    <w:t>，含停车位</w:t>
                  </w:r>
                  <w:r>
                    <w:rPr>
                      <w:rFonts w:hint="default" w:ascii="Times New Roman" w:hAnsi="Times New Roman" w:eastAsia="宋体" w:cs="Times New Roman"/>
                      <w:color w:val="auto"/>
                      <w:kern w:val="2"/>
                      <w:sz w:val="21"/>
                      <w:szCs w:val="21"/>
                      <w:highlight w:val="none"/>
                      <w:lang w:val="en-US" w:eastAsia="zh-CN" w:bidi="ar"/>
                    </w:rPr>
                    <w:t>51</w:t>
                  </w:r>
                  <w:r>
                    <w:rPr>
                      <w:rFonts w:hint="default" w:ascii="Times New Roman" w:hAnsi="Times New Roman" w:eastAsia="宋体" w:cs="Times New Roman"/>
                      <w:color w:val="auto"/>
                      <w:kern w:val="2"/>
                      <w:sz w:val="21"/>
                      <w:szCs w:val="21"/>
                      <w:highlight w:val="none"/>
                      <w:lang w:bidi="ar"/>
                    </w:rPr>
                    <w:t>个</w:t>
                  </w:r>
                  <w:r>
                    <w:rPr>
                      <w:rFonts w:hint="default" w:ascii="Times New Roman" w:hAnsi="Times New Roman" w:eastAsia="宋体" w:cs="Times New Roman"/>
                      <w:color w:val="auto"/>
                      <w:kern w:val="2"/>
                      <w:sz w:val="21"/>
                      <w:szCs w:val="21"/>
                      <w:highlight w:val="none"/>
                      <w:lang w:eastAsia="zh-CN" w:bidi="ar"/>
                    </w:rPr>
                    <w:t>。</w:t>
                  </w:r>
                </w:p>
              </w:tc>
            </w:tr>
            <w:tr w14:paraId="1F7CA2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02" w:type="dxa"/>
                  <w:vMerge w:val="continue"/>
                  <w:tcBorders>
                    <w:tl2br w:val="nil"/>
                    <w:tr2bl w:val="nil"/>
                  </w:tcBorders>
                  <w:noWrap w:val="0"/>
                  <w:vAlign w:val="center"/>
                </w:tcPr>
                <w:p w14:paraId="39766BCE">
                  <w:pPr>
                    <w:adjustRightInd w:val="0"/>
                    <w:snapToGrid w:val="0"/>
                    <w:jc w:val="center"/>
                    <w:rPr>
                      <w:rFonts w:hint="default" w:ascii="Times New Roman" w:hAnsi="Times New Roman" w:cs="Times New Roman"/>
                      <w:b/>
                      <w:color w:val="auto"/>
                      <w:spacing w:val="-6"/>
                      <w:szCs w:val="21"/>
                      <w:highlight w:val="none"/>
                      <w:lang w:val="en-US" w:eastAsia="zh-CN"/>
                    </w:rPr>
                  </w:pPr>
                </w:p>
              </w:tc>
              <w:tc>
                <w:tcPr>
                  <w:tcW w:w="1326" w:type="dxa"/>
                  <w:tcBorders>
                    <w:tl2br w:val="nil"/>
                    <w:tr2bl w:val="nil"/>
                  </w:tcBorders>
                  <w:noWrap w:val="0"/>
                  <w:vAlign w:val="center"/>
                </w:tcPr>
                <w:p w14:paraId="6EAF4B0E">
                  <w:pPr>
                    <w:adjustRightInd w:val="0"/>
                    <w:snapToGrid w:val="0"/>
                    <w:jc w:val="center"/>
                    <w:rPr>
                      <w:rFonts w:hint="default" w:ascii="Times New Roman" w:hAnsi="Times New Roman" w:cs="Times New Roman"/>
                      <w:color w:val="auto"/>
                      <w:spacing w:val="-6"/>
                      <w:szCs w:val="21"/>
                      <w:highlight w:val="none"/>
                      <w:lang w:val="en-US" w:eastAsia="zh-CN"/>
                    </w:rPr>
                  </w:pPr>
                  <w:r>
                    <w:rPr>
                      <w:rFonts w:hint="default" w:ascii="Times New Roman" w:hAnsi="Times New Roman" w:cs="Times New Roman"/>
                      <w:color w:val="auto"/>
                      <w:spacing w:val="-6"/>
                      <w:szCs w:val="21"/>
                      <w:highlight w:val="none"/>
                      <w:lang w:val="en-US" w:eastAsia="zh-CN"/>
                    </w:rPr>
                    <w:t>职工餐厅</w:t>
                  </w:r>
                </w:p>
              </w:tc>
              <w:tc>
                <w:tcPr>
                  <w:tcW w:w="5671" w:type="dxa"/>
                  <w:tcBorders>
                    <w:tl2br w:val="nil"/>
                    <w:tr2bl w:val="nil"/>
                  </w:tcBorders>
                  <w:noWrap w:val="0"/>
                  <w:vAlign w:val="center"/>
                </w:tcPr>
                <w:p w14:paraId="0810EEE4">
                  <w:pPr>
                    <w:adjustRightInd w:val="0"/>
                    <w:snapToGrid w:val="0"/>
                    <w:ind w:firstLine="420" w:firstLineChars="200"/>
                    <w:rPr>
                      <w:rFonts w:hint="default" w:ascii="Times New Roman" w:hAnsi="Times New Roman" w:eastAsia="宋体" w:cs="Times New Roman"/>
                      <w:color w:val="auto"/>
                      <w:kern w:val="2"/>
                      <w:sz w:val="21"/>
                      <w:szCs w:val="21"/>
                      <w:highlight w:val="none"/>
                      <w:lang w:bidi="ar"/>
                    </w:rPr>
                  </w:pPr>
                  <w:r>
                    <w:rPr>
                      <w:rFonts w:hint="default" w:ascii="Times New Roman" w:hAnsi="Times New Roman" w:eastAsia="宋体" w:cs="Times New Roman"/>
                      <w:color w:val="auto"/>
                      <w:kern w:val="2"/>
                      <w:sz w:val="21"/>
                      <w:szCs w:val="21"/>
                      <w:highlight w:val="none"/>
                      <w:lang w:bidi="ar"/>
                    </w:rPr>
                    <w:t>位于服务楼1层，建筑面积1136m</w:t>
                  </w:r>
                  <w:r>
                    <w:rPr>
                      <w:rFonts w:hint="default" w:ascii="Times New Roman" w:hAnsi="Times New Roman" w:eastAsia="宋体" w:cs="Times New Roman"/>
                      <w:color w:val="auto"/>
                      <w:kern w:val="2"/>
                      <w:sz w:val="21"/>
                      <w:szCs w:val="21"/>
                      <w:highlight w:val="none"/>
                      <w:vertAlign w:val="superscript"/>
                      <w:lang w:bidi="ar"/>
                    </w:rPr>
                    <w:t>2</w:t>
                  </w:r>
                  <w:r>
                    <w:rPr>
                      <w:rFonts w:hint="default" w:ascii="Times New Roman" w:hAnsi="Times New Roman" w:eastAsia="宋体" w:cs="Times New Roman"/>
                      <w:color w:val="auto"/>
                      <w:kern w:val="2"/>
                      <w:sz w:val="21"/>
                      <w:szCs w:val="21"/>
                      <w:highlight w:val="none"/>
                      <w:lang w:bidi="ar"/>
                    </w:rPr>
                    <w:t>，容纳250人就餐。</w:t>
                  </w:r>
                </w:p>
              </w:tc>
            </w:tr>
            <w:tr w14:paraId="71A53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02" w:type="dxa"/>
                  <w:vMerge w:val="continue"/>
                  <w:tcBorders>
                    <w:tl2br w:val="nil"/>
                    <w:tr2bl w:val="nil"/>
                  </w:tcBorders>
                  <w:noWrap w:val="0"/>
                  <w:vAlign w:val="center"/>
                </w:tcPr>
                <w:p w14:paraId="378BE775">
                  <w:pPr>
                    <w:adjustRightInd w:val="0"/>
                    <w:snapToGrid w:val="0"/>
                    <w:jc w:val="center"/>
                    <w:rPr>
                      <w:rFonts w:hint="default" w:ascii="Times New Roman" w:hAnsi="Times New Roman" w:cs="Times New Roman"/>
                      <w:b/>
                      <w:color w:val="auto"/>
                      <w:spacing w:val="-6"/>
                      <w:szCs w:val="21"/>
                      <w:highlight w:val="none"/>
                      <w:lang w:val="en-US" w:eastAsia="zh-CN"/>
                    </w:rPr>
                  </w:pPr>
                </w:p>
              </w:tc>
              <w:tc>
                <w:tcPr>
                  <w:tcW w:w="1326" w:type="dxa"/>
                  <w:tcBorders>
                    <w:tl2br w:val="nil"/>
                    <w:tr2bl w:val="nil"/>
                  </w:tcBorders>
                  <w:shd w:val="clear" w:color="auto" w:fill="auto"/>
                  <w:noWrap w:val="0"/>
                  <w:vAlign w:val="center"/>
                </w:tcPr>
                <w:p w14:paraId="75C35C73">
                  <w:pPr>
                    <w:adjustRightInd w:val="0"/>
                    <w:snapToGrid w:val="0"/>
                    <w:jc w:val="center"/>
                    <w:rPr>
                      <w:rFonts w:hint="default" w:ascii="Times New Roman" w:hAnsi="Times New Roman" w:eastAsia="宋体" w:cs="Times New Roman"/>
                      <w:color w:val="auto"/>
                      <w:spacing w:val="-6"/>
                      <w:kern w:val="2"/>
                      <w:sz w:val="21"/>
                      <w:szCs w:val="21"/>
                      <w:highlight w:val="none"/>
                      <w:lang w:val="en-US" w:eastAsia="zh-CN" w:bidi="ar-SA"/>
                    </w:rPr>
                  </w:pPr>
                  <w:r>
                    <w:rPr>
                      <w:rFonts w:hint="default" w:ascii="Times New Roman" w:hAnsi="Times New Roman" w:cs="Times New Roman"/>
                      <w:color w:val="auto"/>
                      <w:spacing w:val="-6"/>
                      <w:szCs w:val="21"/>
                      <w:highlight w:val="none"/>
                    </w:rPr>
                    <w:t>给水系统</w:t>
                  </w:r>
                </w:p>
              </w:tc>
              <w:tc>
                <w:tcPr>
                  <w:tcW w:w="5671" w:type="dxa"/>
                  <w:tcBorders>
                    <w:tl2br w:val="nil"/>
                    <w:tr2bl w:val="nil"/>
                  </w:tcBorders>
                  <w:shd w:val="clear" w:color="auto" w:fill="auto"/>
                  <w:noWrap w:val="0"/>
                  <w:vAlign w:val="center"/>
                </w:tcPr>
                <w:p w14:paraId="0A7CCA3B">
                  <w:pPr>
                    <w:adjustRightInd w:val="0"/>
                    <w:snapToGrid w:val="0"/>
                    <w:ind w:firstLine="420" w:firstLineChars="200"/>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bidi="ar"/>
                    </w:rPr>
                    <w:t>由沣东新城的市政自来水管网供给</w:t>
                  </w:r>
                  <w:r>
                    <w:rPr>
                      <w:rFonts w:hint="default" w:ascii="Times New Roman" w:hAnsi="Times New Roman" w:eastAsia="宋体" w:cs="Times New Roman"/>
                      <w:color w:val="auto"/>
                      <w:kern w:val="2"/>
                      <w:sz w:val="21"/>
                      <w:szCs w:val="21"/>
                      <w:highlight w:val="none"/>
                      <w:lang w:eastAsia="zh-CN" w:bidi="ar"/>
                    </w:rPr>
                    <w:t>。</w:t>
                  </w:r>
                </w:p>
              </w:tc>
            </w:tr>
            <w:tr w14:paraId="08CB0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02" w:type="dxa"/>
                  <w:vMerge w:val="continue"/>
                  <w:tcBorders>
                    <w:tl2br w:val="nil"/>
                    <w:tr2bl w:val="nil"/>
                  </w:tcBorders>
                  <w:noWrap w:val="0"/>
                  <w:vAlign w:val="center"/>
                </w:tcPr>
                <w:p w14:paraId="41DEE06C">
                  <w:pPr>
                    <w:adjustRightInd w:val="0"/>
                    <w:snapToGrid w:val="0"/>
                    <w:jc w:val="center"/>
                    <w:rPr>
                      <w:rFonts w:hint="default" w:ascii="Times New Roman" w:hAnsi="Times New Roman" w:cs="Times New Roman"/>
                      <w:b/>
                      <w:color w:val="auto"/>
                      <w:spacing w:val="-6"/>
                      <w:szCs w:val="21"/>
                      <w:highlight w:val="none"/>
                    </w:rPr>
                  </w:pPr>
                </w:p>
              </w:tc>
              <w:tc>
                <w:tcPr>
                  <w:tcW w:w="1326" w:type="dxa"/>
                  <w:tcBorders>
                    <w:tl2br w:val="nil"/>
                    <w:tr2bl w:val="nil"/>
                  </w:tcBorders>
                  <w:noWrap w:val="0"/>
                  <w:vAlign w:val="center"/>
                </w:tcPr>
                <w:p w14:paraId="5ABBF2A2">
                  <w:pPr>
                    <w:adjustRightInd w:val="0"/>
                    <w:snapToGrid w:val="0"/>
                    <w:jc w:val="center"/>
                    <w:rPr>
                      <w:rFonts w:hint="default" w:ascii="Times New Roman" w:hAnsi="Times New Roman" w:eastAsia="宋体" w:cs="Times New Roman"/>
                      <w:color w:val="auto"/>
                      <w:spacing w:val="-6"/>
                      <w:szCs w:val="21"/>
                      <w:highlight w:val="none"/>
                      <w:lang w:val="en-US" w:eastAsia="zh-CN"/>
                    </w:rPr>
                  </w:pPr>
                  <w:r>
                    <w:rPr>
                      <w:rFonts w:hint="default" w:ascii="Times New Roman" w:hAnsi="Times New Roman" w:cs="Times New Roman"/>
                      <w:color w:val="auto"/>
                      <w:spacing w:val="-6"/>
                      <w:szCs w:val="21"/>
                      <w:highlight w:val="none"/>
                    </w:rPr>
                    <w:t>排水</w:t>
                  </w:r>
                  <w:r>
                    <w:rPr>
                      <w:rFonts w:hint="default" w:ascii="Times New Roman" w:hAnsi="Times New Roman" w:cs="Times New Roman"/>
                      <w:color w:val="auto"/>
                      <w:spacing w:val="-6"/>
                      <w:szCs w:val="21"/>
                      <w:highlight w:val="none"/>
                      <w:lang w:val="en-US" w:eastAsia="zh-CN"/>
                    </w:rPr>
                    <w:t>系统</w:t>
                  </w:r>
                </w:p>
              </w:tc>
              <w:tc>
                <w:tcPr>
                  <w:tcW w:w="5671" w:type="dxa"/>
                  <w:tcBorders>
                    <w:tl2br w:val="nil"/>
                    <w:tr2bl w:val="nil"/>
                  </w:tcBorders>
                  <w:noWrap w:val="0"/>
                  <w:vAlign w:val="center"/>
                </w:tcPr>
                <w:p w14:paraId="796B9683">
                  <w:pPr>
                    <w:adjustRightInd w:val="0"/>
                    <w:snapToGrid w:val="0"/>
                    <w:ind w:firstLine="420" w:firstLineChars="200"/>
                    <w:rPr>
                      <w:rFonts w:hint="default" w:ascii="Times New Roman" w:hAnsi="Times New Roman" w:cs="Times New Roman"/>
                      <w:color w:val="auto"/>
                      <w:spacing w:val="4"/>
                      <w:szCs w:val="21"/>
                      <w:highlight w:val="none"/>
                    </w:rPr>
                  </w:pPr>
                  <w:r>
                    <w:rPr>
                      <w:rFonts w:hint="default" w:ascii="Times New Roman" w:hAnsi="Times New Roman" w:eastAsia="宋体" w:cs="Times New Roman"/>
                      <w:color w:val="auto"/>
                      <w:kern w:val="2"/>
                      <w:sz w:val="21"/>
                      <w:szCs w:val="21"/>
                      <w:highlight w:val="none"/>
                      <w:lang w:bidi="ar"/>
                    </w:rPr>
                    <w:t>厂区排水采用雨污分流制，项目产生的生产废水及生活污水经处理后排至厂外市政污水管网，厂区内雨水经收集后排至厂外市政雨水管网</w:t>
                  </w:r>
                  <w:r>
                    <w:rPr>
                      <w:rFonts w:hint="default" w:ascii="Times New Roman" w:hAnsi="Times New Roman" w:eastAsia="宋体" w:cs="Times New Roman"/>
                      <w:color w:val="auto"/>
                      <w:kern w:val="2"/>
                      <w:sz w:val="21"/>
                      <w:szCs w:val="21"/>
                      <w:highlight w:val="none"/>
                      <w:lang w:eastAsia="zh-CN" w:bidi="ar"/>
                    </w:rPr>
                    <w:t>。</w:t>
                  </w:r>
                </w:p>
              </w:tc>
            </w:tr>
            <w:tr w14:paraId="07753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902" w:type="dxa"/>
                  <w:vMerge w:val="continue"/>
                  <w:tcBorders>
                    <w:tl2br w:val="nil"/>
                    <w:tr2bl w:val="nil"/>
                  </w:tcBorders>
                  <w:noWrap w:val="0"/>
                  <w:vAlign w:val="center"/>
                </w:tcPr>
                <w:p w14:paraId="3938D21D">
                  <w:pPr>
                    <w:widowControl/>
                    <w:adjustRightInd w:val="0"/>
                    <w:snapToGrid w:val="0"/>
                    <w:jc w:val="center"/>
                    <w:rPr>
                      <w:rFonts w:hint="default" w:ascii="Times New Roman" w:hAnsi="Times New Roman" w:cs="Times New Roman"/>
                      <w:b/>
                      <w:color w:val="auto"/>
                      <w:spacing w:val="-6"/>
                      <w:szCs w:val="21"/>
                      <w:highlight w:val="none"/>
                    </w:rPr>
                  </w:pPr>
                </w:p>
              </w:tc>
              <w:tc>
                <w:tcPr>
                  <w:tcW w:w="1326" w:type="dxa"/>
                  <w:tcBorders>
                    <w:tl2br w:val="nil"/>
                    <w:tr2bl w:val="nil"/>
                  </w:tcBorders>
                  <w:noWrap w:val="0"/>
                  <w:vAlign w:val="center"/>
                </w:tcPr>
                <w:p w14:paraId="63991233">
                  <w:pPr>
                    <w:adjustRightInd w:val="0"/>
                    <w:snapToGrid w:val="0"/>
                    <w:jc w:val="center"/>
                    <w:rPr>
                      <w:rFonts w:hint="default" w:ascii="Times New Roman" w:hAnsi="Times New Roman" w:eastAsia="宋体" w:cs="Times New Roman"/>
                      <w:color w:val="auto"/>
                      <w:spacing w:val="-6"/>
                      <w:szCs w:val="21"/>
                      <w:highlight w:val="none"/>
                      <w:lang w:val="en-US" w:eastAsia="zh-CN"/>
                    </w:rPr>
                  </w:pPr>
                  <w:r>
                    <w:rPr>
                      <w:rFonts w:hint="default" w:ascii="Times New Roman" w:hAnsi="Times New Roman" w:cs="Times New Roman"/>
                      <w:color w:val="auto"/>
                      <w:spacing w:val="-6"/>
                      <w:szCs w:val="21"/>
                      <w:highlight w:val="none"/>
                    </w:rPr>
                    <w:t>供电</w:t>
                  </w:r>
                  <w:r>
                    <w:rPr>
                      <w:rFonts w:hint="default" w:ascii="Times New Roman" w:hAnsi="Times New Roman" w:cs="Times New Roman"/>
                      <w:color w:val="auto"/>
                      <w:spacing w:val="-6"/>
                      <w:szCs w:val="21"/>
                      <w:highlight w:val="none"/>
                      <w:lang w:val="en-US" w:eastAsia="zh-CN"/>
                    </w:rPr>
                    <w:t>系统</w:t>
                  </w:r>
                </w:p>
              </w:tc>
              <w:tc>
                <w:tcPr>
                  <w:tcW w:w="5671" w:type="dxa"/>
                  <w:tcBorders>
                    <w:tl2br w:val="nil"/>
                    <w:tr2bl w:val="nil"/>
                  </w:tcBorders>
                  <w:noWrap w:val="0"/>
                  <w:vAlign w:val="center"/>
                </w:tcPr>
                <w:p w14:paraId="32125239">
                  <w:pPr>
                    <w:adjustRightInd w:val="0"/>
                    <w:snapToGrid w:val="0"/>
                    <w:ind w:firstLine="436" w:firstLineChars="200"/>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lang w:val="en-US" w:eastAsia="zh-CN"/>
                    </w:rPr>
                    <w:t>采用市政供电系统</w:t>
                  </w:r>
                  <w:r>
                    <w:rPr>
                      <w:rFonts w:hint="default" w:ascii="Times New Roman" w:hAnsi="Times New Roman" w:cs="Times New Roman"/>
                      <w:color w:val="auto"/>
                      <w:spacing w:val="4"/>
                      <w:szCs w:val="21"/>
                      <w:highlight w:val="none"/>
                    </w:rPr>
                    <w:t>。</w:t>
                  </w:r>
                </w:p>
              </w:tc>
            </w:tr>
            <w:tr w14:paraId="12B51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902" w:type="dxa"/>
                  <w:vMerge w:val="continue"/>
                  <w:tcBorders>
                    <w:tl2br w:val="nil"/>
                    <w:tr2bl w:val="nil"/>
                  </w:tcBorders>
                  <w:noWrap w:val="0"/>
                  <w:vAlign w:val="center"/>
                </w:tcPr>
                <w:p w14:paraId="2081D3D9">
                  <w:pPr>
                    <w:adjustRightInd w:val="0"/>
                    <w:snapToGrid w:val="0"/>
                    <w:jc w:val="center"/>
                    <w:rPr>
                      <w:rFonts w:hint="default" w:ascii="Times New Roman" w:hAnsi="Times New Roman" w:cs="Times New Roman"/>
                      <w:b/>
                      <w:color w:val="auto"/>
                      <w:spacing w:val="-6"/>
                      <w:szCs w:val="21"/>
                      <w:highlight w:val="none"/>
                    </w:rPr>
                  </w:pPr>
                </w:p>
              </w:tc>
              <w:tc>
                <w:tcPr>
                  <w:tcW w:w="1326" w:type="dxa"/>
                  <w:tcBorders>
                    <w:tl2br w:val="nil"/>
                    <w:tr2bl w:val="nil"/>
                  </w:tcBorders>
                  <w:noWrap w:val="0"/>
                  <w:vAlign w:val="center"/>
                </w:tcPr>
                <w:p w14:paraId="69C48E9E">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pacing w:val="-6"/>
                      <w:szCs w:val="21"/>
                      <w:highlight w:val="none"/>
                    </w:rPr>
                    <w:t>供暖</w:t>
                  </w:r>
                  <w:r>
                    <w:rPr>
                      <w:rFonts w:hint="default" w:ascii="Times New Roman" w:hAnsi="Times New Roman" w:cs="Times New Roman"/>
                      <w:color w:val="auto"/>
                      <w:spacing w:val="-6"/>
                      <w:szCs w:val="21"/>
                      <w:highlight w:val="none"/>
                      <w:lang w:val="en-US" w:eastAsia="zh-CN"/>
                    </w:rPr>
                    <w:t>系统</w:t>
                  </w:r>
                </w:p>
              </w:tc>
              <w:tc>
                <w:tcPr>
                  <w:tcW w:w="5671" w:type="dxa"/>
                  <w:tcBorders>
                    <w:tl2br w:val="nil"/>
                    <w:tr2bl w:val="nil"/>
                  </w:tcBorders>
                  <w:noWrap w:val="0"/>
                  <w:vAlign w:val="center"/>
                </w:tcPr>
                <w:p w14:paraId="16BE548B">
                  <w:pPr>
                    <w:adjustRightInd w:val="0"/>
                    <w:snapToGrid w:val="0"/>
                    <w:ind w:firstLine="436" w:firstLineChars="200"/>
                    <w:rPr>
                      <w:rFonts w:hint="default" w:ascii="Times New Roman" w:hAnsi="Times New Roman" w:cs="Times New Roman"/>
                      <w:color w:val="auto"/>
                      <w:szCs w:val="21"/>
                      <w:highlight w:val="none"/>
                    </w:rPr>
                  </w:pPr>
                  <w:r>
                    <w:rPr>
                      <w:rFonts w:hint="default" w:ascii="Times New Roman" w:hAnsi="Times New Roman" w:cs="Times New Roman"/>
                      <w:color w:val="auto"/>
                      <w:spacing w:val="4"/>
                      <w:szCs w:val="21"/>
                      <w:highlight w:val="none"/>
                      <w:lang w:val="en-US" w:eastAsia="zh-CN"/>
                    </w:rPr>
                    <w:t>采用</w:t>
                  </w:r>
                  <w:r>
                    <w:rPr>
                      <w:rFonts w:hint="default" w:ascii="Times New Roman" w:hAnsi="Times New Roman" w:cs="Times New Roman"/>
                      <w:color w:val="auto"/>
                      <w:szCs w:val="21"/>
                      <w:highlight w:val="none"/>
                    </w:rPr>
                    <w:t>中央空调提供制冷及制热。</w:t>
                  </w:r>
                </w:p>
              </w:tc>
            </w:tr>
            <w:tr w14:paraId="3EF8B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02" w:type="dxa"/>
                  <w:vMerge w:val="restart"/>
                  <w:tcBorders>
                    <w:tl2br w:val="nil"/>
                    <w:tr2bl w:val="nil"/>
                  </w:tcBorders>
                  <w:noWrap w:val="0"/>
                  <w:vAlign w:val="center"/>
                </w:tcPr>
                <w:p w14:paraId="614C294C">
                  <w:pPr>
                    <w:adjustRightInd w:val="0"/>
                    <w:snapToGrid w:val="0"/>
                    <w:jc w:val="center"/>
                    <w:rPr>
                      <w:rFonts w:hint="default" w:ascii="Times New Roman" w:hAnsi="Times New Roman" w:cs="Times New Roman"/>
                      <w:b/>
                      <w:color w:val="auto"/>
                      <w:spacing w:val="-6"/>
                      <w:szCs w:val="21"/>
                      <w:highlight w:val="none"/>
                    </w:rPr>
                  </w:pPr>
                  <w:r>
                    <w:rPr>
                      <w:rFonts w:hint="default" w:ascii="Times New Roman" w:hAnsi="Times New Roman" w:cs="Times New Roman"/>
                      <w:b/>
                      <w:color w:val="auto"/>
                      <w:spacing w:val="-6"/>
                      <w:szCs w:val="21"/>
                      <w:highlight w:val="none"/>
                    </w:rPr>
                    <w:t>环保工程</w:t>
                  </w:r>
                </w:p>
              </w:tc>
              <w:tc>
                <w:tcPr>
                  <w:tcW w:w="1326" w:type="dxa"/>
                  <w:vMerge w:val="restart"/>
                  <w:tcBorders>
                    <w:tl2br w:val="nil"/>
                    <w:tr2bl w:val="nil"/>
                  </w:tcBorders>
                  <w:noWrap w:val="0"/>
                  <w:vAlign w:val="center"/>
                </w:tcPr>
                <w:p w14:paraId="37321DA7">
                  <w:pPr>
                    <w:adjustRightInd w:val="0"/>
                    <w:snapToGrid w:val="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废气治理设施</w:t>
                  </w:r>
                </w:p>
              </w:tc>
              <w:tc>
                <w:tcPr>
                  <w:tcW w:w="5671" w:type="dxa"/>
                  <w:tcBorders>
                    <w:tl2br w:val="nil"/>
                    <w:tr2bl w:val="nil"/>
                  </w:tcBorders>
                  <w:noWrap w:val="0"/>
                  <w:vAlign w:val="center"/>
                </w:tcPr>
                <w:p w14:paraId="20CE0BD8">
                  <w:pPr>
                    <w:adjustRightInd w:val="0"/>
                    <w:snapToGrid w:val="0"/>
                    <w:ind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实验室酸性废气：经操作台</w:t>
                  </w:r>
                  <w:r>
                    <w:rPr>
                      <w:rFonts w:hint="default" w:ascii="Times New Roman" w:hAnsi="Times New Roman" w:cs="Times New Roman"/>
                      <w:color w:val="auto"/>
                      <w:highlight w:val="none"/>
                      <w:lang w:val="en-US" w:eastAsia="zh-CN"/>
                    </w:rPr>
                    <w:t>通风橱</w:t>
                  </w:r>
                  <w:r>
                    <w:rPr>
                      <w:rFonts w:hint="default" w:ascii="Times New Roman" w:hAnsi="Times New Roman" w:cs="Times New Roman"/>
                      <w:color w:val="auto"/>
                      <w:highlight w:val="none"/>
                    </w:rPr>
                    <w:t>收集后采用10套碱液洗涤塔</w:t>
                  </w:r>
                  <w:r>
                    <w:rPr>
                      <w:rFonts w:hint="default" w:ascii="Times New Roman" w:hAnsi="Times New Roman" w:cs="Times New Roman"/>
                      <w:color w:val="auto"/>
                      <w:highlight w:val="none"/>
                      <w:lang w:val="en-US" w:eastAsia="zh-CN"/>
                    </w:rPr>
                    <w:t>经</w:t>
                  </w:r>
                  <w:r>
                    <w:rPr>
                      <w:rFonts w:hint="eastAsia" w:cs="Times New Roman"/>
                      <w:color w:val="auto"/>
                      <w:highlight w:val="none"/>
                      <w:lang w:val="en-US" w:eastAsia="zh-CN"/>
                    </w:rPr>
                    <w:t>10根</w:t>
                  </w:r>
                  <w:r>
                    <w:rPr>
                      <w:rFonts w:hint="default" w:ascii="Times New Roman" w:hAnsi="Times New Roman" w:cs="Times New Roman"/>
                      <w:color w:val="auto"/>
                      <w:highlight w:val="none"/>
                      <w:lang w:val="en-US" w:eastAsia="zh-CN"/>
                    </w:rPr>
                    <w:t>2</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lang w:val="en-US" w:eastAsia="zh-CN"/>
                    </w:rPr>
                    <w:t>m高的排气筒排放</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实验室</w:t>
                  </w:r>
                  <w:r>
                    <w:rPr>
                      <w:rFonts w:hint="eastAsia" w:cs="Times New Roman"/>
                      <w:color w:val="auto"/>
                      <w:highlight w:val="none"/>
                      <w:lang w:val="en-US" w:eastAsia="zh-CN"/>
                    </w:rPr>
                    <w:t>有机</w:t>
                  </w:r>
                  <w:r>
                    <w:rPr>
                      <w:rFonts w:hint="default" w:ascii="Times New Roman" w:hAnsi="Times New Roman" w:cs="Times New Roman"/>
                      <w:color w:val="auto"/>
                      <w:highlight w:val="none"/>
                    </w:rPr>
                    <w:t>废气：经操作台通风橱收集后采用</w:t>
                  </w:r>
                  <w:r>
                    <w:rPr>
                      <w:rFonts w:hint="eastAsia"/>
                      <w:color w:val="auto"/>
                      <w:kern w:val="2"/>
                      <w:sz w:val="21"/>
                      <w:szCs w:val="21"/>
                      <w:highlight w:val="none"/>
                      <w:lang w:val="en-US" w:eastAsia="zh-CN" w:bidi="ar"/>
                    </w:rPr>
                    <w:t>4套</w:t>
                  </w:r>
                  <w:r>
                    <w:rPr>
                      <w:rFonts w:hint="eastAsia" w:ascii="Times New Roman" w:hAnsi="Times New Roman" w:eastAsia="宋体"/>
                      <w:color w:val="auto"/>
                      <w:kern w:val="2"/>
                      <w:sz w:val="21"/>
                      <w:szCs w:val="21"/>
                      <w:highlight w:val="none"/>
                      <w:lang w:val="en-US" w:eastAsia="zh-CN" w:bidi="ar"/>
                    </w:rPr>
                    <w:t>二级活性炭吸附装置</w:t>
                  </w:r>
                  <w:r>
                    <w:rPr>
                      <w:rFonts w:hint="eastAsia"/>
                      <w:color w:val="auto"/>
                      <w:kern w:val="2"/>
                      <w:sz w:val="21"/>
                      <w:szCs w:val="21"/>
                      <w:highlight w:val="none"/>
                      <w:lang w:val="en-US" w:eastAsia="zh-CN" w:bidi="ar"/>
                    </w:rPr>
                    <w:t>处理经4根</w:t>
                  </w:r>
                  <w:r>
                    <w:rPr>
                      <w:rFonts w:hint="eastAsia" w:ascii="Times New Roman" w:hAnsi="Times New Roman" w:eastAsia="宋体"/>
                      <w:color w:val="auto"/>
                      <w:kern w:val="2"/>
                      <w:sz w:val="21"/>
                      <w:szCs w:val="21"/>
                      <w:highlight w:val="none"/>
                      <w:lang w:val="en-US" w:eastAsia="zh-CN" w:bidi="ar"/>
                    </w:rPr>
                    <w:t>23m</w:t>
                  </w:r>
                  <w:r>
                    <w:rPr>
                      <w:rFonts w:hint="default" w:ascii="Times New Roman" w:hAnsi="Times New Roman" w:cs="Times New Roman"/>
                      <w:color w:val="auto"/>
                      <w:highlight w:val="none"/>
                      <w:lang w:val="en-US" w:eastAsia="zh-CN"/>
                    </w:rPr>
                    <w:t>高的排气筒</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空余闲置实验室及操作台均提前布设通风橱收集装置</w:t>
                  </w:r>
                  <w:r>
                    <w:rPr>
                      <w:rFonts w:hint="eastAsia" w:ascii="Times New Roman" w:hAnsi="Times New Roman" w:cs="Times New Roman"/>
                      <w:color w:val="auto"/>
                      <w:highlight w:val="none"/>
                      <w:lang w:val="en-US" w:eastAsia="zh-CN"/>
                    </w:rPr>
                    <w:t>。</w:t>
                  </w:r>
                </w:p>
              </w:tc>
            </w:tr>
            <w:tr w14:paraId="5945B6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02" w:type="dxa"/>
                  <w:vMerge w:val="continue"/>
                  <w:tcBorders>
                    <w:tl2br w:val="nil"/>
                    <w:tr2bl w:val="nil"/>
                  </w:tcBorders>
                  <w:noWrap w:val="0"/>
                  <w:vAlign w:val="center"/>
                </w:tcPr>
                <w:p w14:paraId="6168D69E">
                  <w:pPr>
                    <w:adjustRightInd w:val="0"/>
                    <w:snapToGrid w:val="0"/>
                    <w:ind w:firstLine="420" w:firstLineChars="200"/>
                    <w:rPr>
                      <w:rFonts w:hint="default" w:ascii="Times New Roman" w:hAnsi="Times New Roman" w:cs="Times New Roman"/>
                      <w:color w:val="auto"/>
                      <w:highlight w:val="none"/>
                    </w:rPr>
                  </w:pPr>
                </w:p>
              </w:tc>
              <w:tc>
                <w:tcPr>
                  <w:tcW w:w="1326" w:type="dxa"/>
                  <w:vMerge w:val="continue"/>
                  <w:tcBorders>
                    <w:tl2br w:val="nil"/>
                    <w:tr2bl w:val="nil"/>
                  </w:tcBorders>
                  <w:noWrap w:val="0"/>
                  <w:vAlign w:val="center"/>
                </w:tcPr>
                <w:p w14:paraId="7AEE1669">
                  <w:pPr>
                    <w:adjustRightInd w:val="0"/>
                    <w:snapToGrid w:val="0"/>
                    <w:ind w:firstLine="420" w:firstLineChars="200"/>
                    <w:rPr>
                      <w:rFonts w:hint="default" w:ascii="Times New Roman" w:hAnsi="Times New Roman" w:cs="Times New Roman"/>
                      <w:color w:val="auto"/>
                      <w:highlight w:val="none"/>
                    </w:rPr>
                  </w:pPr>
                </w:p>
              </w:tc>
              <w:tc>
                <w:tcPr>
                  <w:tcW w:w="5671" w:type="dxa"/>
                  <w:tcBorders>
                    <w:tl2br w:val="nil"/>
                    <w:tr2bl w:val="nil"/>
                  </w:tcBorders>
                  <w:noWrap w:val="0"/>
                  <w:vAlign w:val="center"/>
                </w:tcPr>
                <w:p w14:paraId="67BEE68A">
                  <w:pPr>
                    <w:adjustRightInd w:val="0"/>
                    <w:snapToGrid w:val="0"/>
                    <w:ind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1"/>
                      <w:szCs w:val="21"/>
                      <w:highlight w:val="none"/>
                      <w:lang w:bidi="ar"/>
                    </w:rPr>
                    <w:t>餐饮油烟：安装</w:t>
                  </w:r>
                  <w:r>
                    <w:rPr>
                      <w:rFonts w:hint="default" w:ascii="Times New Roman" w:hAnsi="Times New Roman" w:eastAsia="宋体" w:cs="Times New Roman"/>
                      <w:color w:val="auto"/>
                      <w:kern w:val="2"/>
                      <w:sz w:val="21"/>
                      <w:szCs w:val="21"/>
                      <w:highlight w:val="none"/>
                      <w:lang w:val="en-US" w:eastAsia="zh-CN" w:bidi="ar"/>
                    </w:rPr>
                    <w:t>1套</w:t>
                  </w:r>
                  <w:r>
                    <w:rPr>
                      <w:rFonts w:hint="default" w:ascii="Times New Roman" w:hAnsi="Times New Roman" w:eastAsia="宋体" w:cs="Times New Roman"/>
                      <w:color w:val="auto"/>
                      <w:kern w:val="2"/>
                      <w:sz w:val="21"/>
                      <w:szCs w:val="21"/>
                      <w:highlight w:val="none"/>
                      <w:lang w:bidi="ar"/>
                    </w:rPr>
                    <w:t>油烟净化装置；</w:t>
                  </w:r>
                </w:p>
              </w:tc>
            </w:tr>
            <w:tr w14:paraId="406B0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02" w:type="dxa"/>
                  <w:vMerge w:val="continue"/>
                  <w:tcBorders>
                    <w:tl2br w:val="nil"/>
                    <w:tr2bl w:val="nil"/>
                  </w:tcBorders>
                  <w:noWrap w:val="0"/>
                  <w:vAlign w:val="center"/>
                </w:tcPr>
                <w:p w14:paraId="67C35B44">
                  <w:pPr>
                    <w:adjustRightInd w:val="0"/>
                    <w:snapToGrid w:val="0"/>
                    <w:ind w:firstLine="420" w:firstLineChars="200"/>
                    <w:rPr>
                      <w:rFonts w:hint="default" w:ascii="Times New Roman" w:hAnsi="Times New Roman" w:cs="Times New Roman"/>
                      <w:color w:val="auto"/>
                      <w:highlight w:val="none"/>
                    </w:rPr>
                  </w:pPr>
                </w:p>
              </w:tc>
              <w:tc>
                <w:tcPr>
                  <w:tcW w:w="1326" w:type="dxa"/>
                  <w:vMerge w:val="continue"/>
                  <w:tcBorders>
                    <w:tl2br w:val="nil"/>
                    <w:tr2bl w:val="nil"/>
                  </w:tcBorders>
                  <w:noWrap w:val="0"/>
                  <w:vAlign w:val="center"/>
                </w:tcPr>
                <w:p w14:paraId="69BDFC9C">
                  <w:pPr>
                    <w:adjustRightInd w:val="0"/>
                    <w:snapToGrid w:val="0"/>
                    <w:ind w:firstLine="420" w:firstLineChars="200"/>
                    <w:rPr>
                      <w:rFonts w:hint="default" w:ascii="Times New Roman" w:hAnsi="Times New Roman" w:cs="Times New Roman"/>
                      <w:color w:val="auto"/>
                      <w:highlight w:val="none"/>
                    </w:rPr>
                  </w:pPr>
                </w:p>
              </w:tc>
              <w:tc>
                <w:tcPr>
                  <w:tcW w:w="5671" w:type="dxa"/>
                  <w:tcBorders>
                    <w:tl2br w:val="nil"/>
                    <w:tr2bl w:val="nil"/>
                  </w:tcBorders>
                  <w:noWrap w:val="0"/>
                  <w:vAlign w:val="center"/>
                </w:tcPr>
                <w:p w14:paraId="279A2B0F">
                  <w:pPr>
                    <w:adjustRightInd w:val="0"/>
                    <w:snapToGrid w:val="0"/>
                    <w:ind w:firstLine="420" w:firstLineChars="200"/>
                    <w:rPr>
                      <w:rFonts w:hint="default" w:ascii="Times New Roman" w:hAnsi="Times New Roman" w:eastAsia="宋体" w:cs="Times New Roman"/>
                      <w:color w:val="auto"/>
                      <w:kern w:val="2"/>
                      <w:sz w:val="21"/>
                      <w:szCs w:val="21"/>
                      <w:highlight w:val="none"/>
                      <w:lang w:bidi="ar"/>
                    </w:rPr>
                  </w:pPr>
                  <w:r>
                    <w:rPr>
                      <w:rFonts w:hint="default" w:ascii="Times New Roman" w:hAnsi="Times New Roman" w:eastAsia="宋体" w:cs="Times New Roman"/>
                      <w:color w:val="auto"/>
                      <w:kern w:val="2"/>
                      <w:sz w:val="21"/>
                      <w:szCs w:val="21"/>
                      <w:highlight w:val="none"/>
                      <w:lang w:bidi="ar"/>
                    </w:rPr>
                    <w:t>汽车尾气：地下车库设机械通风换气装置</w:t>
                  </w:r>
                  <w:r>
                    <w:rPr>
                      <w:rFonts w:hint="default" w:ascii="Times New Roman" w:hAnsi="Times New Roman" w:eastAsia="宋体" w:cs="Times New Roman"/>
                      <w:color w:val="auto"/>
                      <w:kern w:val="2"/>
                      <w:sz w:val="21"/>
                      <w:szCs w:val="21"/>
                      <w:highlight w:val="none"/>
                      <w:lang w:eastAsia="zh-CN" w:bidi="ar"/>
                    </w:rPr>
                    <w:t>。</w:t>
                  </w:r>
                </w:p>
              </w:tc>
            </w:tr>
            <w:tr w14:paraId="466A2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902" w:type="dxa"/>
                  <w:vMerge w:val="continue"/>
                  <w:tcBorders>
                    <w:tl2br w:val="nil"/>
                    <w:tr2bl w:val="nil"/>
                  </w:tcBorders>
                  <w:noWrap w:val="0"/>
                  <w:vAlign w:val="center"/>
                </w:tcPr>
                <w:p w14:paraId="45364D65">
                  <w:pPr>
                    <w:adjustRightInd w:val="0"/>
                    <w:snapToGrid w:val="0"/>
                    <w:jc w:val="center"/>
                    <w:rPr>
                      <w:rFonts w:hint="default" w:ascii="Times New Roman" w:hAnsi="Times New Roman" w:cs="Times New Roman"/>
                      <w:b/>
                      <w:color w:val="auto"/>
                      <w:spacing w:val="-6"/>
                      <w:szCs w:val="21"/>
                      <w:highlight w:val="none"/>
                    </w:rPr>
                  </w:pPr>
                </w:p>
              </w:tc>
              <w:tc>
                <w:tcPr>
                  <w:tcW w:w="1326" w:type="dxa"/>
                  <w:tcBorders>
                    <w:tl2br w:val="nil"/>
                    <w:tr2bl w:val="nil"/>
                  </w:tcBorders>
                  <w:noWrap w:val="0"/>
                  <w:vAlign w:val="center"/>
                </w:tcPr>
                <w:p w14:paraId="13BF4B72">
                  <w:pPr>
                    <w:adjustRightInd w:val="0"/>
                    <w:snapToGrid w:val="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废水治理设施</w:t>
                  </w:r>
                </w:p>
              </w:tc>
              <w:tc>
                <w:tcPr>
                  <w:tcW w:w="5671" w:type="dxa"/>
                  <w:tcBorders>
                    <w:tl2br w:val="nil"/>
                    <w:tr2bl w:val="nil"/>
                  </w:tcBorders>
                  <w:noWrap w:val="0"/>
                  <w:vAlign w:val="center"/>
                </w:tcPr>
                <w:p w14:paraId="01D635D9">
                  <w:pPr>
                    <w:adjustRightInd w:val="0"/>
                    <w:snapToGrid w:val="0"/>
                    <w:ind w:firstLine="420" w:firstLineChars="200"/>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实验室废水，设酸碱中和</w:t>
                  </w:r>
                  <w:r>
                    <w:rPr>
                      <w:rFonts w:hint="default" w:ascii="Times New Roman" w:hAnsi="Times New Roman" w:cs="Times New Roman"/>
                      <w:color w:val="auto"/>
                      <w:szCs w:val="21"/>
                      <w:highlight w:val="none"/>
                      <w:lang w:val="en-US" w:eastAsia="zh-CN"/>
                    </w:rPr>
                    <w:t>+混凝沉淀</w:t>
                  </w:r>
                  <w:r>
                    <w:rPr>
                      <w:rFonts w:hint="default" w:ascii="Times New Roman" w:hAnsi="Times New Roman" w:cs="Times New Roman"/>
                      <w:color w:val="auto"/>
                      <w:szCs w:val="21"/>
                      <w:highlight w:val="none"/>
                    </w:rPr>
                    <w:t>进行预处理；</w:t>
                  </w:r>
                  <w:r>
                    <w:rPr>
                      <w:rFonts w:hint="default" w:ascii="Times New Roman" w:hAnsi="Times New Roman" w:eastAsia="宋体" w:cs="Times New Roman"/>
                      <w:color w:val="auto"/>
                      <w:kern w:val="2"/>
                      <w:sz w:val="21"/>
                      <w:szCs w:val="21"/>
                      <w:highlight w:val="none"/>
                      <w:lang w:bidi="ar"/>
                    </w:rPr>
                    <w:t>餐饮污水，设隔油池进行预处理，</w:t>
                  </w:r>
                  <w:r>
                    <w:rPr>
                      <w:rFonts w:hint="eastAsia" w:ascii="Times New Roman" w:hAnsi="Times New Roman" w:cs="Times New Roman"/>
                      <w:color w:val="auto"/>
                      <w:kern w:val="2"/>
                      <w:sz w:val="21"/>
                      <w:szCs w:val="21"/>
                      <w:highlight w:val="none"/>
                      <w:lang w:val="en-US" w:eastAsia="zh-CN" w:bidi="ar"/>
                    </w:rPr>
                    <w:t>实验废水经预处理后与经过预处理的餐饮污水以及</w:t>
                  </w:r>
                  <w:r>
                    <w:rPr>
                      <w:rFonts w:hint="default" w:ascii="Times New Roman" w:hAnsi="Times New Roman" w:cs="Times New Roman"/>
                      <w:color w:val="auto"/>
                      <w:szCs w:val="21"/>
                      <w:highlight w:val="none"/>
                    </w:rPr>
                    <w:t>办公生活污水</w:t>
                  </w:r>
                  <w:r>
                    <w:rPr>
                      <w:rFonts w:hint="eastAsia" w:ascii="Times New Roman" w:hAnsi="Times New Roman" w:cs="Times New Roman"/>
                      <w:color w:val="auto"/>
                      <w:szCs w:val="21"/>
                      <w:highlight w:val="none"/>
                      <w:lang w:val="en-US" w:eastAsia="zh-CN"/>
                    </w:rPr>
                    <w:t>一并进入</w:t>
                  </w:r>
                  <w:r>
                    <w:rPr>
                      <w:rFonts w:hint="default" w:ascii="Times New Roman" w:hAnsi="Times New Roman" w:cs="Times New Roman"/>
                      <w:color w:val="auto"/>
                      <w:szCs w:val="21"/>
                      <w:highlight w:val="none"/>
                    </w:rPr>
                    <w:t>经化粪池</w:t>
                  </w:r>
                  <w:r>
                    <w:rPr>
                      <w:rFonts w:hint="eastAsia" w:ascii="Times New Roman" w:hAnsi="Times New Roman" w:cs="Times New Roman"/>
                      <w:color w:val="auto"/>
                      <w:szCs w:val="21"/>
                      <w:highlight w:val="none"/>
                      <w:lang w:val="en-US" w:eastAsia="zh-CN"/>
                    </w:rPr>
                    <w:t>进行处理，</w:t>
                  </w:r>
                  <w:r>
                    <w:rPr>
                      <w:rFonts w:hint="default" w:ascii="Times New Roman" w:hAnsi="Times New Roman" w:cs="Times New Roman"/>
                      <w:color w:val="auto"/>
                      <w:szCs w:val="21"/>
                      <w:highlight w:val="none"/>
                    </w:rPr>
                    <w:t>处理后排入</w:t>
                  </w:r>
                  <w:r>
                    <w:rPr>
                      <w:rFonts w:hint="default" w:ascii="Times New Roman" w:hAnsi="Times New Roman" w:cs="Times New Roman"/>
                      <w:color w:val="auto"/>
                      <w:szCs w:val="21"/>
                      <w:highlight w:val="none"/>
                      <w:lang w:val="en-US" w:eastAsia="zh-CN"/>
                    </w:rPr>
                    <w:t>市政管网</w:t>
                  </w:r>
                  <w:r>
                    <w:rPr>
                      <w:rFonts w:hint="default" w:ascii="Times New Roman" w:hAnsi="Times New Roman" w:cs="Times New Roman"/>
                      <w:color w:val="auto"/>
                      <w:spacing w:val="4"/>
                      <w:szCs w:val="21"/>
                      <w:highlight w:val="none"/>
                      <w:lang w:val="en-US" w:eastAsia="zh-CN"/>
                    </w:rPr>
                    <w:t>收集后排至沣东南污水处理厂</w:t>
                  </w:r>
                  <w:r>
                    <w:rPr>
                      <w:rFonts w:hint="default" w:ascii="Times New Roman" w:hAnsi="Times New Roman" w:cs="Times New Roman"/>
                      <w:color w:val="auto"/>
                      <w:highlight w:val="none"/>
                    </w:rPr>
                    <w:t>。</w:t>
                  </w:r>
                </w:p>
              </w:tc>
            </w:tr>
            <w:tr w14:paraId="137676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02" w:type="dxa"/>
                  <w:vMerge w:val="continue"/>
                  <w:tcBorders>
                    <w:tl2br w:val="nil"/>
                    <w:tr2bl w:val="nil"/>
                  </w:tcBorders>
                  <w:noWrap w:val="0"/>
                  <w:vAlign w:val="center"/>
                </w:tcPr>
                <w:p w14:paraId="49F84E3F">
                  <w:pPr>
                    <w:adjustRightInd w:val="0"/>
                    <w:snapToGrid w:val="0"/>
                    <w:jc w:val="center"/>
                    <w:rPr>
                      <w:rFonts w:hint="default" w:ascii="Times New Roman" w:hAnsi="Times New Roman" w:cs="Times New Roman"/>
                      <w:b/>
                      <w:color w:val="auto"/>
                      <w:spacing w:val="-6"/>
                      <w:szCs w:val="21"/>
                      <w:highlight w:val="none"/>
                    </w:rPr>
                  </w:pPr>
                </w:p>
              </w:tc>
              <w:tc>
                <w:tcPr>
                  <w:tcW w:w="1326" w:type="dxa"/>
                  <w:tcBorders>
                    <w:tl2br w:val="nil"/>
                    <w:tr2bl w:val="nil"/>
                  </w:tcBorders>
                  <w:noWrap w:val="0"/>
                  <w:vAlign w:val="center"/>
                </w:tcPr>
                <w:p w14:paraId="3FAA3D2E">
                  <w:pPr>
                    <w:adjustRightInd w:val="0"/>
                    <w:snapToGrid w:val="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噪声治理设施</w:t>
                  </w:r>
                </w:p>
              </w:tc>
              <w:tc>
                <w:tcPr>
                  <w:tcW w:w="5671" w:type="dxa"/>
                  <w:tcBorders>
                    <w:tl2br w:val="nil"/>
                    <w:tr2bl w:val="nil"/>
                  </w:tcBorders>
                  <w:noWrap w:val="0"/>
                  <w:vAlign w:val="center"/>
                </w:tcPr>
                <w:p w14:paraId="49032A5B">
                  <w:pPr>
                    <w:adjustRightInd w:val="0"/>
                    <w:snapToGrid w:val="0"/>
                    <w:ind w:firstLine="420" w:firstLineChars="200"/>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低噪声设备、车间隔声、基础减振、绿化等综合防治措施</w:t>
                  </w:r>
                  <w:r>
                    <w:rPr>
                      <w:rFonts w:hint="default" w:ascii="Times New Roman" w:hAnsi="Times New Roman" w:cs="Times New Roman"/>
                      <w:color w:val="auto"/>
                      <w:szCs w:val="21"/>
                      <w:highlight w:val="none"/>
                      <w:lang w:eastAsia="zh-CN"/>
                    </w:rPr>
                    <w:t>。</w:t>
                  </w:r>
                </w:p>
              </w:tc>
            </w:tr>
            <w:tr w14:paraId="13639A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02" w:type="dxa"/>
                  <w:vMerge w:val="continue"/>
                  <w:tcBorders>
                    <w:tl2br w:val="nil"/>
                    <w:tr2bl w:val="nil"/>
                  </w:tcBorders>
                  <w:noWrap w:val="0"/>
                  <w:vAlign w:val="center"/>
                </w:tcPr>
                <w:p w14:paraId="7CFFE8FB">
                  <w:pPr>
                    <w:adjustRightInd w:val="0"/>
                    <w:snapToGrid w:val="0"/>
                    <w:jc w:val="center"/>
                    <w:rPr>
                      <w:rFonts w:hint="default" w:ascii="Times New Roman" w:hAnsi="Times New Roman" w:cs="Times New Roman"/>
                      <w:b/>
                      <w:color w:val="auto"/>
                      <w:spacing w:val="-6"/>
                      <w:szCs w:val="21"/>
                      <w:highlight w:val="none"/>
                    </w:rPr>
                  </w:pPr>
                </w:p>
              </w:tc>
              <w:tc>
                <w:tcPr>
                  <w:tcW w:w="1326" w:type="dxa"/>
                  <w:vMerge w:val="restart"/>
                  <w:tcBorders>
                    <w:tl2br w:val="nil"/>
                    <w:tr2bl w:val="nil"/>
                  </w:tcBorders>
                  <w:noWrap w:val="0"/>
                  <w:vAlign w:val="center"/>
                </w:tcPr>
                <w:p w14:paraId="132FFEA6">
                  <w:pPr>
                    <w:adjustRightInd w:val="0"/>
                    <w:snapToGrid w:val="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固废处置设施</w:t>
                  </w:r>
                </w:p>
              </w:tc>
              <w:tc>
                <w:tcPr>
                  <w:tcW w:w="5671" w:type="dxa"/>
                  <w:tcBorders>
                    <w:tl2br w:val="nil"/>
                    <w:tr2bl w:val="nil"/>
                  </w:tcBorders>
                  <w:noWrap w:val="0"/>
                  <w:vAlign w:val="center"/>
                </w:tcPr>
                <w:p w14:paraId="11F592A5">
                  <w:pPr>
                    <w:pStyle w:val="90"/>
                    <w:spacing w:line="240" w:lineRule="auto"/>
                    <w:ind w:firstLine="42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生活垃圾：</w:t>
                  </w:r>
                  <w:r>
                    <w:rPr>
                      <w:rFonts w:hint="default" w:ascii="Times New Roman" w:hAnsi="Times New Roman" w:cs="Times New Roman"/>
                      <w:color w:val="auto"/>
                      <w:sz w:val="21"/>
                      <w:szCs w:val="21"/>
                      <w:highlight w:val="none"/>
                      <w:lang w:val="en-US" w:eastAsia="zh-CN"/>
                    </w:rPr>
                    <w:t>依托现有垃圾桶收集，由市政环卫部门统一清运。</w:t>
                  </w:r>
                </w:p>
              </w:tc>
            </w:tr>
            <w:tr w14:paraId="014B5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02" w:type="dxa"/>
                  <w:vMerge w:val="continue"/>
                  <w:tcBorders>
                    <w:tl2br w:val="nil"/>
                    <w:tr2bl w:val="nil"/>
                  </w:tcBorders>
                  <w:noWrap w:val="0"/>
                  <w:vAlign w:val="center"/>
                </w:tcPr>
                <w:p w14:paraId="5662154A">
                  <w:pPr>
                    <w:pStyle w:val="90"/>
                    <w:spacing w:line="240" w:lineRule="auto"/>
                    <w:ind w:firstLine="420"/>
                    <w:rPr>
                      <w:rFonts w:hint="default" w:ascii="Times New Roman" w:hAnsi="Times New Roman" w:cs="Times New Roman"/>
                      <w:color w:val="auto"/>
                      <w:highlight w:val="none"/>
                    </w:rPr>
                  </w:pPr>
                </w:p>
              </w:tc>
              <w:tc>
                <w:tcPr>
                  <w:tcW w:w="1326" w:type="dxa"/>
                  <w:vMerge w:val="continue"/>
                  <w:tcBorders>
                    <w:tl2br w:val="nil"/>
                    <w:tr2bl w:val="nil"/>
                  </w:tcBorders>
                  <w:noWrap w:val="0"/>
                  <w:vAlign w:val="center"/>
                </w:tcPr>
                <w:p w14:paraId="39D59526">
                  <w:pPr>
                    <w:pStyle w:val="90"/>
                    <w:spacing w:line="240" w:lineRule="auto"/>
                    <w:ind w:firstLine="420"/>
                    <w:rPr>
                      <w:rFonts w:hint="default" w:ascii="Times New Roman" w:hAnsi="Times New Roman" w:cs="Times New Roman"/>
                      <w:color w:val="auto"/>
                      <w:highlight w:val="none"/>
                    </w:rPr>
                  </w:pPr>
                </w:p>
              </w:tc>
              <w:tc>
                <w:tcPr>
                  <w:tcW w:w="5671" w:type="dxa"/>
                  <w:tcBorders>
                    <w:tl2br w:val="nil"/>
                    <w:tr2bl w:val="nil"/>
                  </w:tcBorders>
                  <w:noWrap w:val="0"/>
                  <w:vAlign w:val="center"/>
                </w:tcPr>
                <w:p w14:paraId="23AB5B1D">
                  <w:pPr>
                    <w:pStyle w:val="90"/>
                    <w:spacing w:line="240" w:lineRule="auto"/>
                    <w:ind w:left="0" w:leftChars="0" w:firstLine="420" w:firstLineChars="20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一般工业固废：废样品收集后委托物资回收单位处理，废纸屑及废包装材料出售废品回收公司，废滤芯由纯水机厂家更换后带走处置</w:t>
                  </w:r>
                  <w:r>
                    <w:rPr>
                      <w:rFonts w:hint="default" w:ascii="Times New Roman" w:hAnsi="Times New Roman" w:cs="Times New Roman"/>
                      <w:color w:val="auto"/>
                      <w:sz w:val="21"/>
                      <w:szCs w:val="21"/>
                      <w:highlight w:val="none"/>
                      <w:lang w:eastAsia="zh-CN"/>
                    </w:rPr>
                    <w:t>。</w:t>
                  </w:r>
                </w:p>
              </w:tc>
            </w:tr>
            <w:tr w14:paraId="448D8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02" w:type="dxa"/>
                  <w:vMerge w:val="continue"/>
                  <w:tcBorders>
                    <w:tl2br w:val="nil"/>
                    <w:tr2bl w:val="nil"/>
                  </w:tcBorders>
                  <w:noWrap w:val="0"/>
                  <w:vAlign w:val="center"/>
                </w:tcPr>
                <w:p w14:paraId="6FC3D110">
                  <w:pPr>
                    <w:pStyle w:val="90"/>
                    <w:spacing w:line="240" w:lineRule="auto"/>
                    <w:ind w:firstLine="420"/>
                    <w:rPr>
                      <w:rFonts w:hint="default" w:ascii="Times New Roman" w:hAnsi="Times New Roman" w:cs="Times New Roman"/>
                      <w:color w:val="auto"/>
                      <w:highlight w:val="none"/>
                    </w:rPr>
                  </w:pPr>
                </w:p>
              </w:tc>
              <w:tc>
                <w:tcPr>
                  <w:tcW w:w="1326" w:type="dxa"/>
                  <w:vMerge w:val="continue"/>
                  <w:tcBorders>
                    <w:tl2br w:val="nil"/>
                    <w:tr2bl w:val="nil"/>
                  </w:tcBorders>
                  <w:noWrap w:val="0"/>
                  <w:vAlign w:val="center"/>
                </w:tcPr>
                <w:p w14:paraId="0B6B4C30">
                  <w:pPr>
                    <w:pStyle w:val="90"/>
                    <w:spacing w:line="240" w:lineRule="auto"/>
                    <w:ind w:firstLine="420"/>
                    <w:rPr>
                      <w:rFonts w:hint="default" w:ascii="Times New Roman" w:hAnsi="Times New Roman" w:cs="Times New Roman"/>
                      <w:color w:val="auto"/>
                      <w:highlight w:val="none"/>
                    </w:rPr>
                  </w:pPr>
                </w:p>
              </w:tc>
              <w:tc>
                <w:tcPr>
                  <w:tcW w:w="5671" w:type="dxa"/>
                  <w:tcBorders>
                    <w:tl2br w:val="nil"/>
                    <w:tr2bl w:val="nil"/>
                  </w:tcBorders>
                  <w:noWrap w:val="0"/>
                  <w:vAlign w:val="center"/>
                </w:tcPr>
                <w:p w14:paraId="2413CDBC">
                  <w:pPr>
                    <w:pStyle w:val="90"/>
                    <w:spacing w:line="240" w:lineRule="auto"/>
                    <w:ind w:left="0" w:leftChars="0" w:firstLine="420" w:firstLineChars="200"/>
                    <w:jc w:val="both"/>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危险废物：包括实验室废液、废试剂包装物等沾染物、废活性炭、废试剂，分类暂存于危废贮存库，定期交由陕西新天地固体废物综合处置有限公司处置。</w:t>
                  </w:r>
                </w:p>
              </w:tc>
            </w:tr>
          </w:tbl>
          <w:p w14:paraId="3A567EA9">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bCs/>
                <w:color w:val="auto"/>
                <w:sz w:val="24"/>
                <w:highlight w:val="none"/>
                <w:lang w:val="en-US" w:eastAsia="zh-CN"/>
              </w:rPr>
            </w:pPr>
            <w:r>
              <w:rPr>
                <w:rFonts w:hint="eastAsia"/>
                <w:bCs/>
                <w:color w:val="auto"/>
                <w:sz w:val="24"/>
                <w:highlight w:val="none"/>
                <w:lang w:val="en-US" w:eastAsia="zh-CN"/>
              </w:rPr>
              <w:t>②原辅材料</w:t>
            </w:r>
          </w:p>
          <w:p w14:paraId="4C7A99E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val="0"/>
                <w:color w:val="auto"/>
                <w:sz w:val="21"/>
                <w:szCs w:val="21"/>
                <w:highlight w:val="none"/>
                <w:lang w:val="en-US" w:eastAsia="zh-CN"/>
              </w:rPr>
            </w:pPr>
            <w:r>
              <w:rPr>
                <w:rFonts w:hint="eastAsia"/>
                <w:b/>
                <w:bCs w:val="0"/>
                <w:color w:val="auto"/>
                <w:sz w:val="21"/>
                <w:szCs w:val="21"/>
                <w:highlight w:val="none"/>
                <w:lang w:val="en-US" w:eastAsia="zh-CN"/>
              </w:rPr>
              <w:t>表2-8  主要原辅材料消耗情况表</w:t>
            </w:r>
          </w:p>
          <w:tbl>
            <w:tblPr>
              <w:tblStyle w:val="27"/>
              <w:tblW w:w="496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2000"/>
              <w:gridCol w:w="1222"/>
              <w:gridCol w:w="1640"/>
              <w:gridCol w:w="1951"/>
            </w:tblGrid>
            <w:tr w14:paraId="7CA26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2" w:type="pct"/>
                  <w:tcBorders>
                    <w:tl2br w:val="nil"/>
                    <w:tr2bl w:val="nil"/>
                  </w:tcBorders>
                  <w:noWrap w:val="0"/>
                  <w:vAlign w:val="center"/>
                </w:tcPr>
                <w:p w14:paraId="5036BF78">
                  <w:pPr>
                    <w:keepNext w:val="0"/>
                    <w:keepLines w:val="0"/>
                    <w:pageBreakBefore w:val="0"/>
                    <w:widowControl w:val="0"/>
                    <w:numPr>
                      <w:ilvl w:val="0"/>
                      <w:numId w:val="0"/>
                    </w:numPr>
                    <w:kinsoku/>
                    <w:wordWrap/>
                    <w:overflowPunct/>
                    <w:topLinePunct w:val="0"/>
                    <w:autoSpaceDE/>
                    <w:autoSpaceDN/>
                    <w:bidi w:val="0"/>
                    <w:adjustRightInd/>
                    <w:snapToGrid/>
                    <w:ind w:left="0" w:leftChars="0" w:firstLine="0"/>
                    <w:jc w:val="center"/>
                    <w:textAlignment w:val="auto"/>
                    <w:rPr>
                      <w:rFonts w:hint="eastAsia" w:eastAsia="宋体"/>
                      <w:b/>
                      <w:color w:val="auto"/>
                      <w:sz w:val="21"/>
                      <w:szCs w:val="21"/>
                      <w:highlight w:val="none"/>
                      <w:lang w:val="en-US" w:eastAsia="zh-CN"/>
                    </w:rPr>
                  </w:pPr>
                  <w:r>
                    <w:rPr>
                      <w:rFonts w:hint="eastAsia"/>
                      <w:b/>
                      <w:color w:val="auto"/>
                      <w:sz w:val="21"/>
                      <w:szCs w:val="21"/>
                      <w:highlight w:val="none"/>
                      <w:lang w:val="en-US" w:eastAsia="zh-CN"/>
                    </w:rPr>
                    <w:t>序号</w:t>
                  </w:r>
                </w:p>
              </w:tc>
              <w:tc>
                <w:tcPr>
                  <w:tcW w:w="1241" w:type="pct"/>
                  <w:tcBorders>
                    <w:tl2br w:val="nil"/>
                    <w:tr2bl w:val="nil"/>
                  </w:tcBorders>
                  <w:noWrap w:val="0"/>
                  <w:vAlign w:val="center"/>
                </w:tcPr>
                <w:p w14:paraId="2AC55021">
                  <w:pPr>
                    <w:jc w:val="center"/>
                    <w:rPr>
                      <w:rFonts w:hint="default" w:eastAsia="宋体"/>
                      <w:b/>
                      <w:color w:val="auto"/>
                      <w:sz w:val="21"/>
                      <w:szCs w:val="21"/>
                      <w:highlight w:val="none"/>
                      <w:lang w:val="en-US" w:eastAsia="zh-CN"/>
                    </w:rPr>
                  </w:pPr>
                  <w:r>
                    <w:rPr>
                      <w:rFonts w:hint="eastAsia"/>
                      <w:b/>
                      <w:color w:val="auto"/>
                      <w:sz w:val="21"/>
                      <w:szCs w:val="21"/>
                      <w:highlight w:val="none"/>
                    </w:rPr>
                    <w:t>原辅材料</w:t>
                  </w:r>
                </w:p>
              </w:tc>
              <w:tc>
                <w:tcPr>
                  <w:tcW w:w="758" w:type="pct"/>
                  <w:tcBorders>
                    <w:tl2br w:val="nil"/>
                    <w:tr2bl w:val="nil"/>
                  </w:tcBorders>
                  <w:noWrap w:val="0"/>
                  <w:vAlign w:val="center"/>
                </w:tcPr>
                <w:p w14:paraId="1B4BDA41">
                  <w:pPr>
                    <w:jc w:val="center"/>
                    <w:rPr>
                      <w:b/>
                      <w:color w:val="auto"/>
                      <w:sz w:val="21"/>
                      <w:szCs w:val="21"/>
                      <w:highlight w:val="none"/>
                    </w:rPr>
                  </w:pPr>
                  <w:r>
                    <w:rPr>
                      <w:rFonts w:hint="eastAsia"/>
                      <w:b/>
                      <w:color w:val="auto"/>
                      <w:sz w:val="21"/>
                      <w:szCs w:val="21"/>
                      <w:highlight w:val="none"/>
                    </w:rPr>
                    <w:t>种类</w:t>
                  </w:r>
                </w:p>
              </w:tc>
              <w:tc>
                <w:tcPr>
                  <w:tcW w:w="1017" w:type="pct"/>
                  <w:tcBorders>
                    <w:tl2br w:val="nil"/>
                    <w:tr2bl w:val="nil"/>
                  </w:tcBorders>
                  <w:noWrap w:val="0"/>
                  <w:vAlign w:val="center"/>
                </w:tcPr>
                <w:p w14:paraId="668E9576">
                  <w:pPr>
                    <w:jc w:val="center"/>
                    <w:rPr>
                      <w:b/>
                      <w:color w:val="auto"/>
                      <w:sz w:val="21"/>
                      <w:szCs w:val="21"/>
                      <w:highlight w:val="none"/>
                    </w:rPr>
                  </w:pPr>
                  <w:r>
                    <w:rPr>
                      <w:rFonts w:hint="eastAsia"/>
                      <w:b/>
                      <w:color w:val="auto"/>
                      <w:sz w:val="21"/>
                      <w:szCs w:val="21"/>
                      <w:highlight w:val="none"/>
                    </w:rPr>
                    <w:t>年用量</w:t>
                  </w:r>
                </w:p>
              </w:tc>
              <w:tc>
                <w:tcPr>
                  <w:tcW w:w="1210" w:type="pct"/>
                  <w:tcBorders>
                    <w:tl2br w:val="nil"/>
                    <w:tr2bl w:val="nil"/>
                  </w:tcBorders>
                  <w:noWrap w:val="0"/>
                  <w:vAlign w:val="center"/>
                </w:tcPr>
                <w:p w14:paraId="501E5E12">
                  <w:pPr>
                    <w:jc w:val="center"/>
                    <w:rPr>
                      <w:rFonts w:hint="eastAsia" w:eastAsia="宋体"/>
                      <w:b/>
                      <w:color w:val="auto"/>
                      <w:sz w:val="21"/>
                      <w:szCs w:val="21"/>
                      <w:highlight w:val="none"/>
                      <w:lang w:eastAsia="zh-CN"/>
                    </w:rPr>
                  </w:pPr>
                  <w:r>
                    <w:rPr>
                      <w:rFonts w:hint="eastAsia"/>
                      <w:b/>
                      <w:color w:val="auto"/>
                      <w:sz w:val="21"/>
                      <w:szCs w:val="21"/>
                      <w:highlight w:val="none"/>
                      <w:lang w:val="en-US" w:eastAsia="zh-CN"/>
                    </w:rPr>
                    <w:t>单位</w:t>
                  </w:r>
                </w:p>
              </w:tc>
            </w:tr>
            <w:tr w14:paraId="69943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2" w:type="pct"/>
                  <w:tcBorders>
                    <w:tl2br w:val="nil"/>
                    <w:tr2bl w:val="nil"/>
                  </w:tcBorders>
                  <w:noWrap w:val="0"/>
                  <w:vAlign w:val="center"/>
                </w:tcPr>
                <w:p w14:paraId="197F2E8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bCs/>
                      <w:color w:val="auto"/>
                      <w:sz w:val="21"/>
                      <w:szCs w:val="21"/>
                      <w:highlight w:val="none"/>
                    </w:rPr>
                  </w:pPr>
                  <w:r>
                    <w:rPr>
                      <w:rFonts w:hint="default" w:ascii="Times New Roman" w:hAnsi="Times New Roman" w:eastAsia="宋体" w:cs="Times New Roman"/>
                      <w:bCs/>
                      <w:color w:val="auto"/>
                      <w:kern w:val="2"/>
                      <w:sz w:val="21"/>
                      <w:szCs w:val="21"/>
                      <w:highlight w:val="none"/>
                      <w:lang w:val="en-US" w:eastAsia="zh-CN" w:bidi="ar-SA"/>
                    </w:rPr>
                    <w:t>1</w:t>
                  </w:r>
                </w:p>
              </w:tc>
              <w:tc>
                <w:tcPr>
                  <w:tcW w:w="1241" w:type="pct"/>
                  <w:tcBorders>
                    <w:tl2br w:val="nil"/>
                    <w:tr2bl w:val="nil"/>
                  </w:tcBorders>
                  <w:noWrap w:val="0"/>
                  <w:vAlign w:val="center"/>
                </w:tcPr>
                <w:p w14:paraId="6C34A9A4">
                  <w:pPr>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HCL</w:t>
                  </w:r>
                </w:p>
              </w:tc>
              <w:tc>
                <w:tcPr>
                  <w:tcW w:w="758" w:type="pct"/>
                  <w:tcBorders>
                    <w:tl2br w:val="nil"/>
                    <w:tr2bl w:val="nil"/>
                  </w:tcBorders>
                  <w:noWrap w:val="0"/>
                  <w:vAlign w:val="center"/>
                </w:tcPr>
                <w:p w14:paraId="634DC979">
                  <w:pPr>
                    <w:jc w:val="center"/>
                    <w:rPr>
                      <w:bCs/>
                      <w:color w:val="auto"/>
                      <w:sz w:val="21"/>
                      <w:szCs w:val="21"/>
                      <w:highlight w:val="none"/>
                    </w:rPr>
                  </w:pPr>
                  <w:r>
                    <w:rPr>
                      <w:rFonts w:hint="eastAsia"/>
                      <w:bCs/>
                      <w:color w:val="auto"/>
                      <w:sz w:val="21"/>
                      <w:szCs w:val="21"/>
                      <w:highlight w:val="none"/>
                    </w:rPr>
                    <w:t>液态</w:t>
                  </w:r>
                </w:p>
              </w:tc>
              <w:tc>
                <w:tcPr>
                  <w:tcW w:w="1017" w:type="pct"/>
                  <w:tcBorders>
                    <w:tl2br w:val="nil"/>
                    <w:tr2bl w:val="nil"/>
                  </w:tcBorders>
                  <w:noWrap w:val="0"/>
                  <w:vAlign w:val="center"/>
                </w:tcPr>
                <w:p w14:paraId="4A96A3A9">
                  <w:pPr>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500</w:t>
                  </w:r>
                </w:p>
              </w:tc>
              <w:tc>
                <w:tcPr>
                  <w:tcW w:w="1210" w:type="pct"/>
                  <w:tcBorders>
                    <w:tl2br w:val="nil"/>
                    <w:tr2bl w:val="nil"/>
                  </w:tcBorders>
                  <w:noWrap w:val="0"/>
                  <w:vAlign w:val="center"/>
                </w:tcPr>
                <w:p w14:paraId="15D11057">
                  <w:pPr>
                    <w:jc w:val="center"/>
                    <w:rPr>
                      <w:rFonts w:hint="eastAsia" w:eastAsia="宋体"/>
                      <w:bCs/>
                      <w:color w:val="auto"/>
                      <w:sz w:val="21"/>
                      <w:szCs w:val="21"/>
                      <w:highlight w:val="none"/>
                      <w:lang w:eastAsia="zh-CN"/>
                    </w:rPr>
                  </w:pPr>
                  <w:r>
                    <w:rPr>
                      <w:rFonts w:hint="eastAsia"/>
                      <w:bCs/>
                      <w:color w:val="auto"/>
                      <w:sz w:val="21"/>
                      <w:szCs w:val="21"/>
                      <w:highlight w:val="none"/>
                      <w:lang w:val="en-US" w:eastAsia="zh-CN"/>
                    </w:rPr>
                    <w:t>L</w:t>
                  </w:r>
                </w:p>
              </w:tc>
            </w:tr>
            <w:tr w14:paraId="73A60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2" w:type="pct"/>
                  <w:tcBorders>
                    <w:tl2br w:val="nil"/>
                    <w:tr2bl w:val="nil"/>
                  </w:tcBorders>
                  <w:noWrap w:val="0"/>
                  <w:vAlign w:val="center"/>
                </w:tcPr>
                <w:p w14:paraId="524AAD0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2</w:t>
                  </w:r>
                </w:p>
              </w:tc>
              <w:tc>
                <w:tcPr>
                  <w:tcW w:w="1241" w:type="pct"/>
                  <w:tcBorders>
                    <w:tl2br w:val="nil"/>
                    <w:tr2bl w:val="nil"/>
                  </w:tcBorders>
                  <w:noWrap w:val="0"/>
                  <w:vAlign w:val="center"/>
                </w:tcPr>
                <w:p w14:paraId="28575DBB">
                  <w:pPr>
                    <w:jc w:val="center"/>
                    <w:rPr>
                      <w:rFonts w:hint="default"/>
                      <w:bCs/>
                      <w:color w:val="auto"/>
                      <w:sz w:val="21"/>
                      <w:szCs w:val="21"/>
                      <w:highlight w:val="none"/>
                      <w:lang w:val="en-US" w:eastAsia="zh-CN"/>
                    </w:rPr>
                  </w:pPr>
                  <w:r>
                    <w:rPr>
                      <w:rFonts w:hint="eastAsia"/>
                      <w:bCs/>
                      <w:color w:val="auto"/>
                      <w:sz w:val="21"/>
                      <w:szCs w:val="21"/>
                      <w:highlight w:val="none"/>
                      <w:lang w:val="en-US" w:eastAsia="zh-CN"/>
                    </w:rPr>
                    <w:t>石油醚</w:t>
                  </w:r>
                </w:p>
              </w:tc>
              <w:tc>
                <w:tcPr>
                  <w:tcW w:w="758" w:type="pct"/>
                  <w:tcBorders>
                    <w:tl2br w:val="nil"/>
                    <w:tr2bl w:val="nil"/>
                  </w:tcBorders>
                  <w:noWrap w:val="0"/>
                  <w:vAlign w:val="center"/>
                </w:tcPr>
                <w:p w14:paraId="4BF1DA79">
                  <w:pPr>
                    <w:jc w:val="center"/>
                    <w:rPr>
                      <w:rFonts w:hint="eastAsia"/>
                      <w:bCs/>
                      <w:color w:val="auto"/>
                      <w:sz w:val="21"/>
                      <w:szCs w:val="21"/>
                      <w:highlight w:val="none"/>
                    </w:rPr>
                  </w:pPr>
                  <w:r>
                    <w:rPr>
                      <w:rFonts w:hint="eastAsia"/>
                      <w:bCs/>
                      <w:color w:val="auto"/>
                      <w:sz w:val="21"/>
                      <w:szCs w:val="21"/>
                      <w:highlight w:val="none"/>
                    </w:rPr>
                    <w:t>液态</w:t>
                  </w:r>
                </w:p>
              </w:tc>
              <w:tc>
                <w:tcPr>
                  <w:tcW w:w="1017" w:type="pct"/>
                  <w:tcBorders>
                    <w:tl2br w:val="nil"/>
                    <w:tr2bl w:val="nil"/>
                  </w:tcBorders>
                  <w:noWrap w:val="0"/>
                  <w:vAlign w:val="center"/>
                </w:tcPr>
                <w:p w14:paraId="56FE60BB">
                  <w:pPr>
                    <w:jc w:val="center"/>
                    <w:rPr>
                      <w:rFonts w:hint="default"/>
                      <w:bCs/>
                      <w:color w:val="auto"/>
                      <w:sz w:val="21"/>
                      <w:szCs w:val="21"/>
                      <w:highlight w:val="none"/>
                      <w:lang w:val="en-US" w:eastAsia="zh-CN"/>
                    </w:rPr>
                  </w:pPr>
                  <w:r>
                    <w:rPr>
                      <w:rFonts w:hint="eastAsia"/>
                      <w:bCs/>
                      <w:color w:val="auto"/>
                      <w:sz w:val="21"/>
                      <w:szCs w:val="21"/>
                      <w:highlight w:val="none"/>
                      <w:lang w:val="en-US" w:eastAsia="zh-CN"/>
                    </w:rPr>
                    <w:t>30</w:t>
                  </w:r>
                </w:p>
              </w:tc>
              <w:tc>
                <w:tcPr>
                  <w:tcW w:w="1210" w:type="pct"/>
                  <w:tcBorders>
                    <w:tl2br w:val="nil"/>
                    <w:tr2bl w:val="nil"/>
                  </w:tcBorders>
                  <w:noWrap w:val="0"/>
                  <w:vAlign w:val="center"/>
                </w:tcPr>
                <w:p w14:paraId="36907133">
                  <w:pPr>
                    <w:jc w:val="center"/>
                    <w:rPr>
                      <w:rFonts w:hint="eastAsia"/>
                      <w:bCs/>
                      <w:color w:val="auto"/>
                      <w:sz w:val="21"/>
                      <w:szCs w:val="21"/>
                      <w:highlight w:val="none"/>
                      <w:lang w:val="en-US" w:eastAsia="zh-CN"/>
                    </w:rPr>
                  </w:pPr>
                  <w:r>
                    <w:rPr>
                      <w:rFonts w:hint="eastAsia"/>
                      <w:bCs/>
                      <w:color w:val="auto"/>
                      <w:sz w:val="21"/>
                      <w:szCs w:val="21"/>
                      <w:highlight w:val="none"/>
                      <w:lang w:val="en-US" w:eastAsia="zh-CN"/>
                    </w:rPr>
                    <w:t>L</w:t>
                  </w:r>
                </w:p>
              </w:tc>
            </w:tr>
            <w:tr w14:paraId="66CBEF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2" w:type="pct"/>
                  <w:tcBorders>
                    <w:tl2br w:val="nil"/>
                    <w:tr2bl w:val="nil"/>
                  </w:tcBorders>
                  <w:noWrap w:val="0"/>
                  <w:vAlign w:val="center"/>
                </w:tcPr>
                <w:p w14:paraId="7DAA481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3</w:t>
                  </w:r>
                </w:p>
              </w:tc>
              <w:tc>
                <w:tcPr>
                  <w:tcW w:w="1241" w:type="pct"/>
                  <w:tcBorders>
                    <w:tl2br w:val="nil"/>
                    <w:tr2bl w:val="nil"/>
                  </w:tcBorders>
                  <w:noWrap w:val="0"/>
                  <w:vAlign w:val="center"/>
                </w:tcPr>
                <w:p w14:paraId="60D0839A">
                  <w:pPr>
                    <w:jc w:val="center"/>
                    <w:rPr>
                      <w:rFonts w:hint="default"/>
                      <w:bCs/>
                      <w:color w:val="auto"/>
                      <w:sz w:val="21"/>
                      <w:szCs w:val="21"/>
                      <w:highlight w:val="none"/>
                      <w:lang w:val="en-US" w:eastAsia="zh-CN"/>
                    </w:rPr>
                  </w:pPr>
                  <w:r>
                    <w:rPr>
                      <w:rFonts w:hint="eastAsia"/>
                      <w:bCs/>
                      <w:color w:val="auto"/>
                      <w:sz w:val="21"/>
                      <w:szCs w:val="21"/>
                      <w:highlight w:val="none"/>
                      <w:lang w:val="en-US" w:eastAsia="zh-CN"/>
                    </w:rPr>
                    <w:t>甲醇</w:t>
                  </w:r>
                </w:p>
              </w:tc>
              <w:tc>
                <w:tcPr>
                  <w:tcW w:w="758" w:type="pct"/>
                  <w:tcBorders>
                    <w:tl2br w:val="nil"/>
                    <w:tr2bl w:val="nil"/>
                  </w:tcBorders>
                  <w:noWrap w:val="0"/>
                  <w:vAlign w:val="center"/>
                </w:tcPr>
                <w:p w14:paraId="45794DE5">
                  <w:pPr>
                    <w:jc w:val="center"/>
                    <w:rPr>
                      <w:rFonts w:hint="eastAsia"/>
                      <w:bCs/>
                      <w:color w:val="auto"/>
                      <w:sz w:val="21"/>
                      <w:szCs w:val="21"/>
                      <w:highlight w:val="none"/>
                    </w:rPr>
                  </w:pPr>
                  <w:r>
                    <w:rPr>
                      <w:rFonts w:hint="eastAsia"/>
                      <w:bCs/>
                      <w:color w:val="auto"/>
                      <w:sz w:val="21"/>
                      <w:szCs w:val="21"/>
                      <w:highlight w:val="none"/>
                    </w:rPr>
                    <w:t>液态</w:t>
                  </w:r>
                </w:p>
              </w:tc>
              <w:tc>
                <w:tcPr>
                  <w:tcW w:w="1017" w:type="pct"/>
                  <w:tcBorders>
                    <w:tl2br w:val="nil"/>
                    <w:tr2bl w:val="nil"/>
                  </w:tcBorders>
                  <w:noWrap w:val="0"/>
                  <w:vAlign w:val="center"/>
                </w:tcPr>
                <w:p w14:paraId="7A4E674E">
                  <w:pPr>
                    <w:jc w:val="center"/>
                    <w:rPr>
                      <w:rFonts w:hint="default"/>
                      <w:bCs/>
                      <w:color w:val="auto"/>
                      <w:sz w:val="21"/>
                      <w:szCs w:val="21"/>
                      <w:highlight w:val="none"/>
                      <w:lang w:val="en-US" w:eastAsia="zh-CN"/>
                    </w:rPr>
                  </w:pPr>
                  <w:r>
                    <w:rPr>
                      <w:rFonts w:hint="eastAsia"/>
                      <w:bCs/>
                      <w:color w:val="auto"/>
                      <w:sz w:val="21"/>
                      <w:szCs w:val="21"/>
                      <w:highlight w:val="none"/>
                      <w:lang w:val="en-US" w:eastAsia="zh-CN"/>
                    </w:rPr>
                    <w:t>16</w:t>
                  </w:r>
                </w:p>
              </w:tc>
              <w:tc>
                <w:tcPr>
                  <w:tcW w:w="1210" w:type="pct"/>
                  <w:tcBorders>
                    <w:tl2br w:val="nil"/>
                    <w:tr2bl w:val="nil"/>
                  </w:tcBorders>
                  <w:noWrap w:val="0"/>
                  <w:vAlign w:val="center"/>
                </w:tcPr>
                <w:p w14:paraId="2E945A53">
                  <w:pPr>
                    <w:jc w:val="center"/>
                    <w:rPr>
                      <w:rFonts w:hint="eastAsia"/>
                      <w:bCs/>
                      <w:color w:val="auto"/>
                      <w:sz w:val="21"/>
                      <w:szCs w:val="21"/>
                      <w:highlight w:val="none"/>
                      <w:lang w:val="en-US" w:eastAsia="zh-CN"/>
                    </w:rPr>
                  </w:pPr>
                  <w:r>
                    <w:rPr>
                      <w:rFonts w:hint="eastAsia"/>
                      <w:bCs/>
                      <w:color w:val="auto"/>
                      <w:sz w:val="21"/>
                      <w:szCs w:val="21"/>
                      <w:highlight w:val="none"/>
                      <w:lang w:val="en-US" w:eastAsia="zh-CN"/>
                    </w:rPr>
                    <w:t>L</w:t>
                  </w:r>
                </w:p>
              </w:tc>
            </w:tr>
          </w:tbl>
          <w:p w14:paraId="03F18941">
            <w:pPr>
              <w:keepNext w:val="0"/>
              <w:keepLines w:val="0"/>
              <w:pageBreakBefore w:val="0"/>
              <w:widowControl w:val="0"/>
              <w:shd w:val="clear" w:color="auto" w:fill="auto"/>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ascii="Times New Roman" w:hAnsi="Times New Roman" w:eastAsia="宋体" w:cs="Times New Roman"/>
                <w:b w:val="0"/>
                <w:bCs w:val="0"/>
                <w:color w:val="auto"/>
                <w:kern w:val="2"/>
                <w:sz w:val="24"/>
                <w:szCs w:val="24"/>
                <w:highlight w:val="none"/>
                <w:lang w:val="en-US" w:eastAsia="zh-CN" w:bidi="ar"/>
              </w:rPr>
            </w:pPr>
            <w:r>
              <w:rPr>
                <w:rFonts w:hint="eastAsia"/>
                <w:color w:val="auto"/>
                <w:sz w:val="24"/>
                <w:highlight w:val="none"/>
                <w:lang w:val="en-US" w:eastAsia="zh-CN"/>
              </w:rPr>
              <w:t>③原有</w:t>
            </w:r>
            <w:r>
              <w:rPr>
                <w:rFonts w:hint="eastAsia"/>
                <w:color w:val="auto"/>
                <w:sz w:val="24"/>
                <w:highlight w:val="none"/>
              </w:rPr>
              <w:t>实验室工艺流程及产污环节如图</w:t>
            </w:r>
            <w:r>
              <w:rPr>
                <w:rFonts w:hint="eastAsia"/>
                <w:color w:val="auto"/>
                <w:sz w:val="24"/>
                <w:highlight w:val="none"/>
                <w:lang w:val="en-US" w:eastAsia="zh-CN"/>
              </w:rPr>
              <w:t>2-8所示。</w:t>
            </w:r>
          </w:p>
          <w:p w14:paraId="3BB5C265">
            <w:pPr>
              <w:shd w:val="clear" w:color="auto" w:fill="auto"/>
              <w:adjustRightInd w:val="0"/>
              <w:snapToGrid w:val="0"/>
              <w:spacing w:line="360" w:lineRule="auto"/>
              <w:jc w:val="center"/>
              <w:rPr>
                <w:rFonts w:hint="eastAsia" w:eastAsia="宋体"/>
                <w:b/>
                <w:color w:val="auto"/>
                <w:szCs w:val="21"/>
                <w:highlight w:val="none"/>
                <w:lang w:eastAsia="zh-CN"/>
              </w:rPr>
            </w:pPr>
            <w:r>
              <w:rPr>
                <w:color w:val="auto"/>
                <w:sz w:val="21"/>
                <w:highlight w:val="none"/>
              </w:rPr>
              <mc:AlternateContent>
                <mc:Choice Requires="wps">
                  <w:drawing>
                    <wp:anchor distT="0" distB="0" distL="114300" distR="114300" simplePos="0" relativeHeight="251660288" behindDoc="0" locked="0" layoutInCell="1" allowOverlap="1">
                      <wp:simplePos x="0" y="0"/>
                      <wp:positionH relativeFrom="column">
                        <wp:posOffset>2297430</wp:posOffset>
                      </wp:positionH>
                      <wp:positionV relativeFrom="paragraph">
                        <wp:posOffset>30480</wp:posOffset>
                      </wp:positionV>
                      <wp:extent cx="1571625" cy="296545"/>
                      <wp:effectExtent l="0" t="0" r="0" b="8255"/>
                      <wp:wrapNone/>
                      <wp:docPr id="1" name="文本框 1"/>
                      <wp:cNvGraphicFramePr/>
                      <a:graphic xmlns:a="http://schemas.openxmlformats.org/drawingml/2006/main">
                        <a:graphicData uri="http://schemas.microsoft.com/office/word/2010/wordprocessingShape">
                          <wps:wsp>
                            <wps:cNvSpPr txBox="1"/>
                            <wps:spPr>
                              <a:xfrm>
                                <a:off x="4109720" y="1123315"/>
                                <a:ext cx="1571625" cy="296545"/>
                              </a:xfrm>
                              <a:prstGeom prst="rect">
                                <a:avLst/>
                              </a:prstGeom>
                              <a:solidFill>
                                <a:srgbClr val="FFFFFF"/>
                              </a:solidFill>
                              <a:ln w="6350">
                                <a:noFill/>
                              </a:ln>
                            </wps:spPr>
                            <wps:style>
                              <a:lnRef idx="0">
                                <a:schemeClr val="accent1"/>
                              </a:lnRef>
                              <a:fillRef idx="0">
                                <a:schemeClr val="accent1"/>
                              </a:fillRef>
                              <a:effectRef idx="0">
                                <a:schemeClr val="accent1"/>
                              </a:effectRef>
                              <a:fontRef idx="minor">
                                <a:schemeClr val="dk1"/>
                              </a:fontRef>
                            </wps:style>
                            <wps:txbx>
                              <w:txbxContent>
                                <w:p w14:paraId="613A93C0">
                                  <w:pPr>
                                    <w:jc w:val="center"/>
                                    <w:rPr>
                                      <w:rFonts w:hint="default" w:eastAsia="宋体"/>
                                      <w:sz w:val="22"/>
                                      <w:szCs w:val="28"/>
                                      <w:lang w:val="en-US" w:eastAsia="zh-CN"/>
                                    </w:rPr>
                                  </w:pPr>
                                  <w:r>
                                    <w:rPr>
                                      <w:rFonts w:hint="eastAsia"/>
                                      <w:sz w:val="22"/>
                                      <w:szCs w:val="28"/>
                                      <w:lang w:val="en-US" w:eastAsia="zh-CN"/>
                                    </w:rPr>
                                    <w:t>酸性废气、有机废气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0.9pt;margin-top:2.4pt;height:23.35pt;width:123.75pt;z-index:251660288;mso-width-relative:page;mso-height-relative:page;" fillcolor="#FFFFFF" filled="t" stroked="f" coordsize="21600,21600" o:gfxdata="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uSsDLUAAAA&#10;CAEAAA8AAAAAAAAAAQAgAAAAIgAAAGRycy9kb3ducmV2LnhtbFBLAQIUABQAAAAIAIdO4kAehk0E&#10;WgIAAJsEAAAOAAAAAAAAAAEAIAAAACMBAABkcnMvZTJvRG9jLnhtbFBLBQYAAAAABgAGAFkBAADv&#10;BQAAAAA=&#10;">
                      <v:fill on="t" focussize="0,0"/>
                      <v:stroke on="f" weight="0.5pt"/>
                      <v:imagedata o:title=""/>
                      <o:lock v:ext="edit" aspectratio="f"/>
                      <v:textbox>
                        <w:txbxContent>
                          <w:p w14:paraId="613A93C0">
                            <w:pPr>
                              <w:jc w:val="center"/>
                              <w:rPr>
                                <w:rFonts w:hint="default" w:eastAsia="宋体"/>
                                <w:sz w:val="22"/>
                                <w:szCs w:val="28"/>
                                <w:lang w:val="en-US" w:eastAsia="zh-CN"/>
                              </w:rPr>
                            </w:pPr>
                            <w:r>
                              <w:rPr>
                                <w:rFonts w:hint="eastAsia"/>
                                <w:sz w:val="22"/>
                                <w:szCs w:val="28"/>
                                <w:lang w:val="en-US" w:eastAsia="zh-CN"/>
                              </w:rPr>
                              <w:t>酸性废气、有机废气</w:t>
                            </w:r>
                          </w:p>
                        </w:txbxContent>
                      </v:textbox>
                    </v:shape>
                  </w:pict>
                </mc:Fallback>
              </mc:AlternateContent>
            </w:r>
            <w:r>
              <w:rPr>
                <w:color w:val="auto"/>
                <w:highlight w:val="none"/>
              </w:rPr>
              <w:drawing>
                <wp:inline distT="0" distB="0" distL="114300" distR="114300">
                  <wp:extent cx="4824095" cy="1616710"/>
                  <wp:effectExtent l="0" t="0" r="5080" b="254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18"/>
                          <a:stretch>
                            <a:fillRect/>
                          </a:stretch>
                        </pic:blipFill>
                        <pic:spPr>
                          <a:xfrm>
                            <a:off x="0" y="0"/>
                            <a:ext cx="4824095" cy="1616710"/>
                          </a:xfrm>
                          <a:prstGeom prst="rect">
                            <a:avLst/>
                          </a:prstGeom>
                          <a:noFill/>
                          <a:ln>
                            <a:noFill/>
                          </a:ln>
                        </pic:spPr>
                      </pic:pic>
                    </a:graphicData>
                  </a:graphic>
                </wp:inline>
              </w:drawing>
            </w:r>
          </w:p>
          <w:p w14:paraId="7D6964E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b/>
                <w:color w:val="auto"/>
                <w:szCs w:val="21"/>
                <w:highlight w:val="none"/>
              </w:rPr>
            </w:pPr>
            <w:r>
              <w:rPr>
                <w:rFonts w:hint="eastAsia"/>
                <w:b/>
                <w:color w:val="auto"/>
                <w:szCs w:val="21"/>
                <w:highlight w:val="none"/>
              </w:rPr>
              <w:t>图2</w:t>
            </w:r>
            <w:r>
              <w:rPr>
                <w:b/>
                <w:color w:val="auto"/>
                <w:szCs w:val="21"/>
                <w:highlight w:val="none"/>
              </w:rPr>
              <w:t>-</w:t>
            </w:r>
            <w:r>
              <w:rPr>
                <w:rFonts w:hint="eastAsia"/>
                <w:b/>
                <w:color w:val="auto"/>
                <w:szCs w:val="21"/>
                <w:highlight w:val="none"/>
                <w:lang w:val="en-US" w:eastAsia="zh-CN"/>
              </w:rPr>
              <w:t>8</w:t>
            </w:r>
            <w:r>
              <w:rPr>
                <w:b/>
                <w:color w:val="auto"/>
                <w:szCs w:val="21"/>
                <w:highlight w:val="none"/>
              </w:rPr>
              <w:t xml:space="preserve">  </w:t>
            </w:r>
            <w:r>
              <w:rPr>
                <w:rFonts w:hint="eastAsia"/>
                <w:b/>
                <w:color w:val="auto"/>
                <w:szCs w:val="21"/>
                <w:highlight w:val="none"/>
                <w:lang w:val="en-US" w:eastAsia="zh-CN"/>
              </w:rPr>
              <w:t>现有</w:t>
            </w:r>
            <w:r>
              <w:rPr>
                <w:rFonts w:hint="eastAsia"/>
                <w:b/>
                <w:color w:val="auto"/>
                <w:szCs w:val="21"/>
                <w:highlight w:val="none"/>
              </w:rPr>
              <w:t>实验室工艺流程及产污环节图</w:t>
            </w:r>
          </w:p>
          <w:p w14:paraId="24838CB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eastAsia"/>
                <w:b/>
                <w:bCs w:val="0"/>
                <w:color w:val="auto"/>
                <w:sz w:val="24"/>
                <w:highlight w:val="none"/>
                <w:lang w:val="en-US" w:eastAsia="zh-CN"/>
              </w:rPr>
            </w:pPr>
            <w:r>
              <w:rPr>
                <w:rFonts w:hint="eastAsia"/>
                <w:b/>
                <w:bCs w:val="0"/>
                <w:color w:val="auto"/>
                <w:sz w:val="24"/>
                <w:highlight w:val="none"/>
                <w:lang w:val="en-US" w:eastAsia="zh-CN"/>
              </w:rPr>
              <w:t>3.现有工程主要污染物达标排放情况</w:t>
            </w:r>
          </w:p>
          <w:p w14:paraId="58E22D3F">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为了解核工业二0三研究所科研生产能力建设项目污染源达标排放情况，本次评价引用核工业二0三研究所2024年例行监测报告，对现有污染物的达标排放情况进行分析。</w:t>
            </w:r>
          </w:p>
          <w:p w14:paraId="2B9CBB01">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bidi="ar"/>
              </w:rPr>
            </w:pPr>
            <w:r>
              <w:rPr>
                <w:rFonts w:hint="eastAsia"/>
                <w:bCs/>
                <w:color w:val="auto"/>
                <w:sz w:val="24"/>
                <w:highlight w:val="none"/>
                <w:lang w:val="en-US" w:eastAsia="zh-CN"/>
              </w:rPr>
              <w:t>（1）</w:t>
            </w:r>
            <w:r>
              <w:rPr>
                <w:rFonts w:hint="default" w:ascii="Times New Roman" w:hAnsi="Times New Roman" w:eastAsia="宋体" w:cs="Times New Roman"/>
                <w:color w:val="auto"/>
                <w:sz w:val="24"/>
                <w:szCs w:val="24"/>
                <w:highlight w:val="none"/>
                <w:lang w:bidi="ar"/>
              </w:rPr>
              <w:t>根据</w:t>
            </w:r>
            <w:r>
              <w:rPr>
                <w:rFonts w:hint="eastAsia" w:ascii="Times New Roman" w:hAnsi="Times New Roman" w:eastAsia="宋体" w:cs="Times New Roman"/>
                <w:color w:val="auto"/>
                <w:sz w:val="24"/>
                <w:szCs w:val="24"/>
                <w:highlight w:val="none"/>
                <w:lang w:val="en-US" w:eastAsia="zh-CN" w:bidi="ar"/>
              </w:rPr>
              <w:t>2024年</w:t>
            </w:r>
            <w:r>
              <w:rPr>
                <w:rFonts w:hint="default" w:ascii="Times New Roman" w:hAnsi="Times New Roman" w:eastAsia="宋体" w:cs="Times New Roman"/>
                <w:color w:val="auto"/>
                <w:sz w:val="24"/>
                <w:szCs w:val="24"/>
                <w:highlight w:val="none"/>
                <w:lang w:bidi="ar"/>
              </w:rPr>
              <w:t>企业例行监测报告，现有工程</w:t>
            </w:r>
            <w:r>
              <w:rPr>
                <w:rFonts w:hint="eastAsia" w:eastAsia="宋体"/>
                <w:bCs/>
                <w:color w:val="auto"/>
                <w:sz w:val="24"/>
                <w:highlight w:val="none"/>
                <w:lang w:val="en-US" w:eastAsia="zh-CN"/>
              </w:rPr>
              <w:t>实验室酸性废气经酸性洗涤塔处理后，</w:t>
            </w:r>
            <w:r>
              <w:rPr>
                <w:rFonts w:hint="eastAsia"/>
                <w:bCs/>
                <w:color w:val="auto"/>
                <w:sz w:val="24"/>
                <w:highlight w:val="none"/>
                <w:lang w:val="en-US" w:eastAsia="zh-CN"/>
              </w:rPr>
              <w:t>氯化氢</w:t>
            </w:r>
            <w:r>
              <w:rPr>
                <w:rFonts w:hint="eastAsia" w:eastAsia="宋体"/>
                <w:bCs/>
                <w:color w:val="auto"/>
                <w:sz w:val="24"/>
                <w:highlight w:val="none"/>
                <w:lang w:val="en-US" w:eastAsia="zh-CN"/>
              </w:rPr>
              <w:t>排放浓度满足GB16297-1996《大气污染物综合排放标准》二级标准的要求，经2</w:t>
            </w:r>
            <w:r>
              <w:rPr>
                <w:rFonts w:hint="eastAsia"/>
                <w:bCs/>
                <w:color w:val="auto"/>
                <w:sz w:val="24"/>
                <w:highlight w:val="none"/>
                <w:lang w:val="en-US" w:eastAsia="zh-CN"/>
              </w:rPr>
              <w:t>3</w:t>
            </w:r>
            <w:r>
              <w:rPr>
                <w:rFonts w:hint="eastAsia" w:eastAsia="宋体"/>
                <w:bCs/>
                <w:color w:val="auto"/>
                <w:sz w:val="24"/>
                <w:highlight w:val="none"/>
                <w:lang w:val="en-US" w:eastAsia="zh-CN"/>
              </w:rPr>
              <w:t>m高排气筒达标排放</w:t>
            </w:r>
            <w:r>
              <w:rPr>
                <w:rFonts w:hint="eastAsia"/>
                <w:bCs/>
                <w:color w:val="auto"/>
                <w:sz w:val="24"/>
                <w:highlight w:val="none"/>
                <w:lang w:val="en-US" w:eastAsia="zh-CN"/>
              </w:rPr>
              <w:t>；实验室有机废气非甲烷总烃</w:t>
            </w:r>
            <w:r>
              <w:rPr>
                <w:rFonts w:hint="eastAsia" w:eastAsia="宋体"/>
                <w:bCs/>
                <w:color w:val="auto"/>
                <w:sz w:val="24"/>
                <w:highlight w:val="none"/>
                <w:lang w:val="en-US" w:eastAsia="zh-CN"/>
              </w:rPr>
              <w:t>经二级活性炭处理后，</w:t>
            </w:r>
            <w:r>
              <w:rPr>
                <w:rFonts w:hint="eastAsia"/>
                <w:bCs/>
                <w:color w:val="auto"/>
                <w:sz w:val="24"/>
                <w:highlight w:val="none"/>
                <w:lang w:val="en-US" w:eastAsia="zh-CN"/>
              </w:rPr>
              <w:t>非甲烷总烃</w:t>
            </w:r>
            <w:r>
              <w:rPr>
                <w:rFonts w:hint="eastAsia" w:eastAsia="宋体"/>
                <w:bCs/>
                <w:color w:val="auto"/>
                <w:sz w:val="24"/>
                <w:highlight w:val="none"/>
                <w:lang w:val="en-US" w:eastAsia="zh-CN"/>
              </w:rPr>
              <w:t>排放浓度满足GB16297-1996《大气污染物综合排放标准》二级标准的要求，经2</w:t>
            </w:r>
            <w:r>
              <w:rPr>
                <w:rFonts w:hint="eastAsia"/>
                <w:bCs/>
                <w:color w:val="auto"/>
                <w:sz w:val="24"/>
                <w:highlight w:val="none"/>
                <w:lang w:val="en-US" w:eastAsia="zh-CN"/>
              </w:rPr>
              <w:t>3</w:t>
            </w:r>
            <w:r>
              <w:rPr>
                <w:rFonts w:hint="eastAsia" w:eastAsia="宋体"/>
                <w:bCs/>
                <w:color w:val="auto"/>
                <w:sz w:val="24"/>
                <w:highlight w:val="none"/>
                <w:lang w:val="en-US" w:eastAsia="zh-CN"/>
              </w:rPr>
              <w:t>m高排气筒达标排放。因此，现有工程对周围空气环境影响较小。</w:t>
            </w:r>
            <w:r>
              <w:rPr>
                <w:rFonts w:hint="eastAsia" w:ascii="Times New Roman" w:hAnsi="Times New Roman" w:eastAsia="宋体" w:cs="Times New Roman"/>
                <w:color w:val="auto"/>
                <w:sz w:val="24"/>
                <w:szCs w:val="24"/>
                <w:highlight w:val="none"/>
                <w:lang w:val="en-US" w:eastAsia="zh-CN" w:bidi="ar"/>
              </w:rPr>
              <w:t>实验室</w:t>
            </w:r>
            <w:r>
              <w:rPr>
                <w:rFonts w:hint="eastAsia" w:cs="Times New Roman"/>
                <w:color w:val="auto"/>
                <w:sz w:val="24"/>
                <w:szCs w:val="24"/>
                <w:highlight w:val="none"/>
                <w:lang w:val="en-US" w:eastAsia="zh-CN" w:bidi="ar"/>
              </w:rPr>
              <w:t>有组织</w:t>
            </w:r>
            <w:r>
              <w:rPr>
                <w:rFonts w:hint="eastAsia" w:ascii="Times New Roman" w:hAnsi="Times New Roman" w:eastAsia="宋体" w:cs="Times New Roman"/>
                <w:color w:val="auto"/>
                <w:sz w:val="24"/>
                <w:szCs w:val="24"/>
                <w:highlight w:val="none"/>
                <w:lang w:val="en-US" w:eastAsia="zh-CN" w:bidi="ar"/>
              </w:rPr>
              <w:t>废气</w:t>
            </w:r>
            <w:r>
              <w:rPr>
                <w:rFonts w:hint="default" w:ascii="Times New Roman" w:hAnsi="Times New Roman" w:eastAsia="宋体" w:cs="Times New Roman"/>
                <w:color w:val="auto"/>
                <w:sz w:val="24"/>
                <w:szCs w:val="24"/>
                <w:highlight w:val="none"/>
                <w:lang w:bidi="ar"/>
              </w:rPr>
              <w:t>排放情况见</w:t>
            </w:r>
            <w:r>
              <w:rPr>
                <w:rFonts w:hint="eastAsia" w:cs="Times New Roman"/>
                <w:color w:val="auto"/>
                <w:sz w:val="24"/>
                <w:szCs w:val="24"/>
                <w:highlight w:val="none"/>
                <w:lang w:val="en-US" w:eastAsia="zh-CN" w:bidi="ar"/>
              </w:rPr>
              <w:t>表2-9</w:t>
            </w:r>
            <w:r>
              <w:rPr>
                <w:rFonts w:hint="default" w:ascii="Times New Roman" w:hAnsi="Times New Roman" w:eastAsia="宋体" w:cs="Times New Roman"/>
                <w:color w:val="auto"/>
                <w:sz w:val="24"/>
                <w:szCs w:val="24"/>
                <w:highlight w:val="none"/>
                <w:lang w:bidi="ar"/>
              </w:rPr>
              <w:t>，厂界无组织</w:t>
            </w:r>
            <w:r>
              <w:rPr>
                <w:rFonts w:hint="eastAsia" w:cs="Times New Roman"/>
                <w:color w:val="auto"/>
                <w:sz w:val="24"/>
                <w:szCs w:val="24"/>
                <w:highlight w:val="none"/>
                <w:lang w:val="en-US" w:eastAsia="zh-CN" w:bidi="ar"/>
              </w:rPr>
              <w:t>废气</w:t>
            </w:r>
            <w:r>
              <w:rPr>
                <w:rFonts w:hint="default" w:ascii="Times New Roman" w:hAnsi="Times New Roman" w:eastAsia="宋体" w:cs="Times New Roman"/>
                <w:color w:val="auto"/>
                <w:sz w:val="24"/>
                <w:szCs w:val="24"/>
                <w:highlight w:val="none"/>
                <w:lang w:bidi="ar"/>
              </w:rPr>
              <w:t>排放情况见</w:t>
            </w:r>
            <w:r>
              <w:rPr>
                <w:rFonts w:hint="eastAsia" w:cs="Times New Roman"/>
                <w:color w:val="auto"/>
                <w:sz w:val="24"/>
                <w:szCs w:val="24"/>
                <w:highlight w:val="none"/>
                <w:lang w:val="en-US" w:eastAsia="zh-CN" w:bidi="ar"/>
              </w:rPr>
              <w:t>表2-10</w:t>
            </w:r>
            <w:r>
              <w:rPr>
                <w:rFonts w:hint="default" w:ascii="Times New Roman" w:hAnsi="Times New Roman" w:eastAsia="宋体" w:cs="Times New Roman"/>
                <w:color w:val="auto"/>
                <w:sz w:val="24"/>
                <w:szCs w:val="24"/>
                <w:highlight w:val="none"/>
                <w:lang w:bidi="ar"/>
              </w:rPr>
              <w:t>。</w:t>
            </w:r>
          </w:p>
          <w:p w14:paraId="7EA246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val="0"/>
                <w:color w:val="auto"/>
                <w:sz w:val="21"/>
                <w:szCs w:val="21"/>
                <w:highlight w:val="none"/>
                <w:lang w:val="en-US" w:eastAsia="zh-CN"/>
              </w:rPr>
            </w:pPr>
            <w:r>
              <w:rPr>
                <w:rFonts w:hint="eastAsia"/>
                <w:b/>
                <w:bCs w:val="0"/>
                <w:color w:val="auto"/>
                <w:sz w:val="21"/>
                <w:szCs w:val="21"/>
                <w:highlight w:val="none"/>
                <w:lang w:val="en-US" w:eastAsia="zh-CN"/>
              </w:rPr>
              <w:t>表2-9   废气固定污染源监测结果</w:t>
            </w:r>
          </w:p>
          <w:tbl>
            <w:tblPr>
              <w:tblStyle w:val="27"/>
              <w:tblW w:w="81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81"/>
              <w:gridCol w:w="1186"/>
              <w:gridCol w:w="610"/>
              <w:gridCol w:w="1157"/>
              <w:gridCol w:w="908"/>
              <w:gridCol w:w="908"/>
              <w:gridCol w:w="911"/>
              <w:gridCol w:w="908"/>
              <w:gridCol w:w="908"/>
            </w:tblGrid>
            <w:tr w14:paraId="24C1CE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54263137">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采样时间</w:t>
                  </w:r>
                </w:p>
              </w:tc>
              <w:tc>
                <w:tcPr>
                  <w:tcW w:w="1186" w:type="dxa"/>
                  <w:vMerge w:val="restart"/>
                  <w:shd w:val="clear" w:color="auto" w:fill="auto"/>
                  <w:vAlign w:val="center"/>
                </w:tcPr>
                <w:p w14:paraId="5D7DE08C">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监测点位</w:t>
                  </w:r>
                </w:p>
              </w:tc>
              <w:tc>
                <w:tcPr>
                  <w:tcW w:w="1767" w:type="dxa"/>
                  <w:gridSpan w:val="2"/>
                  <w:vMerge w:val="restart"/>
                  <w:shd w:val="clear" w:color="auto" w:fill="auto"/>
                  <w:vAlign w:val="center"/>
                </w:tcPr>
                <w:p w14:paraId="5742EAA6">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监测项目</w:t>
                  </w:r>
                </w:p>
              </w:tc>
              <w:tc>
                <w:tcPr>
                  <w:tcW w:w="2727" w:type="dxa"/>
                  <w:gridSpan w:val="3"/>
                  <w:shd w:val="clear" w:color="auto" w:fill="auto"/>
                  <w:vAlign w:val="center"/>
                </w:tcPr>
                <w:p w14:paraId="3B30254C">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检测结果</w:t>
                  </w:r>
                </w:p>
              </w:tc>
              <w:tc>
                <w:tcPr>
                  <w:tcW w:w="908" w:type="dxa"/>
                  <w:vMerge w:val="restart"/>
                  <w:shd w:val="clear" w:color="auto" w:fill="auto"/>
                  <w:vAlign w:val="center"/>
                </w:tcPr>
                <w:p w14:paraId="0FDCF56E">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执行标准</w:t>
                  </w:r>
                </w:p>
              </w:tc>
              <w:tc>
                <w:tcPr>
                  <w:tcW w:w="908" w:type="dxa"/>
                  <w:vMerge w:val="restart"/>
                  <w:tcBorders>
                    <w:right w:val="nil"/>
                  </w:tcBorders>
                  <w:shd w:val="clear" w:color="auto" w:fill="auto"/>
                  <w:vAlign w:val="center"/>
                </w:tcPr>
                <w:p w14:paraId="50EE5D4F">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是否达标</w:t>
                  </w:r>
                </w:p>
              </w:tc>
            </w:tr>
            <w:tr w14:paraId="2C04D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6B3A4978">
                  <w:pPr>
                    <w:jc w:val="center"/>
                    <w:rPr>
                      <w:rFonts w:hint="default" w:ascii="Times New Roman" w:hAnsi="Times New Roman" w:cs="Times New Roman" w:eastAsiaTheme="minorEastAsia"/>
                      <w:b/>
                      <w:bCs/>
                      <w:i w:val="0"/>
                      <w:iCs w:val="0"/>
                      <w:color w:val="auto"/>
                      <w:sz w:val="21"/>
                      <w:szCs w:val="21"/>
                      <w:highlight w:val="none"/>
                      <w:u w:val="none"/>
                    </w:rPr>
                  </w:pPr>
                </w:p>
              </w:tc>
              <w:tc>
                <w:tcPr>
                  <w:tcW w:w="1186" w:type="dxa"/>
                  <w:vMerge w:val="continue"/>
                  <w:shd w:val="clear" w:color="auto" w:fill="auto"/>
                  <w:vAlign w:val="center"/>
                </w:tcPr>
                <w:p w14:paraId="245E93FB">
                  <w:pPr>
                    <w:jc w:val="center"/>
                    <w:rPr>
                      <w:rFonts w:hint="default" w:ascii="Times New Roman" w:hAnsi="Times New Roman" w:cs="Times New Roman" w:eastAsiaTheme="minorEastAsia"/>
                      <w:b/>
                      <w:bCs/>
                      <w:i w:val="0"/>
                      <w:iCs w:val="0"/>
                      <w:color w:val="auto"/>
                      <w:sz w:val="21"/>
                      <w:szCs w:val="21"/>
                      <w:highlight w:val="none"/>
                      <w:u w:val="none"/>
                    </w:rPr>
                  </w:pPr>
                </w:p>
              </w:tc>
              <w:tc>
                <w:tcPr>
                  <w:tcW w:w="1767" w:type="dxa"/>
                  <w:gridSpan w:val="2"/>
                  <w:vMerge w:val="continue"/>
                  <w:shd w:val="clear" w:color="auto" w:fill="auto"/>
                  <w:vAlign w:val="center"/>
                </w:tcPr>
                <w:p w14:paraId="14CE1728">
                  <w:pPr>
                    <w:jc w:val="center"/>
                    <w:rPr>
                      <w:rFonts w:hint="default" w:ascii="Times New Roman" w:hAnsi="Times New Roman" w:cs="Times New Roman" w:eastAsiaTheme="minorEastAsia"/>
                      <w:b/>
                      <w:bCs/>
                      <w:i w:val="0"/>
                      <w:iCs w:val="0"/>
                      <w:color w:val="auto"/>
                      <w:sz w:val="21"/>
                      <w:szCs w:val="21"/>
                      <w:highlight w:val="none"/>
                      <w:u w:val="none"/>
                    </w:rPr>
                  </w:pPr>
                </w:p>
              </w:tc>
              <w:tc>
                <w:tcPr>
                  <w:tcW w:w="908" w:type="dxa"/>
                  <w:shd w:val="clear" w:color="auto" w:fill="auto"/>
                  <w:vAlign w:val="center"/>
                </w:tcPr>
                <w:p w14:paraId="6DB93DC8">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第一次</w:t>
                  </w:r>
                </w:p>
              </w:tc>
              <w:tc>
                <w:tcPr>
                  <w:tcW w:w="908" w:type="dxa"/>
                  <w:shd w:val="clear" w:color="auto" w:fill="auto"/>
                  <w:vAlign w:val="center"/>
                </w:tcPr>
                <w:p w14:paraId="2FFAD5DA">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第二次</w:t>
                  </w:r>
                </w:p>
              </w:tc>
              <w:tc>
                <w:tcPr>
                  <w:tcW w:w="911" w:type="dxa"/>
                  <w:shd w:val="clear" w:color="auto" w:fill="auto"/>
                  <w:vAlign w:val="center"/>
                </w:tcPr>
                <w:p w14:paraId="076710FC">
                  <w:pPr>
                    <w:keepNext w:val="0"/>
                    <w:keepLines w:val="0"/>
                    <w:widowControl/>
                    <w:suppressLineNumbers w:val="0"/>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第三次</w:t>
                  </w:r>
                </w:p>
              </w:tc>
              <w:tc>
                <w:tcPr>
                  <w:tcW w:w="908" w:type="dxa"/>
                  <w:vMerge w:val="continue"/>
                  <w:shd w:val="clear" w:color="auto" w:fill="auto"/>
                  <w:vAlign w:val="center"/>
                </w:tcPr>
                <w:p w14:paraId="1D117459">
                  <w:pPr>
                    <w:jc w:val="center"/>
                    <w:rPr>
                      <w:rFonts w:hint="default" w:ascii="Times New Roman" w:hAnsi="Times New Roman" w:cs="Times New Roman" w:eastAsiaTheme="minorEastAsia"/>
                      <w:b/>
                      <w:bCs/>
                      <w:i w:val="0"/>
                      <w:iCs w:val="0"/>
                      <w:color w:val="auto"/>
                      <w:sz w:val="21"/>
                      <w:szCs w:val="21"/>
                      <w:highlight w:val="none"/>
                      <w:u w:val="none"/>
                    </w:rPr>
                  </w:pPr>
                </w:p>
              </w:tc>
              <w:tc>
                <w:tcPr>
                  <w:tcW w:w="908" w:type="dxa"/>
                  <w:vMerge w:val="continue"/>
                  <w:tcBorders>
                    <w:right w:val="nil"/>
                  </w:tcBorders>
                  <w:shd w:val="clear" w:color="auto" w:fill="auto"/>
                  <w:vAlign w:val="center"/>
                </w:tcPr>
                <w:p w14:paraId="4C408975">
                  <w:pPr>
                    <w:jc w:val="center"/>
                    <w:rPr>
                      <w:rFonts w:hint="default" w:ascii="Times New Roman" w:hAnsi="Times New Roman" w:cs="Times New Roman" w:eastAsiaTheme="minorEastAsia"/>
                      <w:b/>
                      <w:bCs/>
                      <w:i w:val="0"/>
                      <w:iCs w:val="0"/>
                      <w:color w:val="auto"/>
                      <w:sz w:val="21"/>
                      <w:szCs w:val="21"/>
                      <w:highlight w:val="none"/>
                      <w:u w:val="none"/>
                    </w:rPr>
                  </w:pPr>
                </w:p>
              </w:tc>
            </w:tr>
            <w:tr w14:paraId="147F6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3A8DB57C">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5D6DA511">
                  <w:pPr>
                    <w:keepNext w:val="0"/>
                    <w:keepLines w:val="0"/>
                    <w:widowControl/>
                    <w:suppressLineNumbers w:val="0"/>
                    <w:jc w:val="center"/>
                    <w:textAlignment w:val="center"/>
                    <w:rPr>
                      <w:rStyle w:val="113"/>
                      <w:rFonts w:hint="default" w:ascii="Times New Roman" w:hAnsi="Times New Roman" w:cs="Times New Roman" w:eastAsiaTheme="minorEastAsia"/>
                      <w:color w:val="auto"/>
                      <w:sz w:val="21"/>
                      <w:szCs w:val="21"/>
                      <w:highlight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HP019-2021</w:t>
                  </w:r>
                  <w:r>
                    <w:rPr>
                      <w:rStyle w:val="113"/>
                      <w:rFonts w:hint="default" w:ascii="Times New Roman" w:hAnsi="Times New Roman" w:cs="Times New Roman" w:eastAsiaTheme="minorEastAsia"/>
                      <w:color w:val="auto"/>
                      <w:sz w:val="21"/>
                      <w:szCs w:val="21"/>
                      <w:highlight w:val="none"/>
                      <w:lang w:val="en-US" w:eastAsia="zh-CN" w:bidi="ar"/>
                    </w:rPr>
                    <w:t>排口</w:t>
                  </w:r>
                </w:p>
                <w:p w14:paraId="0952D7E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Style w:val="113"/>
                      <w:rFonts w:hint="default" w:ascii="Times New Roman" w:hAnsi="Times New Roman" w:cs="Times New Roman" w:eastAsiaTheme="minorEastAsia"/>
                      <w:color w:val="auto"/>
                      <w:sz w:val="21"/>
                      <w:szCs w:val="21"/>
                      <w:highlight w:val="none"/>
                      <w:lang w:val="en-US" w:eastAsia="zh-CN" w:bidi="ar"/>
                    </w:rPr>
                    <w:t>（DA001）</w:t>
                  </w:r>
                </w:p>
              </w:tc>
              <w:tc>
                <w:tcPr>
                  <w:tcW w:w="1767" w:type="dxa"/>
                  <w:gridSpan w:val="2"/>
                  <w:shd w:val="clear" w:color="auto" w:fill="auto"/>
                  <w:vAlign w:val="center"/>
                </w:tcPr>
                <w:p w14:paraId="215C677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032C15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9.7</w:t>
                  </w:r>
                </w:p>
              </w:tc>
              <w:tc>
                <w:tcPr>
                  <w:tcW w:w="908" w:type="dxa"/>
                  <w:shd w:val="clear" w:color="auto" w:fill="auto"/>
                  <w:vAlign w:val="center"/>
                </w:tcPr>
                <w:p w14:paraId="333817E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9.7</w:t>
                  </w:r>
                </w:p>
              </w:tc>
              <w:tc>
                <w:tcPr>
                  <w:tcW w:w="911" w:type="dxa"/>
                  <w:shd w:val="clear" w:color="auto" w:fill="auto"/>
                  <w:vAlign w:val="center"/>
                </w:tcPr>
                <w:p w14:paraId="25A2DDD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9.7</w:t>
                  </w:r>
                </w:p>
              </w:tc>
              <w:tc>
                <w:tcPr>
                  <w:tcW w:w="908" w:type="dxa"/>
                  <w:shd w:val="clear" w:color="auto" w:fill="auto"/>
                  <w:vAlign w:val="center"/>
                </w:tcPr>
                <w:p w14:paraId="52DF203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299874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3BE23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E025F2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4B39228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6DBA2A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75ED3EA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7.0</w:t>
                  </w:r>
                </w:p>
              </w:tc>
              <w:tc>
                <w:tcPr>
                  <w:tcW w:w="908" w:type="dxa"/>
                  <w:shd w:val="clear" w:color="auto" w:fill="auto"/>
                  <w:vAlign w:val="center"/>
                </w:tcPr>
                <w:p w14:paraId="69BD1D8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7.0</w:t>
                  </w:r>
                </w:p>
              </w:tc>
              <w:tc>
                <w:tcPr>
                  <w:tcW w:w="911" w:type="dxa"/>
                  <w:shd w:val="clear" w:color="auto" w:fill="auto"/>
                  <w:vAlign w:val="center"/>
                </w:tcPr>
                <w:p w14:paraId="2440E69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7.1</w:t>
                  </w:r>
                </w:p>
              </w:tc>
              <w:tc>
                <w:tcPr>
                  <w:tcW w:w="908" w:type="dxa"/>
                  <w:shd w:val="clear" w:color="auto" w:fill="auto"/>
                  <w:vAlign w:val="center"/>
                </w:tcPr>
                <w:p w14:paraId="6D6EBA2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D276CD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EA46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3949879">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FDD3FA5">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90B7A2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7F47C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4486</w:t>
                  </w:r>
                </w:p>
              </w:tc>
              <w:tc>
                <w:tcPr>
                  <w:tcW w:w="908" w:type="dxa"/>
                  <w:shd w:val="clear" w:color="auto" w:fill="auto"/>
                  <w:vAlign w:val="center"/>
                </w:tcPr>
                <w:p w14:paraId="5B0CB3D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4427</w:t>
                  </w:r>
                </w:p>
              </w:tc>
              <w:tc>
                <w:tcPr>
                  <w:tcW w:w="911" w:type="dxa"/>
                  <w:shd w:val="clear" w:color="auto" w:fill="auto"/>
                  <w:vAlign w:val="center"/>
                </w:tcPr>
                <w:p w14:paraId="66D8589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4503</w:t>
                  </w:r>
                </w:p>
              </w:tc>
              <w:tc>
                <w:tcPr>
                  <w:tcW w:w="908" w:type="dxa"/>
                  <w:shd w:val="clear" w:color="auto" w:fill="auto"/>
                  <w:vAlign w:val="center"/>
                </w:tcPr>
                <w:p w14:paraId="2384B6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01A702E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E945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95F95D5">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8093B49">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42E7070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17D313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2.9</w:t>
                  </w:r>
                </w:p>
              </w:tc>
              <w:tc>
                <w:tcPr>
                  <w:tcW w:w="908" w:type="dxa"/>
                  <w:shd w:val="clear" w:color="auto" w:fill="auto"/>
                  <w:vAlign w:val="center"/>
                </w:tcPr>
                <w:p w14:paraId="6E6970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sz w:val="21"/>
                      <w:szCs w:val="21"/>
                      <w:highlight w:val="none"/>
                      <w:u w:val="none"/>
                      <w:lang w:val="en-US" w:eastAsia="zh-CN"/>
                    </w:rPr>
                    <w:t>2.9</w:t>
                  </w:r>
                </w:p>
              </w:tc>
              <w:tc>
                <w:tcPr>
                  <w:tcW w:w="911" w:type="dxa"/>
                  <w:shd w:val="clear" w:color="auto" w:fill="auto"/>
                  <w:vAlign w:val="center"/>
                </w:tcPr>
                <w:p w14:paraId="024FF5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sz w:val="21"/>
                      <w:szCs w:val="21"/>
                      <w:highlight w:val="none"/>
                      <w:u w:val="none"/>
                      <w:lang w:val="en-US" w:eastAsia="zh-CN"/>
                    </w:rPr>
                    <w:t>2.9</w:t>
                  </w:r>
                </w:p>
              </w:tc>
              <w:tc>
                <w:tcPr>
                  <w:tcW w:w="908" w:type="dxa"/>
                  <w:shd w:val="clear" w:color="auto" w:fill="auto"/>
                  <w:vAlign w:val="center"/>
                </w:tcPr>
                <w:p w14:paraId="0CC4386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D7B72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EFEB0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0D1BC39C">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CE56004">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7DE80F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391CE08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0.196</w:t>
                  </w:r>
                </w:p>
              </w:tc>
              <w:tc>
                <w:tcPr>
                  <w:tcW w:w="908" w:type="dxa"/>
                  <w:shd w:val="clear" w:color="auto" w:fill="auto"/>
                  <w:vAlign w:val="center"/>
                </w:tcPr>
                <w:p w14:paraId="43B62AA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4C6A8E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52C0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3274CD5">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E646EA1">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24C2683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2959230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519FA8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37.4</w:t>
                  </w:r>
                </w:p>
              </w:tc>
              <w:tc>
                <w:tcPr>
                  <w:tcW w:w="908" w:type="dxa"/>
                  <w:shd w:val="clear" w:color="auto" w:fill="auto"/>
                  <w:vAlign w:val="center"/>
                </w:tcPr>
                <w:p w14:paraId="7DD7E4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34.6</w:t>
                  </w:r>
                </w:p>
              </w:tc>
              <w:tc>
                <w:tcPr>
                  <w:tcW w:w="911" w:type="dxa"/>
                  <w:shd w:val="clear" w:color="auto" w:fill="auto"/>
                  <w:vAlign w:val="center"/>
                </w:tcPr>
                <w:p w14:paraId="037C8ED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35.5</w:t>
                  </w:r>
                </w:p>
              </w:tc>
              <w:tc>
                <w:tcPr>
                  <w:tcW w:w="908" w:type="dxa"/>
                  <w:shd w:val="clear" w:color="auto" w:fill="auto"/>
                  <w:vAlign w:val="center"/>
                </w:tcPr>
                <w:p w14:paraId="33C2FAD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260BE6A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5395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D6CF9A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752C5CE">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2C6C0DCF">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6FB8303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3645F6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0.168</w:t>
                  </w:r>
                </w:p>
              </w:tc>
              <w:tc>
                <w:tcPr>
                  <w:tcW w:w="908" w:type="dxa"/>
                  <w:shd w:val="clear" w:color="auto" w:fill="auto"/>
                  <w:vAlign w:val="center"/>
                </w:tcPr>
                <w:p w14:paraId="6BF368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0.153</w:t>
                  </w:r>
                </w:p>
              </w:tc>
              <w:tc>
                <w:tcPr>
                  <w:tcW w:w="911" w:type="dxa"/>
                  <w:shd w:val="clear" w:color="auto" w:fill="auto"/>
                  <w:vAlign w:val="center"/>
                </w:tcPr>
                <w:p w14:paraId="013CD61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0.160</w:t>
                  </w:r>
                </w:p>
              </w:tc>
              <w:tc>
                <w:tcPr>
                  <w:tcW w:w="908" w:type="dxa"/>
                  <w:shd w:val="clear" w:color="auto" w:fill="auto"/>
                  <w:vAlign w:val="center"/>
                </w:tcPr>
                <w:p w14:paraId="13EB08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7036B15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1F137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612946E3">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2EA1CC4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HP020-2022</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2</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3937673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05AFD9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9.3</w:t>
                  </w:r>
                </w:p>
              </w:tc>
              <w:tc>
                <w:tcPr>
                  <w:tcW w:w="908" w:type="dxa"/>
                  <w:shd w:val="clear" w:color="auto" w:fill="auto"/>
                  <w:vAlign w:val="center"/>
                </w:tcPr>
                <w:p w14:paraId="5FF180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9.3</w:t>
                  </w:r>
                </w:p>
              </w:tc>
              <w:tc>
                <w:tcPr>
                  <w:tcW w:w="911" w:type="dxa"/>
                  <w:shd w:val="clear" w:color="auto" w:fill="auto"/>
                  <w:vAlign w:val="center"/>
                </w:tcPr>
                <w:p w14:paraId="63D19B9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11.4</w:t>
                  </w:r>
                </w:p>
              </w:tc>
              <w:tc>
                <w:tcPr>
                  <w:tcW w:w="908" w:type="dxa"/>
                  <w:shd w:val="clear" w:color="auto" w:fill="auto"/>
                  <w:vAlign w:val="center"/>
                </w:tcPr>
                <w:p w14:paraId="14646B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89ABE2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7EF5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2AD8AE5">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F3E1A3F">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3C3B57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A776D4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1.4</w:t>
                  </w:r>
                </w:p>
              </w:tc>
              <w:tc>
                <w:tcPr>
                  <w:tcW w:w="908" w:type="dxa"/>
                  <w:shd w:val="clear" w:color="auto" w:fill="auto"/>
                  <w:vAlign w:val="center"/>
                </w:tcPr>
                <w:p w14:paraId="46EAA78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1.7</w:t>
                  </w:r>
                </w:p>
              </w:tc>
              <w:tc>
                <w:tcPr>
                  <w:tcW w:w="911" w:type="dxa"/>
                  <w:shd w:val="clear" w:color="auto" w:fill="auto"/>
                  <w:vAlign w:val="center"/>
                </w:tcPr>
                <w:p w14:paraId="1BA0061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1.8</w:t>
                  </w:r>
                </w:p>
              </w:tc>
              <w:tc>
                <w:tcPr>
                  <w:tcW w:w="908" w:type="dxa"/>
                  <w:shd w:val="clear" w:color="auto" w:fill="auto"/>
                  <w:vAlign w:val="center"/>
                </w:tcPr>
                <w:p w14:paraId="4C735A3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DC264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5566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48443A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F51E629">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4B197D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0193AB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873</w:t>
                  </w:r>
                </w:p>
              </w:tc>
              <w:tc>
                <w:tcPr>
                  <w:tcW w:w="908" w:type="dxa"/>
                  <w:shd w:val="clear" w:color="auto" w:fill="auto"/>
                  <w:vAlign w:val="center"/>
                </w:tcPr>
                <w:p w14:paraId="4C3327E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1102</w:t>
                  </w:r>
                </w:p>
              </w:tc>
              <w:tc>
                <w:tcPr>
                  <w:tcW w:w="911" w:type="dxa"/>
                  <w:shd w:val="clear" w:color="auto" w:fill="auto"/>
                  <w:vAlign w:val="center"/>
                </w:tcPr>
                <w:p w14:paraId="371D1F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1156</w:t>
                  </w:r>
                </w:p>
              </w:tc>
              <w:tc>
                <w:tcPr>
                  <w:tcW w:w="908" w:type="dxa"/>
                  <w:shd w:val="clear" w:color="auto" w:fill="auto"/>
                  <w:vAlign w:val="center"/>
                </w:tcPr>
                <w:p w14:paraId="492390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82F1C3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AA3C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F22290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945F02C">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51DB33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AE1E24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3.0</w:t>
                  </w:r>
                </w:p>
              </w:tc>
              <w:tc>
                <w:tcPr>
                  <w:tcW w:w="908" w:type="dxa"/>
                  <w:shd w:val="clear" w:color="auto" w:fill="auto"/>
                  <w:vAlign w:val="center"/>
                </w:tcPr>
                <w:p w14:paraId="5F9F00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3.0</w:t>
                  </w:r>
                </w:p>
              </w:tc>
              <w:tc>
                <w:tcPr>
                  <w:tcW w:w="911" w:type="dxa"/>
                  <w:shd w:val="clear" w:color="auto" w:fill="auto"/>
                  <w:vAlign w:val="center"/>
                </w:tcPr>
                <w:p w14:paraId="6B0D993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3.1</w:t>
                  </w:r>
                </w:p>
              </w:tc>
              <w:tc>
                <w:tcPr>
                  <w:tcW w:w="908" w:type="dxa"/>
                  <w:shd w:val="clear" w:color="auto" w:fill="auto"/>
                  <w:vAlign w:val="center"/>
                </w:tcPr>
                <w:p w14:paraId="6DF12CB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C895A9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1126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B10E79A">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FB8D689">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4A2BD0C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4FC6BAC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0.196</w:t>
                  </w:r>
                </w:p>
              </w:tc>
              <w:tc>
                <w:tcPr>
                  <w:tcW w:w="908" w:type="dxa"/>
                  <w:shd w:val="clear" w:color="auto" w:fill="auto"/>
                  <w:vAlign w:val="center"/>
                </w:tcPr>
                <w:p w14:paraId="7C051E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0CE361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3EBB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C17BD79">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02B41D1">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39E4A2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7C6F3F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02CC92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44.2</w:t>
                  </w:r>
                </w:p>
              </w:tc>
              <w:tc>
                <w:tcPr>
                  <w:tcW w:w="908" w:type="dxa"/>
                  <w:shd w:val="clear" w:color="auto" w:fill="auto"/>
                  <w:vAlign w:val="center"/>
                </w:tcPr>
                <w:p w14:paraId="57C9948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40.1</w:t>
                  </w:r>
                </w:p>
              </w:tc>
              <w:tc>
                <w:tcPr>
                  <w:tcW w:w="911" w:type="dxa"/>
                  <w:shd w:val="clear" w:color="auto" w:fill="auto"/>
                  <w:vAlign w:val="center"/>
                </w:tcPr>
                <w:p w14:paraId="692BBD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43.0</w:t>
                  </w:r>
                </w:p>
              </w:tc>
              <w:tc>
                <w:tcPr>
                  <w:tcW w:w="908" w:type="dxa"/>
                  <w:shd w:val="clear" w:color="auto" w:fill="auto"/>
                  <w:vAlign w:val="center"/>
                </w:tcPr>
                <w:p w14:paraId="6C8D89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7F94430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17B64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DBC41E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B13C788">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4DC07349">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61CE97C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0B4F1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0.039</w:t>
                  </w:r>
                </w:p>
              </w:tc>
              <w:tc>
                <w:tcPr>
                  <w:tcW w:w="908" w:type="dxa"/>
                  <w:shd w:val="clear" w:color="auto" w:fill="auto"/>
                  <w:vAlign w:val="center"/>
                </w:tcPr>
                <w:p w14:paraId="73CCD5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0.044</w:t>
                  </w:r>
                </w:p>
              </w:tc>
              <w:tc>
                <w:tcPr>
                  <w:tcW w:w="911" w:type="dxa"/>
                  <w:shd w:val="clear" w:color="auto" w:fill="auto"/>
                  <w:vAlign w:val="center"/>
                </w:tcPr>
                <w:p w14:paraId="0067AA7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0.050</w:t>
                  </w:r>
                </w:p>
              </w:tc>
              <w:tc>
                <w:tcPr>
                  <w:tcW w:w="908" w:type="dxa"/>
                  <w:shd w:val="clear" w:color="auto" w:fill="auto"/>
                  <w:vAlign w:val="center"/>
                </w:tcPr>
                <w:p w14:paraId="04E02F4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3CC3377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51E3E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3D9416FF">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115D5A3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HP021-2023</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3</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4A377B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21327C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12.</w:t>
                  </w:r>
                </w:p>
              </w:tc>
              <w:tc>
                <w:tcPr>
                  <w:tcW w:w="908" w:type="dxa"/>
                  <w:shd w:val="clear" w:color="auto" w:fill="auto"/>
                  <w:vAlign w:val="center"/>
                </w:tcPr>
                <w:p w14:paraId="1AA76CC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12.1</w:t>
                  </w:r>
                </w:p>
              </w:tc>
              <w:tc>
                <w:tcPr>
                  <w:tcW w:w="911" w:type="dxa"/>
                  <w:shd w:val="clear" w:color="auto" w:fill="auto"/>
                  <w:vAlign w:val="center"/>
                </w:tcPr>
                <w:p w14:paraId="4595B96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12.2</w:t>
                  </w:r>
                </w:p>
              </w:tc>
              <w:tc>
                <w:tcPr>
                  <w:tcW w:w="908" w:type="dxa"/>
                  <w:shd w:val="clear" w:color="auto" w:fill="auto"/>
                  <w:vAlign w:val="center"/>
                </w:tcPr>
                <w:p w14:paraId="643E484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CCC25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15BC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95A63E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FB195C8">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5B07AB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EF838F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3.5</w:t>
                  </w:r>
                </w:p>
              </w:tc>
              <w:tc>
                <w:tcPr>
                  <w:tcW w:w="908" w:type="dxa"/>
                  <w:shd w:val="clear" w:color="auto" w:fill="auto"/>
                  <w:vAlign w:val="center"/>
                </w:tcPr>
                <w:p w14:paraId="2E2BAE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3.4</w:t>
                  </w:r>
                </w:p>
              </w:tc>
              <w:tc>
                <w:tcPr>
                  <w:tcW w:w="911" w:type="dxa"/>
                  <w:shd w:val="clear" w:color="auto" w:fill="auto"/>
                  <w:vAlign w:val="center"/>
                </w:tcPr>
                <w:p w14:paraId="3BCFB43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3.5</w:t>
                  </w:r>
                </w:p>
              </w:tc>
              <w:tc>
                <w:tcPr>
                  <w:tcW w:w="908" w:type="dxa"/>
                  <w:shd w:val="clear" w:color="auto" w:fill="auto"/>
                  <w:vAlign w:val="center"/>
                </w:tcPr>
                <w:p w14:paraId="51BD8F3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5F6A57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94A9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DEFF184">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CB568EC">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C505A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A42BA7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2213</w:t>
                  </w:r>
                </w:p>
              </w:tc>
              <w:tc>
                <w:tcPr>
                  <w:tcW w:w="908" w:type="dxa"/>
                  <w:shd w:val="clear" w:color="auto" w:fill="auto"/>
                  <w:vAlign w:val="center"/>
                </w:tcPr>
                <w:p w14:paraId="0883C13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2182</w:t>
                  </w:r>
                </w:p>
              </w:tc>
              <w:tc>
                <w:tcPr>
                  <w:tcW w:w="911" w:type="dxa"/>
                  <w:shd w:val="clear" w:color="auto" w:fill="auto"/>
                  <w:vAlign w:val="center"/>
                </w:tcPr>
                <w:p w14:paraId="71B1263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2213</w:t>
                  </w:r>
                </w:p>
              </w:tc>
              <w:tc>
                <w:tcPr>
                  <w:tcW w:w="908" w:type="dxa"/>
                  <w:shd w:val="clear" w:color="auto" w:fill="auto"/>
                  <w:vAlign w:val="center"/>
                </w:tcPr>
                <w:p w14:paraId="50468BA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C5CAD9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F7F5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5D6561B">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44712BB">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315BB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88C3C1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2.5</w:t>
                  </w:r>
                </w:p>
              </w:tc>
              <w:tc>
                <w:tcPr>
                  <w:tcW w:w="908" w:type="dxa"/>
                  <w:shd w:val="clear" w:color="auto" w:fill="auto"/>
                  <w:vAlign w:val="center"/>
                </w:tcPr>
                <w:p w14:paraId="60B3805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2.5</w:t>
                  </w:r>
                </w:p>
              </w:tc>
              <w:tc>
                <w:tcPr>
                  <w:tcW w:w="911" w:type="dxa"/>
                  <w:shd w:val="clear" w:color="auto" w:fill="auto"/>
                  <w:vAlign w:val="center"/>
                </w:tcPr>
                <w:p w14:paraId="1C121E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40F2990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9668E4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57EA5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645DA54">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1A2B7D0">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0F08B6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19CE358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0.196</w:t>
                  </w:r>
                </w:p>
              </w:tc>
              <w:tc>
                <w:tcPr>
                  <w:tcW w:w="908" w:type="dxa"/>
                  <w:shd w:val="clear" w:color="auto" w:fill="auto"/>
                  <w:vAlign w:val="center"/>
                </w:tcPr>
                <w:p w14:paraId="2CD881C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7784B5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8B95B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9EFB85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F9E8AFC">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4B5870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0EB5B87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4CE853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15.1</w:t>
                  </w:r>
                </w:p>
              </w:tc>
              <w:tc>
                <w:tcPr>
                  <w:tcW w:w="908" w:type="dxa"/>
                  <w:shd w:val="clear" w:color="auto" w:fill="auto"/>
                  <w:vAlign w:val="center"/>
                </w:tcPr>
                <w:p w14:paraId="3E2C2E6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16.0</w:t>
                  </w:r>
                </w:p>
              </w:tc>
              <w:tc>
                <w:tcPr>
                  <w:tcW w:w="911" w:type="dxa"/>
                  <w:shd w:val="clear" w:color="auto" w:fill="auto"/>
                  <w:vAlign w:val="center"/>
                </w:tcPr>
                <w:p w14:paraId="3D73FC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9.7</w:t>
                  </w:r>
                </w:p>
              </w:tc>
              <w:tc>
                <w:tcPr>
                  <w:tcW w:w="908" w:type="dxa"/>
                  <w:shd w:val="clear" w:color="auto" w:fill="auto"/>
                  <w:vAlign w:val="center"/>
                </w:tcPr>
                <w:p w14:paraId="6044BB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22CAB67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761AE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AF90B81">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52F222A">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3F9DA4A3">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060CCFF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CA25B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0.033</w:t>
                  </w:r>
                </w:p>
              </w:tc>
              <w:tc>
                <w:tcPr>
                  <w:tcW w:w="908" w:type="dxa"/>
                  <w:shd w:val="clear" w:color="auto" w:fill="auto"/>
                  <w:vAlign w:val="center"/>
                </w:tcPr>
                <w:p w14:paraId="41E0AE6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0.035</w:t>
                  </w:r>
                </w:p>
              </w:tc>
              <w:tc>
                <w:tcPr>
                  <w:tcW w:w="911" w:type="dxa"/>
                  <w:shd w:val="clear" w:color="auto" w:fill="auto"/>
                  <w:vAlign w:val="center"/>
                </w:tcPr>
                <w:p w14:paraId="42EE61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0.021</w:t>
                  </w:r>
                </w:p>
              </w:tc>
              <w:tc>
                <w:tcPr>
                  <w:tcW w:w="908" w:type="dxa"/>
                  <w:shd w:val="clear" w:color="auto" w:fill="auto"/>
                  <w:vAlign w:val="center"/>
                </w:tcPr>
                <w:p w14:paraId="5F55EB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20867B1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580FB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0AFFC307">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40B7F10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HP023-2025</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5</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56609CF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CF77AC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15.7</w:t>
                  </w:r>
                </w:p>
              </w:tc>
              <w:tc>
                <w:tcPr>
                  <w:tcW w:w="908" w:type="dxa"/>
                  <w:shd w:val="clear" w:color="auto" w:fill="auto"/>
                  <w:vAlign w:val="center"/>
                </w:tcPr>
                <w:p w14:paraId="6BF9DC6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15.8</w:t>
                  </w:r>
                </w:p>
              </w:tc>
              <w:tc>
                <w:tcPr>
                  <w:tcW w:w="911" w:type="dxa"/>
                  <w:shd w:val="clear" w:color="auto" w:fill="auto"/>
                  <w:vAlign w:val="center"/>
                </w:tcPr>
                <w:p w14:paraId="17D8CD3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15.6</w:t>
                  </w:r>
                </w:p>
              </w:tc>
              <w:tc>
                <w:tcPr>
                  <w:tcW w:w="908" w:type="dxa"/>
                  <w:shd w:val="clear" w:color="auto" w:fill="auto"/>
                  <w:vAlign w:val="center"/>
                </w:tcPr>
                <w:p w14:paraId="218CC28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434A46D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64379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6A4DA184">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4DA47412">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6F913F3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95D40D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3.8</w:t>
                  </w:r>
                </w:p>
              </w:tc>
              <w:tc>
                <w:tcPr>
                  <w:tcW w:w="908" w:type="dxa"/>
                  <w:shd w:val="clear" w:color="auto" w:fill="auto"/>
                  <w:vAlign w:val="center"/>
                </w:tcPr>
                <w:p w14:paraId="53CFB7A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3.7</w:t>
                  </w:r>
                </w:p>
              </w:tc>
              <w:tc>
                <w:tcPr>
                  <w:tcW w:w="911" w:type="dxa"/>
                  <w:shd w:val="clear" w:color="auto" w:fill="auto"/>
                  <w:vAlign w:val="center"/>
                </w:tcPr>
                <w:p w14:paraId="04B41B1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3.6</w:t>
                  </w:r>
                </w:p>
              </w:tc>
              <w:tc>
                <w:tcPr>
                  <w:tcW w:w="908" w:type="dxa"/>
                  <w:shd w:val="clear" w:color="auto" w:fill="auto"/>
                  <w:vAlign w:val="center"/>
                </w:tcPr>
                <w:p w14:paraId="606A2AC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EB301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6544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502C94B">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9578363">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6D4BD9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5AE531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2366</w:t>
                  </w:r>
                </w:p>
              </w:tc>
              <w:tc>
                <w:tcPr>
                  <w:tcW w:w="908" w:type="dxa"/>
                  <w:shd w:val="clear" w:color="auto" w:fill="auto"/>
                  <w:vAlign w:val="center"/>
                </w:tcPr>
                <w:p w14:paraId="2448207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2334</w:t>
                  </w:r>
                </w:p>
              </w:tc>
              <w:tc>
                <w:tcPr>
                  <w:tcW w:w="911" w:type="dxa"/>
                  <w:shd w:val="clear" w:color="auto" w:fill="auto"/>
                  <w:vAlign w:val="center"/>
                </w:tcPr>
                <w:p w14:paraId="3F29F88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2267</w:t>
                  </w:r>
                </w:p>
              </w:tc>
              <w:tc>
                <w:tcPr>
                  <w:tcW w:w="908" w:type="dxa"/>
                  <w:shd w:val="clear" w:color="auto" w:fill="auto"/>
                  <w:vAlign w:val="center"/>
                </w:tcPr>
                <w:p w14:paraId="76C8866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A4C907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CA93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AEB3908">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A7B05E2">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C7D177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2694C1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2.5</w:t>
                  </w:r>
                </w:p>
              </w:tc>
              <w:tc>
                <w:tcPr>
                  <w:tcW w:w="908" w:type="dxa"/>
                  <w:shd w:val="clear" w:color="auto" w:fill="auto"/>
                  <w:vAlign w:val="center"/>
                </w:tcPr>
                <w:p w14:paraId="0FA316E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11" w:type="dxa"/>
                  <w:shd w:val="clear" w:color="auto" w:fill="auto"/>
                  <w:vAlign w:val="center"/>
                </w:tcPr>
                <w:p w14:paraId="62F25E5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001BC11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4C466F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4381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3BEDA4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FF73AD5">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1FBF06D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3829E17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1C31C1F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198841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2756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4BF567B">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8EE67FC">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2592368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5AFC2EA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24B1C4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15.3</w:t>
                  </w:r>
                </w:p>
              </w:tc>
              <w:tc>
                <w:tcPr>
                  <w:tcW w:w="908" w:type="dxa"/>
                  <w:shd w:val="clear" w:color="auto" w:fill="auto"/>
                  <w:vAlign w:val="center"/>
                </w:tcPr>
                <w:p w14:paraId="2E6B5B6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16.2</w:t>
                  </w:r>
                </w:p>
              </w:tc>
              <w:tc>
                <w:tcPr>
                  <w:tcW w:w="911" w:type="dxa"/>
                  <w:shd w:val="clear" w:color="auto" w:fill="auto"/>
                  <w:vAlign w:val="center"/>
                </w:tcPr>
                <w:p w14:paraId="54604EF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14.3</w:t>
                  </w:r>
                </w:p>
              </w:tc>
              <w:tc>
                <w:tcPr>
                  <w:tcW w:w="908" w:type="dxa"/>
                  <w:shd w:val="clear" w:color="auto" w:fill="auto"/>
                  <w:vAlign w:val="center"/>
                </w:tcPr>
                <w:p w14:paraId="1E49D4D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351158A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DA85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B5364B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45B54AD">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0162F7DB">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405BCF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364536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0.036</w:t>
                  </w:r>
                </w:p>
              </w:tc>
              <w:tc>
                <w:tcPr>
                  <w:tcW w:w="908" w:type="dxa"/>
                  <w:shd w:val="clear" w:color="auto" w:fill="auto"/>
                  <w:vAlign w:val="center"/>
                </w:tcPr>
                <w:p w14:paraId="7260969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0.038</w:t>
                  </w:r>
                </w:p>
              </w:tc>
              <w:tc>
                <w:tcPr>
                  <w:tcW w:w="911" w:type="dxa"/>
                  <w:shd w:val="clear" w:color="auto" w:fill="auto"/>
                  <w:vAlign w:val="center"/>
                </w:tcPr>
                <w:p w14:paraId="5D268B5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0.032</w:t>
                  </w:r>
                </w:p>
              </w:tc>
              <w:tc>
                <w:tcPr>
                  <w:tcW w:w="908" w:type="dxa"/>
                  <w:shd w:val="clear" w:color="auto" w:fill="auto"/>
                  <w:vAlign w:val="center"/>
                </w:tcPr>
                <w:p w14:paraId="11E4065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56EB968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1A0178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5BDC9028">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2D0A76F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HP025-2027</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7</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47926FD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F346E9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13.6</w:t>
                  </w:r>
                </w:p>
              </w:tc>
              <w:tc>
                <w:tcPr>
                  <w:tcW w:w="908" w:type="dxa"/>
                  <w:shd w:val="clear" w:color="auto" w:fill="auto"/>
                  <w:vAlign w:val="center"/>
                </w:tcPr>
                <w:p w14:paraId="53E0FB9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14.0</w:t>
                  </w:r>
                </w:p>
              </w:tc>
              <w:tc>
                <w:tcPr>
                  <w:tcW w:w="911" w:type="dxa"/>
                  <w:shd w:val="clear" w:color="auto" w:fill="auto"/>
                  <w:vAlign w:val="center"/>
                </w:tcPr>
                <w:p w14:paraId="376D9E3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14.01</w:t>
                  </w:r>
                </w:p>
              </w:tc>
              <w:tc>
                <w:tcPr>
                  <w:tcW w:w="908" w:type="dxa"/>
                  <w:shd w:val="clear" w:color="auto" w:fill="auto"/>
                  <w:vAlign w:val="center"/>
                </w:tcPr>
                <w:p w14:paraId="00F1C9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0A9A16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02AB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95CCBD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B3735B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3C3F33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D21AB0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4.8</w:t>
                  </w:r>
                </w:p>
              </w:tc>
              <w:tc>
                <w:tcPr>
                  <w:tcW w:w="908" w:type="dxa"/>
                  <w:shd w:val="clear" w:color="auto" w:fill="auto"/>
                  <w:vAlign w:val="center"/>
                </w:tcPr>
                <w:p w14:paraId="1E10E6F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4.8</w:t>
                  </w:r>
                </w:p>
              </w:tc>
              <w:tc>
                <w:tcPr>
                  <w:tcW w:w="911" w:type="dxa"/>
                  <w:shd w:val="clear" w:color="auto" w:fill="auto"/>
                  <w:vAlign w:val="center"/>
                </w:tcPr>
                <w:p w14:paraId="0A81EB1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4.8</w:t>
                  </w:r>
                </w:p>
              </w:tc>
              <w:tc>
                <w:tcPr>
                  <w:tcW w:w="908" w:type="dxa"/>
                  <w:shd w:val="clear" w:color="auto" w:fill="auto"/>
                  <w:vAlign w:val="center"/>
                </w:tcPr>
                <w:p w14:paraId="1E8F27C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21479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D3E8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6FE12C1">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BABF6DF">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FC455D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D5A604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3029</w:t>
                  </w:r>
                </w:p>
              </w:tc>
              <w:tc>
                <w:tcPr>
                  <w:tcW w:w="908" w:type="dxa"/>
                  <w:shd w:val="clear" w:color="auto" w:fill="auto"/>
                  <w:vAlign w:val="center"/>
                </w:tcPr>
                <w:p w14:paraId="4C7C736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3026</w:t>
                  </w:r>
                </w:p>
              </w:tc>
              <w:tc>
                <w:tcPr>
                  <w:tcW w:w="911" w:type="dxa"/>
                  <w:shd w:val="clear" w:color="auto" w:fill="auto"/>
                  <w:vAlign w:val="center"/>
                </w:tcPr>
                <w:p w14:paraId="7067B3B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3029</w:t>
                  </w:r>
                </w:p>
              </w:tc>
              <w:tc>
                <w:tcPr>
                  <w:tcW w:w="908" w:type="dxa"/>
                  <w:shd w:val="clear" w:color="auto" w:fill="auto"/>
                  <w:vAlign w:val="center"/>
                </w:tcPr>
                <w:p w14:paraId="09FD7BA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C5622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88674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899761C">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12EA2E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6A2418E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2B235A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5EB3259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11" w:type="dxa"/>
                  <w:shd w:val="clear" w:color="auto" w:fill="auto"/>
                  <w:vAlign w:val="center"/>
                </w:tcPr>
                <w:p w14:paraId="653ECF2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3E90453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CEC225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754E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3AB2C9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1844694">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023E29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59A9778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6294798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004F867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404A3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B0AC6D0">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6F518F9">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4271ED2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0180C77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6DB128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44.3</w:t>
                  </w:r>
                </w:p>
              </w:tc>
              <w:tc>
                <w:tcPr>
                  <w:tcW w:w="908" w:type="dxa"/>
                  <w:shd w:val="clear" w:color="auto" w:fill="auto"/>
                  <w:vAlign w:val="center"/>
                </w:tcPr>
                <w:p w14:paraId="2EC257B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40.0</w:t>
                  </w:r>
                </w:p>
              </w:tc>
              <w:tc>
                <w:tcPr>
                  <w:tcW w:w="911" w:type="dxa"/>
                  <w:shd w:val="clear" w:color="auto" w:fill="auto"/>
                  <w:vAlign w:val="center"/>
                </w:tcPr>
                <w:p w14:paraId="275BA48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41.6</w:t>
                  </w:r>
                </w:p>
              </w:tc>
              <w:tc>
                <w:tcPr>
                  <w:tcW w:w="908" w:type="dxa"/>
                  <w:shd w:val="clear" w:color="auto" w:fill="auto"/>
                  <w:vAlign w:val="center"/>
                </w:tcPr>
                <w:p w14:paraId="7264A6F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00A2411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7F4705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2CBF2B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47C7683">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7CA54C7C">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639354D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D31027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0.134</w:t>
                  </w:r>
                </w:p>
              </w:tc>
              <w:tc>
                <w:tcPr>
                  <w:tcW w:w="908" w:type="dxa"/>
                  <w:shd w:val="clear" w:color="auto" w:fill="auto"/>
                  <w:vAlign w:val="center"/>
                </w:tcPr>
                <w:p w14:paraId="5C0DC0E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0.121</w:t>
                  </w:r>
                </w:p>
              </w:tc>
              <w:tc>
                <w:tcPr>
                  <w:tcW w:w="911" w:type="dxa"/>
                  <w:shd w:val="clear" w:color="auto" w:fill="auto"/>
                  <w:vAlign w:val="center"/>
                </w:tcPr>
                <w:p w14:paraId="70AFF09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0.126</w:t>
                  </w:r>
                </w:p>
              </w:tc>
              <w:tc>
                <w:tcPr>
                  <w:tcW w:w="908" w:type="dxa"/>
                  <w:shd w:val="clear" w:color="auto" w:fill="auto"/>
                  <w:vAlign w:val="center"/>
                </w:tcPr>
                <w:p w14:paraId="0C3378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31A6E29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5273D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5C7A7BDF">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5A2400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HP026-2028</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8</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6656E98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8FE40A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14.5</w:t>
                  </w:r>
                </w:p>
              </w:tc>
              <w:tc>
                <w:tcPr>
                  <w:tcW w:w="908" w:type="dxa"/>
                  <w:shd w:val="clear" w:color="auto" w:fill="auto"/>
                  <w:vAlign w:val="center"/>
                </w:tcPr>
                <w:p w14:paraId="4FA581B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14.5</w:t>
                  </w:r>
                </w:p>
              </w:tc>
              <w:tc>
                <w:tcPr>
                  <w:tcW w:w="911" w:type="dxa"/>
                  <w:shd w:val="clear" w:color="auto" w:fill="auto"/>
                  <w:vAlign w:val="center"/>
                </w:tcPr>
                <w:p w14:paraId="4D1C7E5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14.5</w:t>
                  </w:r>
                </w:p>
              </w:tc>
              <w:tc>
                <w:tcPr>
                  <w:tcW w:w="908" w:type="dxa"/>
                  <w:shd w:val="clear" w:color="auto" w:fill="auto"/>
                  <w:vAlign w:val="center"/>
                </w:tcPr>
                <w:p w14:paraId="2B5210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95D572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92CA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997A0C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0EEF31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7C9F62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448BF7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7.1</w:t>
                  </w:r>
                </w:p>
              </w:tc>
              <w:tc>
                <w:tcPr>
                  <w:tcW w:w="908" w:type="dxa"/>
                  <w:shd w:val="clear" w:color="auto" w:fill="auto"/>
                  <w:vAlign w:val="center"/>
                </w:tcPr>
                <w:p w14:paraId="4C664BC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7.0</w:t>
                  </w:r>
                </w:p>
              </w:tc>
              <w:tc>
                <w:tcPr>
                  <w:tcW w:w="911" w:type="dxa"/>
                  <w:shd w:val="clear" w:color="auto" w:fill="auto"/>
                  <w:vAlign w:val="center"/>
                </w:tcPr>
                <w:p w14:paraId="311BEEF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7.1</w:t>
                  </w:r>
                </w:p>
              </w:tc>
              <w:tc>
                <w:tcPr>
                  <w:tcW w:w="908" w:type="dxa"/>
                  <w:shd w:val="clear" w:color="auto" w:fill="auto"/>
                  <w:vAlign w:val="center"/>
                </w:tcPr>
                <w:p w14:paraId="303807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7326CD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56C22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E414256">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4509183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4C3981D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450AF4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4448</w:t>
                  </w:r>
                </w:p>
              </w:tc>
              <w:tc>
                <w:tcPr>
                  <w:tcW w:w="908" w:type="dxa"/>
                  <w:shd w:val="clear" w:color="auto" w:fill="auto"/>
                  <w:vAlign w:val="center"/>
                </w:tcPr>
                <w:p w14:paraId="781A18D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4439</w:t>
                  </w:r>
                </w:p>
              </w:tc>
              <w:tc>
                <w:tcPr>
                  <w:tcW w:w="911" w:type="dxa"/>
                  <w:shd w:val="clear" w:color="auto" w:fill="auto"/>
                  <w:vAlign w:val="center"/>
                </w:tcPr>
                <w:p w14:paraId="7E0E3D5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4469</w:t>
                  </w:r>
                </w:p>
              </w:tc>
              <w:tc>
                <w:tcPr>
                  <w:tcW w:w="908" w:type="dxa"/>
                  <w:shd w:val="clear" w:color="auto" w:fill="auto"/>
                  <w:vAlign w:val="center"/>
                </w:tcPr>
                <w:p w14:paraId="317F905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A2A286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0A52F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57" w:hRule="atLeast"/>
                <w:jc w:val="center"/>
              </w:trPr>
              <w:tc>
                <w:tcPr>
                  <w:tcW w:w="681" w:type="dxa"/>
                  <w:vMerge w:val="continue"/>
                  <w:tcBorders>
                    <w:left w:val="nil"/>
                  </w:tcBorders>
                  <w:shd w:val="clear" w:color="auto" w:fill="auto"/>
                  <w:vAlign w:val="center"/>
                </w:tcPr>
                <w:p w14:paraId="5CAD483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38D703B">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268DD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7D93DA7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08" w:type="dxa"/>
                  <w:shd w:val="clear" w:color="auto" w:fill="auto"/>
                  <w:vAlign w:val="center"/>
                </w:tcPr>
                <w:p w14:paraId="5AB6895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11" w:type="dxa"/>
                  <w:shd w:val="clear" w:color="auto" w:fill="auto"/>
                  <w:vAlign w:val="center"/>
                </w:tcPr>
                <w:p w14:paraId="1FDBC80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08" w:type="dxa"/>
                  <w:shd w:val="clear" w:color="auto" w:fill="auto"/>
                  <w:vAlign w:val="center"/>
                </w:tcPr>
                <w:p w14:paraId="4F3D711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BED38F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4B5D5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02D533D">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A0C79ED">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1901DFC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38AE4C6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0FC6B3B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0F93AB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10B78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CBC0D0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5CEB8DE">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2D93C1D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616098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BE4999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36.8</w:t>
                  </w:r>
                </w:p>
              </w:tc>
              <w:tc>
                <w:tcPr>
                  <w:tcW w:w="908" w:type="dxa"/>
                  <w:shd w:val="clear" w:color="auto" w:fill="auto"/>
                  <w:vAlign w:val="center"/>
                </w:tcPr>
                <w:p w14:paraId="7543EE0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34.9</w:t>
                  </w:r>
                </w:p>
              </w:tc>
              <w:tc>
                <w:tcPr>
                  <w:tcW w:w="911" w:type="dxa"/>
                  <w:shd w:val="clear" w:color="auto" w:fill="auto"/>
                  <w:vAlign w:val="center"/>
                </w:tcPr>
                <w:p w14:paraId="025F530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36.5</w:t>
                  </w:r>
                </w:p>
              </w:tc>
              <w:tc>
                <w:tcPr>
                  <w:tcW w:w="908" w:type="dxa"/>
                  <w:shd w:val="clear" w:color="auto" w:fill="auto"/>
                  <w:vAlign w:val="center"/>
                </w:tcPr>
                <w:p w14:paraId="7B61A4F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069135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A826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4778798">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E5E21F8">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39BD0D56">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04B4900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16CB81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0.164</w:t>
                  </w:r>
                </w:p>
              </w:tc>
              <w:tc>
                <w:tcPr>
                  <w:tcW w:w="908" w:type="dxa"/>
                  <w:shd w:val="clear" w:color="auto" w:fill="auto"/>
                  <w:vAlign w:val="center"/>
                </w:tcPr>
                <w:p w14:paraId="4D394E2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0.155</w:t>
                  </w:r>
                </w:p>
              </w:tc>
              <w:tc>
                <w:tcPr>
                  <w:tcW w:w="911" w:type="dxa"/>
                  <w:shd w:val="clear" w:color="auto" w:fill="auto"/>
                  <w:vAlign w:val="center"/>
                </w:tcPr>
                <w:p w14:paraId="667DA5F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0.163</w:t>
                  </w:r>
                </w:p>
              </w:tc>
              <w:tc>
                <w:tcPr>
                  <w:tcW w:w="908" w:type="dxa"/>
                  <w:shd w:val="clear" w:color="auto" w:fill="auto"/>
                  <w:vAlign w:val="center"/>
                </w:tcPr>
                <w:p w14:paraId="238D8A5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008C26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70905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72A19CB2">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61D75BA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HP027-2029</w:t>
                  </w:r>
                  <w:r>
                    <w:rPr>
                      <w:rStyle w:val="113"/>
                      <w:rFonts w:hint="default" w:ascii="Times New Roman" w:hAnsi="Times New Roman" w:cs="Times New Roman" w:eastAsiaTheme="minorEastAsia"/>
                      <w:color w:val="auto"/>
                      <w:sz w:val="21"/>
                      <w:szCs w:val="21"/>
                      <w:highlight w:val="none"/>
                      <w:lang w:val="en-US" w:eastAsia="zh-CN" w:bidi="ar"/>
                    </w:rPr>
                    <w:t>排口（DA00</w:t>
                  </w:r>
                  <w:r>
                    <w:rPr>
                      <w:rStyle w:val="113"/>
                      <w:rFonts w:hint="eastAsia" w:ascii="Times New Roman" w:hAnsi="Times New Roman" w:cs="Times New Roman" w:eastAsiaTheme="minorEastAsia"/>
                      <w:color w:val="auto"/>
                      <w:sz w:val="21"/>
                      <w:szCs w:val="21"/>
                      <w:highlight w:val="none"/>
                      <w:lang w:val="en-US" w:eastAsia="zh-CN" w:bidi="ar"/>
                    </w:rPr>
                    <w:t>9</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08D2C5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7796A32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15.3</w:t>
                  </w:r>
                </w:p>
              </w:tc>
              <w:tc>
                <w:tcPr>
                  <w:tcW w:w="908" w:type="dxa"/>
                  <w:shd w:val="clear" w:color="auto" w:fill="auto"/>
                  <w:vAlign w:val="center"/>
                </w:tcPr>
                <w:p w14:paraId="6EA9196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14.9</w:t>
                  </w:r>
                </w:p>
              </w:tc>
              <w:tc>
                <w:tcPr>
                  <w:tcW w:w="911" w:type="dxa"/>
                  <w:shd w:val="clear" w:color="auto" w:fill="auto"/>
                  <w:vAlign w:val="center"/>
                </w:tcPr>
                <w:p w14:paraId="46BEC7A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14.7</w:t>
                  </w:r>
                </w:p>
              </w:tc>
              <w:tc>
                <w:tcPr>
                  <w:tcW w:w="908" w:type="dxa"/>
                  <w:shd w:val="clear" w:color="auto" w:fill="auto"/>
                  <w:vAlign w:val="center"/>
                </w:tcPr>
                <w:p w14:paraId="2A51C4D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42E005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D6EE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A8A4AF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880E960">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4FA58C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9C9DDE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7.0</w:t>
                  </w:r>
                </w:p>
              </w:tc>
              <w:tc>
                <w:tcPr>
                  <w:tcW w:w="908" w:type="dxa"/>
                  <w:shd w:val="clear" w:color="auto" w:fill="auto"/>
                  <w:vAlign w:val="center"/>
                </w:tcPr>
                <w:p w14:paraId="0EC2190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7.0</w:t>
                  </w:r>
                </w:p>
              </w:tc>
              <w:tc>
                <w:tcPr>
                  <w:tcW w:w="911" w:type="dxa"/>
                  <w:shd w:val="clear" w:color="auto" w:fill="auto"/>
                  <w:vAlign w:val="center"/>
                </w:tcPr>
                <w:p w14:paraId="4C67FA6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7.1</w:t>
                  </w:r>
                </w:p>
              </w:tc>
              <w:tc>
                <w:tcPr>
                  <w:tcW w:w="908" w:type="dxa"/>
                  <w:shd w:val="clear" w:color="auto" w:fill="auto"/>
                  <w:vAlign w:val="center"/>
                </w:tcPr>
                <w:p w14:paraId="7D9CD8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06BF02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03663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34D966A">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A8D978B">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322C9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4A2897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4389</w:t>
                  </w:r>
                </w:p>
              </w:tc>
              <w:tc>
                <w:tcPr>
                  <w:tcW w:w="908" w:type="dxa"/>
                  <w:shd w:val="clear" w:color="auto" w:fill="auto"/>
                  <w:vAlign w:val="center"/>
                </w:tcPr>
                <w:p w14:paraId="18917C6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4434</w:t>
                  </w:r>
                </w:p>
              </w:tc>
              <w:tc>
                <w:tcPr>
                  <w:tcW w:w="911" w:type="dxa"/>
                  <w:shd w:val="clear" w:color="auto" w:fill="auto"/>
                  <w:vAlign w:val="center"/>
                </w:tcPr>
                <w:p w14:paraId="7B6D941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4458</w:t>
                  </w:r>
                </w:p>
              </w:tc>
              <w:tc>
                <w:tcPr>
                  <w:tcW w:w="908" w:type="dxa"/>
                  <w:shd w:val="clear" w:color="auto" w:fill="auto"/>
                  <w:vAlign w:val="center"/>
                </w:tcPr>
                <w:p w14:paraId="470100E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4247725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EE5A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57" w:hRule="atLeast"/>
                <w:jc w:val="center"/>
              </w:trPr>
              <w:tc>
                <w:tcPr>
                  <w:tcW w:w="681" w:type="dxa"/>
                  <w:vMerge w:val="continue"/>
                  <w:tcBorders>
                    <w:left w:val="nil"/>
                  </w:tcBorders>
                  <w:shd w:val="clear" w:color="auto" w:fill="auto"/>
                  <w:vAlign w:val="center"/>
                </w:tcPr>
                <w:p w14:paraId="5A8329C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433CDAC9">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4D573A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0ED742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08" w:type="dxa"/>
                  <w:shd w:val="clear" w:color="auto" w:fill="auto"/>
                  <w:vAlign w:val="center"/>
                </w:tcPr>
                <w:p w14:paraId="280E2B5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11" w:type="dxa"/>
                  <w:shd w:val="clear" w:color="auto" w:fill="auto"/>
                  <w:vAlign w:val="center"/>
                </w:tcPr>
                <w:p w14:paraId="1B18973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2.2</w:t>
                  </w:r>
                </w:p>
              </w:tc>
              <w:tc>
                <w:tcPr>
                  <w:tcW w:w="908" w:type="dxa"/>
                  <w:shd w:val="clear" w:color="auto" w:fill="auto"/>
                  <w:vAlign w:val="center"/>
                </w:tcPr>
                <w:p w14:paraId="68CC778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A359BC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B1443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0EA1776">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DC45281">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181260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2852298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44C0195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40B6678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EEE4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EF4467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0390BAE">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36695FF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5634990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194985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64.6</w:t>
                  </w:r>
                </w:p>
              </w:tc>
              <w:tc>
                <w:tcPr>
                  <w:tcW w:w="908" w:type="dxa"/>
                  <w:shd w:val="clear" w:color="auto" w:fill="auto"/>
                  <w:vAlign w:val="center"/>
                </w:tcPr>
                <w:p w14:paraId="0FF48B6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57.9</w:t>
                  </w:r>
                </w:p>
              </w:tc>
              <w:tc>
                <w:tcPr>
                  <w:tcW w:w="911" w:type="dxa"/>
                  <w:shd w:val="clear" w:color="auto" w:fill="auto"/>
                  <w:vAlign w:val="center"/>
                </w:tcPr>
                <w:p w14:paraId="227FB63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54.0</w:t>
                  </w:r>
                </w:p>
              </w:tc>
              <w:tc>
                <w:tcPr>
                  <w:tcW w:w="908" w:type="dxa"/>
                  <w:shd w:val="clear" w:color="auto" w:fill="auto"/>
                  <w:vAlign w:val="center"/>
                </w:tcPr>
                <w:p w14:paraId="0A15C9E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53A3481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4D4AF2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302E79C">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C4A8EFA">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58681BE6">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01A0BDE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E18D57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0.284</w:t>
                  </w:r>
                </w:p>
              </w:tc>
              <w:tc>
                <w:tcPr>
                  <w:tcW w:w="908" w:type="dxa"/>
                  <w:shd w:val="clear" w:color="auto" w:fill="auto"/>
                  <w:vAlign w:val="center"/>
                </w:tcPr>
                <w:p w14:paraId="127D720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0.257</w:t>
                  </w:r>
                </w:p>
              </w:tc>
              <w:tc>
                <w:tcPr>
                  <w:tcW w:w="911" w:type="dxa"/>
                  <w:shd w:val="clear" w:color="auto" w:fill="auto"/>
                  <w:vAlign w:val="center"/>
                </w:tcPr>
                <w:p w14:paraId="1384378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0.241</w:t>
                  </w:r>
                </w:p>
              </w:tc>
              <w:tc>
                <w:tcPr>
                  <w:tcW w:w="908" w:type="dxa"/>
                  <w:shd w:val="clear" w:color="auto" w:fill="auto"/>
                  <w:vAlign w:val="center"/>
                </w:tcPr>
                <w:p w14:paraId="14DE436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1BA49BE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CBC6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7F975E3C">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2307DB4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HP028-2030</w:t>
                  </w:r>
                  <w:r>
                    <w:rPr>
                      <w:rStyle w:val="113"/>
                      <w:rFonts w:hint="default" w:ascii="Times New Roman" w:hAnsi="Times New Roman" w:cs="Times New Roman" w:eastAsiaTheme="minorEastAsia"/>
                      <w:color w:val="auto"/>
                      <w:sz w:val="21"/>
                      <w:szCs w:val="21"/>
                      <w:highlight w:val="none"/>
                      <w:lang w:val="en-US" w:eastAsia="zh-CN" w:bidi="ar"/>
                    </w:rPr>
                    <w:t>排口（DA0</w:t>
                  </w:r>
                  <w:r>
                    <w:rPr>
                      <w:rStyle w:val="113"/>
                      <w:rFonts w:hint="eastAsia" w:ascii="Times New Roman" w:hAnsi="Times New Roman" w:cs="Times New Roman" w:eastAsiaTheme="minorEastAsia"/>
                      <w:color w:val="auto"/>
                      <w:sz w:val="21"/>
                      <w:szCs w:val="21"/>
                      <w:highlight w:val="none"/>
                      <w:lang w:val="en-US" w:eastAsia="zh-CN" w:bidi="ar"/>
                    </w:rPr>
                    <w:t>10</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1E7125C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BC3561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17.5</w:t>
                  </w:r>
                </w:p>
              </w:tc>
              <w:tc>
                <w:tcPr>
                  <w:tcW w:w="908" w:type="dxa"/>
                  <w:shd w:val="clear" w:color="auto" w:fill="auto"/>
                  <w:vAlign w:val="center"/>
                </w:tcPr>
                <w:p w14:paraId="0078817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17.4</w:t>
                  </w:r>
                </w:p>
              </w:tc>
              <w:tc>
                <w:tcPr>
                  <w:tcW w:w="911" w:type="dxa"/>
                  <w:shd w:val="clear" w:color="auto" w:fill="auto"/>
                  <w:vAlign w:val="center"/>
                </w:tcPr>
                <w:p w14:paraId="6BC4CDF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16.1</w:t>
                  </w:r>
                </w:p>
              </w:tc>
              <w:tc>
                <w:tcPr>
                  <w:tcW w:w="908" w:type="dxa"/>
                  <w:shd w:val="clear" w:color="auto" w:fill="auto"/>
                  <w:vAlign w:val="center"/>
                </w:tcPr>
                <w:p w14:paraId="194F48C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30FD51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4E45F3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394B5D4">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1E5CF60">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4BCA17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F3AFF6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5.7</w:t>
                  </w:r>
                </w:p>
              </w:tc>
              <w:tc>
                <w:tcPr>
                  <w:tcW w:w="908" w:type="dxa"/>
                  <w:shd w:val="clear" w:color="auto" w:fill="auto"/>
                  <w:vAlign w:val="center"/>
                </w:tcPr>
                <w:p w14:paraId="21A77F0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5.7</w:t>
                  </w:r>
                </w:p>
              </w:tc>
              <w:tc>
                <w:tcPr>
                  <w:tcW w:w="911" w:type="dxa"/>
                  <w:shd w:val="clear" w:color="auto" w:fill="auto"/>
                  <w:vAlign w:val="center"/>
                </w:tcPr>
                <w:p w14:paraId="6D49FA2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5.7</w:t>
                  </w:r>
                </w:p>
              </w:tc>
              <w:tc>
                <w:tcPr>
                  <w:tcW w:w="908" w:type="dxa"/>
                  <w:shd w:val="clear" w:color="auto" w:fill="auto"/>
                  <w:vAlign w:val="center"/>
                </w:tcPr>
                <w:p w14:paraId="481CDC9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7880838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5BCB80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6378C2A5">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668F145">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0978A6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72980BB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3582</w:t>
                  </w:r>
                </w:p>
              </w:tc>
              <w:tc>
                <w:tcPr>
                  <w:tcW w:w="908" w:type="dxa"/>
                  <w:shd w:val="clear" w:color="auto" w:fill="auto"/>
                  <w:vAlign w:val="center"/>
                </w:tcPr>
                <w:p w14:paraId="296D8A0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3582</w:t>
                  </w:r>
                </w:p>
              </w:tc>
              <w:tc>
                <w:tcPr>
                  <w:tcW w:w="911" w:type="dxa"/>
                  <w:shd w:val="clear" w:color="auto" w:fill="auto"/>
                  <w:vAlign w:val="center"/>
                </w:tcPr>
                <w:p w14:paraId="5BD96B5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3552</w:t>
                  </w:r>
                </w:p>
              </w:tc>
              <w:tc>
                <w:tcPr>
                  <w:tcW w:w="908" w:type="dxa"/>
                  <w:shd w:val="clear" w:color="auto" w:fill="auto"/>
                  <w:vAlign w:val="center"/>
                </w:tcPr>
                <w:p w14:paraId="6F79E71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7F4ED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2B71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002DA97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78D369F">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61A3C5F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71EF52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2.2</w:t>
                  </w:r>
                </w:p>
              </w:tc>
              <w:tc>
                <w:tcPr>
                  <w:tcW w:w="908" w:type="dxa"/>
                  <w:shd w:val="clear" w:color="auto" w:fill="auto"/>
                  <w:vAlign w:val="center"/>
                </w:tcPr>
                <w:p w14:paraId="58FFC51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2.2</w:t>
                  </w:r>
                </w:p>
              </w:tc>
              <w:tc>
                <w:tcPr>
                  <w:tcW w:w="911" w:type="dxa"/>
                  <w:shd w:val="clear" w:color="auto" w:fill="auto"/>
                  <w:vAlign w:val="center"/>
                </w:tcPr>
                <w:p w14:paraId="14AD41B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w:t>
                  </w:r>
                </w:p>
              </w:tc>
              <w:tc>
                <w:tcPr>
                  <w:tcW w:w="908" w:type="dxa"/>
                  <w:shd w:val="clear" w:color="auto" w:fill="auto"/>
                  <w:vAlign w:val="center"/>
                </w:tcPr>
                <w:p w14:paraId="5FEC82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116F2E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CEB2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0943455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F7A9F76">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98AF72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4DAE65C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513BD0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C3CFBB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AAC1F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B7A5CBE">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ADF65D5">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6CC5739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1157" w:type="dxa"/>
                  <w:shd w:val="clear" w:color="auto" w:fill="auto"/>
                  <w:vAlign w:val="center"/>
                </w:tcPr>
                <w:p w14:paraId="2B79A4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308038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55.5</w:t>
                  </w:r>
                </w:p>
              </w:tc>
              <w:tc>
                <w:tcPr>
                  <w:tcW w:w="908" w:type="dxa"/>
                  <w:shd w:val="clear" w:color="auto" w:fill="auto"/>
                  <w:vAlign w:val="center"/>
                </w:tcPr>
                <w:p w14:paraId="7A5F1C3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56.0</w:t>
                  </w:r>
                </w:p>
              </w:tc>
              <w:tc>
                <w:tcPr>
                  <w:tcW w:w="911" w:type="dxa"/>
                  <w:shd w:val="clear" w:color="auto" w:fill="auto"/>
                  <w:vAlign w:val="center"/>
                </w:tcPr>
                <w:p w14:paraId="673E3EC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53.0</w:t>
                  </w:r>
                </w:p>
              </w:tc>
              <w:tc>
                <w:tcPr>
                  <w:tcW w:w="908" w:type="dxa"/>
                  <w:shd w:val="clear" w:color="auto" w:fill="auto"/>
                  <w:vAlign w:val="center"/>
                </w:tcPr>
                <w:p w14:paraId="6C9DB0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100</w:t>
                  </w:r>
                </w:p>
              </w:tc>
              <w:tc>
                <w:tcPr>
                  <w:tcW w:w="908" w:type="dxa"/>
                  <w:tcBorders>
                    <w:right w:val="nil"/>
                  </w:tcBorders>
                  <w:shd w:val="clear" w:color="auto" w:fill="auto"/>
                  <w:vAlign w:val="center"/>
                </w:tcPr>
                <w:p w14:paraId="025A43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0BC40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0859D81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2C45E8D">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50CB9140">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032CE74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8F51CF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0.199</w:t>
                  </w:r>
                </w:p>
              </w:tc>
              <w:tc>
                <w:tcPr>
                  <w:tcW w:w="908" w:type="dxa"/>
                  <w:shd w:val="clear" w:color="auto" w:fill="auto"/>
                  <w:vAlign w:val="center"/>
                </w:tcPr>
                <w:p w14:paraId="149CD84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0.201</w:t>
                  </w:r>
                </w:p>
              </w:tc>
              <w:tc>
                <w:tcPr>
                  <w:tcW w:w="911" w:type="dxa"/>
                  <w:shd w:val="clear" w:color="auto" w:fill="auto"/>
                  <w:vAlign w:val="center"/>
                </w:tcPr>
                <w:p w14:paraId="1DAA5E9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0.188</w:t>
                  </w:r>
                </w:p>
              </w:tc>
              <w:tc>
                <w:tcPr>
                  <w:tcW w:w="908" w:type="dxa"/>
                  <w:shd w:val="clear" w:color="auto" w:fill="auto"/>
                  <w:vAlign w:val="center"/>
                </w:tcPr>
                <w:p w14:paraId="562546A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0.36</w:t>
                  </w:r>
                </w:p>
              </w:tc>
              <w:tc>
                <w:tcPr>
                  <w:tcW w:w="908" w:type="dxa"/>
                  <w:tcBorders>
                    <w:right w:val="nil"/>
                  </w:tcBorders>
                  <w:shd w:val="clear" w:color="auto" w:fill="auto"/>
                  <w:vAlign w:val="center"/>
                </w:tcPr>
                <w:p w14:paraId="779B497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01E9D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168351D4">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116E12F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HP030-2021</w:t>
                  </w:r>
                  <w:r>
                    <w:rPr>
                      <w:rStyle w:val="113"/>
                      <w:rFonts w:hint="default" w:ascii="Times New Roman" w:hAnsi="Times New Roman" w:cs="Times New Roman" w:eastAsiaTheme="minorEastAsia"/>
                      <w:color w:val="auto"/>
                      <w:sz w:val="21"/>
                      <w:szCs w:val="21"/>
                      <w:highlight w:val="none"/>
                      <w:lang w:val="en-US" w:eastAsia="zh-CN" w:bidi="ar"/>
                    </w:rPr>
                    <w:t>排口（DA</w:t>
                  </w:r>
                  <w:r>
                    <w:rPr>
                      <w:rStyle w:val="113"/>
                      <w:rFonts w:hint="eastAsia" w:ascii="Times New Roman" w:hAnsi="Times New Roman" w:cs="Times New Roman" w:eastAsiaTheme="minorEastAsia"/>
                      <w:color w:val="auto"/>
                      <w:sz w:val="21"/>
                      <w:szCs w:val="21"/>
                      <w:highlight w:val="none"/>
                      <w:lang w:val="en-US" w:eastAsia="zh-CN" w:bidi="ar"/>
                    </w:rPr>
                    <w:t>0</w:t>
                  </w:r>
                  <w:r>
                    <w:rPr>
                      <w:rStyle w:val="113"/>
                      <w:rFonts w:hint="default" w:ascii="Times New Roman" w:hAnsi="Times New Roman" w:cs="Times New Roman" w:eastAsiaTheme="minorEastAsia"/>
                      <w:color w:val="auto"/>
                      <w:sz w:val="21"/>
                      <w:szCs w:val="21"/>
                      <w:highlight w:val="none"/>
                      <w:lang w:val="en-US" w:eastAsia="zh-CN" w:bidi="ar"/>
                    </w:rPr>
                    <w:t>1</w:t>
                  </w:r>
                  <w:r>
                    <w:rPr>
                      <w:rStyle w:val="113"/>
                      <w:rFonts w:hint="eastAsia" w:ascii="Times New Roman" w:hAnsi="Times New Roman" w:cs="Times New Roman" w:eastAsiaTheme="minorEastAsia"/>
                      <w:color w:val="auto"/>
                      <w:sz w:val="21"/>
                      <w:szCs w:val="21"/>
                      <w:highlight w:val="none"/>
                      <w:lang w:val="en-US" w:eastAsia="zh-CN" w:bidi="ar"/>
                    </w:rPr>
                    <w:t>2</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76F61BD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EDBB04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16.3</w:t>
                  </w:r>
                </w:p>
              </w:tc>
              <w:tc>
                <w:tcPr>
                  <w:tcW w:w="908" w:type="dxa"/>
                  <w:shd w:val="clear" w:color="auto" w:fill="auto"/>
                  <w:vAlign w:val="center"/>
                </w:tcPr>
                <w:p w14:paraId="5EF0433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16.3</w:t>
                  </w:r>
                </w:p>
              </w:tc>
              <w:tc>
                <w:tcPr>
                  <w:tcW w:w="911" w:type="dxa"/>
                  <w:shd w:val="clear" w:color="auto" w:fill="auto"/>
                  <w:vAlign w:val="center"/>
                </w:tcPr>
                <w:p w14:paraId="610B6BC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16.4</w:t>
                  </w:r>
                </w:p>
              </w:tc>
              <w:tc>
                <w:tcPr>
                  <w:tcW w:w="908" w:type="dxa"/>
                  <w:shd w:val="clear" w:color="auto" w:fill="auto"/>
                  <w:vAlign w:val="center"/>
                </w:tcPr>
                <w:p w14:paraId="629644A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42721D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9A45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504F0F6">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9127107">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FFE5C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6765461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5.2</w:t>
                  </w:r>
                </w:p>
              </w:tc>
              <w:tc>
                <w:tcPr>
                  <w:tcW w:w="908" w:type="dxa"/>
                  <w:shd w:val="clear" w:color="auto" w:fill="auto"/>
                  <w:vAlign w:val="center"/>
                </w:tcPr>
                <w:p w14:paraId="3EDEBC1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5.2</w:t>
                  </w:r>
                </w:p>
              </w:tc>
              <w:tc>
                <w:tcPr>
                  <w:tcW w:w="911" w:type="dxa"/>
                  <w:shd w:val="clear" w:color="auto" w:fill="auto"/>
                  <w:vAlign w:val="center"/>
                </w:tcPr>
                <w:p w14:paraId="2B66533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5.2</w:t>
                  </w:r>
                </w:p>
              </w:tc>
              <w:tc>
                <w:tcPr>
                  <w:tcW w:w="908" w:type="dxa"/>
                  <w:shd w:val="clear" w:color="auto" w:fill="auto"/>
                  <w:vAlign w:val="center"/>
                </w:tcPr>
                <w:p w14:paraId="695D308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B9154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48CD6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DB95CA8">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A74BF58">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1537ED2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BAD31B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3245</w:t>
                  </w:r>
                </w:p>
              </w:tc>
              <w:tc>
                <w:tcPr>
                  <w:tcW w:w="908" w:type="dxa"/>
                  <w:shd w:val="clear" w:color="auto" w:fill="auto"/>
                  <w:vAlign w:val="center"/>
                </w:tcPr>
                <w:p w14:paraId="18B6DFD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3264</w:t>
                  </w:r>
                </w:p>
              </w:tc>
              <w:tc>
                <w:tcPr>
                  <w:tcW w:w="911" w:type="dxa"/>
                  <w:shd w:val="clear" w:color="auto" w:fill="auto"/>
                  <w:vAlign w:val="center"/>
                </w:tcPr>
                <w:p w14:paraId="2A573D3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3237</w:t>
                  </w:r>
                </w:p>
              </w:tc>
              <w:tc>
                <w:tcPr>
                  <w:tcW w:w="908" w:type="dxa"/>
                  <w:shd w:val="clear" w:color="auto" w:fill="auto"/>
                  <w:vAlign w:val="center"/>
                </w:tcPr>
                <w:p w14:paraId="6534BB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D570B2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594998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3016B4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DD67AC1">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5FB7A2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AD4B2E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72F4DB9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11" w:type="dxa"/>
                  <w:shd w:val="clear" w:color="auto" w:fill="auto"/>
                  <w:vAlign w:val="center"/>
                </w:tcPr>
                <w:p w14:paraId="7958F0F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7048FA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FD3AED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C1081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4B347C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E5B1484">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94386A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6D86DC7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04BF228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78DC1F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2877CD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5DB013E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A9E1F70">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3A9BFD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1157" w:type="dxa"/>
                  <w:shd w:val="clear" w:color="auto" w:fill="auto"/>
                  <w:vAlign w:val="center"/>
                </w:tcPr>
                <w:p w14:paraId="17D83F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4F5C87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2.32</w:t>
                  </w:r>
                </w:p>
              </w:tc>
              <w:tc>
                <w:tcPr>
                  <w:tcW w:w="908" w:type="dxa"/>
                  <w:shd w:val="clear" w:color="auto" w:fill="auto"/>
                  <w:vAlign w:val="center"/>
                </w:tcPr>
                <w:p w14:paraId="3EB65DD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2.26</w:t>
                  </w:r>
                </w:p>
              </w:tc>
              <w:tc>
                <w:tcPr>
                  <w:tcW w:w="911" w:type="dxa"/>
                  <w:shd w:val="clear" w:color="auto" w:fill="auto"/>
                  <w:vAlign w:val="center"/>
                </w:tcPr>
                <w:p w14:paraId="1F46771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4.55</w:t>
                  </w:r>
                </w:p>
              </w:tc>
              <w:tc>
                <w:tcPr>
                  <w:tcW w:w="908" w:type="dxa"/>
                  <w:shd w:val="clear" w:color="auto" w:fill="auto"/>
                  <w:vAlign w:val="center"/>
                </w:tcPr>
                <w:p w14:paraId="19A4C280">
                  <w:pPr>
                    <w:jc w:val="center"/>
                    <w:rPr>
                      <w:rFonts w:hint="default" w:ascii="Times New Roman" w:hAnsi="Times New Roman" w:cs="Times New Roman" w:eastAsiaTheme="minorEastAsia"/>
                      <w:i w:val="0"/>
                      <w:iCs w:val="0"/>
                      <w:color w:val="auto"/>
                      <w:sz w:val="21"/>
                      <w:szCs w:val="21"/>
                      <w:highlight w:val="none"/>
                      <w:u w:val="none"/>
                    </w:rPr>
                  </w:pPr>
                  <w:r>
                    <w:rPr>
                      <w:rFonts w:hint="eastAsia" w:ascii="Times New Roman" w:hAnsi="Times New Roman" w:cs="Times New Roman" w:eastAsiaTheme="minorEastAsia"/>
                      <w:i w:val="0"/>
                      <w:iCs w:val="0"/>
                      <w:color w:val="auto"/>
                      <w:sz w:val="21"/>
                      <w:szCs w:val="21"/>
                      <w:highlight w:val="none"/>
                      <w:u w:val="none"/>
                      <w:lang w:val="en-US" w:eastAsia="zh-CN"/>
                    </w:rPr>
                    <w:t>120</w:t>
                  </w:r>
                </w:p>
              </w:tc>
              <w:tc>
                <w:tcPr>
                  <w:tcW w:w="908" w:type="dxa"/>
                  <w:tcBorders>
                    <w:right w:val="nil"/>
                  </w:tcBorders>
                  <w:shd w:val="clear" w:color="auto" w:fill="auto"/>
                  <w:vAlign w:val="center"/>
                </w:tcPr>
                <w:p w14:paraId="563E9AE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D9602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0023BB8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6546BF7">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2FC00DCA">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416713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57432A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0.008</w:t>
                  </w:r>
                </w:p>
              </w:tc>
              <w:tc>
                <w:tcPr>
                  <w:tcW w:w="908" w:type="dxa"/>
                  <w:shd w:val="clear" w:color="auto" w:fill="auto"/>
                  <w:vAlign w:val="center"/>
                </w:tcPr>
                <w:p w14:paraId="52D52D5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0.007</w:t>
                  </w:r>
                </w:p>
              </w:tc>
              <w:tc>
                <w:tcPr>
                  <w:tcW w:w="911" w:type="dxa"/>
                  <w:shd w:val="clear" w:color="auto" w:fill="auto"/>
                  <w:vAlign w:val="center"/>
                </w:tcPr>
                <w:p w14:paraId="61A99452">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0.015</w:t>
                  </w:r>
                </w:p>
              </w:tc>
              <w:tc>
                <w:tcPr>
                  <w:tcW w:w="908" w:type="dxa"/>
                  <w:shd w:val="clear" w:color="auto" w:fill="auto"/>
                  <w:vAlign w:val="center"/>
                </w:tcPr>
                <w:p w14:paraId="705D87A2">
                  <w:pPr>
                    <w:jc w:val="center"/>
                    <w:rPr>
                      <w:rFonts w:hint="default" w:ascii="Times New Roman" w:hAnsi="Times New Roman" w:cs="Times New Roman" w:eastAsiaTheme="minorEastAsia"/>
                      <w:i w:val="0"/>
                      <w:iCs w:val="0"/>
                      <w:color w:val="auto"/>
                      <w:sz w:val="21"/>
                      <w:szCs w:val="21"/>
                      <w:highlight w:val="none"/>
                      <w:u w:val="none"/>
                      <w:lang w:val="en-US"/>
                    </w:rPr>
                  </w:pPr>
                  <w:r>
                    <w:rPr>
                      <w:rFonts w:hint="eastAsia" w:cs="Times New Roman" w:eastAsiaTheme="minorEastAsia"/>
                      <w:i w:val="0"/>
                      <w:iCs w:val="0"/>
                      <w:color w:val="auto"/>
                      <w:sz w:val="21"/>
                      <w:szCs w:val="21"/>
                      <w:highlight w:val="none"/>
                      <w:u w:val="none"/>
                      <w:lang w:val="en-US" w:eastAsia="zh-CN"/>
                    </w:rPr>
                    <w:t>13.9</w:t>
                  </w:r>
                </w:p>
              </w:tc>
              <w:tc>
                <w:tcPr>
                  <w:tcW w:w="908" w:type="dxa"/>
                  <w:tcBorders>
                    <w:right w:val="nil"/>
                  </w:tcBorders>
                  <w:shd w:val="clear" w:color="auto" w:fill="auto"/>
                  <w:vAlign w:val="center"/>
                </w:tcPr>
                <w:p w14:paraId="10CA9F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72C6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013F7E28">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1D4B77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HP031-2021</w:t>
                  </w:r>
                  <w:r>
                    <w:rPr>
                      <w:rStyle w:val="113"/>
                      <w:rFonts w:hint="default" w:ascii="Times New Roman" w:hAnsi="Times New Roman" w:cs="Times New Roman" w:eastAsiaTheme="minorEastAsia"/>
                      <w:color w:val="auto"/>
                      <w:sz w:val="21"/>
                      <w:szCs w:val="21"/>
                      <w:highlight w:val="none"/>
                      <w:lang w:val="en-US" w:eastAsia="zh-CN" w:bidi="ar"/>
                    </w:rPr>
                    <w:t>排口（DA</w:t>
                  </w:r>
                  <w:r>
                    <w:rPr>
                      <w:rStyle w:val="113"/>
                      <w:rFonts w:hint="eastAsia" w:ascii="Times New Roman" w:hAnsi="Times New Roman" w:cs="Times New Roman" w:eastAsiaTheme="minorEastAsia"/>
                      <w:color w:val="auto"/>
                      <w:sz w:val="21"/>
                      <w:szCs w:val="21"/>
                      <w:highlight w:val="none"/>
                      <w:lang w:val="en-US" w:eastAsia="zh-CN" w:bidi="ar"/>
                    </w:rPr>
                    <w:t>0</w:t>
                  </w:r>
                  <w:r>
                    <w:rPr>
                      <w:rStyle w:val="113"/>
                      <w:rFonts w:hint="default" w:ascii="Times New Roman" w:hAnsi="Times New Roman" w:cs="Times New Roman" w:eastAsiaTheme="minorEastAsia"/>
                      <w:color w:val="auto"/>
                      <w:sz w:val="21"/>
                      <w:szCs w:val="21"/>
                      <w:highlight w:val="none"/>
                      <w:lang w:val="en-US" w:eastAsia="zh-CN" w:bidi="ar"/>
                    </w:rPr>
                    <w:t>1</w:t>
                  </w:r>
                  <w:r>
                    <w:rPr>
                      <w:rStyle w:val="113"/>
                      <w:rFonts w:hint="eastAsia" w:ascii="Times New Roman" w:hAnsi="Times New Roman" w:cs="Times New Roman" w:eastAsiaTheme="minorEastAsia"/>
                      <w:color w:val="auto"/>
                      <w:sz w:val="21"/>
                      <w:szCs w:val="21"/>
                      <w:highlight w:val="none"/>
                      <w:lang w:val="en-US" w:eastAsia="zh-CN" w:bidi="ar"/>
                    </w:rPr>
                    <w:t>3</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232CE39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E27496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16.4</w:t>
                  </w:r>
                </w:p>
              </w:tc>
              <w:tc>
                <w:tcPr>
                  <w:tcW w:w="908" w:type="dxa"/>
                  <w:shd w:val="clear" w:color="auto" w:fill="auto"/>
                  <w:vAlign w:val="center"/>
                </w:tcPr>
                <w:p w14:paraId="234B158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16.4</w:t>
                  </w:r>
                </w:p>
              </w:tc>
              <w:tc>
                <w:tcPr>
                  <w:tcW w:w="911" w:type="dxa"/>
                  <w:shd w:val="clear" w:color="auto" w:fill="auto"/>
                  <w:vAlign w:val="center"/>
                </w:tcPr>
                <w:p w14:paraId="6F428DA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16.5</w:t>
                  </w:r>
                </w:p>
              </w:tc>
              <w:tc>
                <w:tcPr>
                  <w:tcW w:w="908" w:type="dxa"/>
                  <w:shd w:val="clear" w:color="auto" w:fill="auto"/>
                  <w:vAlign w:val="center"/>
                </w:tcPr>
                <w:p w14:paraId="56D2F07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3C0D391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5EB9AD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51C3EF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288E4931">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684EC12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4A29B6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5.1</w:t>
                  </w:r>
                </w:p>
              </w:tc>
              <w:tc>
                <w:tcPr>
                  <w:tcW w:w="908" w:type="dxa"/>
                  <w:shd w:val="clear" w:color="auto" w:fill="auto"/>
                  <w:vAlign w:val="center"/>
                </w:tcPr>
                <w:p w14:paraId="2739277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5.1</w:t>
                  </w:r>
                </w:p>
              </w:tc>
              <w:tc>
                <w:tcPr>
                  <w:tcW w:w="911" w:type="dxa"/>
                  <w:shd w:val="clear" w:color="auto" w:fill="auto"/>
                  <w:vAlign w:val="center"/>
                </w:tcPr>
                <w:p w14:paraId="26C45A7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5.1</w:t>
                  </w:r>
                </w:p>
              </w:tc>
              <w:tc>
                <w:tcPr>
                  <w:tcW w:w="908" w:type="dxa"/>
                  <w:shd w:val="clear" w:color="auto" w:fill="auto"/>
                  <w:vAlign w:val="center"/>
                </w:tcPr>
                <w:p w14:paraId="431FE08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1829DE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E28EF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AA01F3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2DEBC21">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706BB92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51B1ED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3192</w:t>
                  </w:r>
                </w:p>
              </w:tc>
              <w:tc>
                <w:tcPr>
                  <w:tcW w:w="908" w:type="dxa"/>
                  <w:shd w:val="clear" w:color="auto" w:fill="auto"/>
                  <w:vAlign w:val="center"/>
                </w:tcPr>
                <w:p w14:paraId="1DCC4A0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3198</w:t>
                  </w:r>
                </w:p>
              </w:tc>
              <w:tc>
                <w:tcPr>
                  <w:tcW w:w="911" w:type="dxa"/>
                  <w:shd w:val="clear" w:color="auto" w:fill="auto"/>
                  <w:vAlign w:val="center"/>
                </w:tcPr>
                <w:p w14:paraId="3C94424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3176</w:t>
                  </w:r>
                </w:p>
              </w:tc>
              <w:tc>
                <w:tcPr>
                  <w:tcW w:w="908" w:type="dxa"/>
                  <w:shd w:val="clear" w:color="auto" w:fill="auto"/>
                  <w:vAlign w:val="center"/>
                </w:tcPr>
                <w:p w14:paraId="6B3D583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A402A5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06F10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6" w:hRule="atLeast"/>
                <w:jc w:val="center"/>
              </w:trPr>
              <w:tc>
                <w:tcPr>
                  <w:tcW w:w="681" w:type="dxa"/>
                  <w:vMerge w:val="continue"/>
                  <w:tcBorders>
                    <w:left w:val="nil"/>
                  </w:tcBorders>
                  <w:shd w:val="clear" w:color="auto" w:fill="auto"/>
                  <w:vAlign w:val="center"/>
                </w:tcPr>
                <w:p w14:paraId="58F5DC9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492D419">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8D97E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2CD11FB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2.5</w:t>
                  </w:r>
                </w:p>
              </w:tc>
              <w:tc>
                <w:tcPr>
                  <w:tcW w:w="908" w:type="dxa"/>
                  <w:shd w:val="clear" w:color="auto" w:fill="auto"/>
                  <w:vAlign w:val="center"/>
                </w:tcPr>
                <w:p w14:paraId="15570FA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2.5</w:t>
                  </w:r>
                </w:p>
              </w:tc>
              <w:tc>
                <w:tcPr>
                  <w:tcW w:w="911" w:type="dxa"/>
                  <w:shd w:val="clear" w:color="auto" w:fill="auto"/>
                  <w:vAlign w:val="center"/>
                </w:tcPr>
                <w:p w14:paraId="64CD2A3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2DF2281B">
                  <w:pPr>
                    <w:keepNext w:val="0"/>
                    <w:keepLines w:val="0"/>
                    <w:widowControl/>
                    <w:suppressLineNumbers w:val="0"/>
                    <w:jc w:val="center"/>
                    <w:textAlignment w:val="center"/>
                    <w:rPr>
                      <w:rFonts w:hint="eastAsia"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443F83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650D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6" w:hRule="atLeast"/>
                <w:jc w:val="center"/>
              </w:trPr>
              <w:tc>
                <w:tcPr>
                  <w:tcW w:w="681" w:type="dxa"/>
                  <w:vMerge w:val="continue"/>
                  <w:tcBorders>
                    <w:left w:val="nil"/>
                  </w:tcBorders>
                  <w:shd w:val="clear" w:color="auto" w:fill="auto"/>
                  <w:vAlign w:val="center"/>
                </w:tcPr>
                <w:p w14:paraId="5834082B">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6D1BA32">
                  <w:pPr>
                    <w:jc w:val="center"/>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1EEA493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6EC49BEF">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12A5998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EC95B0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2F165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23B22283">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1119F6F7">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0E79E40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1157" w:type="dxa"/>
                  <w:shd w:val="clear" w:color="auto" w:fill="auto"/>
                  <w:vAlign w:val="center"/>
                </w:tcPr>
                <w:p w14:paraId="4AD0DD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0E2C724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3.08</w:t>
                  </w:r>
                </w:p>
              </w:tc>
              <w:tc>
                <w:tcPr>
                  <w:tcW w:w="908" w:type="dxa"/>
                  <w:shd w:val="clear" w:color="auto" w:fill="auto"/>
                  <w:vAlign w:val="center"/>
                </w:tcPr>
                <w:p w14:paraId="0C3508B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3.87</w:t>
                  </w:r>
                </w:p>
              </w:tc>
              <w:tc>
                <w:tcPr>
                  <w:tcW w:w="911" w:type="dxa"/>
                  <w:shd w:val="clear" w:color="auto" w:fill="auto"/>
                  <w:vAlign w:val="center"/>
                </w:tcPr>
                <w:p w14:paraId="734A7D7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4.13</w:t>
                  </w:r>
                </w:p>
              </w:tc>
              <w:tc>
                <w:tcPr>
                  <w:tcW w:w="908" w:type="dxa"/>
                  <w:shd w:val="clear" w:color="auto" w:fill="auto"/>
                  <w:vAlign w:val="center"/>
                </w:tcPr>
                <w:p w14:paraId="168F6F92">
                  <w:pPr>
                    <w:jc w:val="center"/>
                    <w:rPr>
                      <w:rFonts w:hint="default" w:ascii="Times New Roman" w:hAnsi="Times New Roman" w:cs="Times New Roman" w:eastAsiaTheme="minorEastAsia"/>
                      <w:i w:val="0"/>
                      <w:iCs w:val="0"/>
                      <w:color w:val="auto"/>
                      <w:sz w:val="21"/>
                      <w:szCs w:val="21"/>
                      <w:highlight w:val="none"/>
                      <w:u w:val="none"/>
                    </w:rPr>
                  </w:pPr>
                  <w:r>
                    <w:rPr>
                      <w:rFonts w:hint="eastAsia" w:ascii="Times New Roman" w:hAnsi="Times New Roman" w:cs="Times New Roman" w:eastAsiaTheme="minorEastAsia"/>
                      <w:i w:val="0"/>
                      <w:iCs w:val="0"/>
                      <w:color w:val="auto"/>
                      <w:sz w:val="21"/>
                      <w:szCs w:val="21"/>
                      <w:highlight w:val="none"/>
                      <w:u w:val="none"/>
                      <w:lang w:val="en-US" w:eastAsia="zh-CN"/>
                    </w:rPr>
                    <w:t>120</w:t>
                  </w:r>
                </w:p>
              </w:tc>
              <w:tc>
                <w:tcPr>
                  <w:tcW w:w="908" w:type="dxa"/>
                  <w:tcBorders>
                    <w:right w:val="nil"/>
                  </w:tcBorders>
                  <w:shd w:val="clear" w:color="auto" w:fill="auto"/>
                  <w:vAlign w:val="center"/>
                </w:tcPr>
                <w:p w14:paraId="7EA7DD3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3BBC59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27B7EB1">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0E859946">
                  <w:pPr>
                    <w:jc w:val="center"/>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4BE8F996">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1118D45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22144E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0.010</w:t>
                  </w:r>
                </w:p>
              </w:tc>
              <w:tc>
                <w:tcPr>
                  <w:tcW w:w="908" w:type="dxa"/>
                  <w:shd w:val="clear" w:color="auto" w:fill="auto"/>
                  <w:vAlign w:val="center"/>
                </w:tcPr>
                <w:p w14:paraId="7820A7A3">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0.012</w:t>
                  </w:r>
                </w:p>
              </w:tc>
              <w:tc>
                <w:tcPr>
                  <w:tcW w:w="911" w:type="dxa"/>
                  <w:shd w:val="clear" w:color="auto" w:fill="auto"/>
                  <w:vAlign w:val="center"/>
                </w:tcPr>
                <w:p w14:paraId="5BB3648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0.013</w:t>
                  </w:r>
                </w:p>
              </w:tc>
              <w:tc>
                <w:tcPr>
                  <w:tcW w:w="908" w:type="dxa"/>
                  <w:shd w:val="clear" w:color="auto" w:fill="auto"/>
                  <w:vAlign w:val="center"/>
                </w:tcPr>
                <w:p w14:paraId="1E3F04CB">
                  <w:pPr>
                    <w:jc w:val="center"/>
                    <w:rPr>
                      <w:rFonts w:hint="default" w:ascii="Times New Roman" w:hAnsi="Times New Roman" w:cs="Times New Roman" w:eastAsiaTheme="minorEastAsia"/>
                      <w:i w:val="0"/>
                      <w:iCs w:val="0"/>
                      <w:color w:val="auto"/>
                      <w:sz w:val="21"/>
                      <w:szCs w:val="21"/>
                      <w:highlight w:val="none"/>
                      <w:u w:val="none"/>
                      <w:lang w:val="en-US"/>
                    </w:rPr>
                  </w:pPr>
                  <w:r>
                    <w:rPr>
                      <w:rFonts w:hint="eastAsia" w:cs="Times New Roman" w:eastAsiaTheme="minorEastAsia"/>
                      <w:i w:val="0"/>
                      <w:iCs w:val="0"/>
                      <w:color w:val="auto"/>
                      <w:sz w:val="21"/>
                      <w:szCs w:val="21"/>
                      <w:highlight w:val="none"/>
                      <w:u w:val="none"/>
                      <w:lang w:val="en-US" w:eastAsia="zh-CN"/>
                    </w:rPr>
                    <w:t>13.9</w:t>
                  </w:r>
                </w:p>
              </w:tc>
              <w:tc>
                <w:tcPr>
                  <w:tcW w:w="908" w:type="dxa"/>
                  <w:tcBorders>
                    <w:right w:val="nil"/>
                  </w:tcBorders>
                  <w:shd w:val="clear" w:color="auto" w:fill="auto"/>
                  <w:vAlign w:val="center"/>
                </w:tcPr>
                <w:p w14:paraId="0744784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78C76C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restart"/>
                  <w:tcBorders>
                    <w:left w:val="nil"/>
                  </w:tcBorders>
                  <w:shd w:val="clear" w:color="auto" w:fill="auto"/>
                  <w:vAlign w:val="center"/>
                </w:tcPr>
                <w:p w14:paraId="4DBE058D">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2024年1月4日</w:t>
                  </w:r>
                </w:p>
              </w:tc>
              <w:tc>
                <w:tcPr>
                  <w:tcW w:w="1186" w:type="dxa"/>
                  <w:vMerge w:val="restart"/>
                  <w:shd w:val="clear" w:color="auto" w:fill="auto"/>
                  <w:vAlign w:val="center"/>
                </w:tcPr>
                <w:p w14:paraId="54669EF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HP032-2021</w:t>
                  </w:r>
                  <w:r>
                    <w:rPr>
                      <w:rStyle w:val="113"/>
                      <w:rFonts w:hint="default" w:ascii="Times New Roman" w:hAnsi="Times New Roman" w:cs="Times New Roman" w:eastAsiaTheme="minorEastAsia"/>
                      <w:color w:val="auto"/>
                      <w:sz w:val="21"/>
                      <w:szCs w:val="21"/>
                      <w:highlight w:val="none"/>
                      <w:lang w:val="en-US" w:eastAsia="zh-CN" w:bidi="ar"/>
                    </w:rPr>
                    <w:t>排口（DA</w:t>
                  </w:r>
                  <w:r>
                    <w:rPr>
                      <w:rStyle w:val="113"/>
                      <w:rFonts w:hint="eastAsia" w:ascii="Times New Roman" w:hAnsi="Times New Roman" w:cs="Times New Roman" w:eastAsiaTheme="minorEastAsia"/>
                      <w:color w:val="auto"/>
                      <w:sz w:val="21"/>
                      <w:szCs w:val="21"/>
                      <w:highlight w:val="none"/>
                      <w:lang w:val="en-US" w:eastAsia="zh-CN" w:bidi="ar"/>
                    </w:rPr>
                    <w:t>0</w:t>
                  </w:r>
                  <w:r>
                    <w:rPr>
                      <w:rStyle w:val="113"/>
                      <w:rFonts w:hint="default" w:ascii="Times New Roman" w:hAnsi="Times New Roman" w:cs="Times New Roman" w:eastAsiaTheme="minorEastAsia"/>
                      <w:color w:val="auto"/>
                      <w:sz w:val="21"/>
                      <w:szCs w:val="21"/>
                      <w:highlight w:val="none"/>
                      <w:lang w:val="en-US" w:eastAsia="zh-CN" w:bidi="ar"/>
                    </w:rPr>
                    <w:t>1</w:t>
                  </w:r>
                  <w:r>
                    <w:rPr>
                      <w:rStyle w:val="113"/>
                      <w:rFonts w:hint="eastAsia" w:ascii="Times New Roman" w:hAnsi="Times New Roman" w:cs="Times New Roman" w:eastAsiaTheme="minorEastAsia"/>
                      <w:color w:val="auto"/>
                      <w:sz w:val="21"/>
                      <w:szCs w:val="21"/>
                      <w:highlight w:val="none"/>
                      <w:lang w:val="en-US" w:eastAsia="zh-CN" w:bidi="ar"/>
                    </w:rPr>
                    <w:t>4</w:t>
                  </w:r>
                  <w:r>
                    <w:rPr>
                      <w:rStyle w:val="113"/>
                      <w:rFonts w:hint="default" w:ascii="Times New Roman" w:hAnsi="Times New Roman" w:cs="Times New Roman" w:eastAsiaTheme="minorEastAsia"/>
                      <w:color w:val="auto"/>
                      <w:sz w:val="21"/>
                      <w:szCs w:val="21"/>
                      <w:highlight w:val="none"/>
                      <w:lang w:val="en-US" w:eastAsia="zh-CN" w:bidi="ar"/>
                    </w:rPr>
                    <w:t>）</w:t>
                  </w:r>
                </w:p>
              </w:tc>
              <w:tc>
                <w:tcPr>
                  <w:tcW w:w="1767" w:type="dxa"/>
                  <w:gridSpan w:val="2"/>
                  <w:shd w:val="clear" w:color="auto" w:fill="auto"/>
                  <w:vAlign w:val="center"/>
                </w:tcPr>
                <w:p w14:paraId="4287616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烟气温度（</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17FC0078">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18.9</w:t>
                  </w:r>
                </w:p>
              </w:tc>
              <w:tc>
                <w:tcPr>
                  <w:tcW w:w="908" w:type="dxa"/>
                  <w:shd w:val="clear" w:color="auto" w:fill="auto"/>
                  <w:vAlign w:val="center"/>
                </w:tcPr>
                <w:p w14:paraId="515B795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189</w:t>
                  </w:r>
                </w:p>
              </w:tc>
              <w:tc>
                <w:tcPr>
                  <w:tcW w:w="911" w:type="dxa"/>
                  <w:shd w:val="clear" w:color="auto" w:fill="auto"/>
                  <w:vAlign w:val="center"/>
                </w:tcPr>
                <w:p w14:paraId="77D0B3AE">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18.8</w:t>
                  </w:r>
                </w:p>
              </w:tc>
              <w:tc>
                <w:tcPr>
                  <w:tcW w:w="908" w:type="dxa"/>
                  <w:shd w:val="clear" w:color="auto" w:fill="auto"/>
                  <w:vAlign w:val="center"/>
                </w:tcPr>
                <w:p w14:paraId="16A1BFE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664F240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43F3F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1BD253B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594C33A">
                  <w:pPr>
                    <w:jc w:val="both"/>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52B5BC7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烟气流速</w:t>
                  </w:r>
                  <w:r>
                    <w:rPr>
                      <w:rStyle w:val="114"/>
                      <w:rFonts w:hint="default" w:ascii="Times New Roman" w:hAnsi="Times New Roman" w:cs="Times New Roman" w:eastAsiaTheme="minorEastAsia"/>
                      <w:color w:val="auto"/>
                      <w:sz w:val="21"/>
                      <w:szCs w:val="21"/>
                      <w:highlight w:val="none"/>
                      <w:lang w:val="en-US" w:eastAsia="zh-CN" w:bidi="ar"/>
                    </w:rPr>
                    <w:t>(m/s</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73B3689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4.0</w:t>
                  </w:r>
                </w:p>
              </w:tc>
              <w:tc>
                <w:tcPr>
                  <w:tcW w:w="908" w:type="dxa"/>
                  <w:shd w:val="clear" w:color="auto" w:fill="auto"/>
                  <w:vAlign w:val="center"/>
                </w:tcPr>
                <w:p w14:paraId="5DEF260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3.7</w:t>
                  </w:r>
                </w:p>
              </w:tc>
              <w:tc>
                <w:tcPr>
                  <w:tcW w:w="911" w:type="dxa"/>
                  <w:shd w:val="clear" w:color="auto" w:fill="auto"/>
                  <w:vAlign w:val="center"/>
                </w:tcPr>
                <w:p w14:paraId="2EB9DDDA">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4.0</w:t>
                  </w:r>
                </w:p>
              </w:tc>
              <w:tc>
                <w:tcPr>
                  <w:tcW w:w="908" w:type="dxa"/>
                  <w:shd w:val="clear" w:color="auto" w:fill="auto"/>
                  <w:vAlign w:val="center"/>
                </w:tcPr>
                <w:p w14:paraId="18DCA34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0F53A87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63F6CE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7988350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6474396E">
                  <w:pPr>
                    <w:jc w:val="both"/>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30549FD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标况流量（</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3</w:t>
                  </w:r>
                  <w:r>
                    <w:rPr>
                      <w:rStyle w:val="114"/>
                      <w:rFonts w:hint="default" w:ascii="Times New Roman" w:hAnsi="Times New Roman" w:cs="Times New Roman" w:eastAsiaTheme="minorEastAsia"/>
                      <w:color w:val="auto"/>
                      <w:sz w:val="21"/>
                      <w:szCs w:val="21"/>
                      <w:highlight w:val="none"/>
                      <w:lang w:val="en-US" w:eastAsia="zh-CN" w:bidi="ar"/>
                    </w:rPr>
                    <w:t>/h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D4F64F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2457</w:t>
                  </w:r>
                </w:p>
              </w:tc>
              <w:tc>
                <w:tcPr>
                  <w:tcW w:w="908" w:type="dxa"/>
                  <w:shd w:val="clear" w:color="auto" w:fill="auto"/>
                  <w:vAlign w:val="center"/>
                </w:tcPr>
                <w:p w14:paraId="27219E16">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2304</w:t>
                  </w:r>
                </w:p>
              </w:tc>
              <w:tc>
                <w:tcPr>
                  <w:tcW w:w="911" w:type="dxa"/>
                  <w:shd w:val="clear" w:color="auto" w:fill="auto"/>
                  <w:vAlign w:val="center"/>
                </w:tcPr>
                <w:p w14:paraId="284402D7">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2457</w:t>
                  </w:r>
                </w:p>
              </w:tc>
              <w:tc>
                <w:tcPr>
                  <w:tcW w:w="908" w:type="dxa"/>
                  <w:shd w:val="clear" w:color="auto" w:fill="auto"/>
                  <w:vAlign w:val="center"/>
                </w:tcPr>
                <w:p w14:paraId="214D705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29ECC21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77C82B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32A943F">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4EF8DDAC">
                  <w:pPr>
                    <w:jc w:val="both"/>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2B44B8F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含湿量（</w:t>
                  </w:r>
                  <w:r>
                    <w:rPr>
                      <w:rStyle w:val="114"/>
                      <w:rFonts w:hint="default" w:ascii="Times New Roman" w:hAnsi="Times New Roman" w:cs="Times New Roman" w:eastAsiaTheme="minorEastAsia"/>
                      <w:color w:val="auto"/>
                      <w:sz w:val="21"/>
                      <w:szCs w:val="21"/>
                      <w:highlight w:val="none"/>
                      <w:lang w:val="en-US" w:eastAsia="zh-CN" w:bidi="ar"/>
                    </w:rPr>
                    <w:t>%</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307B615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1ED0366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11" w:type="dxa"/>
                  <w:shd w:val="clear" w:color="auto" w:fill="auto"/>
                  <w:vAlign w:val="center"/>
                </w:tcPr>
                <w:p w14:paraId="7C458061">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2.4</w:t>
                  </w:r>
                </w:p>
              </w:tc>
              <w:tc>
                <w:tcPr>
                  <w:tcW w:w="908" w:type="dxa"/>
                  <w:shd w:val="clear" w:color="auto" w:fill="auto"/>
                  <w:vAlign w:val="center"/>
                </w:tcPr>
                <w:p w14:paraId="13604B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5E7B532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16B5FE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36D344DA">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3E5EFFF9">
                  <w:pPr>
                    <w:jc w:val="both"/>
                    <w:rPr>
                      <w:rFonts w:hint="default" w:ascii="Times New Roman" w:hAnsi="Times New Roman" w:cs="Times New Roman" w:eastAsiaTheme="minorEastAsia"/>
                      <w:i w:val="0"/>
                      <w:iCs w:val="0"/>
                      <w:color w:val="auto"/>
                      <w:sz w:val="21"/>
                      <w:szCs w:val="21"/>
                      <w:highlight w:val="none"/>
                      <w:u w:val="none"/>
                    </w:rPr>
                  </w:pPr>
                </w:p>
              </w:tc>
              <w:tc>
                <w:tcPr>
                  <w:tcW w:w="1767" w:type="dxa"/>
                  <w:gridSpan w:val="2"/>
                  <w:shd w:val="clear" w:color="auto" w:fill="auto"/>
                  <w:vAlign w:val="center"/>
                </w:tcPr>
                <w:p w14:paraId="0718F7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烟道截面积（</w:t>
                  </w:r>
                  <w:r>
                    <w:rPr>
                      <w:rStyle w:val="114"/>
                      <w:rFonts w:hint="default" w:ascii="Times New Roman" w:hAnsi="Times New Roman" w:cs="Times New Roman" w:eastAsiaTheme="minorEastAsia"/>
                      <w:color w:val="auto"/>
                      <w:sz w:val="21"/>
                      <w:szCs w:val="21"/>
                      <w:highlight w:val="none"/>
                      <w:lang w:val="en-US" w:eastAsia="zh-CN" w:bidi="ar"/>
                    </w:rPr>
                    <w:t>m</w:t>
                  </w:r>
                  <w:r>
                    <w:rPr>
                      <w:rStyle w:val="115"/>
                      <w:rFonts w:hint="default" w:ascii="Times New Roman" w:hAnsi="Times New Roman" w:cs="Times New Roman" w:eastAsiaTheme="minorEastAsia"/>
                      <w:color w:val="auto"/>
                      <w:sz w:val="21"/>
                      <w:szCs w:val="21"/>
                      <w:highlight w:val="none"/>
                      <w:lang w:val="en-US" w:eastAsia="zh-CN" w:bidi="ar"/>
                    </w:rPr>
                    <w:t>2</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2727" w:type="dxa"/>
                  <w:gridSpan w:val="3"/>
                  <w:shd w:val="clear" w:color="auto" w:fill="auto"/>
                  <w:vAlign w:val="center"/>
                </w:tcPr>
                <w:p w14:paraId="75823585">
                  <w:pPr>
                    <w:jc w:val="center"/>
                    <w:rPr>
                      <w:rFonts w:hint="default" w:ascii="Times New Roman" w:hAnsi="Times New Roman" w:cs="Times New Roman" w:eastAsiaTheme="minorEastAsia"/>
                      <w:i w:val="0"/>
                      <w:iCs w:val="0"/>
                      <w:color w:val="auto"/>
                      <w:sz w:val="21"/>
                      <w:szCs w:val="21"/>
                      <w:highlight w:val="none"/>
                      <w:u w:val="none"/>
                      <w:lang w:val="en-US"/>
                    </w:rPr>
                  </w:pPr>
                  <w:r>
                    <w:rPr>
                      <w:rFonts w:hint="default" w:ascii="Times New Roman" w:hAnsi="Times New Roman" w:cs="Times New Roman" w:eastAsiaTheme="minorEastAsia"/>
                      <w:i w:val="0"/>
                      <w:iCs w:val="0"/>
                      <w:color w:val="auto"/>
                      <w:sz w:val="21"/>
                      <w:szCs w:val="21"/>
                      <w:highlight w:val="none"/>
                      <w:u w:val="none"/>
                      <w:lang w:val="en-US" w:eastAsia="zh-CN"/>
                    </w:rPr>
                    <w:t>0.196</w:t>
                  </w:r>
                </w:p>
              </w:tc>
              <w:tc>
                <w:tcPr>
                  <w:tcW w:w="908" w:type="dxa"/>
                  <w:shd w:val="clear" w:color="auto" w:fill="auto"/>
                  <w:vAlign w:val="center"/>
                </w:tcPr>
                <w:p w14:paraId="024B83B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tcBorders>
                    <w:right w:val="nil"/>
                  </w:tcBorders>
                  <w:shd w:val="clear" w:color="auto" w:fill="auto"/>
                  <w:vAlign w:val="center"/>
                </w:tcPr>
                <w:p w14:paraId="134B15D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r>
            <w:tr w14:paraId="38D311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62FB4037">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53468652">
                  <w:pPr>
                    <w:jc w:val="both"/>
                    <w:rPr>
                      <w:rFonts w:hint="default" w:ascii="Times New Roman" w:hAnsi="Times New Roman" w:cs="Times New Roman" w:eastAsiaTheme="minorEastAsia"/>
                      <w:i w:val="0"/>
                      <w:iCs w:val="0"/>
                      <w:color w:val="auto"/>
                      <w:sz w:val="21"/>
                      <w:szCs w:val="21"/>
                      <w:highlight w:val="none"/>
                      <w:u w:val="none"/>
                    </w:rPr>
                  </w:pPr>
                </w:p>
              </w:tc>
              <w:tc>
                <w:tcPr>
                  <w:tcW w:w="610" w:type="dxa"/>
                  <w:vMerge w:val="restart"/>
                  <w:shd w:val="clear" w:color="auto" w:fill="auto"/>
                  <w:vAlign w:val="center"/>
                </w:tcPr>
                <w:p w14:paraId="195F359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1157" w:type="dxa"/>
                  <w:shd w:val="clear" w:color="auto" w:fill="auto"/>
                  <w:vAlign w:val="center"/>
                </w:tcPr>
                <w:p w14:paraId="50DDA59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排放浓度（</w:t>
                  </w:r>
                  <w:r>
                    <w:rPr>
                      <w:rStyle w:val="114"/>
                      <w:rFonts w:hint="default" w:ascii="Times New Roman" w:hAnsi="Times New Roman" w:cs="Times New Roman" w:eastAsiaTheme="minorEastAsia"/>
                      <w:color w:val="auto"/>
                      <w:sz w:val="21"/>
                      <w:szCs w:val="21"/>
                      <w:highlight w:val="none"/>
                      <w:lang w:val="en-US" w:eastAsia="zh-CN" w:bidi="ar"/>
                    </w:rPr>
                    <w:t>mg/m</w:t>
                  </w:r>
                  <w:r>
                    <w:rPr>
                      <w:rStyle w:val="115"/>
                      <w:rFonts w:hint="default" w:ascii="Times New Roman" w:hAnsi="Times New Roman" w:cs="Times New Roman" w:eastAsiaTheme="minorEastAsia"/>
                      <w:color w:val="auto"/>
                      <w:sz w:val="21"/>
                      <w:szCs w:val="21"/>
                      <w:highlight w:val="none"/>
                      <w:lang w:val="en-US" w:eastAsia="zh-CN" w:bidi="ar"/>
                    </w:rPr>
                    <w:t>3</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54B2DEA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17.5</w:t>
                  </w:r>
                </w:p>
              </w:tc>
              <w:tc>
                <w:tcPr>
                  <w:tcW w:w="908" w:type="dxa"/>
                  <w:shd w:val="clear" w:color="auto" w:fill="auto"/>
                  <w:vAlign w:val="center"/>
                </w:tcPr>
                <w:p w14:paraId="3FC2643B">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13.6</w:t>
                  </w:r>
                </w:p>
              </w:tc>
              <w:tc>
                <w:tcPr>
                  <w:tcW w:w="911" w:type="dxa"/>
                  <w:shd w:val="clear" w:color="auto" w:fill="auto"/>
                  <w:vAlign w:val="center"/>
                </w:tcPr>
                <w:p w14:paraId="61051060">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16.1</w:t>
                  </w:r>
                </w:p>
              </w:tc>
              <w:tc>
                <w:tcPr>
                  <w:tcW w:w="908" w:type="dxa"/>
                  <w:shd w:val="clear" w:color="auto" w:fill="auto"/>
                  <w:vAlign w:val="center"/>
                </w:tcPr>
                <w:p w14:paraId="5697DDA5">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120</w:t>
                  </w:r>
                </w:p>
              </w:tc>
              <w:tc>
                <w:tcPr>
                  <w:tcW w:w="908" w:type="dxa"/>
                  <w:tcBorders>
                    <w:right w:val="nil"/>
                  </w:tcBorders>
                  <w:shd w:val="clear" w:color="auto" w:fill="auto"/>
                  <w:vAlign w:val="center"/>
                </w:tcPr>
                <w:p w14:paraId="631837C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07C85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81" w:type="dxa"/>
                  <w:vMerge w:val="continue"/>
                  <w:tcBorders>
                    <w:left w:val="nil"/>
                  </w:tcBorders>
                  <w:shd w:val="clear" w:color="auto" w:fill="auto"/>
                  <w:vAlign w:val="center"/>
                </w:tcPr>
                <w:p w14:paraId="45759D72">
                  <w:pPr>
                    <w:jc w:val="both"/>
                    <w:rPr>
                      <w:rFonts w:hint="default" w:ascii="Times New Roman" w:hAnsi="Times New Roman" w:cs="Times New Roman" w:eastAsiaTheme="minorEastAsia"/>
                      <w:i w:val="0"/>
                      <w:iCs w:val="0"/>
                      <w:color w:val="auto"/>
                      <w:sz w:val="21"/>
                      <w:szCs w:val="21"/>
                      <w:highlight w:val="none"/>
                      <w:u w:val="none"/>
                    </w:rPr>
                  </w:pPr>
                </w:p>
              </w:tc>
              <w:tc>
                <w:tcPr>
                  <w:tcW w:w="1186" w:type="dxa"/>
                  <w:vMerge w:val="continue"/>
                  <w:shd w:val="clear" w:color="auto" w:fill="auto"/>
                  <w:vAlign w:val="center"/>
                </w:tcPr>
                <w:p w14:paraId="7A9C83B6">
                  <w:pPr>
                    <w:jc w:val="both"/>
                    <w:rPr>
                      <w:rFonts w:hint="default" w:ascii="Times New Roman" w:hAnsi="Times New Roman" w:cs="Times New Roman" w:eastAsiaTheme="minorEastAsia"/>
                      <w:i w:val="0"/>
                      <w:iCs w:val="0"/>
                      <w:color w:val="auto"/>
                      <w:sz w:val="21"/>
                      <w:szCs w:val="21"/>
                      <w:highlight w:val="none"/>
                      <w:u w:val="none"/>
                    </w:rPr>
                  </w:pPr>
                </w:p>
              </w:tc>
              <w:tc>
                <w:tcPr>
                  <w:tcW w:w="610" w:type="dxa"/>
                  <w:vMerge w:val="continue"/>
                  <w:shd w:val="clear" w:color="auto" w:fill="auto"/>
                  <w:vAlign w:val="center"/>
                </w:tcPr>
                <w:p w14:paraId="4D02AAB2">
                  <w:pPr>
                    <w:jc w:val="center"/>
                    <w:rPr>
                      <w:rFonts w:hint="default" w:ascii="Times New Roman" w:hAnsi="Times New Roman" w:cs="Times New Roman" w:eastAsiaTheme="minorEastAsia"/>
                      <w:i w:val="0"/>
                      <w:iCs w:val="0"/>
                      <w:color w:val="auto"/>
                      <w:sz w:val="21"/>
                      <w:szCs w:val="21"/>
                      <w:highlight w:val="none"/>
                      <w:u w:val="none"/>
                    </w:rPr>
                  </w:pPr>
                </w:p>
              </w:tc>
              <w:tc>
                <w:tcPr>
                  <w:tcW w:w="1157" w:type="dxa"/>
                  <w:shd w:val="clear" w:color="auto" w:fill="auto"/>
                  <w:vAlign w:val="center"/>
                </w:tcPr>
                <w:p w14:paraId="4A9C66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排放速率（</w:t>
                  </w:r>
                  <w:r>
                    <w:rPr>
                      <w:rStyle w:val="114"/>
                      <w:rFonts w:hint="default" w:ascii="Times New Roman" w:hAnsi="Times New Roman" w:cs="Times New Roman" w:eastAsiaTheme="minorEastAsia"/>
                      <w:color w:val="auto"/>
                      <w:sz w:val="21"/>
                      <w:szCs w:val="21"/>
                      <w:highlight w:val="none"/>
                      <w:lang w:val="en-US" w:eastAsia="zh-CN" w:bidi="ar"/>
                    </w:rPr>
                    <w:t>kg/h</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908" w:type="dxa"/>
                  <w:shd w:val="clear" w:color="auto" w:fill="auto"/>
                  <w:vAlign w:val="center"/>
                </w:tcPr>
                <w:p w14:paraId="40B3DA04">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0.043</w:t>
                  </w:r>
                </w:p>
              </w:tc>
              <w:tc>
                <w:tcPr>
                  <w:tcW w:w="908" w:type="dxa"/>
                  <w:shd w:val="clear" w:color="auto" w:fill="auto"/>
                  <w:vAlign w:val="center"/>
                </w:tcPr>
                <w:p w14:paraId="4D851E4C">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0.031</w:t>
                  </w:r>
                </w:p>
              </w:tc>
              <w:tc>
                <w:tcPr>
                  <w:tcW w:w="911" w:type="dxa"/>
                  <w:shd w:val="clear" w:color="auto" w:fill="auto"/>
                  <w:vAlign w:val="center"/>
                </w:tcPr>
                <w:p w14:paraId="03903279">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ascii="Times New Roman" w:hAnsi="Times New Roman" w:cs="Times New Roman" w:eastAsiaTheme="minorEastAsia"/>
                      <w:i w:val="0"/>
                      <w:iCs w:val="0"/>
                      <w:color w:val="auto"/>
                      <w:sz w:val="21"/>
                      <w:szCs w:val="21"/>
                      <w:highlight w:val="none"/>
                      <w:u w:val="none"/>
                      <w:lang w:val="en-US" w:eastAsia="zh-CN"/>
                    </w:rPr>
                    <w:t>0.040</w:t>
                  </w:r>
                </w:p>
              </w:tc>
              <w:tc>
                <w:tcPr>
                  <w:tcW w:w="908" w:type="dxa"/>
                  <w:shd w:val="clear" w:color="auto" w:fill="auto"/>
                  <w:vAlign w:val="center"/>
                </w:tcPr>
                <w:p w14:paraId="5F8DEFDD">
                  <w:pPr>
                    <w:jc w:val="center"/>
                    <w:rPr>
                      <w:rFonts w:hint="default" w:ascii="Times New Roman" w:hAnsi="Times New Roman" w:cs="Times New Roman" w:eastAsiaTheme="minorEastAsia"/>
                      <w:i w:val="0"/>
                      <w:iCs w:val="0"/>
                      <w:color w:val="auto"/>
                      <w:sz w:val="21"/>
                      <w:szCs w:val="21"/>
                      <w:highlight w:val="none"/>
                      <w:u w:val="none"/>
                      <w:lang w:val="en-US" w:eastAsia="zh-CN"/>
                    </w:rPr>
                  </w:pPr>
                  <w:r>
                    <w:rPr>
                      <w:rFonts w:hint="eastAsia" w:cs="Times New Roman" w:eastAsiaTheme="minorEastAsia"/>
                      <w:i w:val="0"/>
                      <w:iCs w:val="0"/>
                      <w:color w:val="auto"/>
                      <w:sz w:val="21"/>
                      <w:szCs w:val="21"/>
                      <w:highlight w:val="none"/>
                      <w:u w:val="none"/>
                      <w:lang w:val="en-US" w:eastAsia="zh-CN"/>
                    </w:rPr>
                    <w:t>13.9</w:t>
                  </w:r>
                </w:p>
              </w:tc>
              <w:tc>
                <w:tcPr>
                  <w:tcW w:w="908" w:type="dxa"/>
                  <w:tcBorders>
                    <w:right w:val="nil"/>
                  </w:tcBorders>
                  <w:shd w:val="clear" w:color="auto" w:fill="auto"/>
                  <w:noWrap/>
                  <w:vAlign w:val="center"/>
                </w:tcPr>
                <w:p w14:paraId="175303E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是</w:t>
                  </w:r>
                </w:p>
              </w:tc>
            </w:tr>
            <w:tr w14:paraId="42716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8177" w:type="dxa"/>
                  <w:gridSpan w:val="9"/>
                  <w:tcBorders>
                    <w:left w:val="nil"/>
                    <w:right w:val="nil"/>
                  </w:tcBorders>
                  <w:shd w:val="clear" w:color="auto" w:fill="auto"/>
                  <w:vAlign w:val="center"/>
                </w:tcPr>
                <w:p w14:paraId="0B41AF36">
                  <w:pPr>
                    <w:keepNext w:val="0"/>
                    <w:keepLines w:val="0"/>
                    <w:widowControl/>
                    <w:suppressLineNumbers w:val="0"/>
                    <w:jc w:val="left"/>
                    <w:textAlignment w:val="center"/>
                    <w:rPr>
                      <w:rFonts w:hint="eastAsia" w:cs="Times New Roman" w:eastAsiaTheme="minorEastAsia"/>
                      <w:b w:val="0"/>
                      <w:bCs w:val="0"/>
                      <w:i w:val="0"/>
                      <w:iCs w:val="0"/>
                      <w:color w:val="auto"/>
                      <w:kern w:val="0"/>
                      <w:sz w:val="21"/>
                      <w:szCs w:val="21"/>
                      <w:highlight w:val="none"/>
                      <w:u w:val="none"/>
                      <w:lang w:val="en-US" w:eastAsia="zh-CN" w:bidi="ar"/>
                    </w:rPr>
                  </w:pPr>
                  <w:r>
                    <w:rPr>
                      <w:rFonts w:hint="eastAsia" w:cs="Times New Roman" w:eastAsiaTheme="minorEastAsia"/>
                      <w:b w:val="0"/>
                      <w:bCs w:val="0"/>
                      <w:i w:val="0"/>
                      <w:iCs w:val="0"/>
                      <w:color w:val="auto"/>
                      <w:kern w:val="0"/>
                      <w:sz w:val="21"/>
                      <w:szCs w:val="21"/>
                      <w:highlight w:val="none"/>
                      <w:u w:val="none"/>
                      <w:lang w:val="en-US" w:eastAsia="zh-CN" w:bidi="ar"/>
                    </w:rPr>
                    <w:t>注：1.氯化氢、非甲烷总烃排放速率严于标准限值50%执行；</w:t>
                  </w:r>
                </w:p>
                <w:p w14:paraId="3B18084B">
                  <w:pPr>
                    <w:keepNext w:val="0"/>
                    <w:keepLines w:val="0"/>
                    <w:widowControl/>
                    <w:numPr>
                      <w:ilvl w:val="0"/>
                      <w:numId w:val="0"/>
                    </w:numPr>
                    <w:suppressLineNumbers w:val="0"/>
                    <w:ind w:firstLine="420" w:firstLineChars="200"/>
                    <w:jc w:val="left"/>
                    <w:textAlignment w:val="center"/>
                    <w:rPr>
                      <w:rFonts w:hint="default" w:cs="Times New Roman" w:eastAsiaTheme="minorEastAsia"/>
                      <w:b w:val="0"/>
                      <w:bCs w:val="0"/>
                      <w:i w:val="0"/>
                      <w:iCs w:val="0"/>
                      <w:color w:val="auto"/>
                      <w:kern w:val="0"/>
                      <w:sz w:val="21"/>
                      <w:szCs w:val="21"/>
                      <w:highlight w:val="none"/>
                      <w:u w:val="none"/>
                      <w:lang w:val="en-US" w:eastAsia="zh-CN" w:bidi="ar"/>
                    </w:rPr>
                  </w:pPr>
                  <w:r>
                    <w:rPr>
                      <w:rFonts w:hint="eastAsia" w:cs="Times New Roman" w:eastAsiaTheme="minorEastAsia"/>
                      <w:b w:val="0"/>
                      <w:bCs w:val="0"/>
                      <w:i w:val="0"/>
                      <w:iCs w:val="0"/>
                      <w:color w:val="auto"/>
                      <w:kern w:val="0"/>
                      <w:sz w:val="21"/>
                      <w:szCs w:val="21"/>
                      <w:highlight w:val="none"/>
                      <w:u w:val="none"/>
                      <w:lang w:val="en-US" w:eastAsia="zh-CN" w:bidi="ar"/>
                    </w:rPr>
                    <w:t>2.现有工程DA001~DA010排气筒污染物均为氯化氢，参照《建设项目竣工环境保护验收技术指南 污染影响类》监测频次原则，对型号、功能相同的多个小型环境保护设施处理效率监测和污染物排放监测，可采用随机抽测方法进行，现有工程随机抽测设施数量比例不小于总数量的50％，因此未DA004、DA006排气筒未进行监测；</w:t>
                  </w:r>
                </w:p>
                <w:p w14:paraId="32F5F5E1">
                  <w:pPr>
                    <w:keepNext w:val="0"/>
                    <w:keepLines w:val="0"/>
                    <w:widowControl/>
                    <w:numPr>
                      <w:ilvl w:val="0"/>
                      <w:numId w:val="0"/>
                    </w:numPr>
                    <w:suppressLineNumbers w:val="0"/>
                    <w:ind w:firstLine="420" w:firstLineChars="200"/>
                    <w:jc w:val="left"/>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b w:val="0"/>
                      <w:bCs w:val="0"/>
                      <w:i w:val="0"/>
                      <w:iCs w:val="0"/>
                      <w:color w:val="auto"/>
                      <w:kern w:val="0"/>
                      <w:sz w:val="21"/>
                      <w:szCs w:val="21"/>
                      <w:highlight w:val="none"/>
                      <w:u w:val="none"/>
                      <w:lang w:val="en-US" w:eastAsia="zh-CN" w:bidi="ar"/>
                    </w:rPr>
                    <w:t>3.现有工程DA011排气筒对应的实验室未运行，因此未进行监测。</w:t>
                  </w:r>
                </w:p>
              </w:tc>
            </w:tr>
          </w:tbl>
          <w:p w14:paraId="739F0E53">
            <w:pPr>
              <w:keepNext w:val="0"/>
              <w:keepLines w:val="0"/>
              <w:pageBreakBefore w:val="0"/>
              <w:widowControl w:val="0"/>
              <w:kinsoku/>
              <w:wordWrap/>
              <w:overflowPunct/>
              <w:topLinePunct w:val="0"/>
              <w:autoSpaceDE/>
              <w:autoSpaceDN/>
              <w:bidi w:val="0"/>
              <w:adjustRightInd w:val="0"/>
              <w:snapToGrid w:val="0"/>
              <w:spacing w:before="157" w:beforeLines="50" w:line="240" w:lineRule="auto"/>
              <w:jc w:val="center"/>
              <w:textAlignment w:val="auto"/>
              <w:rPr>
                <w:rFonts w:hint="default"/>
                <w:b/>
                <w:bCs w:val="0"/>
                <w:color w:val="auto"/>
                <w:sz w:val="21"/>
                <w:szCs w:val="21"/>
                <w:highlight w:val="none"/>
                <w:lang w:val="en-US" w:eastAsia="zh-CN"/>
              </w:rPr>
            </w:pPr>
            <w:r>
              <w:rPr>
                <w:rFonts w:hint="eastAsia"/>
                <w:b/>
                <w:bCs w:val="0"/>
                <w:color w:val="auto"/>
                <w:sz w:val="21"/>
                <w:szCs w:val="21"/>
                <w:highlight w:val="none"/>
                <w:lang w:val="en-US" w:eastAsia="zh-CN"/>
              </w:rPr>
              <w:t>表2-10   厂界无组织废气排放浓度监测结果</w:t>
            </w:r>
          </w:p>
          <w:tbl>
            <w:tblPr>
              <w:tblStyle w:val="27"/>
              <w:tblW w:w="4988" w:type="pct"/>
              <w:tblInd w:w="17" w:type="dxa"/>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80"/>
              <w:gridCol w:w="753"/>
              <w:gridCol w:w="860"/>
              <w:gridCol w:w="1161"/>
              <w:gridCol w:w="859"/>
              <w:gridCol w:w="1024"/>
              <w:gridCol w:w="838"/>
              <w:gridCol w:w="1131"/>
              <w:gridCol w:w="691"/>
            </w:tblGrid>
            <w:tr w14:paraId="79C46561">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42" w:hRule="atLeast"/>
              </w:trPr>
              <w:tc>
                <w:tcPr>
                  <w:tcW w:w="481" w:type="pct"/>
                  <w:vMerge w:val="restart"/>
                  <w:tcBorders>
                    <w:top w:val="single" w:color="000000" w:sz="12" w:space="0"/>
                    <w:bottom w:val="single" w:color="000000" w:sz="4" w:space="0"/>
                    <w:right w:val="single" w:color="000000" w:sz="4" w:space="0"/>
                  </w:tcBorders>
                  <w:noWrap w:val="0"/>
                  <w:vAlign w:val="center"/>
                </w:tcPr>
                <w:p w14:paraId="6B138A03">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监测时间</w:t>
                  </w:r>
                </w:p>
              </w:tc>
              <w:tc>
                <w:tcPr>
                  <w:tcW w:w="996" w:type="pct"/>
                  <w:gridSpan w:val="2"/>
                  <w:vMerge w:val="restart"/>
                  <w:tcBorders>
                    <w:top w:val="single" w:color="000000" w:sz="12" w:space="0"/>
                    <w:left w:val="single" w:color="000000" w:sz="4" w:space="0"/>
                    <w:bottom w:val="single" w:color="000000" w:sz="4" w:space="0"/>
                    <w:right w:val="single" w:color="000000" w:sz="4" w:space="0"/>
                  </w:tcBorders>
                  <w:noWrap w:val="0"/>
                  <w:vAlign w:val="center"/>
                </w:tcPr>
                <w:p w14:paraId="066C433F">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污染物</w:t>
                  </w:r>
                </w:p>
              </w:tc>
              <w:tc>
                <w:tcPr>
                  <w:tcW w:w="716" w:type="pct"/>
                  <w:tcBorders>
                    <w:top w:val="single" w:color="000000" w:sz="12" w:space="0"/>
                    <w:left w:val="single" w:color="000000" w:sz="4" w:space="0"/>
                    <w:bottom w:val="single" w:color="000000" w:sz="4" w:space="0"/>
                    <w:right w:val="single" w:color="000000" w:sz="4" w:space="0"/>
                  </w:tcBorders>
                  <w:noWrap w:val="0"/>
                  <w:vAlign w:val="center"/>
                </w:tcPr>
                <w:p w14:paraId="0E372D0A">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eastAsia" w:ascii="Times New Roman" w:hAnsi="Times New Roman" w:eastAsia="宋体" w:cs="Times New Roman"/>
                      <w:b/>
                      <w:bCs/>
                      <w:color w:val="auto"/>
                      <w:kern w:val="2"/>
                      <w:sz w:val="21"/>
                      <w:szCs w:val="21"/>
                      <w:highlight w:val="none"/>
                      <w:lang w:val="en-US" w:eastAsia="zh-CN"/>
                    </w:rPr>
                    <w:t>厂界上风向</w:t>
                  </w:r>
                  <w:r>
                    <w:rPr>
                      <w:rFonts w:hint="default" w:ascii="Times New Roman" w:hAnsi="Times New Roman" w:eastAsia="宋体" w:cs="Times New Roman"/>
                      <w:b/>
                      <w:bCs/>
                      <w:color w:val="auto"/>
                      <w:kern w:val="2"/>
                      <w:sz w:val="21"/>
                      <w:szCs w:val="21"/>
                      <w:highlight w:val="none"/>
                    </w:rPr>
                    <w:t>参照点</w:t>
                  </w:r>
                </w:p>
                <w:p w14:paraId="7BF90BAC">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（mg/m</w:t>
                  </w:r>
                  <w:r>
                    <w:rPr>
                      <w:rFonts w:hint="default" w:ascii="Times New Roman" w:hAnsi="Times New Roman" w:eastAsia="宋体" w:cs="Times New Roman"/>
                      <w:b/>
                      <w:bCs/>
                      <w:color w:val="auto"/>
                      <w:kern w:val="2"/>
                      <w:sz w:val="21"/>
                      <w:szCs w:val="21"/>
                      <w:highlight w:val="none"/>
                      <w:vertAlign w:val="superscript"/>
                    </w:rPr>
                    <w:t>3</w:t>
                  </w:r>
                  <w:r>
                    <w:rPr>
                      <w:rFonts w:hint="default" w:ascii="Times New Roman" w:hAnsi="Times New Roman" w:eastAsia="宋体" w:cs="Times New Roman"/>
                      <w:b/>
                      <w:bCs/>
                      <w:color w:val="auto"/>
                      <w:kern w:val="2"/>
                      <w:sz w:val="21"/>
                      <w:szCs w:val="21"/>
                      <w:highlight w:val="none"/>
                    </w:rPr>
                    <w:t>）</w:t>
                  </w:r>
                </w:p>
              </w:tc>
              <w:tc>
                <w:tcPr>
                  <w:tcW w:w="1680" w:type="pct"/>
                  <w:gridSpan w:val="3"/>
                  <w:tcBorders>
                    <w:top w:val="single" w:color="000000" w:sz="12" w:space="0"/>
                    <w:left w:val="single" w:color="000000" w:sz="4" w:space="0"/>
                    <w:bottom w:val="single" w:color="000000" w:sz="4" w:space="0"/>
                    <w:right w:val="single" w:color="000000" w:sz="4" w:space="0"/>
                  </w:tcBorders>
                  <w:noWrap w:val="0"/>
                  <w:vAlign w:val="center"/>
                </w:tcPr>
                <w:p w14:paraId="0CED444D">
                  <w:pPr>
                    <w:pStyle w:val="22"/>
                    <w:widowControl w:val="0"/>
                    <w:overflowPunct w:val="0"/>
                    <w:adjustRightInd w:val="0"/>
                    <w:spacing w:before="0" w:beforeAutospacing="0" w:after="0" w:afterAutospacing="0"/>
                    <w:jc w:val="center"/>
                    <w:rPr>
                      <w:rFonts w:hint="eastAsia" w:ascii="Times New Roman" w:hAnsi="Times New Roman" w:eastAsia="宋体" w:cs="Times New Roman"/>
                      <w:b/>
                      <w:bCs/>
                      <w:color w:val="auto"/>
                      <w:kern w:val="2"/>
                      <w:sz w:val="21"/>
                      <w:szCs w:val="21"/>
                      <w:highlight w:val="none"/>
                      <w:lang w:val="en-US" w:eastAsia="zh-CN"/>
                    </w:rPr>
                  </w:pPr>
                  <w:r>
                    <w:rPr>
                      <w:rFonts w:hint="eastAsia" w:ascii="Times New Roman" w:hAnsi="Times New Roman" w:eastAsia="宋体" w:cs="Times New Roman"/>
                      <w:b/>
                      <w:bCs/>
                      <w:color w:val="auto"/>
                      <w:kern w:val="2"/>
                      <w:sz w:val="21"/>
                      <w:szCs w:val="21"/>
                      <w:highlight w:val="none"/>
                      <w:lang w:val="en-US" w:eastAsia="zh-CN"/>
                    </w:rPr>
                    <w:t>厂界下风向</w:t>
                  </w:r>
                </w:p>
                <w:p w14:paraId="3D883F5A">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监控点（mg/m</w:t>
                  </w:r>
                  <w:r>
                    <w:rPr>
                      <w:rFonts w:hint="default" w:ascii="Times New Roman" w:hAnsi="Times New Roman" w:eastAsia="宋体" w:cs="Times New Roman"/>
                      <w:b/>
                      <w:bCs/>
                      <w:color w:val="auto"/>
                      <w:kern w:val="2"/>
                      <w:sz w:val="21"/>
                      <w:szCs w:val="21"/>
                      <w:highlight w:val="none"/>
                      <w:vertAlign w:val="superscript"/>
                    </w:rPr>
                    <w:t>3</w:t>
                  </w:r>
                  <w:r>
                    <w:rPr>
                      <w:rFonts w:hint="default" w:ascii="Times New Roman" w:hAnsi="Times New Roman" w:eastAsia="宋体" w:cs="Times New Roman"/>
                      <w:b/>
                      <w:bCs/>
                      <w:color w:val="auto"/>
                      <w:kern w:val="2"/>
                      <w:sz w:val="21"/>
                      <w:szCs w:val="21"/>
                      <w:highlight w:val="none"/>
                    </w:rPr>
                    <w:t>）</w:t>
                  </w:r>
                </w:p>
              </w:tc>
              <w:tc>
                <w:tcPr>
                  <w:tcW w:w="698" w:type="pct"/>
                  <w:vMerge w:val="restart"/>
                  <w:tcBorders>
                    <w:top w:val="single" w:color="000000" w:sz="12" w:space="0"/>
                    <w:left w:val="single" w:color="000000" w:sz="4" w:space="0"/>
                    <w:bottom w:val="single" w:color="000000" w:sz="4" w:space="0"/>
                    <w:right w:val="single" w:color="000000" w:sz="4" w:space="0"/>
                  </w:tcBorders>
                  <w:noWrap w:val="0"/>
                  <w:vAlign w:val="center"/>
                </w:tcPr>
                <w:p w14:paraId="56BB2E7A">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标准限值</w:t>
                  </w:r>
                </w:p>
                <w:p w14:paraId="51C72B85">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（mg/m</w:t>
                  </w:r>
                  <w:r>
                    <w:rPr>
                      <w:rFonts w:hint="default" w:ascii="Times New Roman" w:hAnsi="Times New Roman" w:eastAsia="宋体" w:cs="Times New Roman"/>
                      <w:b/>
                      <w:bCs/>
                      <w:color w:val="auto"/>
                      <w:kern w:val="2"/>
                      <w:sz w:val="21"/>
                      <w:szCs w:val="21"/>
                      <w:highlight w:val="none"/>
                      <w:vertAlign w:val="superscript"/>
                    </w:rPr>
                    <w:t>3</w:t>
                  </w:r>
                  <w:r>
                    <w:rPr>
                      <w:rFonts w:hint="default" w:ascii="Times New Roman" w:hAnsi="Times New Roman" w:eastAsia="宋体" w:cs="Times New Roman"/>
                      <w:b/>
                      <w:bCs/>
                      <w:color w:val="auto"/>
                      <w:kern w:val="2"/>
                      <w:sz w:val="21"/>
                      <w:szCs w:val="21"/>
                      <w:highlight w:val="none"/>
                    </w:rPr>
                    <w:t>）</w:t>
                  </w:r>
                </w:p>
              </w:tc>
              <w:tc>
                <w:tcPr>
                  <w:tcW w:w="426" w:type="pct"/>
                  <w:vMerge w:val="restart"/>
                  <w:tcBorders>
                    <w:top w:val="single" w:color="000000" w:sz="12" w:space="0"/>
                    <w:left w:val="single" w:color="000000" w:sz="4" w:space="0"/>
                    <w:bottom w:val="single" w:color="000000" w:sz="4" w:space="0"/>
                  </w:tcBorders>
                  <w:noWrap w:val="0"/>
                  <w:vAlign w:val="center"/>
                </w:tcPr>
                <w:p w14:paraId="634C87A5">
                  <w:pPr>
                    <w:pStyle w:val="22"/>
                    <w:widowControl w:val="0"/>
                    <w:overflowPunct w:val="0"/>
                    <w:adjustRightInd w:val="0"/>
                    <w:spacing w:before="0" w:beforeAutospacing="0" w:after="0" w:afterAutospacing="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达标</w:t>
                  </w:r>
                </w:p>
              </w:tc>
            </w:tr>
            <w:tr w14:paraId="542A8A1E">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2" w:hRule="atLeast"/>
              </w:trPr>
              <w:tc>
                <w:tcPr>
                  <w:tcW w:w="481" w:type="pct"/>
                  <w:vMerge w:val="continue"/>
                  <w:tcBorders>
                    <w:top w:val="single" w:color="000000" w:sz="12" w:space="0"/>
                    <w:bottom w:val="single" w:color="000000" w:sz="4" w:space="0"/>
                    <w:right w:val="single" w:color="000000" w:sz="4" w:space="0"/>
                  </w:tcBorders>
                  <w:noWrap w:val="0"/>
                  <w:vAlign w:val="center"/>
                </w:tcPr>
                <w:p w14:paraId="604B7DFB">
                  <w:pPr>
                    <w:rPr>
                      <w:rFonts w:hint="default" w:ascii="Times New Roman" w:hAnsi="Times New Roman" w:eastAsia="宋体" w:cs="Times New Roman"/>
                      <w:color w:val="auto"/>
                      <w:sz w:val="21"/>
                      <w:szCs w:val="21"/>
                      <w:highlight w:val="none"/>
                    </w:rPr>
                  </w:pPr>
                </w:p>
              </w:tc>
              <w:tc>
                <w:tcPr>
                  <w:tcW w:w="996" w:type="pct"/>
                  <w:gridSpan w:val="2"/>
                  <w:vMerge w:val="continue"/>
                  <w:tcBorders>
                    <w:top w:val="single" w:color="000000" w:sz="12" w:space="0"/>
                    <w:left w:val="single" w:color="000000" w:sz="4" w:space="0"/>
                    <w:bottom w:val="single" w:color="000000" w:sz="4" w:space="0"/>
                    <w:right w:val="single" w:color="000000" w:sz="4" w:space="0"/>
                  </w:tcBorders>
                  <w:noWrap w:val="0"/>
                  <w:vAlign w:val="center"/>
                </w:tcPr>
                <w:p w14:paraId="1913BA52">
                  <w:pPr>
                    <w:rPr>
                      <w:rFonts w:hint="default" w:ascii="Times New Roman" w:hAnsi="Times New Roman" w:eastAsia="宋体" w:cs="Times New Roman"/>
                      <w:color w:val="auto"/>
                      <w:sz w:val="21"/>
                      <w:szCs w:val="21"/>
                      <w:highlight w:val="none"/>
                    </w:rPr>
                  </w:pP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092F1DF6">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1#</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4FB7C91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2#</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06361F1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3#</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5386BDE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4#</w:t>
                  </w:r>
                </w:p>
              </w:tc>
              <w:tc>
                <w:tcPr>
                  <w:tcW w:w="698" w:type="pct"/>
                  <w:vMerge w:val="continue"/>
                  <w:tcBorders>
                    <w:top w:val="single" w:color="000000" w:sz="12" w:space="0"/>
                    <w:left w:val="single" w:color="000000" w:sz="4" w:space="0"/>
                    <w:bottom w:val="single" w:color="000000" w:sz="4" w:space="0"/>
                    <w:right w:val="single" w:color="000000" w:sz="4" w:space="0"/>
                  </w:tcBorders>
                  <w:noWrap w:val="0"/>
                  <w:vAlign w:val="center"/>
                </w:tcPr>
                <w:p w14:paraId="3749C51D">
                  <w:pPr>
                    <w:rPr>
                      <w:rFonts w:hint="default" w:ascii="Times New Roman" w:hAnsi="Times New Roman" w:eastAsia="宋体" w:cs="Times New Roman"/>
                      <w:color w:val="auto"/>
                      <w:sz w:val="21"/>
                      <w:szCs w:val="21"/>
                      <w:highlight w:val="none"/>
                    </w:rPr>
                  </w:pPr>
                </w:p>
              </w:tc>
              <w:tc>
                <w:tcPr>
                  <w:tcW w:w="426" w:type="pct"/>
                  <w:vMerge w:val="continue"/>
                  <w:tcBorders>
                    <w:top w:val="single" w:color="000000" w:sz="12" w:space="0"/>
                    <w:left w:val="single" w:color="000000" w:sz="4" w:space="0"/>
                    <w:bottom w:val="single" w:color="000000" w:sz="4" w:space="0"/>
                  </w:tcBorders>
                  <w:noWrap w:val="0"/>
                  <w:vAlign w:val="center"/>
                </w:tcPr>
                <w:p w14:paraId="154F155C">
                  <w:pPr>
                    <w:rPr>
                      <w:rFonts w:hint="default" w:ascii="Times New Roman" w:hAnsi="Times New Roman" w:eastAsia="宋体" w:cs="Times New Roman"/>
                      <w:color w:val="auto"/>
                      <w:sz w:val="21"/>
                      <w:szCs w:val="21"/>
                      <w:highlight w:val="none"/>
                    </w:rPr>
                  </w:pPr>
                </w:p>
              </w:tc>
            </w:tr>
            <w:tr w14:paraId="2C2FBE5B">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481" w:type="pct"/>
                  <w:vMerge w:val="restart"/>
                  <w:tcBorders>
                    <w:top w:val="single" w:color="000000" w:sz="4" w:space="0"/>
                    <w:right w:val="single" w:color="000000" w:sz="4" w:space="0"/>
                  </w:tcBorders>
                  <w:noWrap w:val="0"/>
                  <w:vAlign w:val="center"/>
                </w:tcPr>
                <w:p w14:paraId="719E14C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2024.01.04</w:t>
                  </w:r>
                </w:p>
              </w:tc>
              <w:tc>
                <w:tcPr>
                  <w:tcW w:w="464" w:type="pct"/>
                  <w:vMerge w:val="restart"/>
                  <w:tcBorders>
                    <w:top w:val="single" w:color="000000" w:sz="4" w:space="0"/>
                    <w:left w:val="single" w:color="000000" w:sz="4" w:space="0"/>
                    <w:right w:val="single" w:color="000000" w:sz="4" w:space="0"/>
                  </w:tcBorders>
                  <w:noWrap w:val="0"/>
                  <w:vAlign w:val="center"/>
                </w:tcPr>
                <w:p w14:paraId="29CC07A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氯化氢</w:t>
                  </w:r>
                </w:p>
              </w:tc>
              <w:tc>
                <w:tcPr>
                  <w:tcW w:w="531" w:type="pct"/>
                  <w:tcBorders>
                    <w:top w:val="single" w:color="000000" w:sz="4" w:space="0"/>
                    <w:left w:val="single" w:color="000000" w:sz="4" w:space="0"/>
                    <w:bottom w:val="single" w:color="000000" w:sz="4" w:space="0"/>
                    <w:right w:val="single" w:color="000000" w:sz="4" w:space="0"/>
                  </w:tcBorders>
                  <w:noWrap w:val="0"/>
                  <w:vAlign w:val="center"/>
                </w:tcPr>
                <w:p w14:paraId="1B7CCD7D">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spacing w:val="-1"/>
                      <w:kern w:val="2"/>
                      <w:sz w:val="21"/>
                      <w:szCs w:val="21"/>
                      <w:highlight w:val="none"/>
                      <w:lang w:val="en-US" w:eastAsia="zh-CN"/>
                    </w:rPr>
                  </w:pPr>
                  <w:r>
                    <w:rPr>
                      <w:rFonts w:hint="eastAsia" w:ascii="Times New Roman" w:hAnsi="Times New Roman" w:eastAsia="宋体" w:cs="Times New Roman"/>
                      <w:color w:val="auto"/>
                      <w:spacing w:val="-1"/>
                      <w:kern w:val="2"/>
                      <w:sz w:val="21"/>
                      <w:szCs w:val="21"/>
                      <w:highlight w:val="none"/>
                      <w:lang w:val="en-US" w:eastAsia="zh-CN"/>
                    </w:rPr>
                    <w:t>第1次</w:t>
                  </w: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72070EB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0.05L</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3605CC5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0.120</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68FCFA6D">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0.079</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37091CA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0.110</w:t>
                  </w:r>
                </w:p>
              </w:tc>
              <w:tc>
                <w:tcPr>
                  <w:tcW w:w="698" w:type="pct"/>
                  <w:vMerge w:val="restart"/>
                  <w:tcBorders>
                    <w:top w:val="single" w:color="000000" w:sz="4" w:space="0"/>
                    <w:left w:val="single" w:color="000000" w:sz="4" w:space="0"/>
                    <w:right w:val="single" w:color="000000" w:sz="4" w:space="0"/>
                  </w:tcBorders>
                  <w:noWrap w:val="0"/>
                  <w:vAlign w:val="center"/>
                </w:tcPr>
                <w:p w14:paraId="2BCCD36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0.2</w:t>
                  </w:r>
                </w:p>
              </w:tc>
              <w:tc>
                <w:tcPr>
                  <w:tcW w:w="426" w:type="pct"/>
                  <w:tcBorders>
                    <w:top w:val="single" w:color="000000" w:sz="4" w:space="0"/>
                    <w:left w:val="single" w:color="000000" w:sz="4" w:space="0"/>
                    <w:bottom w:val="single" w:color="000000" w:sz="4" w:space="0"/>
                  </w:tcBorders>
                  <w:noWrap w:val="0"/>
                  <w:vAlign w:val="center"/>
                </w:tcPr>
                <w:p w14:paraId="0673449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r w14:paraId="1A863E09">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481" w:type="pct"/>
                  <w:vMerge w:val="continue"/>
                  <w:tcBorders>
                    <w:right w:val="single" w:color="000000" w:sz="4" w:space="0"/>
                  </w:tcBorders>
                  <w:noWrap w:val="0"/>
                  <w:vAlign w:val="center"/>
                </w:tcPr>
                <w:p w14:paraId="1A6DE4BE">
                  <w:pPr>
                    <w:rPr>
                      <w:rFonts w:hint="default" w:ascii="Times New Roman" w:hAnsi="Times New Roman" w:eastAsia="宋体" w:cs="Times New Roman"/>
                      <w:color w:val="auto"/>
                      <w:sz w:val="21"/>
                      <w:szCs w:val="21"/>
                      <w:highlight w:val="none"/>
                    </w:rPr>
                  </w:pPr>
                </w:p>
              </w:tc>
              <w:tc>
                <w:tcPr>
                  <w:tcW w:w="464" w:type="pct"/>
                  <w:vMerge w:val="continue"/>
                  <w:tcBorders>
                    <w:left w:val="single" w:color="000000" w:sz="4" w:space="0"/>
                    <w:right w:val="single" w:color="000000" w:sz="4" w:space="0"/>
                  </w:tcBorders>
                  <w:noWrap w:val="0"/>
                  <w:vAlign w:val="center"/>
                </w:tcPr>
                <w:p w14:paraId="63E72E9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spacing w:val="-1"/>
                      <w:kern w:val="2"/>
                      <w:sz w:val="21"/>
                      <w:szCs w:val="21"/>
                      <w:highlight w:val="none"/>
                    </w:rPr>
                  </w:pPr>
                </w:p>
              </w:tc>
              <w:tc>
                <w:tcPr>
                  <w:tcW w:w="531" w:type="pct"/>
                  <w:tcBorders>
                    <w:top w:val="single" w:color="000000" w:sz="4" w:space="0"/>
                    <w:left w:val="single" w:color="000000" w:sz="4" w:space="0"/>
                    <w:bottom w:val="single" w:color="000000" w:sz="4" w:space="0"/>
                    <w:right w:val="single" w:color="000000" w:sz="4" w:space="0"/>
                  </w:tcBorders>
                  <w:noWrap w:val="0"/>
                  <w:vAlign w:val="center"/>
                </w:tcPr>
                <w:p w14:paraId="2C1EECAF">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rPr>
                  </w:pPr>
                  <w:r>
                    <w:rPr>
                      <w:rFonts w:hint="eastAsia" w:ascii="Times New Roman" w:hAnsi="Times New Roman" w:eastAsia="宋体" w:cs="Times New Roman"/>
                      <w:color w:val="auto"/>
                      <w:spacing w:val="-1"/>
                      <w:kern w:val="2"/>
                      <w:sz w:val="21"/>
                      <w:szCs w:val="21"/>
                      <w:highlight w:val="none"/>
                      <w:lang w:val="en-US" w:eastAsia="zh-CN"/>
                    </w:rPr>
                    <w:t>第2次</w:t>
                  </w: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237566D4">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0.05L</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1B33BA7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0.132</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5D0AF8E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0.111</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6FFFC4A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0.142</w:t>
                  </w:r>
                </w:p>
              </w:tc>
              <w:tc>
                <w:tcPr>
                  <w:tcW w:w="698" w:type="pct"/>
                  <w:vMerge w:val="continue"/>
                  <w:tcBorders>
                    <w:left w:val="single" w:color="000000" w:sz="4" w:space="0"/>
                    <w:right w:val="single" w:color="000000" w:sz="4" w:space="0"/>
                  </w:tcBorders>
                  <w:noWrap w:val="0"/>
                  <w:vAlign w:val="center"/>
                </w:tcPr>
                <w:p w14:paraId="0341BBD4">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p>
              </w:tc>
              <w:tc>
                <w:tcPr>
                  <w:tcW w:w="426" w:type="pct"/>
                  <w:tcBorders>
                    <w:top w:val="single" w:color="000000" w:sz="4" w:space="0"/>
                    <w:left w:val="single" w:color="000000" w:sz="4" w:space="0"/>
                    <w:bottom w:val="single" w:color="000000" w:sz="4" w:space="0"/>
                  </w:tcBorders>
                  <w:noWrap w:val="0"/>
                  <w:vAlign w:val="center"/>
                </w:tcPr>
                <w:p w14:paraId="5069DA5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r w14:paraId="5A9FA4B4">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481" w:type="pct"/>
                  <w:vMerge w:val="continue"/>
                  <w:tcBorders>
                    <w:right w:val="single" w:color="000000" w:sz="4" w:space="0"/>
                  </w:tcBorders>
                  <w:noWrap w:val="0"/>
                  <w:vAlign w:val="center"/>
                </w:tcPr>
                <w:p w14:paraId="72F6B912">
                  <w:pPr>
                    <w:rPr>
                      <w:rFonts w:hint="default" w:ascii="Times New Roman" w:hAnsi="Times New Roman" w:eastAsia="宋体" w:cs="Times New Roman"/>
                      <w:color w:val="auto"/>
                      <w:sz w:val="21"/>
                      <w:szCs w:val="21"/>
                      <w:highlight w:val="none"/>
                    </w:rPr>
                  </w:pPr>
                </w:p>
              </w:tc>
              <w:tc>
                <w:tcPr>
                  <w:tcW w:w="464" w:type="pct"/>
                  <w:vMerge w:val="continue"/>
                  <w:tcBorders>
                    <w:left w:val="single" w:color="000000" w:sz="4" w:space="0"/>
                    <w:right w:val="single" w:color="000000" w:sz="4" w:space="0"/>
                  </w:tcBorders>
                  <w:noWrap w:val="0"/>
                  <w:vAlign w:val="center"/>
                </w:tcPr>
                <w:p w14:paraId="7ACBB86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spacing w:val="-1"/>
                      <w:kern w:val="2"/>
                      <w:sz w:val="21"/>
                      <w:szCs w:val="21"/>
                      <w:highlight w:val="none"/>
                    </w:rPr>
                  </w:pPr>
                </w:p>
              </w:tc>
              <w:tc>
                <w:tcPr>
                  <w:tcW w:w="531" w:type="pct"/>
                  <w:tcBorders>
                    <w:top w:val="single" w:color="000000" w:sz="4" w:space="0"/>
                    <w:left w:val="single" w:color="000000" w:sz="4" w:space="0"/>
                    <w:bottom w:val="single" w:color="000000" w:sz="4" w:space="0"/>
                    <w:right w:val="single" w:color="000000" w:sz="4" w:space="0"/>
                  </w:tcBorders>
                  <w:noWrap w:val="0"/>
                  <w:vAlign w:val="center"/>
                </w:tcPr>
                <w:p w14:paraId="762062A8">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rPr>
                  </w:pPr>
                  <w:r>
                    <w:rPr>
                      <w:rFonts w:hint="eastAsia" w:ascii="Times New Roman" w:hAnsi="Times New Roman" w:eastAsia="宋体" w:cs="Times New Roman"/>
                      <w:color w:val="auto"/>
                      <w:spacing w:val="-1"/>
                      <w:kern w:val="2"/>
                      <w:sz w:val="21"/>
                      <w:szCs w:val="21"/>
                      <w:highlight w:val="none"/>
                      <w:lang w:val="en-US" w:eastAsia="zh-CN"/>
                    </w:rPr>
                    <w:t>第3次</w:t>
                  </w: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1435D59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0.05L</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746FAEDE">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0.103</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3BF8600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0.103</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5EB5504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0.124</w:t>
                  </w:r>
                </w:p>
              </w:tc>
              <w:tc>
                <w:tcPr>
                  <w:tcW w:w="698" w:type="pct"/>
                  <w:vMerge w:val="continue"/>
                  <w:tcBorders>
                    <w:left w:val="single" w:color="000000" w:sz="4" w:space="0"/>
                    <w:right w:val="single" w:color="000000" w:sz="4" w:space="0"/>
                  </w:tcBorders>
                  <w:noWrap w:val="0"/>
                  <w:vAlign w:val="center"/>
                </w:tcPr>
                <w:p w14:paraId="61D2BBCE">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p>
              </w:tc>
              <w:tc>
                <w:tcPr>
                  <w:tcW w:w="426" w:type="pct"/>
                  <w:tcBorders>
                    <w:top w:val="single" w:color="000000" w:sz="4" w:space="0"/>
                    <w:left w:val="single" w:color="000000" w:sz="4" w:space="0"/>
                    <w:bottom w:val="single" w:color="000000" w:sz="4" w:space="0"/>
                  </w:tcBorders>
                  <w:noWrap w:val="0"/>
                  <w:vAlign w:val="center"/>
                </w:tcPr>
                <w:p w14:paraId="57ED67B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r w14:paraId="518A2288">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481" w:type="pct"/>
                  <w:vMerge w:val="continue"/>
                  <w:tcBorders>
                    <w:right w:val="single" w:color="000000" w:sz="4" w:space="0"/>
                  </w:tcBorders>
                  <w:noWrap w:val="0"/>
                  <w:vAlign w:val="center"/>
                </w:tcPr>
                <w:p w14:paraId="135EA9C2">
                  <w:pPr>
                    <w:rPr>
                      <w:rFonts w:hint="default" w:ascii="Times New Roman" w:hAnsi="Times New Roman" w:eastAsia="宋体" w:cs="Times New Roman"/>
                      <w:color w:val="auto"/>
                      <w:sz w:val="21"/>
                      <w:szCs w:val="21"/>
                      <w:highlight w:val="none"/>
                    </w:rPr>
                  </w:pPr>
                </w:p>
              </w:tc>
              <w:tc>
                <w:tcPr>
                  <w:tcW w:w="464" w:type="pct"/>
                  <w:vMerge w:val="restart"/>
                  <w:tcBorders>
                    <w:left w:val="single" w:color="000000" w:sz="4" w:space="0"/>
                    <w:right w:val="single" w:color="000000" w:sz="4" w:space="0"/>
                  </w:tcBorders>
                  <w:noWrap w:val="0"/>
                  <w:vAlign w:val="center"/>
                </w:tcPr>
                <w:p w14:paraId="36CFB172">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rPr>
                  </w:pPr>
                  <w:r>
                    <w:rPr>
                      <w:rFonts w:hint="eastAsia" w:ascii="Times New Roman" w:hAnsi="Times New Roman" w:cs="Times New Roman"/>
                      <w:color w:val="auto"/>
                      <w:spacing w:val="-1"/>
                      <w:kern w:val="2"/>
                      <w:sz w:val="21"/>
                      <w:szCs w:val="21"/>
                      <w:highlight w:val="none"/>
                      <w:lang w:val="en-US" w:eastAsia="zh-CN"/>
                    </w:rPr>
                    <w:t>非甲烷总烃</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58AD9">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bidi="ar-SA"/>
                    </w:rPr>
                  </w:pPr>
                  <w:r>
                    <w:rPr>
                      <w:rFonts w:hint="eastAsia" w:ascii="Times New Roman" w:hAnsi="Times New Roman" w:eastAsia="宋体" w:cs="Times New Roman"/>
                      <w:color w:val="auto"/>
                      <w:spacing w:val="-1"/>
                      <w:kern w:val="2"/>
                      <w:sz w:val="21"/>
                      <w:szCs w:val="21"/>
                      <w:highlight w:val="none"/>
                      <w:lang w:val="en-US" w:eastAsia="zh-CN"/>
                    </w:rPr>
                    <w:t>第1次</w:t>
                  </w: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1DAD8786">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0.73</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042FDFC5">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1.20</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6C390E55">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1.03</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7B701DE1">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1.23</w:t>
                  </w:r>
                </w:p>
              </w:tc>
              <w:tc>
                <w:tcPr>
                  <w:tcW w:w="698" w:type="pct"/>
                  <w:vMerge w:val="restart"/>
                  <w:tcBorders>
                    <w:left w:val="single" w:color="000000" w:sz="4" w:space="0"/>
                    <w:right w:val="single" w:color="000000" w:sz="4" w:space="0"/>
                  </w:tcBorders>
                  <w:noWrap w:val="0"/>
                  <w:vAlign w:val="center"/>
                </w:tcPr>
                <w:p w14:paraId="37EF5CD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4.0</w:t>
                  </w:r>
                </w:p>
              </w:tc>
              <w:tc>
                <w:tcPr>
                  <w:tcW w:w="426" w:type="pct"/>
                  <w:tcBorders>
                    <w:top w:val="single" w:color="000000" w:sz="4" w:space="0"/>
                    <w:left w:val="single" w:color="000000" w:sz="4" w:space="0"/>
                    <w:bottom w:val="single" w:color="000000" w:sz="4" w:space="0"/>
                  </w:tcBorders>
                  <w:noWrap w:val="0"/>
                  <w:vAlign w:val="center"/>
                </w:tcPr>
                <w:p w14:paraId="303152D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r w14:paraId="3320B489">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481" w:type="pct"/>
                  <w:vMerge w:val="continue"/>
                  <w:tcBorders>
                    <w:right w:val="single" w:color="000000" w:sz="4" w:space="0"/>
                  </w:tcBorders>
                  <w:noWrap w:val="0"/>
                  <w:vAlign w:val="center"/>
                </w:tcPr>
                <w:p w14:paraId="305A2AD1">
                  <w:pPr>
                    <w:rPr>
                      <w:rFonts w:hint="default" w:ascii="Times New Roman" w:hAnsi="Times New Roman" w:eastAsia="宋体" w:cs="Times New Roman"/>
                      <w:color w:val="auto"/>
                      <w:sz w:val="21"/>
                      <w:szCs w:val="21"/>
                      <w:highlight w:val="none"/>
                    </w:rPr>
                  </w:pPr>
                </w:p>
              </w:tc>
              <w:tc>
                <w:tcPr>
                  <w:tcW w:w="464" w:type="pct"/>
                  <w:vMerge w:val="continue"/>
                  <w:tcBorders>
                    <w:left w:val="single" w:color="000000" w:sz="4" w:space="0"/>
                    <w:right w:val="single" w:color="000000" w:sz="4" w:space="0"/>
                  </w:tcBorders>
                  <w:noWrap w:val="0"/>
                  <w:vAlign w:val="center"/>
                </w:tcPr>
                <w:p w14:paraId="653A898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spacing w:val="-1"/>
                      <w:kern w:val="2"/>
                      <w:sz w:val="21"/>
                      <w:szCs w:val="21"/>
                      <w:highlight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A988B0">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bidi="ar-SA"/>
                    </w:rPr>
                  </w:pPr>
                  <w:r>
                    <w:rPr>
                      <w:rFonts w:hint="eastAsia" w:ascii="Times New Roman" w:hAnsi="Times New Roman" w:eastAsia="宋体" w:cs="Times New Roman"/>
                      <w:color w:val="auto"/>
                      <w:spacing w:val="-1"/>
                      <w:kern w:val="2"/>
                      <w:sz w:val="21"/>
                      <w:szCs w:val="21"/>
                      <w:highlight w:val="none"/>
                      <w:lang w:val="en-US" w:eastAsia="zh-CN"/>
                    </w:rPr>
                    <w:t>第2次</w:t>
                  </w:r>
                </w:p>
              </w:tc>
              <w:tc>
                <w:tcPr>
                  <w:tcW w:w="716" w:type="pct"/>
                  <w:tcBorders>
                    <w:top w:val="single" w:color="000000" w:sz="4" w:space="0"/>
                    <w:left w:val="single" w:color="000000" w:sz="4" w:space="0"/>
                    <w:bottom w:val="single" w:color="000000" w:sz="4" w:space="0"/>
                    <w:right w:val="single" w:color="000000" w:sz="4" w:space="0"/>
                  </w:tcBorders>
                  <w:noWrap w:val="0"/>
                  <w:vAlign w:val="center"/>
                </w:tcPr>
                <w:p w14:paraId="4B0F81F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0.88</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14:paraId="234DE5C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1.15</w:t>
                  </w: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4F0C97E9">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1.26</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3CD58B4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1.07</w:t>
                  </w:r>
                </w:p>
              </w:tc>
              <w:tc>
                <w:tcPr>
                  <w:tcW w:w="698" w:type="pct"/>
                  <w:vMerge w:val="continue"/>
                  <w:tcBorders>
                    <w:left w:val="single" w:color="000000" w:sz="4" w:space="0"/>
                    <w:right w:val="single" w:color="000000" w:sz="4" w:space="0"/>
                  </w:tcBorders>
                  <w:noWrap w:val="0"/>
                  <w:vAlign w:val="center"/>
                </w:tcPr>
                <w:p w14:paraId="332A9E79">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p>
              </w:tc>
              <w:tc>
                <w:tcPr>
                  <w:tcW w:w="426" w:type="pct"/>
                  <w:tcBorders>
                    <w:top w:val="single" w:color="000000" w:sz="4" w:space="0"/>
                    <w:left w:val="single" w:color="000000" w:sz="4" w:space="0"/>
                    <w:bottom w:val="single" w:color="000000" w:sz="4" w:space="0"/>
                  </w:tcBorders>
                  <w:noWrap w:val="0"/>
                  <w:vAlign w:val="center"/>
                </w:tcPr>
                <w:p w14:paraId="64A8E44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r w14:paraId="7D068EF6">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81" w:type="pct"/>
                  <w:vMerge w:val="continue"/>
                  <w:tcBorders>
                    <w:right w:val="single" w:color="000000" w:sz="4" w:space="0"/>
                  </w:tcBorders>
                  <w:noWrap w:val="0"/>
                  <w:vAlign w:val="center"/>
                </w:tcPr>
                <w:p w14:paraId="07D4C27E">
                  <w:pPr>
                    <w:rPr>
                      <w:rFonts w:hint="default" w:ascii="Times New Roman" w:hAnsi="Times New Roman" w:eastAsia="宋体" w:cs="Times New Roman"/>
                      <w:color w:val="auto"/>
                      <w:sz w:val="21"/>
                      <w:szCs w:val="21"/>
                      <w:highlight w:val="none"/>
                    </w:rPr>
                  </w:pPr>
                </w:p>
              </w:tc>
              <w:tc>
                <w:tcPr>
                  <w:tcW w:w="464" w:type="pct"/>
                  <w:vMerge w:val="continue"/>
                  <w:tcBorders>
                    <w:left w:val="single" w:color="000000" w:sz="4" w:space="0"/>
                    <w:right w:val="single" w:color="000000" w:sz="4" w:space="0"/>
                  </w:tcBorders>
                  <w:noWrap w:val="0"/>
                  <w:vAlign w:val="center"/>
                </w:tcPr>
                <w:p w14:paraId="00FE01BC">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spacing w:val="-1"/>
                      <w:kern w:val="2"/>
                      <w:sz w:val="21"/>
                      <w:szCs w:val="21"/>
                      <w:highlight w:val="none"/>
                    </w:rPr>
                  </w:pPr>
                </w:p>
              </w:tc>
              <w:tc>
                <w:tcPr>
                  <w:tcW w:w="531" w:type="pct"/>
                  <w:tcBorders>
                    <w:top w:val="single" w:color="000000" w:sz="4" w:space="0"/>
                    <w:left w:val="single" w:color="000000" w:sz="4" w:space="0"/>
                    <w:right w:val="single" w:color="000000" w:sz="4" w:space="0"/>
                  </w:tcBorders>
                  <w:shd w:val="clear" w:color="auto" w:fill="auto"/>
                  <w:noWrap w:val="0"/>
                  <w:vAlign w:val="center"/>
                </w:tcPr>
                <w:p w14:paraId="07FFAD63">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spacing w:val="-1"/>
                      <w:kern w:val="2"/>
                      <w:sz w:val="21"/>
                      <w:szCs w:val="21"/>
                      <w:highlight w:val="none"/>
                      <w:lang w:val="en-US" w:eastAsia="zh-CN" w:bidi="ar-SA"/>
                    </w:rPr>
                  </w:pPr>
                  <w:r>
                    <w:rPr>
                      <w:rFonts w:hint="eastAsia" w:ascii="Times New Roman" w:hAnsi="Times New Roman" w:eastAsia="宋体" w:cs="Times New Roman"/>
                      <w:color w:val="auto"/>
                      <w:spacing w:val="-1"/>
                      <w:kern w:val="2"/>
                      <w:sz w:val="21"/>
                      <w:szCs w:val="21"/>
                      <w:highlight w:val="none"/>
                      <w:lang w:val="en-US" w:eastAsia="zh-CN"/>
                    </w:rPr>
                    <w:t>第3次</w:t>
                  </w:r>
                </w:p>
              </w:tc>
              <w:tc>
                <w:tcPr>
                  <w:tcW w:w="716" w:type="pct"/>
                  <w:tcBorders>
                    <w:top w:val="single" w:color="000000" w:sz="4" w:space="0"/>
                    <w:left w:val="single" w:color="000000" w:sz="4" w:space="0"/>
                    <w:right w:val="single" w:color="000000" w:sz="4" w:space="0"/>
                  </w:tcBorders>
                  <w:noWrap w:val="0"/>
                  <w:vAlign w:val="center"/>
                </w:tcPr>
                <w:p w14:paraId="6515664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0.85</w:t>
                  </w:r>
                </w:p>
              </w:tc>
              <w:tc>
                <w:tcPr>
                  <w:tcW w:w="530" w:type="pct"/>
                  <w:tcBorders>
                    <w:top w:val="single" w:color="000000" w:sz="4" w:space="0"/>
                    <w:left w:val="single" w:color="000000" w:sz="4" w:space="0"/>
                    <w:right w:val="single" w:color="000000" w:sz="4" w:space="0"/>
                  </w:tcBorders>
                  <w:noWrap w:val="0"/>
                  <w:vAlign w:val="center"/>
                </w:tcPr>
                <w:p w14:paraId="6D91911C">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1.13</w:t>
                  </w:r>
                </w:p>
              </w:tc>
              <w:tc>
                <w:tcPr>
                  <w:tcW w:w="632" w:type="pct"/>
                  <w:tcBorders>
                    <w:top w:val="single" w:color="000000" w:sz="4" w:space="0"/>
                    <w:left w:val="single" w:color="000000" w:sz="4" w:space="0"/>
                    <w:right w:val="single" w:color="000000" w:sz="4" w:space="0"/>
                  </w:tcBorders>
                  <w:noWrap w:val="0"/>
                  <w:vAlign w:val="center"/>
                </w:tcPr>
                <w:p w14:paraId="7FDEF29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1.18</w:t>
                  </w:r>
                </w:p>
              </w:tc>
              <w:tc>
                <w:tcPr>
                  <w:tcW w:w="517" w:type="pct"/>
                  <w:tcBorders>
                    <w:top w:val="single" w:color="000000" w:sz="4" w:space="0"/>
                    <w:left w:val="single" w:color="000000" w:sz="4" w:space="0"/>
                    <w:right w:val="single" w:color="000000" w:sz="4" w:space="0"/>
                  </w:tcBorders>
                  <w:noWrap w:val="0"/>
                  <w:vAlign w:val="center"/>
                </w:tcPr>
                <w:p w14:paraId="1573771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1.20</w:t>
                  </w:r>
                </w:p>
              </w:tc>
              <w:tc>
                <w:tcPr>
                  <w:tcW w:w="698" w:type="pct"/>
                  <w:vMerge w:val="continue"/>
                  <w:tcBorders>
                    <w:left w:val="single" w:color="000000" w:sz="4" w:space="0"/>
                    <w:right w:val="single" w:color="000000" w:sz="4" w:space="0"/>
                  </w:tcBorders>
                  <w:noWrap w:val="0"/>
                  <w:vAlign w:val="center"/>
                </w:tcPr>
                <w:p w14:paraId="1597AAF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p>
              </w:tc>
              <w:tc>
                <w:tcPr>
                  <w:tcW w:w="426" w:type="pct"/>
                  <w:tcBorders>
                    <w:top w:val="single" w:color="000000" w:sz="4" w:space="0"/>
                    <w:left w:val="single" w:color="000000" w:sz="4" w:space="0"/>
                  </w:tcBorders>
                  <w:noWrap w:val="0"/>
                  <w:vAlign w:val="center"/>
                </w:tcPr>
                <w:p w14:paraId="06C2E76E">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w:t>
                  </w:r>
                </w:p>
              </w:tc>
            </w:tr>
          </w:tbl>
          <w:p w14:paraId="6B18F616">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eastAsia="宋体"/>
                <w:bCs/>
                <w:color w:val="auto"/>
                <w:sz w:val="24"/>
                <w:highlight w:val="none"/>
                <w:lang w:val="en-US" w:eastAsia="zh-CN"/>
              </w:rPr>
            </w:pPr>
            <w:r>
              <w:rPr>
                <w:rFonts w:hint="eastAsia"/>
                <w:bCs/>
                <w:color w:val="auto"/>
                <w:sz w:val="24"/>
                <w:highlight w:val="none"/>
                <w:lang w:val="en-US" w:eastAsia="zh-CN"/>
              </w:rPr>
              <w:t>（2）现有工程</w:t>
            </w:r>
            <w:r>
              <w:rPr>
                <w:rFonts w:hint="eastAsia" w:eastAsia="宋体"/>
                <w:bCs/>
                <w:color w:val="auto"/>
                <w:sz w:val="24"/>
                <w:highlight w:val="none"/>
                <w:lang w:val="en-US" w:eastAsia="zh-CN"/>
              </w:rPr>
              <w:t>废水主要包括实验废水、职工生活用水。</w:t>
            </w:r>
            <w:r>
              <w:rPr>
                <w:rFonts w:hint="eastAsia" w:ascii="Times New Roman" w:hAnsi="Times New Roman" w:eastAsia="宋体"/>
                <w:color w:val="auto"/>
                <w:kern w:val="2"/>
                <w:sz w:val="24"/>
                <w:szCs w:val="24"/>
                <w:highlight w:val="none"/>
                <w:lang w:val="en-US" w:eastAsia="zh-CN"/>
              </w:rPr>
              <w:t>废水产生量为</w:t>
            </w:r>
            <w:r>
              <w:rPr>
                <w:rFonts w:hint="eastAsia"/>
                <w:color w:val="auto"/>
                <w:kern w:val="2"/>
                <w:sz w:val="24"/>
                <w:szCs w:val="24"/>
                <w:highlight w:val="none"/>
                <w:lang w:val="en-US" w:eastAsia="zh-CN"/>
              </w:rPr>
              <w:t>14.858</w:t>
            </w:r>
            <w:r>
              <w:rPr>
                <w:rFonts w:hint="eastAsia" w:ascii="Times New Roman" w:hAnsi="Times New Roman" w:eastAsia="宋体"/>
                <w:color w:val="auto"/>
                <w:kern w:val="2"/>
                <w:sz w:val="24"/>
                <w:szCs w:val="24"/>
                <w:highlight w:val="none"/>
              </w:rPr>
              <w:t>m</w:t>
            </w:r>
            <w:r>
              <w:rPr>
                <w:rFonts w:hint="eastAsia" w:ascii="Times New Roman" w:hAnsi="Times New Roman" w:eastAsia="宋体"/>
                <w:color w:val="auto"/>
                <w:kern w:val="2"/>
                <w:sz w:val="24"/>
                <w:szCs w:val="24"/>
                <w:highlight w:val="none"/>
                <w:vertAlign w:val="superscript"/>
              </w:rPr>
              <w:t>3</w:t>
            </w:r>
            <w:r>
              <w:rPr>
                <w:rFonts w:hint="eastAsia" w:ascii="Times New Roman" w:hAnsi="Times New Roman" w:eastAsia="宋体"/>
                <w:color w:val="auto"/>
                <w:kern w:val="2"/>
                <w:sz w:val="24"/>
                <w:szCs w:val="24"/>
                <w:highlight w:val="none"/>
              </w:rPr>
              <w:t>/d</w:t>
            </w:r>
            <w:r>
              <w:rPr>
                <w:rFonts w:hint="eastAsia" w:ascii="Times New Roman" w:hAnsi="Times New Roman" w:eastAsia="宋体"/>
                <w:color w:val="auto"/>
                <w:kern w:val="2"/>
                <w:sz w:val="24"/>
                <w:szCs w:val="24"/>
                <w:highlight w:val="none"/>
                <w:lang w:eastAsia="zh-CN"/>
              </w:rPr>
              <w:t>（</w:t>
            </w:r>
            <w:r>
              <w:rPr>
                <w:rFonts w:hint="eastAsia" w:ascii="Times New Roman" w:hAnsi="Times New Roman" w:eastAsia="宋体"/>
                <w:color w:val="auto"/>
                <w:kern w:val="2"/>
                <w:sz w:val="24"/>
                <w:szCs w:val="24"/>
                <w:highlight w:val="none"/>
                <w:lang w:val="en-US" w:eastAsia="zh-CN"/>
              </w:rPr>
              <w:t>实验室废水产生量为</w:t>
            </w:r>
            <w:r>
              <w:rPr>
                <w:rFonts w:hint="eastAsia"/>
                <w:color w:val="auto"/>
                <w:kern w:val="2"/>
                <w:sz w:val="24"/>
                <w:szCs w:val="24"/>
                <w:highlight w:val="none"/>
                <w:lang w:val="en-US" w:eastAsia="zh-CN"/>
              </w:rPr>
              <w:t>0.858</w:t>
            </w:r>
            <w:r>
              <w:rPr>
                <w:rFonts w:hint="eastAsia" w:ascii="Times New Roman" w:hAnsi="Times New Roman" w:eastAsia="宋体"/>
                <w:color w:val="auto"/>
                <w:kern w:val="2"/>
                <w:sz w:val="24"/>
                <w:szCs w:val="24"/>
                <w:highlight w:val="none"/>
              </w:rPr>
              <w:t>m</w:t>
            </w:r>
            <w:r>
              <w:rPr>
                <w:rFonts w:hint="eastAsia" w:ascii="Times New Roman" w:hAnsi="Times New Roman" w:eastAsia="宋体"/>
                <w:color w:val="auto"/>
                <w:kern w:val="2"/>
                <w:sz w:val="24"/>
                <w:szCs w:val="24"/>
                <w:highlight w:val="none"/>
                <w:vertAlign w:val="superscript"/>
              </w:rPr>
              <w:t>3</w:t>
            </w:r>
            <w:r>
              <w:rPr>
                <w:rFonts w:hint="eastAsia" w:ascii="Times New Roman" w:hAnsi="Times New Roman" w:eastAsia="宋体"/>
                <w:color w:val="auto"/>
                <w:kern w:val="2"/>
                <w:sz w:val="24"/>
                <w:szCs w:val="24"/>
                <w:highlight w:val="none"/>
              </w:rPr>
              <w:t>/d，</w:t>
            </w:r>
            <w:r>
              <w:rPr>
                <w:rFonts w:hint="eastAsia" w:ascii="Times New Roman" w:hAnsi="Times New Roman" w:eastAsia="宋体"/>
                <w:color w:val="auto"/>
                <w:kern w:val="2"/>
                <w:sz w:val="24"/>
                <w:szCs w:val="24"/>
                <w:highlight w:val="none"/>
                <w:lang w:val="en-US" w:eastAsia="zh-CN"/>
              </w:rPr>
              <w:t>生活污水产生量为14.0</w:t>
            </w:r>
            <w:r>
              <w:rPr>
                <w:rFonts w:hint="eastAsia" w:ascii="Times New Roman" w:hAnsi="Times New Roman" w:eastAsia="宋体"/>
                <w:color w:val="auto"/>
                <w:kern w:val="2"/>
                <w:sz w:val="24"/>
                <w:szCs w:val="24"/>
                <w:highlight w:val="none"/>
              </w:rPr>
              <w:t>m</w:t>
            </w:r>
            <w:r>
              <w:rPr>
                <w:rFonts w:hint="eastAsia" w:ascii="Times New Roman" w:hAnsi="Times New Roman" w:eastAsia="宋体"/>
                <w:color w:val="auto"/>
                <w:kern w:val="2"/>
                <w:sz w:val="24"/>
                <w:szCs w:val="24"/>
                <w:highlight w:val="none"/>
                <w:vertAlign w:val="superscript"/>
              </w:rPr>
              <w:t>3</w:t>
            </w:r>
            <w:r>
              <w:rPr>
                <w:rFonts w:hint="eastAsia" w:ascii="Times New Roman" w:hAnsi="Times New Roman" w:eastAsia="宋体"/>
                <w:color w:val="auto"/>
                <w:kern w:val="2"/>
                <w:sz w:val="24"/>
                <w:szCs w:val="24"/>
                <w:highlight w:val="none"/>
              </w:rPr>
              <w:t>/d</w:t>
            </w:r>
            <w:r>
              <w:rPr>
                <w:rFonts w:hint="eastAsia" w:ascii="Times New Roman" w:hAnsi="Times New Roman" w:eastAsia="宋体"/>
                <w:color w:val="auto"/>
                <w:kern w:val="2"/>
                <w:sz w:val="24"/>
                <w:szCs w:val="24"/>
                <w:highlight w:val="none"/>
                <w:lang w:eastAsia="zh-CN"/>
              </w:rPr>
              <w:t>），</w:t>
            </w:r>
            <w:r>
              <w:rPr>
                <w:rFonts w:hint="eastAsia" w:eastAsia="宋体"/>
                <w:bCs/>
                <w:color w:val="auto"/>
                <w:sz w:val="24"/>
                <w:highlight w:val="none"/>
                <w:lang w:val="en-US" w:eastAsia="zh-CN"/>
              </w:rPr>
              <w:t>实验室废水经酸碱中和</w:t>
            </w:r>
            <w:r>
              <w:rPr>
                <w:rFonts w:hint="eastAsia"/>
                <w:bCs/>
                <w:color w:val="auto"/>
                <w:sz w:val="24"/>
                <w:highlight w:val="none"/>
                <w:lang w:val="en-US" w:eastAsia="zh-CN"/>
              </w:rPr>
              <w:t>、</w:t>
            </w:r>
            <w:r>
              <w:rPr>
                <w:rFonts w:hint="eastAsia" w:eastAsia="宋体"/>
                <w:bCs/>
                <w:color w:val="auto"/>
                <w:sz w:val="24"/>
                <w:highlight w:val="none"/>
                <w:lang w:val="en-US" w:eastAsia="zh-CN"/>
              </w:rPr>
              <w:t>混凝沉淀预处理，餐饮废水经隔油池预处理</w:t>
            </w:r>
            <w:r>
              <w:rPr>
                <w:rFonts w:hint="eastAsia"/>
                <w:bCs/>
                <w:color w:val="auto"/>
                <w:sz w:val="24"/>
                <w:highlight w:val="none"/>
                <w:lang w:val="en-US" w:eastAsia="zh-CN"/>
              </w:rPr>
              <w:t>，随后经预处理的实验废水、餐饮废水与办公</w:t>
            </w:r>
            <w:r>
              <w:rPr>
                <w:rFonts w:hint="eastAsia" w:eastAsia="宋体"/>
                <w:bCs/>
                <w:color w:val="auto"/>
                <w:sz w:val="24"/>
                <w:highlight w:val="none"/>
                <w:lang w:val="en-US" w:eastAsia="zh-CN"/>
              </w:rPr>
              <w:t>生活污水一并经化粪池</w:t>
            </w:r>
            <w:r>
              <w:rPr>
                <w:rFonts w:hint="eastAsia"/>
                <w:bCs/>
                <w:color w:val="auto"/>
                <w:sz w:val="24"/>
                <w:highlight w:val="none"/>
                <w:lang w:val="en-US" w:eastAsia="zh-CN"/>
              </w:rPr>
              <w:t>进行</w:t>
            </w:r>
            <w:r>
              <w:rPr>
                <w:rFonts w:hint="eastAsia" w:eastAsia="宋体"/>
                <w:bCs/>
                <w:color w:val="auto"/>
                <w:sz w:val="24"/>
                <w:highlight w:val="none"/>
                <w:lang w:val="en-US" w:eastAsia="zh-CN"/>
              </w:rPr>
              <w:t>处理，废水水质能够满足GB8978-1996《污水综合排放标准》中三级标准与GB/T31962-2015《污水排入城镇下水道水质标准》表1</w:t>
            </w:r>
            <w:r>
              <w:rPr>
                <w:rFonts w:hint="eastAsia"/>
                <w:bCs/>
                <w:color w:val="auto"/>
                <w:sz w:val="24"/>
                <w:highlight w:val="none"/>
                <w:lang w:val="en-US" w:eastAsia="zh-CN"/>
              </w:rPr>
              <w:t>A</w:t>
            </w:r>
            <w:r>
              <w:rPr>
                <w:rFonts w:hint="eastAsia" w:eastAsia="宋体"/>
                <w:bCs/>
                <w:color w:val="auto"/>
                <w:sz w:val="24"/>
                <w:highlight w:val="none"/>
                <w:lang w:val="en-US" w:eastAsia="zh-CN"/>
              </w:rPr>
              <w:t>级标准要求，</w:t>
            </w:r>
            <w:r>
              <w:rPr>
                <w:rFonts w:hint="eastAsia"/>
                <w:bCs/>
                <w:color w:val="auto"/>
                <w:sz w:val="24"/>
                <w:highlight w:val="none"/>
                <w:lang w:val="en-US" w:eastAsia="zh-CN"/>
              </w:rPr>
              <w:t>排入</w:t>
            </w:r>
            <w:r>
              <w:rPr>
                <w:rFonts w:hint="eastAsia" w:eastAsia="宋体"/>
                <w:bCs/>
                <w:color w:val="auto"/>
                <w:sz w:val="24"/>
                <w:highlight w:val="none"/>
                <w:lang w:val="en-US" w:eastAsia="zh-CN"/>
              </w:rPr>
              <w:t>市政污水管网</w:t>
            </w:r>
            <w:r>
              <w:rPr>
                <w:rFonts w:hint="eastAsia"/>
                <w:bCs/>
                <w:color w:val="auto"/>
                <w:sz w:val="24"/>
                <w:highlight w:val="none"/>
                <w:lang w:val="en-US" w:eastAsia="zh-CN"/>
              </w:rPr>
              <w:t>，最终进入沣东南污水处理厂</w:t>
            </w:r>
            <w:r>
              <w:rPr>
                <w:rFonts w:hint="eastAsia" w:eastAsia="宋体"/>
                <w:bCs/>
                <w:color w:val="auto"/>
                <w:sz w:val="24"/>
                <w:highlight w:val="none"/>
                <w:lang w:val="en-US" w:eastAsia="zh-CN"/>
              </w:rPr>
              <w:t>。</w:t>
            </w:r>
            <w:r>
              <w:rPr>
                <w:rFonts w:hint="default" w:ascii="Times New Roman" w:hAnsi="Times New Roman" w:eastAsia="宋体" w:cs="Times New Roman"/>
                <w:color w:val="auto"/>
                <w:sz w:val="24"/>
                <w:szCs w:val="24"/>
                <w:highlight w:val="none"/>
                <w:lang w:bidi="ar"/>
              </w:rPr>
              <w:t>根据</w:t>
            </w:r>
            <w:r>
              <w:rPr>
                <w:rFonts w:hint="eastAsia" w:ascii="Times New Roman" w:hAnsi="Times New Roman" w:eastAsia="宋体" w:cs="Times New Roman"/>
                <w:color w:val="auto"/>
                <w:sz w:val="24"/>
                <w:szCs w:val="24"/>
                <w:highlight w:val="none"/>
                <w:lang w:val="en-US" w:eastAsia="zh-CN" w:bidi="ar"/>
              </w:rPr>
              <w:t>202</w:t>
            </w:r>
            <w:r>
              <w:rPr>
                <w:rFonts w:hint="eastAsia" w:cs="Times New Roman"/>
                <w:color w:val="auto"/>
                <w:sz w:val="24"/>
                <w:szCs w:val="24"/>
                <w:highlight w:val="none"/>
                <w:lang w:val="en-US" w:eastAsia="zh-CN" w:bidi="ar"/>
              </w:rPr>
              <w:t>5</w:t>
            </w:r>
            <w:r>
              <w:rPr>
                <w:rFonts w:hint="eastAsia" w:ascii="Times New Roman" w:hAnsi="Times New Roman" w:eastAsia="宋体" w:cs="Times New Roman"/>
                <w:color w:val="auto"/>
                <w:sz w:val="24"/>
                <w:szCs w:val="24"/>
                <w:highlight w:val="none"/>
                <w:lang w:val="en-US" w:eastAsia="zh-CN" w:bidi="ar"/>
              </w:rPr>
              <w:t>年</w:t>
            </w:r>
            <w:r>
              <w:rPr>
                <w:rFonts w:hint="default" w:ascii="Times New Roman" w:hAnsi="Times New Roman" w:eastAsia="宋体" w:cs="Times New Roman"/>
                <w:color w:val="auto"/>
                <w:sz w:val="24"/>
                <w:szCs w:val="24"/>
                <w:highlight w:val="none"/>
                <w:lang w:bidi="ar"/>
              </w:rPr>
              <w:t>企业例行监测报告</w:t>
            </w:r>
            <w:r>
              <w:rPr>
                <w:rFonts w:hint="eastAsia" w:cs="Times New Roman"/>
                <w:color w:val="auto"/>
                <w:sz w:val="24"/>
                <w:szCs w:val="24"/>
                <w:highlight w:val="none"/>
                <w:lang w:eastAsia="zh-CN" w:bidi="ar"/>
              </w:rPr>
              <w:t>（</w:t>
            </w:r>
            <w:r>
              <w:rPr>
                <w:rFonts w:hint="eastAsia" w:cs="Times New Roman"/>
                <w:color w:val="auto"/>
                <w:sz w:val="24"/>
                <w:szCs w:val="24"/>
                <w:highlight w:val="none"/>
                <w:lang w:val="en-US" w:eastAsia="zh-CN" w:bidi="ar"/>
              </w:rPr>
              <w:t>源泽监字[2025]第0314号</w:t>
            </w:r>
            <w:r>
              <w:rPr>
                <w:rFonts w:hint="eastAsia"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w:t>
            </w:r>
            <w:r>
              <w:rPr>
                <w:rFonts w:hint="eastAsia" w:cs="Times New Roman"/>
                <w:color w:val="auto"/>
                <w:sz w:val="24"/>
                <w:szCs w:val="24"/>
                <w:highlight w:val="none"/>
                <w:lang w:val="en-US" w:eastAsia="zh-CN" w:bidi="ar"/>
              </w:rPr>
              <w:t>现有工程废水总排口水质情况见表2-11。</w:t>
            </w:r>
          </w:p>
          <w:p w14:paraId="7E2E7FC5">
            <w:pPr>
              <w:keepNext w:val="0"/>
              <w:keepLines w:val="0"/>
              <w:pageBreakBefore w:val="0"/>
              <w:widowControl w:val="0"/>
              <w:kinsoku/>
              <w:wordWrap/>
              <w:overflowPunct/>
              <w:topLinePunct w:val="0"/>
              <w:autoSpaceDE/>
              <w:autoSpaceDN/>
              <w:bidi w:val="0"/>
              <w:adjustRightInd w:val="0"/>
              <w:snapToGrid w:val="0"/>
              <w:spacing w:before="157" w:beforeLines="50"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w:t>
            </w:r>
            <w:r>
              <w:rPr>
                <w:rFonts w:hint="eastAsia" w:ascii="Times New Roman" w:hAnsi="Times New Roman" w:eastAsia="宋体" w:cs="Times New Roman"/>
                <w:b/>
                <w:bCs w:val="0"/>
                <w:color w:val="auto"/>
                <w:sz w:val="21"/>
                <w:szCs w:val="21"/>
                <w:highlight w:val="none"/>
                <w:lang w:val="en-US" w:eastAsia="zh-CN"/>
              </w:rPr>
              <w:t>11   化粪池废水总排口水质监测结果 单位：mg/L(pH除外)</w:t>
            </w:r>
          </w:p>
          <w:tbl>
            <w:tblPr>
              <w:tblStyle w:val="27"/>
              <w:tblW w:w="81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59"/>
              <w:gridCol w:w="1026"/>
              <w:gridCol w:w="785"/>
              <w:gridCol w:w="858"/>
              <w:gridCol w:w="911"/>
              <w:gridCol w:w="888"/>
              <w:gridCol w:w="814"/>
              <w:gridCol w:w="718"/>
              <w:gridCol w:w="742"/>
              <w:gridCol w:w="754"/>
            </w:tblGrid>
            <w:tr w14:paraId="791CF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9" w:hRule="atLeast"/>
                <w:jc w:val="center"/>
              </w:trPr>
              <w:tc>
                <w:tcPr>
                  <w:tcW w:w="1033" w:type="pct"/>
                  <w:gridSpan w:val="2"/>
                  <w:tcBorders>
                    <w:bottom w:val="single" w:color="auto" w:sz="4" w:space="0"/>
                    <w:right w:val="single" w:color="auto" w:sz="4" w:space="0"/>
                  </w:tcBorders>
                  <w:noWrap w:val="0"/>
                  <w:vAlign w:val="center"/>
                </w:tcPr>
                <w:p w14:paraId="22B8796A">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rPr>
                  </w:pPr>
                  <w:r>
                    <w:rPr>
                      <w:rFonts w:hint="default" w:ascii="Times New Roman" w:hAnsi="Times New Roman" w:eastAsia="宋体" w:cs="Times New Roman"/>
                      <w:b/>
                      <w:bCs w:val="0"/>
                      <w:color w:val="auto"/>
                      <w:kern w:val="2"/>
                      <w:sz w:val="21"/>
                      <w:szCs w:val="21"/>
                      <w:highlight w:val="none"/>
                    </w:rPr>
                    <w:t>监测时间</w:t>
                  </w:r>
                </w:p>
              </w:tc>
              <w:tc>
                <w:tcPr>
                  <w:tcW w:w="481" w:type="pct"/>
                  <w:tcBorders>
                    <w:left w:val="single" w:color="auto" w:sz="4" w:space="0"/>
                    <w:bottom w:val="single" w:color="auto" w:sz="4" w:space="0"/>
                    <w:right w:val="single" w:color="auto" w:sz="4" w:space="0"/>
                  </w:tcBorders>
                  <w:noWrap w:val="0"/>
                  <w:vAlign w:val="center"/>
                </w:tcPr>
                <w:p w14:paraId="4E69616C">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rPr>
                  </w:pPr>
                  <w:r>
                    <w:rPr>
                      <w:rFonts w:hint="default" w:ascii="Times New Roman" w:hAnsi="Times New Roman" w:eastAsia="宋体" w:cs="Times New Roman"/>
                      <w:b/>
                      <w:bCs w:val="0"/>
                      <w:color w:val="auto"/>
                      <w:kern w:val="2"/>
                      <w:sz w:val="21"/>
                      <w:szCs w:val="21"/>
                      <w:highlight w:val="none"/>
                    </w:rPr>
                    <w:t>pH值</w:t>
                  </w:r>
                </w:p>
              </w:tc>
              <w:tc>
                <w:tcPr>
                  <w:tcW w:w="526" w:type="pct"/>
                  <w:tcBorders>
                    <w:left w:val="single" w:color="auto" w:sz="4" w:space="0"/>
                    <w:bottom w:val="single" w:color="auto" w:sz="4" w:space="0"/>
                    <w:right w:val="single" w:color="auto" w:sz="4" w:space="0"/>
                  </w:tcBorders>
                  <w:noWrap w:val="0"/>
                  <w:vAlign w:val="center"/>
                </w:tcPr>
                <w:p w14:paraId="128A943B">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lang w:val="en-US" w:eastAsia="zh-CN"/>
                    </w:rPr>
                  </w:pPr>
                  <w:r>
                    <w:rPr>
                      <w:rFonts w:hint="eastAsia" w:ascii="Times New Roman" w:hAnsi="Times New Roman" w:eastAsia="宋体" w:cs="Times New Roman"/>
                      <w:b/>
                      <w:bCs w:val="0"/>
                      <w:color w:val="auto"/>
                      <w:kern w:val="2"/>
                      <w:sz w:val="21"/>
                      <w:szCs w:val="21"/>
                      <w:highlight w:val="none"/>
                      <w:lang w:val="en-US" w:eastAsia="zh-CN"/>
                    </w:rPr>
                    <w:t>化学需氧量</w:t>
                  </w:r>
                </w:p>
              </w:tc>
              <w:tc>
                <w:tcPr>
                  <w:tcW w:w="558" w:type="pct"/>
                  <w:tcBorders>
                    <w:left w:val="single" w:color="auto" w:sz="4" w:space="0"/>
                    <w:bottom w:val="single" w:color="auto" w:sz="4" w:space="0"/>
                    <w:right w:val="single" w:color="auto" w:sz="4" w:space="0"/>
                  </w:tcBorders>
                  <w:noWrap w:val="0"/>
                  <w:vAlign w:val="center"/>
                </w:tcPr>
                <w:p w14:paraId="37C82DF8">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lang w:val="en-US" w:eastAsia="zh-CN"/>
                    </w:rPr>
                  </w:pPr>
                  <w:r>
                    <w:rPr>
                      <w:rFonts w:hint="eastAsia" w:ascii="Times New Roman" w:hAnsi="Times New Roman" w:eastAsia="宋体" w:cs="Times New Roman"/>
                      <w:b/>
                      <w:bCs w:val="0"/>
                      <w:color w:val="auto"/>
                      <w:kern w:val="2"/>
                      <w:sz w:val="21"/>
                      <w:szCs w:val="21"/>
                      <w:highlight w:val="none"/>
                      <w:lang w:val="en-US" w:eastAsia="zh-CN"/>
                    </w:rPr>
                    <w:t>五日生化需氧量</w:t>
                  </w:r>
                </w:p>
              </w:tc>
              <w:tc>
                <w:tcPr>
                  <w:tcW w:w="544" w:type="pct"/>
                  <w:tcBorders>
                    <w:left w:val="single" w:color="auto" w:sz="4" w:space="0"/>
                    <w:bottom w:val="single" w:color="auto" w:sz="4" w:space="0"/>
                    <w:right w:val="single" w:color="auto" w:sz="4" w:space="0"/>
                  </w:tcBorders>
                  <w:noWrap w:val="0"/>
                  <w:vAlign w:val="center"/>
                </w:tcPr>
                <w:p w14:paraId="3126ADF7">
                  <w:pPr>
                    <w:pStyle w:val="22"/>
                    <w:widowControl w:val="0"/>
                    <w:overflowPunct w:val="0"/>
                    <w:adjustRightInd w:val="0"/>
                    <w:spacing w:before="0" w:beforeAutospacing="0" w:after="0" w:afterAutospacing="0"/>
                    <w:jc w:val="center"/>
                    <w:rPr>
                      <w:rFonts w:hint="eastAsia" w:ascii="Times New Roman" w:hAnsi="Times New Roman" w:eastAsia="宋体" w:cs="Times New Roman"/>
                      <w:b/>
                      <w:bCs w:val="0"/>
                      <w:color w:val="auto"/>
                      <w:kern w:val="2"/>
                      <w:sz w:val="21"/>
                      <w:szCs w:val="21"/>
                      <w:highlight w:val="none"/>
                      <w:lang w:eastAsia="zh-CN"/>
                    </w:rPr>
                  </w:pPr>
                  <w:r>
                    <w:rPr>
                      <w:rFonts w:hint="eastAsia" w:ascii="Times New Roman" w:hAnsi="Times New Roman" w:eastAsia="宋体" w:cs="Times New Roman"/>
                      <w:b/>
                      <w:bCs w:val="0"/>
                      <w:color w:val="auto"/>
                      <w:kern w:val="2"/>
                      <w:sz w:val="21"/>
                      <w:szCs w:val="21"/>
                      <w:highlight w:val="none"/>
                      <w:lang w:val="en-US" w:eastAsia="zh-CN"/>
                    </w:rPr>
                    <w:t>悬浮物</w:t>
                  </w:r>
                </w:p>
              </w:tc>
              <w:tc>
                <w:tcPr>
                  <w:tcW w:w="499" w:type="pct"/>
                  <w:tcBorders>
                    <w:left w:val="single" w:color="auto" w:sz="4" w:space="0"/>
                    <w:bottom w:val="single" w:color="auto" w:sz="4" w:space="0"/>
                    <w:right w:val="single" w:color="auto" w:sz="4" w:space="0"/>
                  </w:tcBorders>
                  <w:noWrap w:val="0"/>
                  <w:vAlign w:val="center"/>
                </w:tcPr>
                <w:p w14:paraId="39FD0CDF">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lang w:val="en-US" w:eastAsia="zh-CN"/>
                    </w:rPr>
                  </w:pPr>
                  <w:r>
                    <w:rPr>
                      <w:rFonts w:hint="eastAsia" w:ascii="Times New Roman" w:hAnsi="Times New Roman" w:eastAsia="宋体" w:cs="Times New Roman"/>
                      <w:b/>
                      <w:bCs w:val="0"/>
                      <w:color w:val="auto"/>
                      <w:kern w:val="2"/>
                      <w:sz w:val="21"/>
                      <w:szCs w:val="21"/>
                      <w:highlight w:val="none"/>
                      <w:lang w:val="en-US" w:eastAsia="zh-CN"/>
                    </w:rPr>
                    <w:t>氨氮</w:t>
                  </w:r>
                </w:p>
              </w:tc>
              <w:tc>
                <w:tcPr>
                  <w:tcW w:w="440" w:type="pct"/>
                  <w:tcBorders>
                    <w:left w:val="single" w:color="auto" w:sz="4" w:space="0"/>
                    <w:bottom w:val="single" w:color="auto" w:sz="4" w:space="0"/>
                    <w:right w:val="single" w:color="auto" w:sz="4" w:space="0"/>
                  </w:tcBorders>
                  <w:noWrap w:val="0"/>
                  <w:vAlign w:val="center"/>
                </w:tcPr>
                <w:p w14:paraId="0271E5DB">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lang w:val="en-US" w:eastAsia="zh-CN"/>
                    </w:rPr>
                  </w:pPr>
                  <w:r>
                    <w:rPr>
                      <w:rFonts w:hint="eastAsia" w:ascii="Times New Roman" w:hAnsi="Times New Roman" w:cs="Times New Roman"/>
                      <w:b/>
                      <w:bCs w:val="0"/>
                      <w:color w:val="auto"/>
                      <w:kern w:val="2"/>
                      <w:sz w:val="21"/>
                      <w:szCs w:val="21"/>
                      <w:highlight w:val="none"/>
                      <w:lang w:val="en-US" w:eastAsia="zh-CN"/>
                    </w:rPr>
                    <w:t>总氮</w:t>
                  </w:r>
                </w:p>
              </w:tc>
              <w:tc>
                <w:tcPr>
                  <w:tcW w:w="454" w:type="pct"/>
                  <w:tcBorders>
                    <w:left w:val="single" w:color="auto" w:sz="4" w:space="0"/>
                    <w:bottom w:val="single" w:color="auto" w:sz="4" w:space="0"/>
                    <w:right w:val="single" w:color="auto" w:sz="4" w:space="0"/>
                  </w:tcBorders>
                  <w:noWrap w:val="0"/>
                  <w:vAlign w:val="center"/>
                </w:tcPr>
                <w:p w14:paraId="4D158A0A">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lang w:val="en-US" w:eastAsia="zh-CN"/>
                    </w:rPr>
                  </w:pPr>
                  <w:r>
                    <w:rPr>
                      <w:rFonts w:hint="default" w:ascii="Times New Roman" w:hAnsi="Times New Roman" w:eastAsia="宋体" w:cs="Times New Roman"/>
                      <w:b/>
                      <w:bCs w:val="0"/>
                      <w:color w:val="auto"/>
                      <w:kern w:val="2"/>
                      <w:sz w:val="21"/>
                      <w:szCs w:val="21"/>
                      <w:highlight w:val="none"/>
                      <w:lang w:val="en-US" w:eastAsia="zh-CN"/>
                    </w:rPr>
                    <w:t>总磷</w:t>
                  </w:r>
                </w:p>
              </w:tc>
              <w:tc>
                <w:tcPr>
                  <w:tcW w:w="462" w:type="pct"/>
                  <w:tcBorders>
                    <w:left w:val="single" w:color="auto" w:sz="4" w:space="0"/>
                    <w:bottom w:val="single" w:color="auto" w:sz="4" w:space="0"/>
                  </w:tcBorders>
                  <w:noWrap w:val="0"/>
                  <w:vAlign w:val="center"/>
                </w:tcPr>
                <w:p w14:paraId="07FCDFB0">
                  <w:pPr>
                    <w:pStyle w:val="22"/>
                    <w:widowControl w:val="0"/>
                    <w:overflowPunct w:val="0"/>
                    <w:adjustRightInd w:val="0"/>
                    <w:spacing w:before="0" w:beforeAutospacing="0" w:after="0" w:afterAutospacing="0"/>
                    <w:jc w:val="center"/>
                    <w:rPr>
                      <w:rFonts w:hint="default" w:ascii="Times New Roman" w:hAnsi="Times New Roman" w:eastAsia="宋体" w:cs="Times New Roman"/>
                      <w:b/>
                      <w:bCs w:val="0"/>
                      <w:color w:val="auto"/>
                      <w:kern w:val="2"/>
                      <w:sz w:val="21"/>
                      <w:szCs w:val="21"/>
                      <w:highlight w:val="none"/>
                    </w:rPr>
                  </w:pPr>
                  <w:r>
                    <w:rPr>
                      <w:rFonts w:hint="default" w:ascii="Times New Roman" w:hAnsi="Times New Roman" w:eastAsia="宋体" w:cs="Times New Roman"/>
                      <w:b/>
                      <w:bCs w:val="0"/>
                      <w:color w:val="auto"/>
                      <w:kern w:val="2"/>
                      <w:sz w:val="21"/>
                      <w:szCs w:val="21"/>
                      <w:highlight w:val="none"/>
                    </w:rPr>
                    <w:t>动植物油类</w:t>
                  </w:r>
                </w:p>
              </w:tc>
            </w:tr>
            <w:tr w14:paraId="5BC40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404" w:type="pct"/>
                  <w:vMerge w:val="restart"/>
                  <w:tcBorders>
                    <w:top w:val="single" w:color="auto" w:sz="4" w:space="0"/>
                    <w:right w:val="single" w:color="auto" w:sz="4" w:space="0"/>
                  </w:tcBorders>
                  <w:noWrap w:val="0"/>
                  <w:vAlign w:val="center"/>
                </w:tcPr>
                <w:p w14:paraId="02E8E874">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202</w:t>
                  </w:r>
                  <w:r>
                    <w:rPr>
                      <w:rFonts w:hint="eastAsia" w:ascii="Times New Roman" w:hAnsi="Times New Roman" w:cs="Times New Roman"/>
                      <w:color w:val="auto"/>
                      <w:kern w:val="2"/>
                      <w:sz w:val="21"/>
                      <w:szCs w:val="21"/>
                      <w:highlight w:val="none"/>
                      <w:lang w:val="en-US" w:eastAsia="zh-CN"/>
                    </w:rPr>
                    <w:t>5.3.27</w:t>
                  </w:r>
                </w:p>
              </w:tc>
              <w:tc>
                <w:tcPr>
                  <w:tcW w:w="629" w:type="pct"/>
                  <w:tcBorders>
                    <w:top w:val="single" w:color="auto" w:sz="4" w:space="0"/>
                    <w:bottom w:val="single" w:color="auto" w:sz="4" w:space="0"/>
                    <w:right w:val="single" w:color="auto" w:sz="4" w:space="0"/>
                  </w:tcBorders>
                  <w:noWrap w:val="0"/>
                  <w:vAlign w:val="center"/>
                </w:tcPr>
                <w:p w14:paraId="62E1500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WS20250327-01</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7D88C7E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7.</w:t>
                  </w:r>
                  <w:r>
                    <w:rPr>
                      <w:rFonts w:hint="eastAsia" w:ascii="Times New Roman" w:hAnsi="Times New Roman" w:cs="Times New Roman"/>
                      <w:color w:val="auto"/>
                      <w:kern w:val="2"/>
                      <w:sz w:val="21"/>
                      <w:szCs w:val="21"/>
                      <w:highlight w:val="none"/>
                      <w:lang w:val="en-US" w:eastAsia="zh-CN"/>
                    </w:rPr>
                    <w:t>4</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7B230B1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356</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23FD20F5">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94.6</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2B5B6A14">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28</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01B04C1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4</w:t>
                  </w:r>
                  <w:r>
                    <w:rPr>
                      <w:rFonts w:hint="eastAsia" w:ascii="Times New Roman" w:hAnsi="Times New Roman" w:cs="Times New Roman"/>
                      <w:color w:val="auto"/>
                      <w:kern w:val="2"/>
                      <w:sz w:val="21"/>
                      <w:szCs w:val="21"/>
                      <w:highlight w:val="none"/>
                      <w:lang w:val="en-US" w:eastAsia="zh-CN"/>
                    </w:rPr>
                    <w:t>1.1</w:t>
                  </w:r>
                </w:p>
              </w:tc>
              <w:tc>
                <w:tcPr>
                  <w:tcW w:w="440" w:type="pct"/>
                  <w:tcBorders>
                    <w:top w:val="single" w:color="auto" w:sz="4" w:space="0"/>
                    <w:left w:val="single" w:color="auto" w:sz="4" w:space="0"/>
                    <w:bottom w:val="single" w:color="auto" w:sz="4" w:space="0"/>
                    <w:right w:val="single" w:color="auto" w:sz="4" w:space="0"/>
                  </w:tcBorders>
                  <w:noWrap w:val="0"/>
                  <w:vAlign w:val="center"/>
                </w:tcPr>
                <w:p w14:paraId="0D75C18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55.8</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24C35A8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6.63</w:t>
                  </w:r>
                </w:p>
              </w:tc>
              <w:tc>
                <w:tcPr>
                  <w:tcW w:w="462" w:type="pct"/>
                  <w:tcBorders>
                    <w:top w:val="single" w:color="auto" w:sz="4" w:space="0"/>
                    <w:left w:val="single" w:color="auto" w:sz="4" w:space="0"/>
                    <w:bottom w:val="single" w:color="auto" w:sz="4" w:space="0"/>
                  </w:tcBorders>
                  <w:noWrap w:val="0"/>
                  <w:vAlign w:val="center"/>
                </w:tcPr>
                <w:p w14:paraId="06CA0E8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3.03</w:t>
                  </w:r>
                </w:p>
              </w:tc>
            </w:tr>
            <w:tr w14:paraId="0F563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404" w:type="pct"/>
                  <w:vMerge w:val="continue"/>
                  <w:tcBorders>
                    <w:right w:val="single" w:color="auto" w:sz="4" w:space="0"/>
                  </w:tcBorders>
                  <w:noWrap w:val="0"/>
                  <w:vAlign w:val="center"/>
                </w:tcPr>
                <w:p w14:paraId="3275576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p>
              </w:tc>
              <w:tc>
                <w:tcPr>
                  <w:tcW w:w="629" w:type="pct"/>
                  <w:tcBorders>
                    <w:top w:val="single" w:color="auto" w:sz="4" w:space="0"/>
                    <w:bottom w:val="single" w:color="auto" w:sz="4" w:space="0"/>
                    <w:right w:val="single" w:color="auto" w:sz="4" w:space="0"/>
                  </w:tcBorders>
                  <w:noWrap w:val="0"/>
                  <w:vAlign w:val="center"/>
                </w:tcPr>
                <w:p w14:paraId="2F31FEA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WS20250327-0</w:t>
                  </w:r>
                  <w:r>
                    <w:rPr>
                      <w:rFonts w:hint="eastAsia" w:ascii="Times New Roman" w:hAnsi="Times New Roman" w:cs="Times New Roman"/>
                      <w:color w:val="auto"/>
                      <w:kern w:val="2"/>
                      <w:sz w:val="21"/>
                      <w:szCs w:val="21"/>
                      <w:highlight w:val="none"/>
                      <w:lang w:val="en-US" w:eastAsia="zh-CN"/>
                    </w:rPr>
                    <w:t>2</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678DD75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7.3</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4A0FCA0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337</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66DB6B2D">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82.7</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434BAAC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25</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BF6248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41.9</w:t>
                  </w:r>
                </w:p>
              </w:tc>
              <w:tc>
                <w:tcPr>
                  <w:tcW w:w="440" w:type="pct"/>
                  <w:tcBorders>
                    <w:top w:val="single" w:color="auto" w:sz="4" w:space="0"/>
                    <w:left w:val="single" w:color="auto" w:sz="4" w:space="0"/>
                    <w:bottom w:val="single" w:color="auto" w:sz="4" w:space="0"/>
                    <w:right w:val="single" w:color="auto" w:sz="4" w:space="0"/>
                  </w:tcBorders>
                  <w:noWrap w:val="0"/>
                  <w:vAlign w:val="center"/>
                </w:tcPr>
                <w:p w14:paraId="3E81C228">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45.3</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4BBF276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5.48</w:t>
                  </w:r>
                </w:p>
              </w:tc>
              <w:tc>
                <w:tcPr>
                  <w:tcW w:w="462" w:type="pct"/>
                  <w:tcBorders>
                    <w:top w:val="single" w:color="auto" w:sz="4" w:space="0"/>
                    <w:left w:val="single" w:color="auto" w:sz="4" w:space="0"/>
                    <w:bottom w:val="single" w:color="auto" w:sz="4" w:space="0"/>
                  </w:tcBorders>
                  <w:noWrap w:val="0"/>
                  <w:vAlign w:val="center"/>
                </w:tcPr>
                <w:p w14:paraId="206B8FB9">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2.63</w:t>
                  </w:r>
                </w:p>
              </w:tc>
            </w:tr>
            <w:tr w14:paraId="794C0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404" w:type="pct"/>
                  <w:vMerge w:val="continue"/>
                  <w:tcBorders>
                    <w:bottom w:val="single" w:color="auto" w:sz="4" w:space="0"/>
                    <w:right w:val="single" w:color="auto" w:sz="4" w:space="0"/>
                  </w:tcBorders>
                  <w:noWrap w:val="0"/>
                  <w:vAlign w:val="center"/>
                </w:tcPr>
                <w:p w14:paraId="7FFE23D6">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p>
              </w:tc>
              <w:tc>
                <w:tcPr>
                  <w:tcW w:w="629" w:type="pct"/>
                  <w:tcBorders>
                    <w:top w:val="single" w:color="auto" w:sz="4" w:space="0"/>
                    <w:bottom w:val="single" w:color="auto" w:sz="4" w:space="0"/>
                    <w:right w:val="single" w:color="auto" w:sz="4" w:space="0"/>
                  </w:tcBorders>
                  <w:noWrap w:val="0"/>
                  <w:vAlign w:val="center"/>
                </w:tcPr>
                <w:p w14:paraId="2CA84C89">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WS20250327-0</w:t>
                  </w:r>
                  <w:r>
                    <w:rPr>
                      <w:rFonts w:hint="eastAsia" w:ascii="Times New Roman" w:hAnsi="Times New Roman" w:cs="Times New Roman"/>
                      <w:color w:val="auto"/>
                      <w:kern w:val="2"/>
                      <w:sz w:val="21"/>
                      <w:szCs w:val="21"/>
                      <w:highlight w:val="none"/>
                      <w:lang w:val="en-US" w:eastAsia="zh-CN"/>
                    </w:rPr>
                    <w:t>3</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528C4F4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7.4</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69E40C9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347</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24DD0774">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88.5</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26A6810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23</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85D7B38">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40.6</w:t>
                  </w:r>
                </w:p>
              </w:tc>
              <w:tc>
                <w:tcPr>
                  <w:tcW w:w="440" w:type="pct"/>
                  <w:tcBorders>
                    <w:top w:val="single" w:color="auto" w:sz="4" w:space="0"/>
                    <w:left w:val="single" w:color="auto" w:sz="4" w:space="0"/>
                    <w:bottom w:val="single" w:color="auto" w:sz="4" w:space="0"/>
                    <w:right w:val="single" w:color="auto" w:sz="4" w:space="0"/>
                  </w:tcBorders>
                  <w:noWrap w:val="0"/>
                  <w:vAlign w:val="center"/>
                </w:tcPr>
                <w:p w14:paraId="3947529E">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44.1</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76A14700">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5.38</w:t>
                  </w:r>
                </w:p>
              </w:tc>
              <w:tc>
                <w:tcPr>
                  <w:tcW w:w="462" w:type="pct"/>
                  <w:tcBorders>
                    <w:top w:val="single" w:color="auto" w:sz="4" w:space="0"/>
                    <w:left w:val="single" w:color="auto" w:sz="4" w:space="0"/>
                    <w:bottom w:val="single" w:color="auto" w:sz="4" w:space="0"/>
                  </w:tcBorders>
                  <w:noWrap w:val="0"/>
                  <w:vAlign w:val="center"/>
                </w:tcPr>
                <w:p w14:paraId="278C7F3E">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2.66</w:t>
                  </w:r>
                </w:p>
              </w:tc>
            </w:tr>
            <w:tr w14:paraId="305F2C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48" w:hRule="atLeast"/>
                <w:jc w:val="center"/>
              </w:trPr>
              <w:tc>
                <w:tcPr>
                  <w:tcW w:w="1033" w:type="pct"/>
                  <w:gridSpan w:val="2"/>
                  <w:tcBorders>
                    <w:top w:val="single" w:color="auto" w:sz="4" w:space="0"/>
                    <w:bottom w:val="single" w:color="auto" w:sz="4" w:space="0"/>
                    <w:right w:val="single" w:color="auto" w:sz="4" w:space="0"/>
                  </w:tcBorders>
                  <w:noWrap w:val="0"/>
                  <w:vAlign w:val="center"/>
                </w:tcPr>
                <w:p w14:paraId="3D7A74C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（GB8979-1996）表4</w:t>
                  </w:r>
                  <w:r>
                    <w:rPr>
                      <w:rFonts w:hint="eastAsia" w:ascii="Times New Roman" w:hAnsi="Times New Roman" w:eastAsia="宋体" w:cs="Times New Roman"/>
                      <w:color w:val="auto"/>
                      <w:kern w:val="2"/>
                      <w:sz w:val="21"/>
                      <w:szCs w:val="21"/>
                      <w:highlight w:val="none"/>
                      <w:lang w:val="en-US" w:eastAsia="zh-CN"/>
                    </w:rPr>
                    <w:t>三</w:t>
                  </w:r>
                  <w:r>
                    <w:rPr>
                      <w:rFonts w:hint="default" w:ascii="Times New Roman" w:hAnsi="Times New Roman" w:eastAsia="宋体" w:cs="Times New Roman"/>
                      <w:color w:val="auto"/>
                      <w:kern w:val="2"/>
                      <w:sz w:val="21"/>
                      <w:szCs w:val="21"/>
                      <w:highlight w:val="none"/>
                    </w:rPr>
                    <w:t>级标准</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2BB203DA">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6～9</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1F48759B">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500</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137E0EA3">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300</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5C1AC8DD">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400</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3BE553F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440" w:type="pct"/>
                  <w:tcBorders>
                    <w:top w:val="single" w:color="auto" w:sz="4" w:space="0"/>
                    <w:left w:val="single" w:color="auto" w:sz="4" w:space="0"/>
                    <w:bottom w:val="single" w:color="auto" w:sz="4" w:space="0"/>
                    <w:right w:val="single" w:color="auto" w:sz="4" w:space="0"/>
                  </w:tcBorders>
                  <w:noWrap w:val="0"/>
                  <w:vAlign w:val="center"/>
                </w:tcPr>
                <w:p w14:paraId="0CF54923">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646D7B4F">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462" w:type="pct"/>
                  <w:tcBorders>
                    <w:top w:val="single" w:color="auto" w:sz="4" w:space="0"/>
                    <w:left w:val="single" w:color="auto" w:sz="4" w:space="0"/>
                    <w:bottom w:val="single" w:color="auto" w:sz="4" w:space="0"/>
                  </w:tcBorders>
                  <w:noWrap w:val="0"/>
                  <w:vAlign w:val="center"/>
                </w:tcPr>
                <w:p w14:paraId="68491577">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100</w:t>
                  </w:r>
                </w:p>
              </w:tc>
            </w:tr>
            <w:tr w14:paraId="28A9D8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0" w:hRule="atLeast"/>
                <w:jc w:val="center"/>
              </w:trPr>
              <w:tc>
                <w:tcPr>
                  <w:tcW w:w="1033" w:type="pct"/>
                  <w:gridSpan w:val="2"/>
                  <w:tcBorders>
                    <w:top w:val="single" w:color="auto" w:sz="4" w:space="0"/>
                    <w:right w:val="single" w:color="auto" w:sz="4" w:space="0"/>
                  </w:tcBorders>
                  <w:noWrap w:val="0"/>
                  <w:vAlign w:val="center"/>
                </w:tcPr>
                <w:p w14:paraId="69B5DEAE">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（GB/T31962-2015）</w:t>
                  </w:r>
                  <w:r>
                    <w:rPr>
                      <w:rFonts w:hint="eastAsia" w:ascii="Times New Roman" w:hAnsi="Times New Roman" w:cs="Times New Roman"/>
                      <w:color w:val="auto"/>
                      <w:kern w:val="2"/>
                      <w:sz w:val="21"/>
                      <w:szCs w:val="21"/>
                      <w:highlight w:val="none"/>
                      <w:lang w:val="en-US" w:eastAsia="zh-CN"/>
                    </w:rPr>
                    <w:t>表1</w:t>
                  </w:r>
                  <w:r>
                    <w:rPr>
                      <w:rFonts w:hint="default" w:ascii="Times New Roman" w:hAnsi="Times New Roman" w:eastAsia="宋体" w:cs="Times New Roman"/>
                      <w:color w:val="auto"/>
                      <w:kern w:val="2"/>
                      <w:sz w:val="21"/>
                      <w:szCs w:val="21"/>
                      <w:highlight w:val="none"/>
                    </w:rPr>
                    <w:t>A级标准</w:t>
                  </w:r>
                </w:p>
              </w:tc>
              <w:tc>
                <w:tcPr>
                  <w:tcW w:w="481" w:type="pct"/>
                  <w:tcBorders>
                    <w:top w:val="single" w:color="auto" w:sz="4" w:space="0"/>
                    <w:left w:val="single" w:color="auto" w:sz="4" w:space="0"/>
                    <w:right w:val="single" w:color="auto" w:sz="4" w:space="0"/>
                  </w:tcBorders>
                  <w:noWrap w:val="0"/>
                  <w:vAlign w:val="center"/>
                </w:tcPr>
                <w:p w14:paraId="64DCB954">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526" w:type="pct"/>
                  <w:tcBorders>
                    <w:top w:val="single" w:color="auto" w:sz="4" w:space="0"/>
                    <w:left w:val="single" w:color="auto" w:sz="4" w:space="0"/>
                    <w:right w:val="single" w:color="auto" w:sz="4" w:space="0"/>
                  </w:tcBorders>
                  <w:noWrap w:val="0"/>
                  <w:vAlign w:val="center"/>
                </w:tcPr>
                <w:p w14:paraId="17AAA564">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558" w:type="pct"/>
                  <w:tcBorders>
                    <w:top w:val="single" w:color="auto" w:sz="4" w:space="0"/>
                    <w:left w:val="single" w:color="auto" w:sz="4" w:space="0"/>
                    <w:right w:val="single" w:color="auto" w:sz="4" w:space="0"/>
                  </w:tcBorders>
                  <w:noWrap w:val="0"/>
                  <w:vAlign w:val="center"/>
                </w:tcPr>
                <w:p w14:paraId="3F2FB749">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544" w:type="pct"/>
                  <w:tcBorders>
                    <w:top w:val="single" w:color="auto" w:sz="4" w:space="0"/>
                    <w:left w:val="single" w:color="auto" w:sz="4" w:space="0"/>
                    <w:right w:val="single" w:color="auto" w:sz="4" w:space="0"/>
                  </w:tcBorders>
                  <w:noWrap w:val="0"/>
                  <w:vAlign w:val="center"/>
                </w:tcPr>
                <w:p w14:paraId="263E440C">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499" w:type="pct"/>
                  <w:tcBorders>
                    <w:top w:val="single" w:color="auto" w:sz="4" w:space="0"/>
                    <w:left w:val="single" w:color="auto" w:sz="4" w:space="0"/>
                    <w:right w:val="single" w:color="auto" w:sz="4" w:space="0"/>
                  </w:tcBorders>
                  <w:shd w:val="clear" w:color="auto" w:fill="auto"/>
                  <w:noWrap w:val="0"/>
                  <w:vAlign w:val="center"/>
                </w:tcPr>
                <w:p w14:paraId="5A4A3A76">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rPr>
                    <w:t>45</w:t>
                  </w:r>
                </w:p>
              </w:tc>
              <w:tc>
                <w:tcPr>
                  <w:tcW w:w="440" w:type="pct"/>
                  <w:tcBorders>
                    <w:top w:val="single" w:color="auto" w:sz="4" w:space="0"/>
                    <w:left w:val="single" w:color="auto" w:sz="4" w:space="0"/>
                    <w:right w:val="single" w:color="auto" w:sz="4" w:space="0"/>
                  </w:tcBorders>
                  <w:shd w:val="clear" w:color="auto" w:fill="auto"/>
                  <w:noWrap w:val="0"/>
                  <w:vAlign w:val="center"/>
                </w:tcPr>
                <w:p w14:paraId="00C9F90B">
                  <w:pPr>
                    <w:pStyle w:val="22"/>
                    <w:widowControl w:val="0"/>
                    <w:overflowPunct w:val="0"/>
                    <w:adjustRightInd w:val="0"/>
                    <w:spacing w:before="0" w:beforeAutospacing="0" w:after="0" w:afterAutospacing="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70</w:t>
                  </w:r>
                </w:p>
              </w:tc>
              <w:tc>
                <w:tcPr>
                  <w:tcW w:w="454" w:type="pct"/>
                  <w:tcBorders>
                    <w:top w:val="single" w:color="auto" w:sz="4" w:space="0"/>
                    <w:left w:val="single" w:color="auto" w:sz="4" w:space="0"/>
                    <w:right w:val="single" w:color="auto" w:sz="4" w:space="0"/>
                  </w:tcBorders>
                  <w:shd w:val="clear" w:color="auto" w:fill="auto"/>
                  <w:noWrap w:val="0"/>
                  <w:vAlign w:val="center"/>
                </w:tcPr>
                <w:p w14:paraId="69CDFFDA">
                  <w:pPr>
                    <w:pStyle w:val="22"/>
                    <w:widowControl w:val="0"/>
                    <w:overflowPunct w:val="0"/>
                    <w:adjustRightInd w:val="0"/>
                    <w:spacing w:before="0" w:beforeAutospacing="0" w:after="0" w:afterAutospacing="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rPr>
                    <w:t>8</w:t>
                  </w:r>
                </w:p>
              </w:tc>
              <w:tc>
                <w:tcPr>
                  <w:tcW w:w="462" w:type="pct"/>
                  <w:tcBorders>
                    <w:top w:val="single" w:color="auto" w:sz="4" w:space="0"/>
                    <w:left w:val="single" w:color="auto" w:sz="4" w:space="0"/>
                  </w:tcBorders>
                  <w:noWrap w:val="0"/>
                  <w:vAlign w:val="center"/>
                </w:tcPr>
                <w:p w14:paraId="7F83E932">
                  <w:pPr>
                    <w:pStyle w:val="22"/>
                    <w:widowControl w:val="0"/>
                    <w:overflowPunct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r>
          </w:tbl>
          <w:p w14:paraId="2014D3FA">
            <w:pPr>
              <w:adjustRightInd w:val="0"/>
              <w:snapToGrid w:val="0"/>
              <w:spacing w:line="360" w:lineRule="auto"/>
              <w:ind w:firstLine="480" w:firstLineChars="200"/>
              <w:rPr>
                <w:rFonts w:hint="eastAsia" w:eastAsia="宋体"/>
                <w:bCs/>
                <w:color w:val="auto"/>
                <w:sz w:val="24"/>
                <w:highlight w:val="none"/>
                <w:lang w:val="en-US" w:eastAsia="zh-CN"/>
              </w:rPr>
            </w:pPr>
            <w:r>
              <w:rPr>
                <w:rFonts w:hint="eastAsia"/>
                <w:bCs/>
                <w:color w:val="auto"/>
                <w:sz w:val="24"/>
                <w:highlight w:val="none"/>
                <w:lang w:val="en-US" w:eastAsia="zh-CN"/>
              </w:rPr>
              <w:t>（3）现有工程</w:t>
            </w:r>
            <w:r>
              <w:rPr>
                <w:rFonts w:hint="eastAsia" w:eastAsia="宋体"/>
                <w:bCs/>
                <w:color w:val="auto"/>
                <w:sz w:val="24"/>
                <w:highlight w:val="none"/>
                <w:lang w:val="en-US" w:eastAsia="zh-CN"/>
              </w:rPr>
              <w:t>噪声主要来自中央空调主机、水泵、风机、备用发电机等，采取低噪声设备、室内隔声等降噪措施。</w:t>
            </w:r>
            <w:r>
              <w:rPr>
                <w:rFonts w:hint="eastAsia"/>
                <w:bCs/>
                <w:color w:val="auto"/>
                <w:sz w:val="24"/>
                <w:highlight w:val="none"/>
                <w:lang w:val="en-US" w:eastAsia="zh-CN"/>
              </w:rPr>
              <w:t>根据企业2024年例行监测报告（源泽监（声）字[2024]第01016号），现有工程</w:t>
            </w:r>
            <w:r>
              <w:rPr>
                <w:rFonts w:hint="eastAsia" w:eastAsia="宋体"/>
                <w:bCs/>
                <w:color w:val="auto"/>
                <w:sz w:val="24"/>
                <w:highlight w:val="none"/>
                <w:lang w:val="en-US" w:eastAsia="zh-CN"/>
              </w:rPr>
              <w:t>北、东、南厂界昼间噪声监测结果均符合《工业企业厂界环境噪声排放标准》（GB12348-2008）2类区标准限值要求</w:t>
            </w:r>
            <w:r>
              <w:rPr>
                <w:rFonts w:hint="eastAsia"/>
                <w:bCs/>
                <w:color w:val="auto"/>
                <w:sz w:val="24"/>
                <w:highlight w:val="none"/>
                <w:lang w:val="en-US" w:eastAsia="zh-CN"/>
              </w:rPr>
              <w:t>，</w:t>
            </w:r>
            <w:r>
              <w:rPr>
                <w:rFonts w:hint="eastAsia" w:eastAsia="宋体"/>
                <w:bCs/>
                <w:color w:val="auto"/>
                <w:sz w:val="24"/>
                <w:highlight w:val="none"/>
                <w:lang w:val="en-US" w:eastAsia="zh-CN"/>
              </w:rPr>
              <w:t>西</w:t>
            </w:r>
            <w:r>
              <w:rPr>
                <w:rFonts w:hint="eastAsia"/>
                <w:bCs/>
                <w:color w:val="auto"/>
                <w:sz w:val="24"/>
                <w:highlight w:val="none"/>
                <w:lang w:val="en-US" w:eastAsia="zh-CN"/>
              </w:rPr>
              <w:t>厂界符合</w:t>
            </w:r>
            <w:r>
              <w:rPr>
                <w:rFonts w:hint="eastAsia" w:eastAsia="宋体"/>
                <w:bCs/>
                <w:color w:val="auto"/>
                <w:sz w:val="24"/>
                <w:highlight w:val="none"/>
                <w:lang w:val="en-US" w:eastAsia="zh-CN"/>
              </w:rPr>
              <w:t>4类区标准限值要求。</w:t>
            </w:r>
          </w:p>
          <w:p w14:paraId="465EE7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w:t>
            </w:r>
            <w:r>
              <w:rPr>
                <w:rFonts w:hint="eastAsia" w:ascii="Times New Roman" w:hAnsi="Times New Roman" w:eastAsia="宋体" w:cs="Times New Roman"/>
                <w:b/>
                <w:bCs w:val="0"/>
                <w:color w:val="auto"/>
                <w:sz w:val="21"/>
                <w:szCs w:val="21"/>
                <w:highlight w:val="none"/>
                <w:lang w:val="en-US" w:eastAsia="zh-CN"/>
              </w:rPr>
              <w:t>12</w:t>
            </w:r>
            <w:r>
              <w:rPr>
                <w:rFonts w:hint="default" w:ascii="Times New Roman" w:hAnsi="Times New Roman" w:eastAsia="宋体" w:cs="Times New Roman"/>
                <w:b/>
                <w:bCs w:val="0"/>
                <w:color w:val="auto"/>
                <w:sz w:val="21"/>
                <w:szCs w:val="21"/>
                <w:highlight w:val="none"/>
                <w:lang w:val="en-US" w:eastAsia="zh-CN"/>
              </w:rPr>
              <w:t xml:space="preserve">  </w:t>
            </w:r>
            <w:r>
              <w:rPr>
                <w:rFonts w:hint="eastAsia" w:ascii="Times New Roman" w:hAnsi="Times New Roman" w:eastAsia="宋体" w:cs="Times New Roman"/>
                <w:b/>
                <w:bCs w:val="0"/>
                <w:color w:val="auto"/>
                <w:sz w:val="21"/>
                <w:szCs w:val="21"/>
                <w:highlight w:val="none"/>
                <w:lang w:val="en-US" w:eastAsia="zh-CN"/>
              </w:rPr>
              <w:t>厂界噪声监测结果 单位：dB（A）</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59"/>
              <w:gridCol w:w="2126"/>
              <w:gridCol w:w="2127"/>
            </w:tblGrid>
            <w:tr w14:paraId="201F6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vMerge w:val="restart"/>
                  <w:tcBorders>
                    <w:bottom w:val="single" w:color="auto" w:sz="4" w:space="0"/>
                    <w:right w:val="single" w:color="auto" w:sz="4" w:space="0"/>
                  </w:tcBorders>
                  <w:noWrap w:val="0"/>
                  <w:vAlign w:val="center"/>
                </w:tcPr>
                <w:p w14:paraId="62027DBE">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b/>
                      <w:color w:val="auto"/>
                      <w:kern w:val="2"/>
                      <w:sz w:val="21"/>
                      <w:szCs w:val="21"/>
                      <w:highlight w:val="none"/>
                    </w:rPr>
                  </w:pPr>
                  <w:r>
                    <w:rPr>
                      <w:rFonts w:hint="default" w:ascii="Times New Roman" w:hAnsi="Times New Roman" w:cs="Times New Roman" w:eastAsiaTheme="minorEastAsia"/>
                      <w:b/>
                      <w:color w:val="auto"/>
                      <w:kern w:val="2"/>
                      <w:sz w:val="21"/>
                      <w:szCs w:val="21"/>
                      <w:highlight w:val="none"/>
                    </w:rPr>
                    <w:t>点位</w:t>
                  </w:r>
                </w:p>
              </w:tc>
              <w:tc>
                <w:tcPr>
                  <w:tcW w:w="2621" w:type="pct"/>
                  <w:gridSpan w:val="2"/>
                  <w:tcBorders>
                    <w:left w:val="single" w:color="auto" w:sz="4" w:space="0"/>
                    <w:bottom w:val="single" w:color="auto" w:sz="4" w:space="0"/>
                  </w:tcBorders>
                  <w:noWrap w:val="0"/>
                  <w:vAlign w:val="center"/>
                </w:tcPr>
                <w:p w14:paraId="58580C75">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b/>
                      <w:color w:val="auto"/>
                      <w:kern w:val="2"/>
                      <w:sz w:val="21"/>
                      <w:szCs w:val="21"/>
                      <w:highlight w:val="none"/>
                      <w:lang w:val="en-US" w:eastAsia="zh-CN"/>
                    </w:rPr>
                  </w:pPr>
                  <w:r>
                    <w:rPr>
                      <w:rFonts w:hint="default" w:ascii="Times New Roman" w:hAnsi="Times New Roman" w:cs="Times New Roman" w:eastAsiaTheme="minorEastAsia"/>
                      <w:b/>
                      <w:color w:val="auto"/>
                      <w:kern w:val="2"/>
                      <w:sz w:val="21"/>
                      <w:szCs w:val="21"/>
                      <w:highlight w:val="none"/>
                      <w:lang w:val="en-US" w:eastAsia="zh-CN"/>
                    </w:rPr>
                    <w:t>2024.1.4</w:t>
                  </w:r>
                </w:p>
              </w:tc>
            </w:tr>
            <w:tr w14:paraId="1C9AA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vMerge w:val="continue"/>
                  <w:tcBorders>
                    <w:top w:val="single" w:color="auto" w:sz="4" w:space="0"/>
                    <w:bottom w:val="single" w:color="auto" w:sz="4" w:space="0"/>
                    <w:right w:val="single" w:color="auto" w:sz="4" w:space="0"/>
                  </w:tcBorders>
                  <w:noWrap w:val="0"/>
                  <w:vAlign w:val="center"/>
                </w:tcPr>
                <w:p w14:paraId="6E754E01">
                  <w:pPr>
                    <w:jc w:val="center"/>
                    <w:rPr>
                      <w:rFonts w:hint="default" w:ascii="Times New Roman" w:hAnsi="Times New Roman" w:cs="Times New Roman" w:eastAsiaTheme="minorEastAsia"/>
                      <w:color w:val="auto"/>
                      <w:sz w:val="21"/>
                      <w:szCs w:val="21"/>
                      <w:highlight w:val="none"/>
                    </w:rPr>
                  </w:pPr>
                </w:p>
              </w:tc>
              <w:tc>
                <w:tcPr>
                  <w:tcW w:w="2621" w:type="pct"/>
                  <w:gridSpan w:val="2"/>
                  <w:tcBorders>
                    <w:top w:val="single" w:color="auto" w:sz="4" w:space="0"/>
                    <w:left w:val="single" w:color="auto" w:sz="4" w:space="0"/>
                    <w:bottom w:val="single" w:color="auto" w:sz="4" w:space="0"/>
                  </w:tcBorders>
                  <w:noWrap w:val="0"/>
                  <w:vAlign w:val="center"/>
                </w:tcPr>
                <w:p w14:paraId="0991A0B4">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b/>
                      <w:color w:val="auto"/>
                      <w:kern w:val="2"/>
                      <w:sz w:val="21"/>
                      <w:szCs w:val="21"/>
                      <w:highlight w:val="none"/>
                      <w:lang w:val="en-US" w:eastAsia="zh-CN"/>
                    </w:rPr>
                  </w:pPr>
                  <w:r>
                    <w:rPr>
                      <w:rFonts w:hint="default" w:ascii="Times New Roman" w:hAnsi="Times New Roman" w:cs="Times New Roman" w:eastAsiaTheme="minorEastAsia"/>
                      <w:b/>
                      <w:color w:val="auto"/>
                      <w:kern w:val="2"/>
                      <w:sz w:val="21"/>
                      <w:szCs w:val="21"/>
                      <w:highlight w:val="none"/>
                      <w:lang w:val="en-US" w:eastAsia="zh-CN"/>
                    </w:rPr>
                    <w:t>昼间</w:t>
                  </w:r>
                </w:p>
              </w:tc>
            </w:tr>
            <w:tr w14:paraId="43A64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tcBorders>
                    <w:top w:val="single" w:color="auto" w:sz="4" w:space="0"/>
                    <w:bottom w:val="single" w:color="auto" w:sz="4" w:space="0"/>
                    <w:right w:val="single" w:color="auto" w:sz="4" w:space="0"/>
                  </w:tcBorders>
                  <w:noWrap w:val="0"/>
                  <w:vAlign w:val="center"/>
                </w:tcPr>
                <w:p w14:paraId="3AF6CBE5">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1（厂界</w:t>
                  </w:r>
                  <w:r>
                    <w:rPr>
                      <w:rFonts w:hint="default" w:ascii="Times New Roman" w:hAnsi="Times New Roman" w:cs="Times New Roman" w:eastAsiaTheme="minorEastAsia"/>
                      <w:color w:val="auto"/>
                      <w:kern w:val="2"/>
                      <w:sz w:val="21"/>
                      <w:szCs w:val="21"/>
                      <w:highlight w:val="none"/>
                      <w:lang w:val="en-US" w:eastAsia="zh-CN"/>
                    </w:rPr>
                    <w:t>东</w:t>
                  </w:r>
                  <w:r>
                    <w:rPr>
                      <w:rFonts w:hint="default" w:ascii="Times New Roman" w:hAnsi="Times New Roman" w:cs="Times New Roman" w:eastAsiaTheme="minorEastAsia"/>
                      <w:color w:val="auto"/>
                      <w:kern w:val="2"/>
                      <w:sz w:val="21"/>
                      <w:szCs w:val="21"/>
                      <w:highlight w:val="none"/>
                    </w:rPr>
                    <w:t>）</w:t>
                  </w:r>
                </w:p>
              </w:tc>
              <w:tc>
                <w:tcPr>
                  <w:tcW w:w="2621" w:type="pct"/>
                  <w:gridSpan w:val="2"/>
                  <w:tcBorders>
                    <w:top w:val="single" w:color="auto" w:sz="4" w:space="0"/>
                    <w:left w:val="single" w:color="auto" w:sz="4" w:space="0"/>
                  </w:tcBorders>
                  <w:noWrap w:val="0"/>
                  <w:vAlign w:val="center"/>
                </w:tcPr>
                <w:p w14:paraId="72216CAA">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49</w:t>
                  </w:r>
                </w:p>
              </w:tc>
            </w:tr>
            <w:tr w14:paraId="5A1A3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tcBorders>
                    <w:top w:val="single" w:color="auto" w:sz="4" w:space="0"/>
                    <w:bottom w:val="single" w:color="auto" w:sz="4" w:space="0"/>
                    <w:right w:val="single" w:color="auto" w:sz="4" w:space="0"/>
                  </w:tcBorders>
                  <w:noWrap w:val="0"/>
                  <w:vAlign w:val="center"/>
                </w:tcPr>
                <w:p w14:paraId="57F062D2">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rPr>
                    <w:t>2</w:t>
                  </w:r>
                  <w:r>
                    <w:rPr>
                      <w:rFonts w:hint="default" w:ascii="Times New Roman" w:hAnsi="Times New Roman" w:cs="Times New Roman" w:eastAsiaTheme="minorEastAsia"/>
                      <w:color w:val="auto"/>
                      <w:kern w:val="2"/>
                      <w:sz w:val="21"/>
                      <w:szCs w:val="21"/>
                      <w:highlight w:val="none"/>
                    </w:rPr>
                    <w:t>（厂界</w:t>
                  </w:r>
                  <w:r>
                    <w:rPr>
                      <w:rFonts w:hint="default" w:ascii="Times New Roman" w:hAnsi="Times New Roman" w:cs="Times New Roman" w:eastAsiaTheme="minorEastAsia"/>
                      <w:color w:val="auto"/>
                      <w:kern w:val="2"/>
                      <w:sz w:val="21"/>
                      <w:szCs w:val="21"/>
                      <w:highlight w:val="none"/>
                      <w:lang w:val="en-US" w:eastAsia="zh-CN"/>
                    </w:rPr>
                    <w:t>南</w:t>
                  </w:r>
                  <w:r>
                    <w:rPr>
                      <w:rFonts w:hint="default" w:ascii="Times New Roman" w:hAnsi="Times New Roman" w:cs="Times New Roman" w:eastAsiaTheme="minorEastAsia"/>
                      <w:color w:val="auto"/>
                      <w:kern w:val="2"/>
                      <w:sz w:val="21"/>
                      <w:szCs w:val="21"/>
                      <w:highlight w:val="none"/>
                    </w:rPr>
                    <w:t>）</w:t>
                  </w:r>
                </w:p>
              </w:tc>
              <w:tc>
                <w:tcPr>
                  <w:tcW w:w="2621" w:type="pct"/>
                  <w:gridSpan w:val="2"/>
                  <w:tcBorders>
                    <w:left w:val="single" w:color="auto" w:sz="4" w:space="0"/>
                  </w:tcBorders>
                  <w:noWrap w:val="0"/>
                  <w:vAlign w:val="center"/>
                </w:tcPr>
                <w:p w14:paraId="29DF1A61">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47</w:t>
                  </w:r>
                </w:p>
              </w:tc>
            </w:tr>
            <w:tr w14:paraId="109E6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tcBorders>
                    <w:top w:val="single" w:color="auto" w:sz="4" w:space="0"/>
                    <w:bottom w:val="single" w:color="auto" w:sz="4" w:space="0"/>
                    <w:right w:val="single" w:color="auto" w:sz="4" w:space="0"/>
                  </w:tcBorders>
                  <w:noWrap w:val="0"/>
                  <w:vAlign w:val="center"/>
                </w:tcPr>
                <w:p w14:paraId="0585FB00">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rPr>
                    <w:t>3</w:t>
                  </w:r>
                  <w:r>
                    <w:rPr>
                      <w:rFonts w:hint="default" w:ascii="Times New Roman" w:hAnsi="Times New Roman" w:cs="Times New Roman" w:eastAsiaTheme="minorEastAsia"/>
                      <w:color w:val="auto"/>
                      <w:kern w:val="2"/>
                      <w:sz w:val="21"/>
                      <w:szCs w:val="21"/>
                      <w:highlight w:val="none"/>
                    </w:rPr>
                    <w:t>（</w:t>
                  </w:r>
                  <w:r>
                    <w:rPr>
                      <w:rFonts w:hint="default" w:ascii="Times New Roman" w:hAnsi="Times New Roman" w:cs="Times New Roman" w:eastAsiaTheme="minorEastAsia"/>
                      <w:color w:val="auto"/>
                      <w:kern w:val="2"/>
                      <w:sz w:val="21"/>
                      <w:szCs w:val="21"/>
                      <w:highlight w:val="none"/>
                      <w:lang w:val="en-US" w:eastAsia="zh-CN"/>
                    </w:rPr>
                    <w:t>厂界西</w:t>
                  </w:r>
                  <w:r>
                    <w:rPr>
                      <w:rFonts w:hint="default" w:ascii="Times New Roman" w:hAnsi="Times New Roman" w:cs="Times New Roman" w:eastAsiaTheme="minorEastAsia"/>
                      <w:color w:val="auto"/>
                      <w:kern w:val="2"/>
                      <w:sz w:val="21"/>
                      <w:szCs w:val="21"/>
                      <w:highlight w:val="none"/>
                    </w:rPr>
                    <w:t>）</w:t>
                  </w:r>
                </w:p>
              </w:tc>
              <w:tc>
                <w:tcPr>
                  <w:tcW w:w="2621" w:type="pct"/>
                  <w:gridSpan w:val="2"/>
                  <w:tcBorders>
                    <w:left w:val="single" w:color="auto" w:sz="4" w:space="0"/>
                  </w:tcBorders>
                  <w:noWrap w:val="0"/>
                  <w:vAlign w:val="center"/>
                </w:tcPr>
                <w:p w14:paraId="1AE9B230">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46</w:t>
                  </w:r>
                </w:p>
              </w:tc>
            </w:tr>
            <w:tr w14:paraId="10814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tcBorders>
                    <w:top w:val="single" w:color="auto" w:sz="4" w:space="0"/>
                    <w:bottom w:val="single" w:color="auto" w:sz="4" w:space="0"/>
                    <w:right w:val="single" w:color="auto" w:sz="4" w:space="0"/>
                  </w:tcBorders>
                  <w:noWrap w:val="0"/>
                  <w:vAlign w:val="center"/>
                </w:tcPr>
                <w:p w14:paraId="7E3E7F1C">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rPr>
                    <w:t>4</w:t>
                  </w:r>
                  <w:r>
                    <w:rPr>
                      <w:rFonts w:hint="default" w:ascii="Times New Roman" w:hAnsi="Times New Roman" w:cs="Times New Roman" w:eastAsiaTheme="minorEastAsia"/>
                      <w:color w:val="auto"/>
                      <w:kern w:val="2"/>
                      <w:sz w:val="21"/>
                      <w:szCs w:val="21"/>
                      <w:highlight w:val="none"/>
                    </w:rPr>
                    <w:t>（</w:t>
                  </w:r>
                  <w:r>
                    <w:rPr>
                      <w:rFonts w:hint="default" w:ascii="Times New Roman" w:hAnsi="Times New Roman" w:cs="Times New Roman" w:eastAsiaTheme="minorEastAsia"/>
                      <w:color w:val="auto"/>
                      <w:kern w:val="2"/>
                      <w:sz w:val="21"/>
                      <w:szCs w:val="21"/>
                      <w:highlight w:val="none"/>
                      <w:lang w:val="en-US" w:eastAsia="zh-CN"/>
                    </w:rPr>
                    <w:t>厂界北</w:t>
                  </w:r>
                  <w:r>
                    <w:rPr>
                      <w:rFonts w:hint="default" w:ascii="Times New Roman" w:hAnsi="Times New Roman" w:cs="Times New Roman" w:eastAsiaTheme="minorEastAsia"/>
                      <w:color w:val="auto"/>
                      <w:kern w:val="2"/>
                      <w:sz w:val="21"/>
                      <w:szCs w:val="21"/>
                      <w:highlight w:val="none"/>
                    </w:rPr>
                    <w:t>）</w:t>
                  </w:r>
                </w:p>
              </w:tc>
              <w:tc>
                <w:tcPr>
                  <w:tcW w:w="2621" w:type="pct"/>
                  <w:gridSpan w:val="2"/>
                  <w:tcBorders>
                    <w:left w:val="single" w:color="auto" w:sz="4" w:space="0"/>
                  </w:tcBorders>
                  <w:noWrap w:val="0"/>
                  <w:vAlign w:val="center"/>
                </w:tcPr>
                <w:p w14:paraId="04021C37">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51</w:t>
                  </w:r>
                </w:p>
              </w:tc>
            </w:tr>
            <w:tr w14:paraId="66F42C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vMerge w:val="restart"/>
                  <w:tcBorders>
                    <w:top w:val="single" w:color="auto" w:sz="4" w:space="0"/>
                    <w:right w:val="single" w:color="auto" w:sz="4" w:space="0"/>
                  </w:tcBorders>
                  <w:noWrap w:val="0"/>
                  <w:vAlign w:val="center"/>
                </w:tcPr>
                <w:p w14:paraId="7E2490F9">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《工业企业厂界环境噪声排放标准》（GB12348-2008）标准值</w:t>
                  </w:r>
                </w:p>
              </w:tc>
              <w:tc>
                <w:tcPr>
                  <w:tcW w:w="1310" w:type="pct"/>
                  <w:tcBorders>
                    <w:left w:val="single" w:color="auto" w:sz="4" w:space="0"/>
                    <w:bottom w:val="single" w:color="auto" w:sz="4" w:space="0"/>
                    <w:right w:val="single" w:color="auto" w:sz="4" w:space="0"/>
                  </w:tcBorders>
                  <w:noWrap w:val="0"/>
                  <w:vAlign w:val="center"/>
                </w:tcPr>
                <w:p w14:paraId="49F14AAA">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2类</w:t>
                  </w:r>
                </w:p>
              </w:tc>
              <w:tc>
                <w:tcPr>
                  <w:tcW w:w="1311" w:type="pct"/>
                  <w:tcBorders>
                    <w:left w:val="single" w:color="auto" w:sz="4" w:space="0"/>
                    <w:bottom w:val="single" w:color="auto" w:sz="4" w:space="0"/>
                  </w:tcBorders>
                  <w:noWrap w:val="0"/>
                  <w:vAlign w:val="center"/>
                </w:tcPr>
                <w:p w14:paraId="5523F14C">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60</w:t>
                  </w:r>
                </w:p>
              </w:tc>
            </w:tr>
            <w:tr w14:paraId="7AABD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78" w:type="pct"/>
                  <w:vMerge w:val="continue"/>
                  <w:tcBorders>
                    <w:right w:val="single" w:color="auto" w:sz="4" w:space="0"/>
                  </w:tcBorders>
                  <w:noWrap w:val="0"/>
                  <w:vAlign w:val="center"/>
                </w:tcPr>
                <w:p w14:paraId="2DB9F3C4">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sz w:val="21"/>
                      <w:szCs w:val="21"/>
                      <w:highlight w:val="none"/>
                    </w:rPr>
                  </w:pPr>
                </w:p>
              </w:tc>
              <w:tc>
                <w:tcPr>
                  <w:tcW w:w="1310" w:type="pct"/>
                  <w:tcBorders>
                    <w:left w:val="single" w:color="auto" w:sz="4" w:space="0"/>
                    <w:right w:val="single" w:color="auto" w:sz="4" w:space="0"/>
                  </w:tcBorders>
                  <w:noWrap w:val="0"/>
                  <w:vAlign w:val="center"/>
                </w:tcPr>
                <w:p w14:paraId="3FA6D14F">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4类</w:t>
                  </w:r>
                </w:p>
              </w:tc>
              <w:tc>
                <w:tcPr>
                  <w:tcW w:w="1311" w:type="pct"/>
                  <w:tcBorders>
                    <w:left w:val="single" w:color="auto" w:sz="4" w:space="0"/>
                  </w:tcBorders>
                  <w:noWrap w:val="0"/>
                  <w:vAlign w:val="center"/>
                </w:tcPr>
                <w:p w14:paraId="01102077">
                  <w:pPr>
                    <w:pStyle w:val="22"/>
                    <w:widowControl w:val="0"/>
                    <w:overflowPunct w:val="0"/>
                    <w:adjustRightInd w:val="0"/>
                    <w:spacing w:before="0" w:beforeAutospacing="0" w:after="0" w:afterAutospacing="0"/>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70</w:t>
                  </w:r>
                </w:p>
              </w:tc>
            </w:tr>
          </w:tbl>
          <w:p w14:paraId="23C7998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bCs/>
                <w:color w:val="auto"/>
                <w:sz w:val="24"/>
                <w:highlight w:val="none"/>
                <w:lang w:val="en-US" w:eastAsia="zh-CN"/>
              </w:rPr>
            </w:pPr>
            <w:r>
              <w:rPr>
                <w:rFonts w:hint="eastAsia"/>
                <w:bCs/>
                <w:color w:val="auto"/>
                <w:sz w:val="24"/>
                <w:highlight w:val="none"/>
                <w:lang w:val="en-US" w:eastAsia="zh-CN"/>
              </w:rPr>
              <w:t>（4）现有工程</w:t>
            </w:r>
            <w:r>
              <w:rPr>
                <w:rFonts w:hint="eastAsia" w:eastAsia="宋体"/>
                <w:bCs/>
                <w:color w:val="auto"/>
                <w:sz w:val="24"/>
                <w:highlight w:val="none"/>
                <w:lang w:val="en-US" w:eastAsia="zh-CN"/>
              </w:rPr>
              <w:t>营运期产生的固废主要为职工生活垃圾、一般固废，</w:t>
            </w:r>
            <w:r>
              <w:rPr>
                <w:rFonts w:hint="eastAsia" w:cs="Times New Roman"/>
                <w:color w:val="auto"/>
                <w:sz w:val="24"/>
                <w:szCs w:val="24"/>
                <w:highlight w:val="none"/>
                <w:lang w:val="en-US" w:eastAsia="zh-CN" w:bidi="ar"/>
              </w:rPr>
              <w:t>危险废物等</w:t>
            </w:r>
            <w:r>
              <w:rPr>
                <w:rFonts w:hint="eastAsia" w:eastAsia="宋体"/>
                <w:bCs/>
                <w:color w:val="auto"/>
                <w:sz w:val="24"/>
                <w:highlight w:val="none"/>
                <w:lang w:val="en-US" w:eastAsia="zh-CN"/>
              </w:rPr>
              <w:t>。生活垃圾已设圾桶收集后，交由环卫部门定期清运处理；一般固废主要为</w:t>
            </w:r>
            <w:r>
              <w:rPr>
                <w:rFonts w:hint="eastAsia"/>
                <w:bCs/>
                <w:color w:val="auto"/>
                <w:sz w:val="24"/>
                <w:highlight w:val="none"/>
                <w:lang w:val="en-US" w:eastAsia="zh-CN"/>
              </w:rPr>
              <w:t>废样品、</w:t>
            </w:r>
            <w:r>
              <w:rPr>
                <w:rFonts w:hint="eastAsia" w:eastAsia="宋体"/>
                <w:bCs/>
                <w:color w:val="auto"/>
                <w:sz w:val="24"/>
                <w:highlight w:val="none"/>
                <w:lang w:val="en-US" w:eastAsia="zh-CN"/>
              </w:rPr>
              <w:t>废纸屑</w:t>
            </w:r>
            <w:r>
              <w:rPr>
                <w:rFonts w:hint="eastAsia"/>
                <w:bCs/>
                <w:color w:val="auto"/>
                <w:sz w:val="24"/>
                <w:highlight w:val="none"/>
                <w:lang w:val="en-US" w:eastAsia="zh-CN"/>
              </w:rPr>
              <w:t>及</w:t>
            </w:r>
            <w:r>
              <w:rPr>
                <w:rFonts w:hint="eastAsia" w:eastAsia="宋体"/>
                <w:bCs/>
                <w:color w:val="auto"/>
                <w:sz w:val="24"/>
                <w:highlight w:val="none"/>
                <w:lang w:val="en-US" w:eastAsia="zh-CN"/>
              </w:rPr>
              <w:t>废包装材料</w:t>
            </w:r>
            <w:r>
              <w:rPr>
                <w:rFonts w:hint="eastAsia"/>
                <w:bCs/>
                <w:color w:val="auto"/>
                <w:sz w:val="24"/>
                <w:highlight w:val="none"/>
                <w:lang w:val="en-US" w:eastAsia="zh-CN"/>
              </w:rPr>
              <w:t>、废滤芯</w:t>
            </w:r>
            <w:r>
              <w:rPr>
                <w:rFonts w:hint="eastAsia" w:eastAsia="宋体"/>
                <w:bCs/>
                <w:color w:val="auto"/>
                <w:sz w:val="24"/>
                <w:highlight w:val="none"/>
                <w:lang w:val="en-US" w:eastAsia="zh-CN"/>
              </w:rPr>
              <w:t>，</w:t>
            </w:r>
            <w:r>
              <w:rPr>
                <w:rFonts w:hint="eastAsia"/>
                <w:bCs/>
                <w:color w:val="auto"/>
                <w:sz w:val="24"/>
                <w:highlight w:val="none"/>
                <w:lang w:val="en-US" w:eastAsia="zh-CN"/>
              </w:rPr>
              <w:t>废样品收集后委托物资回收单位处理，</w:t>
            </w:r>
            <w:r>
              <w:rPr>
                <w:rFonts w:hint="eastAsia" w:eastAsia="宋体"/>
                <w:bCs/>
                <w:color w:val="auto"/>
                <w:sz w:val="24"/>
                <w:highlight w:val="none"/>
                <w:lang w:val="en-US" w:eastAsia="zh-CN"/>
              </w:rPr>
              <w:t>废纸屑</w:t>
            </w:r>
            <w:r>
              <w:rPr>
                <w:rFonts w:hint="eastAsia"/>
                <w:bCs/>
                <w:color w:val="auto"/>
                <w:sz w:val="24"/>
                <w:highlight w:val="none"/>
                <w:lang w:val="en-US" w:eastAsia="zh-CN"/>
              </w:rPr>
              <w:t>及</w:t>
            </w:r>
            <w:r>
              <w:rPr>
                <w:rFonts w:hint="eastAsia" w:eastAsia="宋体"/>
                <w:bCs/>
                <w:color w:val="auto"/>
                <w:sz w:val="24"/>
                <w:highlight w:val="none"/>
                <w:lang w:val="en-US" w:eastAsia="zh-CN"/>
              </w:rPr>
              <w:t>废包装材料出售</w:t>
            </w:r>
            <w:r>
              <w:rPr>
                <w:rFonts w:hint="eastAsia"/>
                <w:bCs/>
                <w:color w:val="auto"/>
                <w:sz w:val="24"/>
                <w:highlight w:val="none"/>
                <w:lang w:val="en-US" w:eastAsia="zh-CN"/>
              </w:rPr>
              <w:t>废品回收</w:t>
            </w:r>
            <w:r>
              <w:rPr>
                <w:rFonts w:hint="eastAsia" w:eastAsia="宋体"/>
                <w:bCs/>
                <w:color w:val="auto"/>
                <w:sz w:val="24"/>
                <w:highlight w:val="none"/>
                <w:lang w:val="en-US" w:eastAsia="zh-CN"/>
              </w:rPr>
              <w:t>公司</w:t>
            </w:r>
            <w:r>
              <w:rPr>
                <w:rFonts w:hint="eastAsia"/>
                <w:bCs/>
                <w:color w:val="auto"/>
                <w:sz w:val="24"/>
                <w:highlight w:val="none"/>
                <w:lang w:val="en-US" w:eastAsia="zh-CN"/>
              </w:rPr>
              <w:t>，废滤芯由纯水机厂家更换后带走处置；危险废物主要为实验室废液、废试剂包装物等沾染物、废活性炭、废试剂，分类收集暂存于危废贮存库，并定期委托有资质单位（陕西新天地固体废物综合处置有限公司）进行处置。</w:t>
            </w:r>
            <w:r>
              <w:rPr>
                <w:rFonts w:hint="eastAsia" w:eastAsia="宋体"/>
                <w:bCs/>
                <w:color w:val="auto"/>
                <w:sz w:val="24"/>
                <w:highlight w:val="none"/>
                <w:lang w:val="en-US" w:eastAsia="zh-CN"/>
              </w:rPr>
              <w:t>固废均能得到妥善处置</w:t>
            </w:r>
            <w:r>
              <w:rPr>
                <w:rFonts w:hint="eastAsia"/>
                <w:bCs/>
                <w:color w:val="auto"/>
                <w:sz w:val="24"/>
                <w:highlight w:val="none"/>
                <w:lang w:val="en-US" w:eastAsia="zh-CN"/>
              </w:rPr>
              <w:t>。</w:t>
            </w:r>
          </w:p>
          <w:p w14:paraId="61D828FB">
            <w:pPr>
              <w:adjustRightInd w:val="0"/>
              <w:snapToGrid w:val="0"/>
              <w:spacing w:line="360" w:lineRule="auto"/>
              <w:ind w:firstLine="482" w:firstLineChars="200"/>
              <w:rPr>
                <w:rFonts w:hint="eastAsia"/>
                <w:b/>
                <w:bCs w:val="0"/>
                <w:color w:val="auto"/>
                <w:sz w:val="24"/>
                <w:highlight w:val="none"/>
                <w:lang w:val="en-US" w:eastAsia="zh-CN"/>
              </w:rPr>
            </w:pPr>
            <w:r>
              <w:rPr>
                <w:rFonts w:hint="eastAsia"/>
                <w:b/>
                <w:bCs w:val="0"/>
                <w:color w:val="auto"/>
                <w:sz w:val="24"/>
                <w:highlight w:val="none"/>
                <w:lang w:val="en-US" w:eastAsia="zh-CN"/>
              </w:rPr>
              <w:t>4.现有工程主要污染物排放量统计</w:t>
            </w:r>
          </w:p>
          <w:p w14:paraId="45072AAA">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根据现有工程竣工验收监测报告，给出现有工程“三废”排放量汇总见表2-13。</w:t>
            </w:r>
          </w:p>
          <w:p w14:paraId="7FE109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w:t>
            </w:r>
            <w:r>
              <w:rPr>
                <w:rFonts w:hint="eastAsia" w:ascii="Times New Roman" w:hAnsi="Times New Roman" w:eastAsia="宋体" w:cs="Times New Roman"/>
                <w:b/>
                <w:bCs w:val="0"/>
                <w:color w:val="auto"/>
                <w:sz w:val="21"/>
                <w:szCs w:val="21"/>
                <w:highlight w:val="none"/>
                <w:lang w:val="en-US" w:eastAsia="zh-CN"/>
              </w:rPr>
              <w:t>13</w:t>
            </w:r>
            <w:r>
              <w:rPr>
                <w:rFonts w:hint="default" w:ascii="Times New Roman" w:hAnsi="Times New Roman" w:eastAsia="宋体" w:cs="Times New Roman"/>
                <w:b/>
                <w:bCs w:val="0"/>
                <w:color w:val="auto"/>
                <w:sz w:val="21"/>
                <w:szCs w:val="21"/>
                <w:highlight w:val="none"/>
                <w:lang w:val="en-US" w:eastAsia="zh-CN"/>
              </w:rPr>
              <w:t xml:space="preserve"> </w:t>
            </w:r>
            <w:r>
              <w:rPr>
                <w:rFonts w:hint="eastAsia" w:ascii="Times New Roman" w:hAnsi="Times New Roman" w:eastAsia="宋体" w:cs="Times New Roman"/>
                <w:b/>
                <w:bCs w:val="0"/>
                <w:color w:val="auto"/>
                <w:sz w:val="21"/>
                <w:szCs w:val="21"/>
                <w:highlight w:val="none"/>
                <w:lang w:val="en-US" w:eastAsia="zh-CN"/>
              </w:rPr>
              <w:t xml:space="preserve"> </w:t>
            </w:r>
            <w:r>
              <w:rPr>
                <w:rFonts w:hint="default" w:ascii="Times New Roman" w:hAnsi="Times New Roman" w:eastAsia="宋体" w:cs="Times New Roman"/>
                <w:b/>
                <w:bCs w:val="0"/>
                <w:color w:val="auto"/>
                <w:sz w:val="21"/>
                <w:szCs w:val="21"/>
                <w:highlight w:val="none"/>
                <w:lang w:val="en-US" w:eastAsia="zh-CN"/>
              </w:rPr>
              <w:t xml:space="preserve"> </w:t>
            </w:r>
            <w:r>
              <w:rPr>
                <w:rFonts w:hint="eastAsia" w:ascii="Times New Roman" w:hAnsi="Times New Roman" w:eastAsia="宋体" w:cs="Times New Roman"/>
                <w:b/>
                <w:bCs w:val="0"/>
                <w:color w:val="auto"/>
                <w:sz w:val="21"/>
                <w:szCs w:val="21"/>
                <w:highlight w:val="none"/>
                <w:lang w:val="en-US" w:eastAsia="zh-CN"/>
              </w:rPr>
              <w:t xml:space="preserve">现有工程三废排放情况一览表  </w:t>
            </w:r>
            <w:r>
              <w:rPr>
                <w:rFonts w:hint="eastAsia" w:cs="Times New Roman"/>
                <w:b/>
                <w:bCs w:val="0"/>
                <w:color w:val="auto"/>
                <w:sz w:val="21"/>
                <w:szCs w:val="21"/>
                <w:highlight w:val="none"/>
                <w:lang w:val="en-US" w:eastAsia="zh-CN"/>
              </w:rPr>
              <w:t xml:space="preserve"> </w:t>
            </w:r>
            <w:r>
              <w:rPr>
                <w:rFonts w:hint="eastAsia" w:ascii="Times New Roman" w:hAnsi="Times New Roman" w:eastAsia="宋体" w:cs="Times New Roman"/>
                <w:b/>
                <w:bCs w:val="0"/>
                <w:color w:val="auto"/>
                <w:sz w:val="21"/>
                <w:szCs w:val="21"/>
                <w:highlight w:val="none"/>
                <w:lang w:val="en-US" w:eastAsia="zh-CN"/>
              </w:rPr>
              <w:t xml:space="preserve"> 单位：t/a</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577"/>
              <w:gridCol w:w="2383"/>
              <w:gridCol w:w="4155"/>
            </w:tblGrid>
            <w:tr w14:paraId="2517D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tcBorders>
                    <w:bottom w:val="single" w:color="auto" w:sz="4" w:space="0"/>
                    <w:right w:val="single" w:color="auto" w:sz="4" w:space="0"/>
                  </w:tcBorders>
                  <w:noWrap w:val="0"/>
                  <w:vAlign w:val="center"/>
                </w:tcPr>
                <w:p w14:paraId="6F0DDEDC">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bidi="ar"/>
                    </w:rPr>
                    <w:t>类别</w:t>
                  </w:r>
                </w:p>
              </w:tc>
              <w:tc>
                <w:tcPr>
                  <w:tcW w:w="1468" w:type="pct"/>
                  <w:tcBorders>
                    <w:left w:val="single" w:color="auto" w:sz="4" w:space="0"/>
                    <w:bottom w:val="single" w:color="auto" w:sz="4" w:space="0"/>
                    <w:right w:val="single" w:color="auto" w:sz="4" w:space="0"/>
                  </w:tcBorders>
                  <w:noWrap w:val="0"/>
                  <w:vAlign w:val="center"/>
                </w:tcPr>
                <w:p w14:paraId="07255C66">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bidi="ar"/>
                    </w:rPr>
                    <w:t>污染物</w:t>
                  </w:r>
                </w:p>
              </w:tc>
              <w:tc>
                <w:tcPr>
                  <w:tcW w:w="2559" w:type="pct"/>
                  <w:tcBorders>
                    <w:left w:val="single" w:color="auto" w:sz="4" w:space="0"/>
                    <w:bottom w:val="single" w:color="auto" w:sz="4" w:space="0"/>
                  </w:tcBorders>
                  <w:noWrap w:val="0"/>
                  <w:vAlign w:val="center"/>
                </w:tcPr>
                <w:p w14:paraId="04F3B195">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bidi="ar"/>
                    </w:rPr>
                    <w:t>实测核算排放量</w:t>
                  </w:r>
                </w:p>
              </w:tc>
            </w:tr>
            <w:tr w14:paraId="36546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restart"/>
                  <w:tcBorders>
                    <w:top w:val="single" w:color="auto" w:sz="4" w:space="0"/>
                    <w:right w:val="single" w:color="auto" w:sz="4" w:space="0"/>
                  </w:tcBorders>
                  <w:noWrap w:val="0"/>
                  <w:vAlign w:val="center"/>
                </w:tcPr>
                <w:p w14:paraId="794D3E96">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bidi="ar"/>
                    </w:rPr>
                    <w:t>废气</w:t>
                  </w:r>
                </w:p>
              </w:tc>
              <w:tc>
                <w:tcPr>
                  <w:tcW w:w="1468" w:type="pct"/>
                  <w:tcBorders>
                    <w:top w:val="single" w:color="auto" w:sz="4" w:space="0"/>
                    <w:left w:val="single" w:color="auto" w:sz="4" w:space="0"/>
                    <w:bottom w:val="single" w:color="auto" w:sz="4" w:space="0"/>
                    <w:right w:val="single" w:color="auto" w:sz="4" w:space="0"/>
                  </w:tcBorders>
                  <w:noWrap w:val="0"/>
                  <w:vAlign w:val="center"/>
                </w:tcPr>
                <w:p w14:paraId="3803E77F">
                  <w:pPr>
                    <w:jc w:val="center"/>
                    <w:rPr>
                      <w:rFonts w:hint="eastAsia" w:ascii="Times New Roman" w:hAnsi="Times New Roman" w:eastAsia="宋体" w:cs="Times New Roman"/>
                      <w:bCs/>
                      <w:color w:val="auto"/>
                      <w:sz w:val="21"/>
                      <w:szCs w:val="21"/>
                      <w:highlight w:val="none"/>
                      <w:lang w:eastAsia="zh-CN"/>
                    </w:rPr>
                  </w:pPr>
                  <w:r>
                    <w:rPr>
                      <w:rFonts w:hint="eastAsia" w:ascii="Times New Roman" w:hAnsi="Times New Roman" w:eastAsia="宋体" w:cs="Times New Roman"/>
                      <w:bCs/>
                      <w:color w:val="auto"/>
                      <w:sz w:val="21"/>
                      <w:szCs w:val="21"/>
                      <w:highlight w:val="none"/>
                      <w:lang w:val="en-US" w:eastAsia="zh-CN" w:bidi="ar"/>
                    </w:rPr>
                    <w:t>氯化氢</w:t>
                  </w:r>
                </w:p>
              </w:tc>
              <w:tc>
                <w:tcPr>
                  <w:tcW w:w="2559" w:type="pct"/>
                  <w:tcBorders>
                    <w:top w:val="single" w:color="auto" w:sz="4" w:space="0"/>
                    <w:left w:val="single" w:color="auto" w:sz="4" w:space="0"/>
                  </w:tcBorders>
                  <w:noWrap w:val="0"/>
                  <w:vAlign w:val="center"/>
                </w:tcPr>
                <w:p w14:paraId="3A2999D9">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0.04</w:t>
                  </w:r>
                </w:p>
              </w:tc>
            </w:tr>
            <w:tr w14:paraId="492C3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bottom w:val="single" w:color="auto" w:sz="4" w:space="0"/>
                    <w:right w:val="single" w:color="auto" w:sz="4" w:space="0"/>
                  </w:tcBorders>
                  <w:noWrap w:val="0"/>
                  <w:vAlign w:val="center"/>
                </w:tcPr>
                <w:p w14:paraId="661A0E8A">
                  <w:pPr>
                    <w:jc w:val="center"/>
                    <w:rPr>
                      <w:rFonts w:hint="default" w:ascii="Times New Roman" w:hAnsi="Times New Roman" w:eastAsia="宋体" w:cs="Times New Roman"/>
                      <w:bCs/>
                      <w:color w:val="auto"/>
                      <w:sz w:val="21"/>
                      <w:szCs w:val="21"/>
                      <w:highlight w:val="none"/>
                      <w:lang w:bidi="ar"/>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10F0DE9B">
                  <w:pPr>
                    <w:jc w:val="center"/>
                    <w:rPr>
                      <w:rFonts w:hint="default" w:ascii="Times New Roman" w:hAnsi="Times New Roman" w:eastAsia="宋体" w:cs="Times New Roman"/>
                      <w:bCs/>
                      <w:color w:val="auto"/>
                      <w:sz w:val="21"/>
                      <w:szCs w:val="21"/>
                      <w:highlight w:val="none"/>
                      <w:lang w:val="en-US" w:eastAsia="zh-CN" w:bidi="ar"/>
                    </w:rPr>
                  </w:pPr>
                  <w:r>
                    <w:rPr>
                      <w:rFonts w:hint="eastAsia" w:cs="Times New Roman"/>
                      <w:bCs/>
                      <w:color w:val="auto"/>
                      <w:sz w:val="21"/>
                      <w:szCs w:val="21"/>
                      <w:highlight w:val="none"/>
                      <w:lang w:val="en-US" w:eastAsia="zh-CN" w:bidi="ar"/>
                    </w:rPr>
                    <w:t>非甲烷总烃</w:t>
                  </w:r>
                </w:p>
              </w:tc>
              <w:tc>
                <w:tcPr>
                  <w:tcW w:w="2559" w:type="pct"/>
                  <w:tcBorders>
                    <w:top w:val="single" w:color="auto" w:sz="4" w:space="0"/>
                    <w:left w:val="single" w:color="auto" w:sz="4" w:space="0"/>
                  </w:tcBorders>
                  <w:noWrap w:val="0"/>
                  <w:vAlign w:val="center"/>
                </w:tcPr>
                <w:p w14:paraId="3B5A6F15">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0.005</w:t>
                  </w:r>
                </w:p>
              </w:tc>
            </w:tr>
            <w:tr w14:paraId="19453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restart"/>
                  <w:tcBorders>
                    <w:top w:val="single" w:color="auto" w:sz="4" w:space="0"/>
                    <w:bottom w:val="single" w:color="auto" w:sz="4" w:space="0"/>
                    <w:right w:val="single" w:color="auto" w:sz="4" w:space="0"/>
                  </w:tcBorders>
                  <w:noWrap w:val="0"/>
                  <w:vAlign w:val="center"/>
                </w:tcPr>
                <w:p w14:paraId="37E7182C">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bidi="ar"/>
                    </w:rPr>
                    <w:t>废水</w:t>
                  </w:r>
                </w:p>
              </w:tc>
              <w:tc>
                <w:tcPr>
                  <w:tcW w:w="1468" w:type="pct"/>
                  <w:tcBorders>
                    <w:top w:val="single" w:color="auto" w:sz="4" w:space="0"/>
                    <w:left w:val="single" w:color="auto" w:sz="4" w:space="0"/>
                    <w:bottom w:val="single" w:color="auto" w:sz="4" w:space="0"/>
                    <w:right w:val="single" w:color="auto" w:sz="4" w:space="0"/>
                  </w:tcBorders>
                  <w:noWrap w:val="0"/>
                  <w:vAlign w:val="center"/>
                </w:tcPr>
                <w:p w14:paraId="5970456B">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bidi="ar"/>
                    </w:rPr>
                    <w:t>废水量</w:t>
                  </w:r>
                </w:p>
              </w:tc>
              <w:tc>
                <w:tcPr>
                  <w:tcW w:w="2559" w:type="pct"/>
                  <w:tcBorders>
                    <w:left w:val="single" w:color="auto" w:sz="4" w:space="0"/>
                  </w:tcBorders>
                  <w:noWrap w:val="0"/>
                  <w:vAlign w:val="center"/>
                </w:tcPr>
                <w:p w14:paraId="1C3279DE">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3862</w:t>
                  </w:r>
                </w:p>
              </w:tc>
            </w:tr>
            <w:tr w14:paraId="1FA446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top w:val="single" w:color="auto" w:sz="4" w:space="0"/>
                    <w:bottom w:val="single" w:color="auto" w:sz="4" w:space="0"/>
                    <w:right w:val="single" w:color="auto" w:sz="4" w:space="0"/>
                  </w:tcBorders>
                  <w:noWrap w:val="0"/>
                  <w:vAlign w:val="center"/>
                </w:tcPr>
                <w:p w14:paraId="6415B391">
                  <w:pPr>
                    <w:rPr>
                      <w:rFonts w:hint="default" w:ascii="Times New Roman" w:hAnsi="Times New Roman" w:eastAsia="宋体" w:cs="Times New Roman"/>
                      <w:color w:val="auto"/>
                      <w:sz w:val="21"/>
                      <w:szCs w:val="21"/>
                      <w:highlight w:val="none"/>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1CCF1BD3">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bidi="ar"/>
                    </w:rPr>
                    <w:t>COD</w:t>
                  </w:r>
                </w:p>
              </w:tc>
              <w:tc>
                <w:tcPr>
                  <w:tcW w:w="2559" w:type="pct"/>
                  <w:tcBorders>
                    <w:left w:val="single" w:color="auto" w:sz="4" w:space="0"/>
                  </w:tcBorders>
                  <w:noWrap w:val="0"/>
                  <w:vAlign w:val="center"/>
                </w:tcPr>
                <w:p w14:paraId="2E178654">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w:t>
                  </w:r>
                  <w:r>
                    <w:rPr>
                      <w:rFonts w:hint="eastAsia" w:cs="Times New Roman"/>
                      <w:bCs/>
                      <w:color w:val="auto"/>
                      <w:sz w:val="21"/>
                      <w:szCs w:val="21"/>
                      <w:highlight w:val="none"/>
                      <w:lang w:val="en-US" w:eastAsia="zh-CN"/>
                    </w:rPr>
                    <w:t>339</w:t>
                  </w:r>
                </w:p>
              </w:tc>
            </w:tr>
            <w:tr w14:paraId="58C68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top w:val="single" w:color="auto" w:sz="4" w:space="0"/>
                    <w:bottom w:val="single" w:color="auto" w:sz="4" w:space="0"/>
                    <w:right w:val="single" w:color="auto" w:sz="4" w:space="0"/>
                  </w:tcBorders>
                  <w:noWrap w:val="0"/>
                  <w:vAlign w:val="center"/>
                </w:tcPr>
                <w:p w14:paraId="5713ADFD">
                  <w:pPr>
                    <w:rPr>
                      <w:rFonts w:hint="default" w:ascii="Times New Roman" w:hAnsi="Times New Roman" w:eastAsia="宋体" w:cs="Times New Roman"/>
                      <w:color w:val="auto"/>
                      <w:sz w:val="21"/>
                      <w:szCs w:val="21"/>
                      <w:highlight w:val="none"/>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3750FB4E">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bidi="ar"/>
                    </w:rPr>
                    <w:t>氨氮</w:t>
                  </w:r>
                </w:p>
              </w:tc>
              <w:tc>
                <w:tcPr>
                  <w:tcW w:w="2559" w:type="pct"/>
                  <w:tcBorders>
                    <w:left w:val="single" w:color="auto" w:sz="4" w:space="0"/>
                  </w:tcBorders>
                  <w:noWrap w:val="0"/>
                  <w:vAlign w:val="center"/>
                </w:tcPr>
                <w:p w14:paraId="1FA05E52">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w:t>
                  </w:r>
                  <w:r>
                    <w:rPr>
                      <w:rFonts w:hint="eastAsia" w:cs="Times New Roman"/>
                      <w:bCs/>
                      <w:color w:val="auto"/>
                      <w:sz w:val="21"/>
                      <w:szCs w:val="21"/>
                      <w:highlight w:val="none"/>
                      <w:lang w:val="en-US" w:eastAsia="zh-CN"/>
                    </w:rPr>
                    <w:t>59</w:t>
                  </w:r>
                </w:p>
              </w:tc>
            </w:tr>
            <w:tr w14:paraId="557AC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restart"/>
                  <w:tcBorders>
                    <w:top w:val="single" w:color="auto" w:sz="4" w:space="0"/>
                    <w:right w:val="single" w:color="auto" w:sz="4" w:space="0"/>
                  </w:tcBorders>
                  <w:noWrap w:val="0"/>
                  <w:vAlign w:val="center"/>
                </w:tcPr>
                <w:p w14:paraId="3F4EA8DF">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固废</w:t>
                  </w:r>
                </w:p>
              </w:tc>
              <w:tc>
                <w:tcPr>
                  <w:tcW w:w="1468" w:type="pct"/>
                  <w:tcBorders>
                    <w:top w:val="single" w:color="auto" w:sz="4" w:space="0"/>
                    <w:left w:val="single" w:color="auto" w:sz="4" w:space="0"/>
                    <w:bottom w:val="single" w:color="auto" w:sz="4" w:space="0"/>
                    <w:right w:val="single" w:color="auto" w:sz="4" w:space="0"/>
                  </w:tcBorders>
                  <w:noWrap w:val="0"/>
                  <w:vAlign w:val="center"/>
                </w:tcPr>
                <w:p w14:paraId="7793806D">
                  <w:pPr>
                    <w:jc w:val="center"/>
                    <w:rPr>
                      <w:rFonts w:hint="default" w:ascii="Times New Roman" w:hAnsi="Times New Roman" w:eastAsia="宋体" w:cs="Times New Roman"/>
                      <w:bCs/>
                      <w:color w:val="auto"/>
                      <w:sz w:val="21"/>
                      <w:szCs w:val="21"/>
                      <w:highlight w:val="none"/>
                      <w:lang w:val="en-US" w:eastAsia="zh-CN" w:bidi="ar"/>
                    </w:rPr>
                  </w:pPr>
                  <w:r>
                    <w:rPr>
                      <w:rFonts w:hint="eastAsia" w:cs="Times New Roman"/>
                      <w:bCs/>
                      <w:color w:val="auto"/>
                      <w:sz w:val="21"/>
                      <w:szCs w:val="21"/>
                      <w:highlight w:val="none"/>
                      <w:lang w:val="en-US" w:eastAsia="zh-CN" w:bidi="ar"/>
                    </w:rPr>
                    <w:t>生活垃圾</w:t>
                  </w:r>
                </w:p>
              </w:tc>
              <w:tc>
                <w:tcPr>
                  <w:tcW w:w="2559" w:type="pct"/>
                  <w:tcBorders>
                    <w:left w:val="single" w:color="auto" w:sz="4" w:space="0"/>
                  </w:tcBorders>
                  <w:noWrap w:val="0"/>
                  <w:vAlign w:val="center"/>
                </w:tcPr>
                <w:p w14:paraId="65B5475F">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45.5</w:t>
                  </w:r>
                </w:p>
              </w:tc>
            </w:tr>
            <w:tr w14:paraId="403B7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4FB971AA">
                  <w:pPr>
                    <w:jc w:val="center"/>
                    <w:rPr>
                      <w:rFonts w:hint="eastAsia" w:ascii="Times New Roman" w:hAnsi="Times New Roman" w:eastAsia="宋体"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0BD4C218">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废样品</w:t>
                  </w:r>
                </w:p>
              </w:tc>
              <w:tc>
                <w:tcPr>
                  <w:tcW w:w="2559" w:type="pct"/>
                  <w:tcBorders>
                    <w:left w:val="single" w:color="auto" w:sz="4" w:space="0"/>
                  </w:tcBorders>
                  <w:noWrap w:val="0"/>
                  <w:vAlign w:val="center"/>
                </w:tcPr>
                <w:p w14:paraId="55D8D74F">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0.5</w:t>
                  </w:r>
                </w:p>
              </w:tc>
            </w:tr>
            <w:tr w14:paraId="110C5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1C96F93B">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75FC9B38">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废纸屑及废包装材料</w:t>
                  </w:r>
                </w:p>
              </w:tc>
              <w:tc>
                <w:tcPr>
                  <w:tcW w:w="2559" w:type="pct"/>
                  <w:tcBorders>
                    <w:left w:val="single" w:color="auto" w:sz="4" w:space="0"/>
                  </w:tcBorders>
                  <w:noWrap w:val="0"/>
                  <w:vAlign w:val="center"/>
                </w:tcPr>
                <w:p w14:paraId="72E5EAC2">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0.5</w:t>
                  </w:r>
                </w:p>
              </w:tc>
            </w:tr>
            <w:tr w14:paraId="25FE0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49DFBF8C">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2E24F7F6">
                  <w:pPr>
                    <w:jc w:val="center"/>
                    <w:rPr>
                      <w:rFonts w:hint="eastAsia" w:ascii="Times New Roman" w:hAnsi="Times New Roman" w:eastAsia="宋体" w:cs="Times New Roman"/>
                      <w:bCs/>
                      <w:color w:val="auto"/>
                      <w:sz w:val="21"/>
                      <w:szCs w:val="21"/>
                      <w:highlight w:val="none"/>
                      <w:lang w:val="en-US" w:eastAsia="zh-CN" w:bidi="ar"/>
                    </w:rPr>
                  </w:pPr>
                  <w:r>
                    <w:rPr>
                      <w:rFonts w:hint="eastAsia" w:cs="Times New Roman"/>
                      <w:bCs/>
                      <w:color w:val="auto"/>
                      <w:sz w:val="21"/>
                      <w:szCs w:val="21"/>
                      <w:highlight w:val="none"/>
                      <w:lang w:val="en-US" w:eastAsia="zh-CN" w:bidi="ar"/>
                    </w:rPr>
                    <w:t>废滤芯</w:t>
                  </w:r>
                </w:p>
              </w:tc>
              <w:tc>
                <w:tcPr>
                  <w:tcW w:w="2559" w:type="pct"/>
                  <w:tcBorders>
                    <w:left w:val="single" w:color="auto" w:sz="4" w:space="0"/>
                  </w:tcBorders>
                  <w:noWrap w:val="0"/>
                  <w:vAlign w:val="center"/>
                </w:tcPr>
                <w:p w14:paraId="5EBED408">
                  <w:pPr>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0.01</w:t>
                  </w:r>
                </w:p>
              </w:tc>
            </w:tr>
            <w:tr w14:paraId="32D71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322016D1">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26864791">
                  <w:pPr>
                    <w:jc w:val="center"/>
                    <w:rPr>
                      <w:rFonts w:hint="default" w:ascii="Times New Roman" w:hAnsi="Times New Roman" w:eastAsia="宋体" w:cs="Times New Roman"/>
                      <w:bCs/>
                      <w:color w:val="0000FF"/>
                      <w:sz w:val="21"/>
                      <w:szCs w:val="21"/>
                      <w:highlight w:val="none"/>
                      <w:lang w:bidi="ar"/>
                    </w:rPr>
                  </w:pPr>
                  <w:r>
                    <w:rPr>
                      <w:rFonts w:hint="default" w:ascii="Times New Roman" w:hAnsi="Times New Roman" w:eastAsia="宋体" w:cs="Times New Roman"/>
                      <w:bCs/>
                      <w:color w:val="0000FF"/>
                      <w:sz w:val="21"/>
                      <w:szCs w:val="21"/>
                      <w:highlight w:val="none"/>
                      <w:lang w:bidi="ar"/>
                    </w:rPr>
                    <w:t>实验室废液</w:t>
                  </w:r>
                </w:p>
              </w:tc>
              <w:tc>
                <w:tcPr>
                  <w:tcW w:w="2559" w:type="pct"/>
                  <w:tcBorders>
                    <w:left w:val="single" w:color="auto" w:sz="4" w:space="0"/>
                  </w:tcBorders>
                  <w:noWrap w:val="0"/>
                  <w:vAlign w:val="center"/>
                </w:tcPr>
                <w:p w14:paraId="7D9CB67F">
                  <w:pPr>
                    <w:jc w:val="center"/>
                    <w:rPr>
                      <w:rFonts w:hint="default" w:ascii="Times New Roman" w:hAnsi="Times New Roman" w:eastAsia="宋体" w:cs="Times New Roman"/>
                      <w:bCs/>
                      <w:color w:val="0000FF"/>
                      <w:sz w:val="21"/>
                      <w:szCs w:val="21"/>
                      <w:highlight w:val="none"/>
                      <w:lang w:val="en-US" w:eastAsia="zh-CN"/>
                    </w:rPr>
                  </w:pPr>
                  <w:r>
                    <w:rPr>
                      <w:rFonts w:hint="eastAsia" w:cs="Times New Roman"/>
                      <w:bCs/>
                      <w:color w:val="0000FF"/>
                      <w:sz w:val="21"/>
                      <w:szCs w:val="21"/>
                      <w:highlight w:val="none"/>
                      <w:lang w:val="en-US" w:eastAsia="zh-CN"/>
                    </w:rPr>
                    <w:t>1</w:t>
                  </w:r>
                </w:p>
              </w:tc>
            </w:tr>
            <w:tr w14:paraId="45B0A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57A7F04D">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5CE94283">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废试剂包装物等沾染物</w:t>
                  </w:r>
                </w:p>
              </w:tc>
              <w:tc>
                <w:tcPr>
                  <w:tcW w:w="2559" w:type="pct"/>
                  <w:tcBorders>
                    <w:left w:val="single" w:color="auto" w:sz="4" w:space="0"/>
                  </w:tcBorders>
                  <w:noWrap w:val="0"/>
                  <w:vAlign w:val="center"/>
                </w:tcPr>
                <w:p w14:paraId="00AAB1DD">
                  <w:pPr>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0.01</w:t>
                  </w:r>
                </w:p>
              </w:tc>
            </w:tr>
            <w:tr w14:paraId="58A43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1D313F6B">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bottom w:val="single" w:color="auto" w:sz="4" w:space="0"/>
                    <w:right w:val="single" w:color="auto" w:sz="4" w:space="0"/>
                  </w:tcBorders>
                  <w:noWrap w:val="0"/>
                  <w:vAlign w:val="center"/>
                </w:tcPr>
                <w:p w14:paraId="03840DA0">
                  <w:pPr>
                    <w:jc w:val="center"/>
                    <w:rPr>
                      <w:rFonts w:hint="eastAsia" w:ascii="Times New Roman" w:hAnsi="Times New Roman" w:eastAsia="宋体" w:cs="Times New Roman"/>
                      <w:bCs/>
                      <w:color w:val="auto"/>
                      <w:sz w:val="21"/>
                      <w:szCs w:val="21"/>
                      <w:highlight w:val="none"/>
                      <w:lang w:val="en-US" w:eastAsia="zh-CN" w:bidi="ar"/>
                    </w:rPr>
                  </w:pPr>
                  <w:r>
                    <w:rPr>
                      <w:rFonts w:hint="eastAsia" w:cs="Times New Roman"/>
                      <w:bCs/>
                      <w:color w:val="0000FF"/>
                      <w:sz w:val="21"/>
                      <w:szCs w:val="21"/>
                      <w:highlight w:val="none"/>
                      <w:lang w:val="en-US" w:eastAsia="zh-CN" w:bidi="ar"/>
                    </w:rPr>
                    <w:t>废活性炭</w:t>
                  </w:r>
                </w:p>
              </w:tc>
              <w:tc>
                <w:tcPr>
                  <w:tcW w:w="2559" w:type="pct"/>
                  <w:tcBorders>
                    <w:left w:val="single" w:color="auto" w:sz="4" w:space="0"/>
                  </w:tcBorders>
                  <w:noWrap w:val="0"/>
                  <w:vAlign w:val="center"/>
                </w:tcPr>
                <w:p w14:paraId="24BE1112">
                  <w:pPr>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0000FF"/>
                      <w:sz w:val="21"/>
                      <w:szCs w:val="21"/>
                      <w:highlight w:val="none"/>
                      <w:lang w:val="en-US" w:eastAsia="zh-CN"/>
                    </w:rPr>
                    <w:t>1.5</w:t>
                  </w:r>
                </w:p>
              </w:tc>
            </w:tr>
            <w:tr w14:paraId="7F4EA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71" w:type="pct"/>
                  <w:vMerge w:val="continue"/>
                  <w:tcBorders>
                    <w:right w:val="single" w:color="auto" w:sz="4" w:space="0"/>
                  </w:tcBorders>
                  <w:noWrap w:val="0"/>
                  <w:vAlign w:val="center"/>
                </w:tcPr>
                <w:p w14:paraId="3E675610">
                  <w:pPr>
                    <w:jc w:val="center"/>
                    <w:rPr>
                      <w:rFonts w:hint="eastAsia" w:cs="Times New Roman"/>
                      <w:color w:val="auto"/>
                      <w:sz w:val="21"/>
                      <w:szCs w:val="21"/>
                      <w:highlight w:val="none"/>
                      <w:lang w:val="en-US" w:eastAsia="zh-CN"/>
                    </w:rPr>
                  </w:pPr>
                </w:p>
              </w:tc>
              <w:tc>
                <w:tcPr>
                  <w:tcW w:w="1468" w:type="pct"/>
                  <w:tcBorders>
                    <w:top w:val="single" w:color="auto" w:sz="4" w:space="0"/>
                    <w:left w:val="single" w:color="auto" w:sz="4" w:space="0"/>
                    <w:right w:val="single" w:color="auto" w:sz="4" w:space="0"/>
                  </w:tcBorders>
                  <w:noWrap w:val="0"/>
                  <w:vAlign w:val="center"/>
                </w:tcPr>
                <w:p w14:paraId="5D904C92">
                  <w:pPr>
                    <w:jc w:val="center"/>
                    <w:rPr>
                      <w:rFonts w:hint="eastAsia" w:cs="Times New Roman"/>
                      <w:bCs/>
                      <w:color w:val="auto"/>
                      <w:sz w:val="21"/>
                      <w:szCs w:val="21"/>
                      <w:highlight w:val="none"/>
                      <w:lang w:val="en-US" w:eastAsia="zh-CN" w:bidi="ar"/>
                    </w:rPr>
                  </w:pPr>
                  <w:r>
                    <w:rPr>
                      <w:rFonts w:hint="eastAsia" w:ascii="Times New Roman" w:hAnsi="Times New Roman" w:eastAsia="宋体" w:cs="Times New Roman"/>
                      <w:color w:val="auto"/>
                      <w:szCs w:val="21"/>
                      <w:highlight w:val="none"/>
                      <w:lang w:val="en-US" w:eastAsia="zh-CN"/>
                    </w:rPr>
                    <w:t>废试剂</w:t>
                  </w:r>
                </w:p>
              </w:tc>
              <w:tc>
                <w:tcPr>
                  <w:tcW w:w="2559" w:type="pct"/>
                  <w:tcBorders>
                    <w:left w:val="single" w:color="auto" w:sz="4" w:space="0"/>
                  </w:tcBorders>
                  <w:noWrap w:val="0"/>
                  <w:vAlign w:val="center"/>
                </w:tcPr>
                <w:p w14:paraId="4ACB9055">
                  <w:pPr>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0.001</w:t>
                  </w:r>
                </w:p>
              </w:tc>
            </w:tr>
          </w:tbl>
          <w:p w14:paraId="03EE9034">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eastAsia" w:ascii="Times New Roman" w:hAnsi="Times New Roman" w:eastAsia="宋体" w:cs="Times New Roman"/>
                <w:b/>
                <w:bCs/>
                <w:color w:val="auto"/>
                <w:sz w:val="24"/>
                <w:szCs w:val="24"/>
                <w:highlight w:val="none"/>
                <w:lang w:val="en-US" w:eastAsia="zh-CN" w:bidi="ar"/>
              </w:rPr>
            </w:pPr>
            <w:r>
              <w:rPr>
                <w:rFonts w:hint="eastAsia" w:ascii="Times New Roman" w:hAnsi="Times New Roman" w:eastAsia="宋体" w:cs="Times New Roman"/>
                <w:b/>
                <w:bCs/>
                <w:color w:val="auto"/>
                <w:sz w:val="24"/>
                <w:szCs w:val="24"/>
                <w:highlight w:val="none"/>
                <w:lang w:val="en-US" w:eastAsia="zh-CN" w:bidi="ar"/>
              </w:rPr>
              <w:t>5.</w:t>
            </w:r>
            <w:r>
              <w:rPr>
                <w:rFonts w:hint="eastAsia" w:cs="Times New Roman"/>
                <w:b/>
                <w:bCs/>
                <w:color w:val="auto"/>
                <w:sz w:val="24"/>
                <w:szCs w:val="24"/>
                <w:highlight w:val="none"/>
                <w:lang w:val="en-US" w:eastAsia="zh-CN" w:bidi="ar"/>
              </w:rPr>
              <w:t>三同时</w:t>
            </w:r>
            <w:r>
              <w:rPr>
                <w:rFonts w:hint="eastAsia" w:ascii="Times New Roman" w:hAnsi="Times New Roman" w:eastAsia="宋体" w:cs="Times New Roman"/>
                <w:b/>
                <w:bCs/>
                <w:color w:val="auto"/>
                <w:sz w:val="24"/>
                <w:szCs w:val="24"/>
                <w:highlight w:val="none"/>
                <w:lang w:val="en-US" w:eastAsia="zh-CN" w:bidi="ar"/>
              </w:rPr>
              <w:t>履行情况</w:t>
            </w:r>
          </w:p>
          <w:p w14:paraId="5974EA12">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bidi="ar"/>
              </w:rPr>
            </w:pPr>
            <w:r>
              <w:rPr>
                <w:rFonts w:hint="eastAsia" w:ascii="Times New Roman" w:hAnsi="Times New Roman" w:eastAsia="宋体" w:cs="Times New Roman"/>
                <w:color w:val="auto"/>
                <w:sz w:val="24"/>
                <w:szCs w:val="24"/>
                <w:highlight w:val="none"/>
                <w:lang w:val="en-US" w:eastAsia="zh-CN" w:bidi="ar"/>
              </w:rPr>
              <w:t>核工业二0三研究所科研生产能力建设</w:t>
            </w:r>
            <w:r>
              <w:rPr>
                <w:rFonts w:hint="default" w:ascii="Times New Roman" w:hAnsi="Times New Roman" w:eastAsia="宋体" w:cs="Times New Roman"/>
                <w:color w:val="auto"/>
                <w:sz w:val="24"/>
                <w:szCs w:val="24"/>
                <w:highlight w:val="none"/>
                <w:lang w:bidi="ar"/>
              </w:rPr>
              <w:t>项目建设至今，较好的执行了环境影响评价制度和</w:t>
            </w:r>
            <w:r>
              <w:rPr>
                <w:rFonts w:hint="eastAsia"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三同时</w:t>
            </w:r>
            <w:r>
              <w:rPr>
                <w:rFonts w:hint="eastAsia"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制度，企业各项环保手续较齐全；环保设施与生产设施同步运转，并稳定运转；各项污染物满足达标排放；企业自运行未受到环保部门的行政处罚</w:t>
            </w:r>
            <w:r>
              <w:rPr>
                <w:rFonts w:hint="eastAsia" w:cs="Times New Roman"/>
                <w:color w:val="auto"/>
                <w:sz w:val="24"/>
                <w:szCs w:val="24"/>
                <w:highlight w:val="none"/>
                <w:lang w:eastAsia="zh-CN" w:bidi="ar"/>
              </w:rPr>
              <w:t>，</w:t>
            </w:r>
            <w:r>
              <w:rPr>
                <w:rFonts w:hint="eastAsia" w:cs="Times New Roman"/>
                <w:color w:val="auto"/>
                <w:sz w:val="24"/>
                <w:szCs w:val="24"/>
                <w:highlight w:val="none"/>
                <w:lang w:val="en-US" w:eastAsia="zh-CN" w:bidi="ar"/>
              </w:rPr>
              <w:t>本项目</w:t>
            </w:r>
            <w:r>
              <w:rPr>
                <w:rFonts w:hint="default" w:ascii="Times New Roman" w:hAnsi="Times New Roman" w:eastAsia="宋体" w:cs="Times New Roman"/>
                <w:color w:val="auto"/>
                <w:kern w:val="2"/>
                <w:sz w:val="24"/>
                <w:szCs w:val="22"/>
                <w:highlight w:val="none"/>
                <w:lang w:val="en-US" w:eastAsia="zh-CN" w:bidi="ar-SA"/>
              </w:rPr>
              <w:t>无遗留的原有污染情况及环境问题。</w:t>
            </w:r>
          </w:p>
          <w:p w14:paraId="760E3881">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以上设施于2021年1月18日通过验收，均正常运行。因此核工业二0三研究所科研生产能力建设项目所在地原有废气、废水、噪声、固废等环境污染均得到了效防止，无遗留历史环境问题。且项目在运行期间未发生扰民和环境污染事故，能严格执行国家环境保护法律法规、条例、制度，投资建设了废气、废水及噪声治理设施（措施），能满足项目正常运行及环境管理要求。</w:t>
            </w:r>
          </w:p>
          <w:p w14:paraId="5562B013">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eastAsia" w:ascii="Times New Roman" w:hAnsi="Times New Roman" w:eastAsia="宋体" w:cs="Times New Roman"/>
                <w:b/>
                <w:bCs/>
                <w:color w:val="auto"/>
                <w:sz w:val="24"/>
                <w:szCs w:val="24"/>
                <w:highlight w:val="none"/>
                <w:lang w:val="en-US" w:eastAsia="zh-CN" w:bidi="ar"/>
              </w:rPr>
            </w:pPr>
            <w:r>
              <w:rPr>
                <w:rFonts w:hint="eastAsia" w:ascii="Times New Roman" w:hAnsi="Times New Roman" w:eastAsia="宋体" w:cs="Times New Roman"/>
                <w:b/>
                <w:bCs/>
                <w:color w:val="auto"/>
                <w:sz w:val="24"/>
                <w:szCs w:val="24"/>
                <w:highlight w:val="none"/>
                <w:lang w:val="en-US" w:eastAsia="zh-CN" w:bidi="ar"/>
              </w:rPr>
              <w:t>6.企业现有环境管理制度</w:t>
            </w:r>
          </w:p>
          <w:p w14:paraId="0D970EEA">
            <w:pPr>
              <w:spacing w:line="360" w:lineRule="auto"/>
              <w:ind w:firstLine="480"/>
              <w:rPr>
                <w:rFonts w:hint="default" w:ascii="Times New Roman" w:hAnsi="Times New Roman" w:eastAsia="宋体" w:cs="Times New Roman"/>
                <w:color w:val="auto"/>
                <w:sz w:val="24"/>
                <w:szCs w:val="24"/>
                <w:highlight w:val="none"/>
                <w:lang w:bidi="ar"/>
              </w:rPr>
            </w:pPr>
            <w:r>
              <w:rPr>
                <w:rFonts w:hint="default" w:ascii="Times New Roman" w:hAnsi="Times New Roman" w:eastAsia="宋体" w:cs="Times New Roman"/>
                <w:color w:val="auto"/>
                <w:sz w:val="24"/>
                <w:szCs w:val="24"/>
                <w:highlight w:val="none"/>
                <w:lang w:bidi="ar"/>
              </w:rPr>
              <w:t>根据现有工程竣工环境保护验收监测报告结论、验收批复结论、</w:t>
            </w:r>
            <w:r>
              <w:rPr>
                <w:rFonts w:hint="eastAsia"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三同时</w:t>
            </w:r>
            <w:r>
              <w:rPr>
                <w:rFonts w:hint="eastAsia"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制度，建立了企业环境管理制度。公司现设有安全环保处、实验室，配有专职环保管理人员</w:t>
            </w:r>
            <w:r>
              <w:rPr>
                <w:rFonts w:hint="eastAsia" w:ascii="Times New Roman" w:hAnsi="Times New Roman" w:eastAsia="宋体" w:cs="Times New Roman"/>
                <w:color w:val="auto"/>
                <w:sz w:val="24"/>
                <w:szCs w:val="24"/>
                <w:highlight w:val="none"/>
                <w:lang w:val="en-US" w:eastAsia="zh-CN" w:bidi="ar"/>
              </w:rPr>
              <w:t>3</w:t>
            </w:r>
            <w:r>
              <w:rPr>
                <w:rFonts w:hint="default" w:ascii="Times New Roman" w:hAnsi="Times New Roman" w:eastAsia="宋体" w:cs="Times New Roman"/>
                <w:color w:val="auto"/>
                <w:sz w:val="24"/>
                <w:szCs w:val="24"/>
                <w:highlight w:val="none"/>
                <w:lang w:bidi="ar"/>
              </w:rPr>
              <w:t>人，环保设施设备维修管理人员3人，检测分析人员5人。安全环保处负责公司日常排污管理及危废规范化管理工作，配合开展日常环境自行监测工作。</w:t>
            </w:r>
          </w:p>
          <w:p w14:paraId="19B7F877">
            <w:pPr>
              <w:spacing w:line="360" w:lineRule="auto"/>
              <w:ind w:firstLine="480"/>
              <w:rPr>
                <w:rFonts w:hint="default" w:ascii="Times New Roman" w:hAnsi="Times New Roman" w:eastAsia="宋体" w:cs="Times New Roman"/>
                <w:color w:val="auto"/>
                <w:sz w:val="24"/>
                <w:szCs w:val="24"/>
                <w:highlight w:val="none"/>
                <w:lang w:bidi="ar"/>
              </w:rPr>
            </w:pPr>
            <w:r>
              <w:rPr>
                <w:rFonts w:hint="eastAsia" w:ascii="Times New Roman" w:hAnsi="Times New Roman" w:eastAsia="宋体" w:cs="Times New Roman"/>
                <w:color w:val="auto"/>
                <w:sz w:val="24"/>
                <w:szCs w:val="24"/>
                <w:highlight w:val="none"/>
                <w:lang w:val="en-US" w:eastAsia="zh-CN" w:bidi="ar"/>
              </w:rPr>
              <w:t>分析测试中心实验废气</w:t>
            </w:r>
            <w:r>
              <w:rPr>
                <w:rFonts w:hint="default" w:ascii="Times New Roman" w:hAnsi="Times New Roman" w:eastAsia="宋体" w:cs="Times New Roman"/>
                <w:color w:val="auto"/>
                <w:sz w:val="24"/>
                <w:szCs w:val="24"/>
                <w:highlight w:val="none"/>
                <w:lang w:bidi="ar"/>
              </w:rPr>
              <w:t>排气筒已按照《污染源监测技术规范》要求设置了采样口，并在采样口附近设置了环境保护图形标志牌。</w:t>
            </w:r>
          </w:p>
          <w:p w14:paraId="400A57B8">
            <w:pPr>
              <w:spacing w:line="360" w:lineRule="auto"/>
              <w:ind w:firstLine="480"/>
              <w:jc w:val="both"/>
              <w:rPr>
                <w:rFonts w:hint="default" w:ascii="Times New Roman" w:hAnsi="Times New Roman" w:eastAsia="宋体" w:cs="Times New Roman"/>
                <w:color w:val="auto"/>
                <w:sz w:val="24"/>
                <w:szCs w:val="24"/>
                <w:highlight w:val="none"/>
                <w:lang w:bidi="ar"/>
              </w:rPr>
            </w:pPr>
            <w:r>
              <w:rPr>
                <w:rFonts w:hint="default" w:ascii="Times New Roman" w:hAnsi="Times New Roman" w:eastAsia="宋体" w:cs="Times New Roman"/>
                <w:color w:val="auto"/>
                <w:sz w:val="24"/>
                <w:szCs w:val="24"/>
                <w:highlight w:val="none"/>
                <w:lang w:bidi="ar"/>
              </w:rPr>
              <w:t>按照环评监测计划提出的要求对各污染源进行了跟踪监测。</w:t>
            </w:r>
          </w:p>
          <w:p w14:paraId="349F1A2C">
            <w:pPr>
              <w:adjustRightInd w:val="0"/>
              <w:snapToGrid w:val="0"/>
              <w:spacing w:line="360" w:lineRule="auto"/>
              <w:ind w:firstLine="420" w:firstLineChars="200"/>
              <w:rPr>
                <w:rFonts w:hint="default"/>
                <w:color w:val="auto"/>
                <w:highlight w:val="none"/>
                <w:lang w:val="en-US" w:eastAsia="zh-CN"/>
              </w:rPr>
            </w:pPr>
          </w:p>
          <w:p w14:paraId="0EA4CD68">
            <w:pPr>
              <w:pStyle w:val="26"/>
              <w:rPr>
                <w:rFonts w:hint="default"/>
                <w:color w:val="auto"/>
                <w:highlight w:val="none"/>
                <w:lang w:val="en-US" w:eastAsia="zh-CN"/>
              </w:rPr>
            </w:pPr>
          </w:p>
          <w:p w14:paraId="3870D2AB">
            <w:pPr>
              <w:rPr>
                <w:rFonts w:hint="default"/>
                <w:color w:val="auto"/>
                <w:highlight w:val="none"/>
                <w:lang w:val="en-US" w:eastAsia="zh-CN"/>
              </w:rPr>
            </w:pPr>
          </w:p>
          <w:p w14:paraId="2E19C27C">
            <w:pPr>
              <w:pStyle w:val="26"/>
              <w:rPr>
                <w:rFonts w:hint="default"/>
                <w:color w:val="auto"/>
                <w:highlight w:val="none"/>
                <w:lang w:val="en-US" w:eastAsia="zh-CN"/>
              </w:rPr>
            </w:pPr>
          </w:p>
          <w:p w14:paraId="01395DCC">
            <w:pPr>
              <w:rPr>
                <w:rFonts w:hint="default"/>
                <w:color w:val="auto"/>
                <w:highlight w:val="none"/>
                <w:lang w:val="en-US" w:eastAsia="zh-CN"/>
              </w:rPr>
            </w:pPr>
          </w:p>
          <w:p w14:paraId="34F38F96">
            <w:pPr>
              <w:pStyle w:val="26"/>
              <w:rPr>
                <w:rFonts w:hint="default"/>
                <w:color w:val="auto"/>
                <w:highlight w:val="none"/>
                <w:lang w:val="en-US" w:eastAsia="zh-CN"/>
              </w:rPr>
            </w:pPr>
          </w:p>
          <w:p w14:paraId="59A0D4E5">
            <w:pPr>
              <w:rPr>
                <w:rFonts w:hint="default"/>
                <w:color w:val="auto"/>
                <w:highlight w:val="none"/>
                <w:lang w:val="en-US" w:eastAsia="zh-CN"/>
              </w:rPr>
            </w:pPr>
          </w:p>
          <w:p w14:paraId="1F757EF8">
            <w:pPr>
              <w:pStyle w:val="26"/>
              <w:rPr>
                <w:rFonts w:hint="default"/>
                <w:color w:val="auto"/>
                <w:highlight w:val="none"/>
                <w:lang w:val="en-US" w:eastAsia="zh-CN"/>
              </w:rPr>
            </w:pPr>
          </w:p>
          <w:p w14:paraId="24FEDE77">
            <w:pPr>
              <w:rPr>
                <w:rFonts w:hint="default"/>
                <w:color w:val="auto"/>
                <w:highlight w:val="none"/>
                <w:lang w:val="en-US" w:eastAsia="zh-CN"/>
              </w:rPr>
            </w:pPr>
          </w:p>
          <w:p w14:paraId="25E0EE0D">
            <w:pPr>
              <w:pStyle w:val="26"/>
              <w:rPr>
                <w:rFonts w:hint="default"/>
                <w:color w:val="auto"/>
                <w:highlight w:val="none"/>
                <w:lang w:val="en-US" w:eastAsia="zh-CN"/>
              </w:rPr>
            </w:pPr>
          </w:p>
          <w:p w14:paraId="23CD9519">
            <w:pPr>
              <w:rPr>
                <w:rFonts w:hint="default"/>
                <w:color w:val="auto"/>
                <w:highlight w:val="none"/>
                <w:lang w:val="en-US" w:eastAsia="zh-CN"/>
              </w:rPr>
            </w:pPr>
          </w:p>
          <w:p w14:paraId="4556EA34">
            <w:pPr>
              <w:pStyle w:val="26"/>
              <w:rPr>
                <w:rFonts w:hint="default"/>
                <w:color w:val="auto"/>
                <w:highlight w:val="none"/>
                <w:lang w:val="en-US" w:eastAsia="zh-CN"/>
              </w:rPr>
            </w:pPr>
          </w:p>
          <w:p w14:paraId="3B63F7E4">
            <w:pPr>
              <w:rPr>
                <w:rFonts w:hint="default"/>
                <w:color w:val="auto"/>
                <w:highlight w:val="none"/>
                <w:lang w:val="en-US" w:eastAsia="zh-CN"/>
              </w:rPr>
            </w:pPr>
          </w:p>
          <w:p w14:paraId="687C4C7E">
            <w:pPr>
              <w:pStyle w:val="26"/>
              <w:rPr>
                <w:rFonts w:hint="default"/>
                <w:color w:val="auto"/>
                <w:highlight w:val="none"/>
                <w:lang w:val="en-US" w:eastAsia="zh-CN"/>
              </w:rPr>
            </w:pPr>
          </w:p>
          <w:p w14:paraId="16B5DB64">
            <w:pPr>
              <w:rPr>
                <w:rFonts w:hint="default"/>
                <w:color w:val="auto"/>
                <w:highlight w:val="none"/>
                <w:lang w:val="en-US" w:eastAsia="zh-CN"/>
              </w:rPr>
            </w:pPr>
          </w:p>
          <w:p w14:paraId="08205740">
            <w:pPr>
              <w:pStyle w:val="26"/>
              <w:rPr>
                <w:rFonts w:hint="default"/>
                <w:color w:val="auto"/>
                <w:highlight w:val="none"/>
                <w:lang w:val="en-US" w:eastAsia="zh-CN"/>
              </w:rPr>
            </w:pPr>
          </w:p>
          <w:p w14:paraId="1A360B2C">
            <w:pPr>
              <w:rPr>
                <w:rFonts w:hint="default"/>
                <w:color w:val="auto"/>
                <w:highlight w:val="none"/>
                <w:lang w:val="en-US" w:eastAsia="zh-CN"/>
              </w:rPr>
            </w:pPr>
          </w:p>
          <w:p w14:paraId="2950C316">
            <w:pPr>
              <w:pStyle w:val="26"/>
              <w:rPr>
                <w:rFonts w:hint="default"/>
                <w:color w:val="auto"/>
                <w:highlight w:val="none"/>
                <w:lang w:val="en-US" w:eastAsia="zh-CN"/>
              </w:rPr>
            </w:pPr>
          </w:p>
          <w:p w14:paraId="5E166DB6">
            <w:pPr>
              <w:rPr>
                <w:rFonts w:hint="default"/>
                <w:color w:val="auto"/>
                <w:highlight w:val="none"/>
                <w:lang w:val="en-US" w:eastAsia="zh-CN"/>
              </w:rPr>
            </w:pPr>
          </w:p>
          <w:p w14:paraId="1A6645D5">
            <w:pPr>
              <w:rPr>
                <w:rFonts w:hint="default"/>
                <w:color w:val="auto"/>
                <w:highlight w:val="none"/>
                <w:lang w:val="en-US" w:eastAsia="zh-CN"/>
              </w:rPr>
            </w:pPr>
          </w:p>
        </w:tc>
      </w:tr>
    </w:tbl>
    <w:p w14:paraId="1A611D25">
      <w:pPr>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br w:type="page"/>
      </w:r>
    </w:p>
    <w:p w14:paraId="302AD4BF">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26D3E3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00" w:type="dxa"/>
            <w:noWrap w:val="0"/>
            <w:vAlign w:val="center"/>
          </w:tcPr>
          <w:p w14:paraId="60F0FF7A">
            <w:pPr>
              <w:adjustRightInd w:val="0"/>
              <w:snapToGrid w:val="0"/>
              <w:jc w:val="center"/>
              <w:rPr>
                <w:color w:val="auto"/>
                <w:kern w:val="0"/>
                <w:szCs w:val="21"/>
                <w:highlight w:val="none"/>
              </w:rPr>
            </w:pPr>
            <w:r>
              <w:rPr>
                <w:color w:val="auto"/>
                <w:kern w:val="0"/>
                <w:szCs w:val="21"/>
                <w:highlight w:val="none"/>
              </w:rPr>
              <w:t>区域</w:t>
            </w:r>
          </w:p>
          <w:p w14:paraId="326B0CD8">
            <w:pPr>
              <w:adjustRightInd w:val="0"/>
              <w:snapToGrid w:val="0"/>
              <w:jc w:val="center"/>
              <w:rPr>
                <w:color w:val="auto"/>
                <w:kern w:val="0"/>
                <w:szCs w:val="21"/>
                <w:highlight w:val="none"/>
              </w:rPr>
            </w:pPr>
            <w:r>
              <w:rPr>
                <w:color w:val="auto"/>
                <w:kern w:val="0"/>
                <w:szCs w:val="21"/>
                <w:highlight w:val="none"/>
              </w:rPr>
              <w:t>环境</w:t>
            </w:r>
          </w:p>
          <w:p w14:paraId="647FE05B">
            <w:pPr>
              <w:adjustRightInd w:val="0"/>
              <w:snapToGrid w:val="0"/>
              <w:jc w:val="center"/>
              <w:rPr>
                <w:color w:val="auto"/>
                <w:kern w:val="0"/>
                <w:szCs w:val="21"/>
                <w:highlight w:val="none"/>
              </w:rPr>
            </w:pPr>
            <w:r>
              <w:rPr>
                <w:color w:val="auto"/>
                <w:kern w:val="0"/>
                <w:szCs w:val="21"/>
                <w:highlight w:val="none"/>
              </w:rPr>
              <w:t>质量</w:t>
            </w:r>
          </w:p>
          <w:p w14:paraId="5DC244FD">
            <w:pPr>
              <w:adjustRightInd w:val="0"/>
              <w:snapToGrid w:val="0"/>
              <w:jc w:val="center"/>
              <w:rPr>
                <w:color w:val="auto"/>
                <w:kern w:val="0"/>
                <w:szCs w:val="21"/>
                <w:highlight w:val="none"/>
              </w:rPr>
            </w:pPr>
            <w:r>
              <w:rPr>
                <w:color w:val="auto"/>
                <w:kern w:val="0"/>
                <w:szCs w:val="21"/>
                <w:highlight w:val="none"/>
              </w:rPr>
              <w:t>现状</w:t>
            </w:r>
          </w:p>
        </w:tc>
        <w:tc>
          <w:tcPr>
            <w:tcW w:w="8190" w:type="dxa"/>
            <w:noWrap w:val="0"/>
            <w:vAlign w:val="center"/>
          </w:tcPr>
          <w:p w14:paraId="6A42253B">
            <w:pPr>
              <w:adjustRightInd w:val="0"/>
              <w:snapToGrid w:val="0"/>
              <w:spacing w:before="120" w:beforeLines="50" w:line="360" w:lineRule="auto"/>
              <w:ind w:firstLine="482" w:firstLineChars="200"/>
              <w:jc w:val="left"/>
              <w:rPr>
                <w:b/>
                <w:bCs/>
                <w:color w:val="auto"/>
                <w:sz w:val="24"/>
                <w:highlight w:val="none"/>
              </w:rPr>
            </w:pPr>
            <w:r>
              <w:rPr>
                <w:b/>
                <w:bCs/>
                <w:color w:val="auto"/>
                <w:sz w:val="24"/>
                <w:highlight w:val="none"/>
              </w:rPr>
              <w:t>1</w:t>
            </w:r>
            <w:r>
              <w:rPr>
                <w:rFonts w:hint="eastAsia"/>
                <w:b/>
                <w:bCs/>
                <w:color w:val="auto"/>
                <w:sz w:val="24"/>
                <w:highlight w:val="none"/>
              </w:rPr>
              <w:t>.</w:t>
            </w:r>
            <w:r>
              <w:rPr>
                <w:b/>
                <w:bCs/>
                <w:color w:val="auto"/>
                <w:sz w:val="24"/>
                <w:highlight w:val="none"/>
              </w:rPr>
              <w:t>环境空气质量现状</w:t>
            </w:r>
          </w:p>
          <w:p w14:paraId="487DA981">
            <w:pPr>
              <w:adjustRightInd w:val="0"/>
              <w:snapToGrid w:val="0"/>
              <w:spacing w:line="360" w:lineRule="auto"/>
              <w:ind w:firstLine="482" w:firstLineChars="200"/>
              <w:jc w:val="left"/>
              <w:rPr>
                <w:b/>
                <w:bCs/>
                <w:color w:val="auto"/>
                <w:sz w:val="24"/>
                <w:highlight w:val="none"/>
              </w:rPr>
            </w:pPr>
            <w:r>
              <w:rPr>
                <w:b/>
                <w:bCs/>
                <w:color w:val="auto"/>
                <w:sz w:val="24"/>
                <w:highlight w:val="none"/>
              </w:rPr>
              <w:t>（1）空气质量达标区判定</w:t>
            </w:r>
          </w:p>
          <w:p w14:paraId="56EC5208">
            <w:pPr>
              <w:adjustRightInd w:val="0"/>
              <w:snapToGrid w:val="0"/>
              <w:spacing w:line="360" w:lineRule="auto"/>
              <w:ind w:firstLine="480" w:firstLineChars="200"/>
              <w:jc w:val="left"/>
              <w:rPr>
                <w:color w:val="auto"/>
                <w:sz w:val="24"/>
                <w:highlight w:val="none"/>
              </w:rPr>
            </w:pPr>
            <w:r>
              <w:rPr>
                <w:color w:val="auto"/>
                <w:sz w:val="24"/>
                <w:highlight w:val="none"/>
              </w:rPr>
              <w:t>根据《环境影响评价技术导则-大气环境》（HJ 2.2-2018）6.2.1中要求</w:t>
            </w:r>
            <w:r>
              <w:rPr>
                <w:rFonts w:hint="eastAsia"/>
                <w:color w:val="auto"/>
                <w:sz w:val="24"/>
                <w:highlight w:val="none"/>
                <w:lang w:eastAsia="zh-CN"/>
              </w:rPr>
              <w:t>“</w:t>
            </w:r>
            <w:r>
              <w:rPr>
                <w:color w:val="auto"/>
                <w:sz w:val="24"/>
                <w:highlight w:val="none"/>
              </w:rPr>
              <w:t>项目所在区域达标情况，优先采用国家或地方生态环境管理部门公开发布的评价基准年环境质量公告或是环境质量报告中的数据或结论；采用评价范围内国家或是地方环境质量监测网中评价基准年连续1年的监测数据，或采用生态主管部门公开发布的环境空气质量现状数据</w:t>
            </w:r>
            <w:r>
              <w:rPr>
                <w:rFonts w:hint="eastAsia"/>
                <w:color w:val="auto"/>
                <w:sz w:val="24"/>
                <w:highlight w:val="none"/>
                <w:lang w:eastAsia="zh-CN"/>
              </w:rPr>
              <w:t>”</w:t>
            </w:r>
            <w:r>
              <w:rPr>
                <w:color w:val="auto"/>
                <w:sz w:val="24"/>
                <w:highlight w:val="none"/>
              </w:rPr>
              <w:t>。项目大气环境质量现状陕西省生态环境厅办公室202</w:t>
            </w:r>
            <w:r>
              <w:rPr>
                <w:rFonts w:hint="eastAsia"/>
                <w:color w:val="auto"/>
                <w:sz w:val="24"/>
                <w:highlight w:val="none"/>
                <w:lang w:val="en-US" w:eastAsia="zh-CN"/>
              </w:rPr>
              <w:t>5</w:t>
            </w:r>
            <w:r>
              <w:rPr>
                <w:color w:val="auto"/>
                <w:sz w:val="24"/>
                <w:highlight w:val="none"/>
              </w:rPr>
              <w:t>年1月</w:t>
            </w:r>
            <w:r>
              <w:rPr>
                <w:rFonts w:hint="eastAsia"/>
                <w:color w:val="auto"/>
                <w:sz w:val="24"/>
                <w:highlight w:val="none"/>
                <w:lang w:val="en-US" w:eastAsia="zh-CN"/>
              </w:rPr>
              <w:t>21</w:t>
            </w:r>
            <w:r>
              <w:rPr>
                <w:color w:val="auto"/>
                <w:sz w:val="24"/>
                <w:highlight w:val="none"/>
              </w:rPr>
              <w:t>日公布的《环保快报-202</w:t>
            </w:r>
            <w:r>
              <w:rPr>
                <w:rFonts w:hint="eastAsia"/>
                <w:color w:val="auto"/>
                <w:sz w:val="24"/>
                <w:highlight w:val="none"/>
                <w:lang w:val="en-US" w:eastAsia="zh-CN"/>
              </w:rPr>
              <w:t>4</w:t>
            </w:r>
            <w:r>
              <w:rPr>
                <w:color w:val="auto"/>
                <w:sz w:val="24"/>
                <w:highlight w:val="none"/>
              </w:rPr>
              <w:t>年12月及1～12月全省环境空气质量状况》，取用</w:t>
            </w:r>
            <w:bookmarkStart w:id="5" w:name="_Hlk138769624"/>
            <w:r>
              <w:rPr>
                <w:rFonts w:hint="eastAsia"/>
                <w:color w:val="auto"/>
                <w:sz w:val="24"/>
                <w:highlight w:val="none"/>
                <w:lang w:val="en-US" w:eastAsia="zh-CN"/>
              </w:rPr>
              <w:t>西安市西咸新区</w:t>
            </w:r>
            <w:r>
              <w:rPr>
                <w:color w:val="auto"/>
                <w:sz w:val="24"/>
                <w:highlight w:val="none"/>
              </w:rPr>
              <w:t>202</w:t>
            </w:r>
            <w:r>
              <w:rPr>
                <w:rFonts w:hint="eastAsia"/>
                <w:color w:val="auto"/>
                <w:sz w:val="24"/>
                <w:highlight w:val="none"/>
                <w:lang w:val="en-US" w:eastAsia="zh-CN"/>
              </w:rPr>
              <w:t>4</w:t>
            </w:r>
            <w:r>
              <w:rPr>
                <w:color w:val="auto"/>
                <w:sz w:val="24"/>
                <w:highlight w:val="none"/>
              </w:rPr>
              <w:t>年1～12月空气质量状况统计数据</w:t>
            </w:r>
            <w:bookmarkEnd w:id="5"/>
            <w:r>
              <w:rPr>
                <w:rFonts w:hint="eastAsia"/>
                <w:color w:val="auto"/>
                <w:sz w:val="24"/>
                <w:highlight w:val="none"/>
              </w:rPr>
              <w:t>，详见下表</w:t>
            </w:r>
            <w:r>
              <w:rPr>
                <w:color w:val="auto"/>
                <w:sz w:val="24"/>
                <w:highlight w:val="none"/>
              </w:rPr>
              <w:t>。</w:t>
            </w:r>
          </w:p>
          <w:p w14:paraId="3DE9A4A5">
            <w:pPr>
              <w:adjustRightInd w:val="0"/>
              <w:snapToGrid w:val="0"/>
              <w:jc w:val="center"/>
              <w:rPr>
                <w:b/>
                <w:color w:val="auto"/>
                <w:szCs w:val="21"/>
                <w:highlight w:val="none"/>
              </w:rPr>
            </w:pPr>
            <w:r>
              <w:rPr>
                <w:b/>
                <w:color w:val="auto"/>
                <w:szCs w:val="21"/>
                <w:highlight w:val="none"/>
              </w:rPr>
              <w:t xml:space="preserve">表3-1  </w:t>
            </w:r>
            <w:r>
              <w:rPr>
                <w:rFonts w:hint="eastAsia"/>
                <w:b/>
                <w:color w:val="auto"/>
                <w:szCs w:val="21"/>
                <w:highlight w:val="none"/>
              </w:rPr>
              <w:t>区域</w:t>
            </w:r>
            <w:r>
              <w:rPr>
                <w:b/>
                <w:color w:val="auto"/>
                <w:szCs w:val="21"/>
                <w:highlight w:val="none"/>
              </w:rPr>
              <w:t>空气质量现状评价表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949"/>
              <w:gridCol w:w="1276"/>
              <w:gridCol w:w="1276"/>
              <w:gridCol w:w="949"/>
              <w:gridCol w:w="696"/>
            </w:tblGrid>
            <w:tr w14:paraId="588AB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1A566EC0">
                  <w:pPr>
                    <w:jc w:val="center"/>
                    <w:rPr>
                      <w:b/>
                      <w:bCs/>
                      <w:color w:val="auto"/>
                      <w:highlight w:val="none"/>
                    </w:rPr>
                  </w:pPr>
                  <w:r>
                    <w:rPr>
                      <w:b/>
                      <w:bCs/>
                      <w:color w:val="auto"/>
                      <w:highlight w:val="none"/>
                    </w:rPr>
                    <w:t>污染物</w:t>
                  </w:r>
                </w:p>
              </w:tc>
              <w:tc>
                <w:tcPr>
                  <w:tcW w:w="2949" w:type="dxa"/>
                  <w:tcBorders>
                    <w:tl2br w:val="nil"/>
                    <w:tr2bl w:val="nil"/>
                  </w:tcBorders>
                  <w:noWrap w:val="0"/>
                  <w:vAlign w:val="center"/>
                </w:tcPr>
                <w:p w14:paraId="0C6B1E91">
                  <w:pPr>
                    <w:jc w:val="center"/>
                    <w:rPr>
                      <w:b/>
                      <w:bCs/>
                      <w:color w:val="auto"/>
                      <w:highlight w:val="none"/>
                    </w:rPr>
                  </w:pPr>
                  <w:r>
                    <w:rPr>
                      <w:b/>
                      <w:bCs/>
                      <w:color w:val="auto"/>
                      <w:highlight w:val="none"/>
                    </w:rPr>
                    <w:t>年评价指标</w:t>
                  </w:r>
                </w:p>
              </w:tc>
              <w:tc>
                <w:tcPr>
                  <w:tcW w:w="1276" w:type="dxa"/>
                  <w:tcBorders>
                    <w:tl2br w:val="nil"/>
                    <w:tr2bl w:val="nil"/>
                  </w:tcBorders>
                  <w:noWrap w:val="0"/>
                  <w:vAlign w:val="center"/>
                </w:tcPr>
                <w:p w14:paraId="452E7DAC">
                  <w:pPr>
                    <w:jc w:val="center"/>
                    <w:rPr>
                      <w:b/>
                      <w:bCs/>
                      <w:color w:val="auto"/>
                      <w:highlight w:val="none"/>
                    </w:rPr>
                  </w:pPr>
                  <w:r>
                    <w:rPr>
                      <w:b/>
                      <w:bCs/>
                      <w:color w:val="auto"/>
                      <w:highlight w:val="none"/>
                    </w:rPr>
                    <w:t>现状浓度（μg/m</w:t>
                  </w:r>
                  <w:r>
                    <w:rPr>
                      <w:b/>
                      <w:bCs/>
                      <w:color w:val="auto"/>
                      <w:highlight w:val="none"/>
                      <w:vertAlign w:val="superscript"/>
                    </w:rPr>
                    <w:t>3</w:t>
                  </w:r>
                  <w:r>
                    <w:rPr>
                      <w:b/>
                      <w:bCs/>
                      <w:color w:val="auto"/>
                      <w:highlight w:val="none"/>
                    </w:rPr>
                    <w:t>）</w:t>
                  </w:r>
                </w:p>
              </w:tc>
              <w:tc>
                <w:tcPr>
                  <w:tcW w:w="1276" w:type="dxa"/>
                  <w:tcBorders>
                    <w:tl2br w:val="nil"/>
                    <w:tr2bl w:val="nil"/>
                  </w:tcBorders>
                  <w:noWrap w:val="0"/>
                  <w:vAlign w:val="center"/>
                </w:tcPr>
                <w:p w14:paraId="3DC979AF">
                  <w:pPr>
                    <w:jc w:val="center"/>
                    <w:rPr>
                      <w:b/>
                      <w:bCs/>
                      <w:color w:val="auto"/>
                      <w:highlight w:val="none"/>
                    </w:rPr>
                  </w:pPr>
                  <w:r>
                    <w:rPr>
                      <w:b/>
                      <w:bCs/>
                      <w:color w:val="auto"/>
                      <w:highlight w:val="none"/>
                    </w:rPr>
                    <w:t>标准值（μg/m</w:t>
                  </w:r>
                  <w:r>
                    <w:rPr>
                      <w:b/>
                      <w:bCs/>
                      <w:color w:val="auto"/>
                      <w:highlight w:val="none"/>
                      <w:vertAlign w:val="superscript"/>
                    </w:rPr>
                    <w:t>3</w:t>
                  </w:r>
                  <w:r>
                    <w:rPr>
                      <w:b/>
                      <w:bCs/>
                      <w:color w:val="auto"/>
                      <w:highlight w:val="none"/>
                    </w:rPr>
                    <w:t>）</w:t>
                  </w:r>
                </w:p>
              </w:tc>
              <w:tc>
                <w:tcPr>
                  <w:tcW w:w="949" w:type="dxa"/>
                  <w:tcBorders>
                    <w:tl2br w:val="nil"/>
                    <w:tr2bl w:val="nil"/>
                  </w:tcBorders>
                  <w:noWrap w:val="0"/>
                  <w:vAlign w:val="center"/>
                </w:tcPr>
                <w:p w14:paraId="77F0446C">
                  <w:pPr>
                    <w:jc w:val="center"/>
                    <w:rPr>
                      <w:b/>
                      <w:bCs/>
                      <w:color w:val="auto"/>
                      <w:highlight w:val="none"/>
                    </w:rPr>
                  </w:pPr>
                  <w:r>
                    <w:rPr>
                      <w:b/>
                      <w:bCs/>
                      <w:color w:val="auto"/>
                      <w:highlight w:val="none"/>
                    </w:rPr>
                    <w:t>占标率%</w:t>
                  </w:r>
                </w:p>
              </w:tc>
              <w:tc>
                <w:tcPr>
                  <w:tcW w:w="696" w:type="dxa"/>
                  <w:tcBorders>
                    <w:tl2br w:val="nil"/>
                    <w:tr2bl w:val="nil"/>
                  </w:tcBorders>
                  <w:noWrap w:val="0"/>
                  <w:vAlign w:val="center"/>
                </w:tcPr>
                <w:p w14:paraId="6D57B15B">
                  <w:pPr>
                    <w:jc w:val="center"/>
                    <w:rPr>
                      <w:b/>
                      <w:bCs/>
                      <w:color w:val="auto"/>
                      <w:highlight w:val="none"/>
                    </w:rPr>
                  </w:pPr>
                  <w:r>
                    <w:rPr>
                      <w:b/>
                      <w:bCs/>
                      <w:color w:val="auto"/>
                      <w:highlight w:val="none"/>
                    </w:rPr>
                    <w:t>达标</w:t>
                  </w:r>
                </w:p>
                <w:p w14:paraId="5586FDD1">
                  <w:pPr>
                    <w:jc w:val="center"/>
                    <w:rPr>
                      <w:b/>
                      <w:bCs/>
                      <w:color w:val="auto"/>
                      <w:highlight w:val="none"/>
                    </w:rPr>
                  </w:pPr>
                  <w:r>
                    <w:rPr>
                      <w:b/>
                      <w:bCs/>
                      <w:color w:val="auto"/>
                      <w:highlight w:val="none"/>
                    </w:rPr>
                    <w:t>情况</w:t>
                  </w:r>
                </w:p>
              </w:tc>
            </w:tr>
            <w:tr w14:paraId="488F73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07100FCF">
                  <w:pPr>
                    <w:jc w:val="center"/>
                    <w:rPr>
                      <w:color w:val="auto"/>
                      <w:highlight w:val="none"/>
                    </w:rPr>
                  </w:pPr>
                  <w:r>
                    <w:rPr>
                      <w:color w:val="auto"/>
                      <w:highlight w:val="none"/>
                    </w:rPr>
                    <w:t>PM</w:t>
                  </w:r>
                  <w:r>
                    <w:rPr>
                      <w:color w:val="auto"/>
                      <w:highlight w:val="none"/>
                      <w:vertAlign w:val="subscript"/>
                    </w:rPr>
                    <w:t>2.5</w:t>
                  </w:r>
                </w:p>
              </w:tc>
              <w:tc>
                <w:tcPr>
                  <w:tcW w:w="2949" w:type="dxa"/>
                  <w:tcBorders>
                    <w:tl2br w:val="nil"/>
                    <w:tr2bl w:val="nil"/>
                  </w:tcBorders>
                  <w:noWrap w:val="0"/>
                  <w:vAlign w:val="center"/>
                </w:tcPr>
                <w:p w14:paraId="23243E4B">
                  <w:pPr>
                    <w:jc w:val="center"/>
                    <w:rPr>
                      <w:color w:val="auto"/>
                      <w:highlight w:val="none"/>
                    </w:rPr>
                  </w:pPr>
                  <w:r>
                    <w:rPr>
                      <w:color w:val="auto"/>
                      <w:highlight w:val="none"/>
                    </w:rPr>
                    <w:t>年平均质量浓度</w:t>
                  </w:r>
                </w:p>
              </w:tc>
              <w:tc>
                <w:tcPr>
                  <w:tcW w:w="1276" w:type="dxa"/>
                  <w:tcBorders>
                    <w:tl2br w:val="nil"/>
                    <w:tr2bl w:val="nil"/>
                  </w:tcBorders>
                  <w:noWrap w:val="0"/>
                  <w:vAlign w:val="center"/>
                </w:tcPr>
                <w:p w14:paraId="4A978CA2">
                  <w:pPr>
                    <w:jc w:val="center"/>
                    <w:rPr>
                      <w:rFonts w:hint="default" w:eastAsia="宋体"/>
                      <w:color w:val="auto"/>
                      <w:highlight w:val="none"/>
                      <w:lang w:val="en-US" w:eastAsia="zh-CN"/>
                    </w:rPr>
                  </w:pPr>
                  <w:r>
                    <w:rPr>
                      <w:rFonts w:hint="eastAsia"/>
                      <w:color w:val="auto"/>
                      <w:highlight w:val="none"/>
                      <w:lang w:val="en-US" w:eastAsia="zh-CN"/>
                    </w:rPr>
                    <w:t>59</w:t>
                  </w:r>
                </w:p>
              </w:tc>
              <w:tc>
                <w:tcPr>
                  <w:tcW w:w="1276" w:type="dxa"/>
                  <w:tcBorders>
                    <w:tl2br w:val="nil"/>
                    <w:tr2bl w:val="nil"/>
                  </w:tcBorders>
                  <w:noWrap w:val="0"/>
                  <w:vAlign w:val="center"/>
                </w:tcPr>
                <w:p w14:paraId="425E4C2F">
                  <w:pPr>
                    <w:jc w:val="center"/>
                    <w:rPr>
                      <w:color w:val="auto"/>
                      <w:highlight w:val="none"/>
                    </w:rPr>
                  </w:pPr>
                  <w:r>
                    <w:rPr>
                      <w:color w:val="auto"/>
                      <w:highlight w:val="none"/>
                    </w:rPr>
                    <w:t>35</w:t>
                  </w:r>
                </w:p>
              </w:tc>
              <w:tc>
                <w:tcPr>
                  <w:tcW w:w="949" w:type="dxa"/>
                  <w:tcBorders>
                    <w:tl2br w:val="nil"/>
                    <w:tr2bl w:val="nil"/>
                  </w:tcBorders>
                  <w:noWrap w:val="0"/>
                  <w:vAlign w:val="center"/>
                </w:tcPr>
                <w:p w14:paraId="5473C114">
                  <w:pPr>
                    <w:jc w:val="center"/>
                    <w:rPr>
                      <w:rFonts w:hint="eastAsia" w:eastAsia="宋体"/>
                      <w:color w:val="auto"/>
                      <w:highlight w:val="none"/>
                      <w:lang w:eastAsia="zh-CN"/>
                    </w:rPr>
                  </w:pPr>
                  <w:r>
                    <w:rPr>
                      <w:color w:val="auto"/>
                      <w:highlight w:val="none"/>
                    </w:rPr>
                    <w:t>16</w:t>
                  </w:r>
                  <w:r>
                    <w:rPr>
                      <w:rFonts w:hint="eastAsia"/>
                      <w:color w:val="auto"/>
                      <w:highlight w:val="none"/>
                      <w:lang w:val="en-US" w:eastAsia="zh-CN"/>
                    </w:rPr>
                    <w:t>8</w:t>
                  </w:r>
                  <w:r>
                    <w:rPr>
                      <w:color w:val="auto"/>
                      <w:highlight w:val="none"/>
                    </w:rPr>
                    <w:t>.</w:t>
                  </w:r>
                  <w:r>
                    <w:rPr>
                      <w:rFonts w:hint="eastAsia"/>
                      <w:color w:val="auto"/>
                      <w:highlight w:val="none"/>
                      <w:lang w:val="en-US" w:eastAsia="zh-CN"/>
                    </w:rPr>
                    <w:t>6</w:t>
                  </w:r>
                </w:p>
              </w:tc>
              <w:tc>
                <w:tcPr>
                  <w:tcW w:w="696" w:type="dxa"/>
                  <w:tcBorders>
                    <w:tl2br w:val="nil"/>
                    <w:tr2bl w:val="nil"/>
                  </w:tcBorders>
                  <w:noWrap w:val="0"/>
                  <w:vAlign w:val="center"/>
                </w:tcPr>
                <w:p w14:paraId="25D7CC90">
                  <w:pPr>
                    <w:jc w:val="center"/>
                    <w:rPr>
                      <w:color w:val="auto"/>
                      <w:highlight w:val="none"/>
                    </w:rPr>
                  </w:pPr>
                  <w:r>
                    <w:rPr>
                      <w:color w:val="auto"/>
                      <w:highlight w:val="none"/>
                    </w:rPr>
                    <w:t>超标</w:t>
                  </w:r>
                </w:p>
              </w:tc>
            </w:tr>
            <w:tr w14:paraId="43D14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69E9B0BF">
                  <w:pPr>
                    <w:jc w:val="center"/>
                    <w:rPr>
                      <w:color w:val="auto"/>
                      <w:highlight w:val="none"/>
                    </w:rPr>
                  </w:pPr>
                  <w:r>
                    <w:rPr>
                      <w:color w:val="auto"/>
                      <w:highlight w:val="none"/>
                    </w:rPr>
                    <w:t>PM</w:t>
                  </w:r>
                  <w:r>
                    <w:rPr>
                      <w:color w:val="auto"/>
                      <w:highlight w:val="none"/>
                      <w:vertAlign w:val="subscript"/>
                    </w:rPr>
                    <w:t>10</w:t>
                  </w:r>
                </w:p>
              </w:tc>
              <w:tc>
                <w:tcPr>
                  <w:tcW w:w="2949" w:type="dxa"/>
                  <w:tcBorders>
                    <w:tl2br w:val="nil"/>
                    <w:tr2bl w:val="nil"/>
                  </w:tcBorders>
                  <w:noWrap w:val="0"/>
                  <w:vAlign w:val="center"/>
                </w:tcPr>
                <w:p w14:paraId="6A7121DB">
                  <w:pPr>
                    <w:jc w:val="center"/>
                    <w:rPr>
                      <w:color w:val="auto"/>
                      <w:highlight w:val="none"/>
                    </w:rPr>
                  </w:pPr>
                  <w:r>
                    <w:rPr>
                      <w:color w:val="auto"/>
                      <w:highlight w:val="none"/>
                    </w:rPr>
                    <w:t>年平均质量浓度</w:t>
                  </w:r>
                </w:p>
              </w:tc>
              <w:tc>
                <w:tcPr>
                  <w:tcW w:w="1276" w:type="dxa"/>
                  <w:tcBorders>
                    <w:tl2br w:val="nil"/>
                    <w:tr2bl w:val="nil"/>
                  </w:tcBorders>
                  <w:noWrap w:val="0"/>
                  <w:vAlign w:val="center"/>
                </w:tcPr>
                <w:p w14:paraId="5505C472">
                  <w:pPr>
                    <w:jc w:val="center"/>
                    <w:rPr>
                      <w:rFonts w:hint="default" w:eastAsia="宋体"/>
                      <w:color w:val="auto"/>
                      <w:highlight w:val="none"/>
                      <w:lang w:val="en-US" w:eastAsia="zh-CN"/>
                    </w:rPr>
                  </w:pPr>
                  <w:r>
                    <w:rPr>
                      <w:rFonts w:hint="eastAsia"/>
                      <w:color w:val="auto"/>
                      <w:highlight w:val="none"/>
                      <w:lang w:val="en-US" w:eastAsia="zh-CN"/>
                    </w:rPr>
                    <w:t>93</w:t>
                  </w:r>
                </w:p>
              </w:tc>
              <w:tc>
                <w:tcPr>
                  <w:tcW w:w="1276" w:type="dxa"/>
                  <w:tcBorders>
                    <w:tl2br w:val="nil"/>
                    <w:tr2bl w:val="nil"/>
                  </w:tcBorders>
                  <w:noWrap w:val="0"/>
                  <w:vAlign w:val="center"/>
                </w:tcPr>
                <w:p w14:paraId="3FEA385B">
                  <w:pPr>
                    <w:jc w:val="center"/>
                    <w:rPr>
                      <w:color w:val="auto"/>
                      <w:highlight w:val="none"/>
                    </w:rPr>
                  </w:pPr>
                  <w:r>
                    <w:rPr>
                      <w:color w:val="auto"/>
                      <w:highlight w:val="none"/>
                    </w:rPr>
                    <w:t>70</w:t>
                  </w:r>
                </w:p>
              </w:tc>
              <w:tc>
                <w:tcPr>
                  <w:tcW w:w="949" w:type="dxa"/>
                  <w:tcBorders>
                    <w:tl2br w:val="nil"/>
                    <w:tr2bl w:val="nil"/>
                  </w:tcBorders>
                  <w:noWrap w:val="0"/>
                  <w:vAlign w:val="center"/>
                </w:tcPr>
                <w:p w14:paraId="076C444F">
                  <w:pPr>
                    <w:jc w:val="center"/>
                    <w:rPr>
                      <w:rFonts w:hint="eastAsia" w:eastAsia="宋体"/>
                      <w:color w:val="auto"/>
                      <w:highlight w:val="none"/>
                      <w:lang w:val="en-US" w:eastAsia="zh-CN"/>
                    </w:rPr>
                  </w:pPr>
                  <w:r>
                    <w:rPr>
                      <w:color w:val="auto"/>
                      <w:highlight w:val="none"/>
                    </w:rPr>
                    <w:t>13</w:t>
                  </w:r>
                  <w:r>
                    <w:rPr>
                      <w:rFonts w:hint="eastAsia"/>
                      <w:color w:val="auto"/>
                      <w:highlight w:val="none"/>
                      <w:lang w:val="en-US" w:eastAsia="zh-CN"/>
                    </w:rPr>
                    <w:t>2</w:t>
                  </w:r>
                  <w:r>
                    <w:rPr>
                      <w:color w:val="auto"/>
                      <w:highlight w:val="none"/>
                    </w:rPr>
                    <w:t>.</w:t>
                  </w:r>
                  <w:r>
                    <w:rPr>
                      <w:rFonts w:hint="eastAsia"/>
                      <w:color w:val="auto"/>
                      <w:highlight w:val="none"/>
                      <w:lang w:val="en-US" w:eastAsia="zh-CN"/>
                    </w:rPr>
                    <w:t>9</w:t>
                  </w:r>
                </w:p>
              </w:tc>
              <w:tc>
                <w:tcPr>
                  <w:tcW w:w="696" w:type="dxa"/>
                  <w:tcBorders>
                    <w:tl2br w:val="nil"/>
                    <w:tr2bl w:val="nil"/>
                  </w:tcBorders>
                  <w:noWrap w:val="0"/>
                  <w:vAlign w:val="center"/>
                </w:tcPr>
                <w:p w14:paraId="5FF8A634">
                  <w:pPr>
                    <w:jc w:val="center"/>
                    <w:rPr>
                      <w:color w:val="auto"/>
                      <w:highlight w:val="none"/>
                    </w:rPr>
                  </w:pPr>
                  <w:r>
                    <w:rPr>
                      <w:color w:val="auto"/>
                      <w:highlight w:val="none"/>
                    </w:rPr>
                    <w:t>超标</w:t>
                  </w:r>
                </w:p>
              </w:tc>
            </w:tr>
            <w:tr w14:paraId="4A0FC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1A942986">
                  <w:pPr>
                    <w:jc w:val="center"/>
                    <w:rPr>
                      <w:color w:val="auto"/>
                      <w:highlight w:val="none"/>
                    </w:rPr>
                  </w:pPr>
                  <w:r>
                    <w:rPr>
                      <w:color w:val="auto"/>
                      <w:highlight w:val="none"/>
                    </w:rPr>
                    <w:t>SO</w:t>
                  </w:r>
                  <w:r>
                    <w:rPr>
                      <w:color w:val="auto"/>
                      <w:highlight w:val="none"/>
                      <w:vertAlign w:val="subscript"/>
                    </w:rPr>
                    <w:t>2</w:t>
                  </w:r>
                </w:p>
              </w:tc>
              <w:tc>
                <w:tcPr>
                  <w:tcW w:w="2949" w:type="dxa"/>
                  <w:tcBorders>
                    <w:tl2br w:val="nil"/>
                    <w:tr2bl w:val="nil"/>
                  </w:tcBorders>
                  <w:noWrap w:val="0"/>
                  <w:vAlign w:val="center"/>
                </w:tcPr>
                <w:p w14:paraId="72670EDF">
                  <w:pPr>
                    <w:jc w:val="center"/>
                    <w:rPr>
                      <w:color w:val="auto"/>
                      <w:highlight w:val="none"/>
                    </w:rPr>
                  </w:pPr>
                  <w:r>
                    <w:rPr>
                      <w:color w:val="auto"/>
                      <w:highlight w:val="none"/>
                    </w:rPr>
                    <w:t>年平均质量浓度</w:t>
                  </w:r>
                </w:p>
              </w:tc>
              <w:tc>
                <w:tcPr>
                  <w:tcW w:w="1276" w:type="dxa"/>
                  <w:tcBorders>
                    <w:tl2br w:val="nil"/>
                    <w:tr2bl w:val="nil"/>
                  </w:tcBorders>
                  <w:noWrap w:val="0"/>
                  <w:vAlign w:val="center"/>
                </w:tcPr>
                <w:p w14:paraId="12D1D1AC">
                  <w:pPr>
                    <w:jc w:val="center"/>
                    <w:rPr>
                      <w:rFonts w:hint="eastAsia" w:eastAsia="宋体"/>
                      <w:color w:val="auto"/>
                      <w:highlight w:val="none"/>
                      <w:lang w:eastAsia="zh-CN"/>
                    </w:rPr>
                  </w:pPr>
                  <w:r>
                    <w:rPr>
                      <w:rFonts w:hint="eastAsia"/>
                      <w:color w:val="auto"/>
                      <w:highlight w:val="none"/>
                      <w:lang w:val="en-US" w:eastAsia="zh-CN"/>
                    </w:rPr>
                    <w:t>7</w:t>
                  </w:r>
                </w:p>
              </w:tc>
              <w:tc>
                <w:tcPr>
                  <w:tcW w:w="1276" w:type="dxa"/>
                  <w:tcBorders>
                    <w:tl2br w:val="nil"/>
                    <w:tr2bl w:val="nil"/>
                  </w:tcBorders>
                  <w:noWrap w:val="0"/>
                  <w:vAlign w:val="center"/>
                </w:tcPr>
                <w:p w14:paraId="4EFABCBE">
                  <w:pPr>
                    <w:jc w:val="center"/>
                    <w:rPr>
                      <w:color w:val="auto"/>
                      <w:highlight w:val="none"/>
                    </w:rPr>
                  </w:pPr>
                  <w:r>
                    <w:rPr>
                      <w:color w:val="auto"/>
                      <w:highlight w:val="none"/>
                    </w:rPr>
                    <w:t>60</w:t>
                  </w:r>
                </w:p>
              </w:tc>
              <w:tc>
                <w:tcPr>
                  <w:tcW w:w="949" w:type="dxa"/>
                  <w:tcBorders>
                    <w:tl2br w:val="nil"/>
                    <w:tr2bl w:val="nil"/>
                  </w:tcBorders>
                  <w:noWrap w:val="0"/>
                  <w:vAlign w:val="center"/>
                </w:tcPr>
                <w:p w14:paraId="67D4B3E9">
                  <w:pPr>
                    <w:jc w:val="center"/>
                    <w:rPr>
                      <w:rFonts w:hint="eastAsia" w:eastAsia="宋体"/>
                      <w:color w:val="auto"/>
                      <w:highlight w:val="none"/>
                      <w:lang w:eastAsia="zh-CN"/>
                    </w:rPr>
                  </w:pPr>
                  <w:r>
                    <w:rPr>
                      <w:color w:val="auto"/>
                      <w:highlight w:val="none"/>
                    </w:rPr>
                    <w:t>1</w:t>
                  </w:r>
                  <w:r>
                    <w:rPr>
                      <w:rFonts w:hint="eastAsia"/>
                      <w:color w:val="auto"/>
                      <w:highlight w:val="none"/>
                      <w:lang w:val="en-US" w:eastAsia="zh-CN"/>
                    </w:rPr>
                    <w:t>1</w:t>
                  </w:r>
                  <w:r>
                    <w:rPr>
                      <w:color w:val="auto"/>
                      <w:highlight w:val="none"/>
                    </w:rPr>
                    <w:t>.</w:t>
                  </w:r>
                  <w:r>
                    <w:rPr>
                      <w:rFonts w:hint="eastAsia"/>
                      <w:color w:val="auto"/>
                      <w:highlight w:val="none"/>
                      <w:lang w:val="en-US" w:eastAsia="zh-CN"/>
                    </w:rPr>
                    <w:t>7</w:t>
                  </w:r>
                </w:p>
              </w:tc>
              <w:tc>
                <w:tcPr>
                  <w:tcW w:w="696" w:type="dxa"/>
                  <w:tcBorders>
                    <w:tl2br w:val="nil"/>
                    <w:tr2bl w:val="nil"/>
                  </w:tcBorders>
                  <w:noWrap w:val="0"/>
                  <w:vAlign w:val="center"/>
                </w:tcPr>
                <w:p w14:paraId="71D05B8E">
                  <w:pPr>
                    <w:jc w:val="center"/>
                    <w:rPr>
                      <w:color w:val="auto"/>
                      <w:highlight w:val="none"/>
                    </w:rPr>
                  </w:pPr>
                  <w:r>
                    <w:rPr>
                      <w:color w:val="auto"/>
                      <w:highlight w:val="none"/>
                    </w:rPr>
                    <w:t>达标</w:t>
                  </w:r>
                </w:p>
              </w:tc>
            </w:tr>
            <w:tr w14:paraId="7CC2A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1B94D1BC">
                  <w:pPr>
                    <w:jc w:val="center"/>
                    <w:rPr>
                      <w:color w:val="auto"/>
                      <w:highlight w:val="none"/>
                    </w:rPr>
                  </w:pPr>
                  <w:r>
                    <w:rPr>
                      <w:color w:val="auto"/>
                      <w:highlight w:val="none"/>
                    </w:rPr>
                    <w:t>NO</w:t>
                  </w:r>
                  <w:r>
                    <w:rPr>
                      <w:color w:val="auto"/>
                      <w:highlight w:val="none"/>
                      <w:vertAlign w:val="subscript"/>
                    </w:rPr>
                    <w:t>2</w:t>
                  </w:r>
                </w:p>
              </w:tc>
              <w:tc>
                <w:tcPr>
                  <w:tcW w:w="2949" w:type="dxa"/>
                  <w:tcBorders>
                    <w:tl2br w:val="nil"/>
                    <w:tr2bl w:val="nil"/>
                  </w:tcBorders>
                  <w:noWrap w:val="0"/>
                  <w:vAlign w:val="center"/>
                </w:tcPr>
                <w:p w14:paraId="32402878">
                  <w:pPr>
                    <w:jc w:val="center"/>
                    <w:rPr>
                      <w:color w:val="auto"/>
                      <w:highlight w:val="none"/>
                    </w:rPr>
                  </w:pPr>
                  <w:r>
                    <w:rPr>
                      <w:color w:val="auto"/>
                      <w:highlight w:val="none"/>
                    </w:rPr>
                    <w:t>年平均质量浓度</w:t>
                  </w:r>
                </w:p>
              </w:tc>
              <w:tc>
                <w:tcPr>
                  <w:tcW w:w="1276" w:type="dxa"/>
                  <w:tcBorders>
                    <w:tl2br w:val="nil"/>
                    <w:tr2bl w:val="nil"/>
                  </w:tcBorders>
                  <w:noWrap w:val="0"/>
                  <w:vAlign w:val="center"/>
                </w:tcPr>
                <w:p w14:paraId="01EF8EAB">
                  <w:pPr>
                    <w:jc w:val="center"/>
                    <w:rPr>
                      <w:rFonts w:hint="default"/>
                      <w:color w:val="auto"/>
                      <w:highlight w:val="none"/>
                      <w:lang w:val="en-US"/>
                    </w:rPr>
                  </w:pPr>
                  <w:r>
                    <w:rPr>
                      <w:rFonts w:hint="eastAsia"/>
                      <w:color w:val="auto"/>
                      <w:highlight w:val="none"/>
                      <w:lang w:val="en-US" w:eastAsia="zh-CN"/>
                    </w:rPr>
                    <w:t>45</w:t>
                  </w:r>
                </w:p>
              </w:tc>
              <w:tc>
                <w:tcPr>
                  <w:tcW w:w="1276" w:type="dxa"/>
                  <w:tcBorders>
                    <w:tl2br w:val="nil"/>
                    <w:tr2bl w:val="nil"/>
                  </w:tcBorders>
                  <w:noWrap w:val="0"/>
                  <w:vAlign w:val="center"/>
                </w:tcPr>
                <w:p w14:paraId="6E91A46C">
                  <w:pPr>
                    <w:jc w:val="center"/>
                    <w:rPr>
                      <w:color w:val="auto"/>
                      <w:highlight w:val="none"/>
                    </w:rPr>
                  </w:pPr>
                  <w:r>
                    <w:rPr>
                      <w:color w:val="auto"/>
                      <w:highlight w:val="none"/>
                    </w:rPr>
                    <w:t>40</w:t>
                  </w:r>
                </w:p>
              </w:tc>
              <w:tc>
                <w:tcPr>
                  <w:tcW w:w="949" w:type="dxa"/>
                  <w:tcBorders>
                    <w:tl2br w:val="nil"/>
                    <w:tr2bl w:val="nil"/>
                  </w:tcBorders>
                  <w:noWrap w:val="0"/>
                  <w:vAlign w:val="center"/>
                </w:tcPr>
                <w:p w14:paraId="0C386439">
                  <w:pPr>
                    <w:jc w:val="center"/>
                    <w:rPr>
                      <w:color w:val="auto"/>
                      <w:highlight w:val="none"/>
                    </w:rPr>
                  </w:pPr>
                  <w:r>
                    <w:rPr>
                      <w:rFonts w:hint="eastAsia"/>
                      <w:color w:val="auto"/>
                      <w:highlight w:val="none"/>
                      <w:lang w:val="en-US" w:eastAsia="zh-CN"/>
                    </w:rPr>
                    <w:t>112</w:t>
                  </w:r>
                  <w:r>
                    <w:rPr>
                      <w:color w:val="auto"/>
                      <w:highlight w:val="none"/>
                    </w:rPr>
                    <w:t>.5</w:t>
                  </w:r>
                </w:p>
              </w:tc>
              <w:tc>
                <w:tcPr>
                  <w:tcW w:w="696" w:type="dxa"/>
                  <w:tcBorders>
                    <w:tl2br w:val="nil"/>
                    <w:tr2bl w:val="nil"/>
                  </w:tcBorders>
                  <w:noWrap w:val="0"/>
                  <w:vAlign w:val="center"/>
                </w:tcPr>
                <w:p w14:paraId="3D1D582A">
                  <w:pPr>
                    <w:jc w:val="center"/>
                    <w:rPr>
                      <w:color w:val="auto"/>
                      <w:highlight w:val="none"/>
                    </w:rPr>
                  </w:pPr>
                  <w:r>
                    <w:rPr>
                      <w:rFonts w:hint="eastAsia"/>
                      <w:color w:val="auto"/>
                      <w:highlight w:val="none"/>
                      <w:lang w:val="en-US" w:eastAsia="zh-CN"/>
                    </w:rPr>
                    <w:t>超</w:t>
                  </w:r>
                  <w:r>
                    <w:rPr>
                      <w:color w:val="auto"/>
                      <w:highlight w:val="none"/>
                    </w:rPr>
                    <w:t>标</w:t>
                  </w:r>
                </w:p>
              </w:tc>
            </w:tr>
            <w:tr w14:paraId="7D082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655CB133">
                  <w:pPr>
                    <w:jc w:val="center"/>
                    <w:rPr>
                      <w:color w:val="auto"/>
                      <w:highlight w:val="none"/>
                    </w:rPr>
                  </w:pPr>
                  <w:r>
                    <w:rPr>
                      <w:color w:val="auto"/>
                      <w:highlight w:val="none"/>
                    </w:rPr>
                    <w:t>CO</w:t>
                  </w:r>
                </w:p>
              </w:tc>
              <w:tc>
                <w:tcPr>
                  <w:tcW w:w="2949" w:type="dxa"/>
                  <w:tcBorders>
                    <w:tl2br w:val="nil"/>
                    <w:tr2bl w:val="nil"/>
                  </w:tcBorders>
                  <w:noWrap w:val="0"/>
                  <w:vAlign w:val="center"/>
                </w:tcPr>
                <w:p w14:paraId="29EEB4F5">
                  <w:pPr>
                    <w:jc w:val="center"/>
                    <w:rPr>
                      <w:color w:val="auto"/>
                      <w:highlight w:val="none"/>
                    </w:rPr>
                  </w:pPr>
                  <w:r>
                    <w:rPr>
                      <w:color w:val="auto"/>
                      <w:highlight w:val="none"/>
                    </w:rPr>
                    <w:t>24小时平均第95百分位数的浓度</w:t>
                  </w:r>
                </w:p>
              </w:tc>
              <w:tc>
                <w:tcPr>
                  <w:tcW w:w="1276" w:type="dxa"/>
                  <w:tcBorders>
                    <w:tl2br w:val="nil"/>
                    <w:tr2bl w:val="nil"/>
                  </w:tcBorders>
                  <w:noWrap w:val="0"/>
                  <w:vAlign w:val="center"/>
                </w:tcPr>
                <w:p w14:paraId="7BB61719">
                  <w:pPr>
                    <w:jc w:val="center"/>
                    <w:rPr>
                      <w:rFonts w:hint="default" w:eastAsia="宋体"/>
                      <w:color w:val="auto"/>
                      <w:highlight w:val="none"/>
                      <w:lang w:val="en-US" w:eastAsia="zh-CN"/>
                    </w:rPr>
                  </w:pPr>
                  <w:r>
                    <w:rPr>
                      <w:rFonts w:hint="eastAsia"/>
                      <w:color w:val="auto"/>
                      <w:highlight w:val="none"/>
                      <w:lang w:val="en-US" w:eastAsia="zh-CN"/>
                    </w:rPr>
                    <w:t>1000</w:t>
                  </w:r>
                </w:p>
              </w:tc>
              <w:tc>
                <w:tcPr>
                  <w:tcW w:w="1276" w:type="dxa"/>
                  <w:tcBorders>
                    <w:tl2br w:val="nil"/>
                    <w:tr2bl w:val="nil"/>
                  </w:tcBorders>
                  <w:noWrap w:val="0"/>
                  <w:vAlign w:val="center"/>
                </w:tcPr>
                <w:p w14:paraId="304275AD">
                  <w:pPr>
                    <w:jc w:val="center"/>
                    <w:rPr>
                      <w:color w:val="auto"/>
                      <w:highlight w:val="none"/>
                    </w:rPr>
                  </w:pPr>
                  <w:r>
                    <w:rPr>
                      <w:color w:val="auto"/>
                      <w:highlight w:val="none"/>
                    </w:rPr>
                    <w:t>4000</w:t>
                  </w:r>
                </w:p>
              </w:tc>
              <w:tc>
                <w:tcPr>
                  <w:tcW w:w="949" w:type="dxa"/>
                  <w:tcBorders>
                    <w:tl2br w:val="nil"/>
                    <w:tr2bl w:val="nil"/>
                  </w:tcBorders>
                  <w:noWrap w:val="0"/>
                  <w:vAlign w:val="center"/>
                </w:tcPr>
                <w:p w14:paraId="64832D3D">
                  <w:pPr>
                    <w:jc w:val="center"/>
                    <w:rPr>
                      <w:color w:val="auto"/>
                      <w:highlight w:val="none"/>
                    </w:rPr>
                  </w:pPr>
                  <w:r>
                    <w:rPr>
                      <w:rFonts w:hint="eastAsia"/>
                      <w:color w:val="auto"/>
                      <w:highlight w:val="none"/>
                      <w:lang w:val="en-US" w:eastAsia="zh-CN"/>
                    </w:rPr>
                    <w:t>25</w:t>
                  </w:r>
                  <w:r>
                    <w:rPr>
                      <w:color w:val="auto"/>
                      <w:highlight w:val="none"/>
                    </w:rPr>
                    <w:t>.0</w:t>
                  </w:r>
                </w:p>
              </w:tc>
              <w:tc>
                <w:tcPr>
                  <w:tcW w:w="696" w:type="dxa"/>
                  <w:tcBorders>
                    <w:tl2br w:val="nil"/>
                    <w:tr2bl w:val="nil"/>
                  </w:tcBorders>
                  <w:noWrap w:val="0"/>
                  <w:vAlign w:val="center"/>
                </w:tcPr>
                <w:p w14:paraId="6DE23CAE">
                  <w:pPr>
                    <w:jc w:val="center"/>
                    <w:rPr>
                      <w:color w:val="auto"/>
                      <w:highlight w:val="none"/>
                    </w:rPr>
                  </w:pPr>
                  <w:r>
                    <w:rPr>
                      <w:color w:val="auto"/>
                      <w:highlight w:val="none"/>
                    </w:rPr>
                    <w:t>达标</w:t>
                  </w:r>
                </w:p>
              </w:tc>
            </w:tr>
            <w:tr w14:paraId="1430E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 w:type="dxa"/>
                  <w:tcBorders>
                    <w:tl2br w:val="nil"/>
                    <w:tr2bl w:val="nil"/>
                  </w:tcBorders>
                  <w:noWrap w:val="0"/>
                  <w:vAlign w:val="center"/>
                </w:tcPr>
                <w:p w14:paraId="35FB2001">
                  <w:pPr>
                    <w:jc w:val="center"/>
                    <w:rPr>
                      <w:color w:val="auto"/>
                      <w:highlight w:val="none"/>
                    </w:rPr>
                  </w:pPr>
                  <w:r>
                    <w:rPr>
                      <w:color w:val="auto"/>
                      <w:highlight w:val="none"/>
                    </w:rPr>
                    <w:t>O</w:t>
                  </w:r>
                  <w:r>
                    <w:rPr>
                      <w:color w:val="auto"/>
                      <w:highlight w:val="none"/>
                      <w:vertAlign w:val="subscript"/>
                    </w:rPr>
                    <w:t>3</w:t>
                  </w:r>
                </w:p>
              </w:tc>
              <w:tc>
                <w:tcPr>
                  <w:tcW w:w="2949" w:type="dxa"/>
                  <w:tcBorders>
                    <w:tl2br w:val="nil"/>
                    <w:tr2bl w:val="nil"/>
                  </w:tcBorders>
                  <w:noWrap w:val="0"/>
                  <w:vAlign w:val="center"/>
                </w:tcPr>
                <w:p w14:paraId="017A8218">
                  <w:pPr>
                    <w:jc w:val="center"/>
                    <w:rPr>
                      <w:color w:val="auto"/>
                      <w:highlight w:val="none"/>
                    </w:rPr>
                  </w:pPr>
                  <w:r>
                    <w:rPr>
                      <w:color w:val="auto"/>
                      <w:highlight w:val="none"/>
                    </w:rPr>
                    <w:t>8小时平均第90百分位数的浓度</w:t>
                  </w:r>
                </w:p>
              </w:tc>
              <w:tc>
                <w:tcPr>
                  <w:tcW w:w="1276" w:type="dxa"/>
                  <w:tcBorders>
                    <w:tl2br w:val="nil"/>
                    <w:tr2bl w:val="nil"/>
                  </w:tcBorders>
                  <w:noWrap w:val="0"/>
                  <w:vAlign w:val="center"/>
                </w:tcPr>
                <w:p w14:paraId="009C9928">
                  <w:pPr>
                    <w:jc w:val="center"/>
                    <w:rPr>
                      <w:rFonts w:hint="default" w:eastAsia="宋体"/>
                      <w:color w:val="auto"/>
                      <w:highlight w:val="none"/>
                      <w:lang w:val="en-US" w:eastAsia="zh-CN"/>
                    </w:rPr>
                  </w:pPr>
                  <w:r>
                    <w:rPr>
                      <w:rFonts w:hint="eastAsia"/>
                      <w:color w:val="auto"/>
                      <w:highlight w:val="none"/>
                      <w:lang w:val="en-US" w:eastAsia="zh-CN"/>
                    </w:rPr>
                    <w:t>67</w:t>
                  </w:r>
                </w:p>
              </w:tc>
              <w:tc>
                <w:tcPr>
                  <w:tcW w:w="1276" w:type="dxa"/>
                  <w:tcBorders>
                    <w:tl2br w:val="nil"/>
                    <w:tr2bl w:val="nil"/>
                  </w:tcBorders>
                  <w:noWrap w:val="0"/>
                  <w:vAlign w:val="center"/>
                </w:tcPr>
                <w:p w14:paraId="65F2FA26">
                  <w:pPr>
                    <w:jc w:val="center"/>
                    <w:rPr>
                      <w:color w:val="auto"/>
                      <w:highlight w:val="none"/>
                    </w:rPr>
                  </w:pPr>
                  <w:r>
                    <w:rPr>
                      <w:color w:val="auto"/>
                      <w:highlight w:val="none"/>
                    </w:rPr>
                    <w:t>160</w:t>
                  </w:r>
                </w:p>
              </w:tc>
              <w:tc>
                <w:tcPr>
                  <w:tcW w:w="949" w:type="dxa"/>
                  <w:tcBorders>
                    <w:tl2br w:val="nil"/>
                    <w:tr2bl w:val="nil"/>
                  </w:tcBorders>
                  <w:noWrap w:val="0"/>
                  <w:vAlign w:val="center"/>
                </w:tcPr>
                <w:p w14:paraId="29FD022B">
                  <w:pPr>
                    <w:jc w:val="center"/>
                    <w:rPr>
                      <w:rFonts w:hint="default" w:eastAsia="宋体"/>
                      <w:color w:val="auto"/>
                      <w:highlight w:val="none"/>
                      <w:lang w:val="en-US" w:eastAsia="zh-CN"/>
                    </w:rPr>
                  </w:pPr>
                  <w:r>
                    <w:rPr>
                      <w:rFonts w:hint="eastAsia"/>
                      <w:color w:val="auto"/>
                      <w:highlight w:val="none"/>
                      <w:lang w:val="en-US" w:eastAsia="zh-CN"/>
                    </w:rPr>
                    <w:t>41.9</w:t>
                  </w:r>
                </w:p>
              </w:tc>
              <w:tc>
                <w:tcPr>
                  <w:tcW w:w="696" w:type="dxa"/>
                  <w:tcBorders>
                    <w:tl2br w:val="nil"/>
                    <w:tr2bl w:val="nil"/>
                  </w:tcBorders>
                  <w:noWrap w:val="0"/>
                  <w:vAlign w:val="center"/>
                </w:tcPr>
                <w:p w14:paraId="593D52A9">
                  <w:pPr>
                    <w:jc w:val="center"/>
                    <w:rPr>
                      <w:color w:val="auto"/>
                      <w:highlight w:val="none"/>
                    </w:rPr>
                  </w:pPr>
                  <w:r>
                    <w:rPr>
                      <w:rFonts w:hint="eastAsia"/>
                      <w:color w:val="auto"/>
                      <w:highlight w:val="none"/>
                      <w:lang w:val="en-US" w:eastAsia="zh-CN"/>
                    </w:rPr>
                    <w:t>达</w:t>
                  </w:r>
                  <w:r>
                    <w:rPr>
                      <w:color w:val="auto"/>
                      <w:highlight w:val="none"/>
                    </w:rPr>
                    <w:t>标</w:t>
                  </w:r>
                </w:p>
              </w:tc>
            </w:tr>
          </w:tbl>
          <w:p w14:paraId="7E66D4F9">
            <w:pPr>
              <w:adjustRightInd w:val="0"/>
              <w:snapToGrid w:val="0"/>
              <w:spacing w:before="120" w:beforeLines="50" w:line="360" w:lineRule="auto"/>
              <w:ind w:firstLine="480" w:firstLineChars="200"/>
              <w:jc w:val="left"/>
              <w:rPr>
                <w:color w:val="auto"/>
                <w:sz w:val="24"/>
                <w:highlight w:val="none"/>
              </w:rPr>
            </w:pPr>
            <w:r>
              <w:rPr>
                <w:color w:val="auto"/>
                <w:sz w:val="24"/>
                <w:highlight w:val="none"/>
              </w:rPr>
              <w:t>从上表中可以看出，</w:t>
            </w:r>
            <w:r>
              <w:rPr>
                <w:rFonts w:hint="eastAsia"/>
                <w:color w:val="auto"/>
                <w:sz w:val="24"/>
                <w:highlight w:val="none"/>
                <w:lang w:val="en-US" w:eastAsia="zh-CN"/>
              </w:rPr>
              <w:t>评价区域</w:t>
            </w:r>
            <w:r>
              <w:rPr>
                <w:color w:val="auto"/>
                <w:sz w:val="24"/>
                <w:highlight w:val="none"/>
              </w:rPr>
              <w:t>PM</w:t>
            </w:r>
            <w:r>
              <w:rPr>
                <w:color w:val="auto"/>
                <w:sz w:val="24"/>
                <w:highlight w:val="none"/>
                <w:vertAlign w:val="subscript"/>
              </w:rPr>
              <w:t>2.5</w:t>
            </w:r>
            <w:r>
              <w:rPr>
                <w:color w:val="auto"/>
                <w:sz w:val="24"/>
                <w:highlight w:val="none"/>
              </w:rPr>
              <w:t>、PM</w:t>
            </w:r>
            <w:r>
              <w:rPr>
                <w:color w:val="auto"/>
                <w:sz w:val="24"/>
                <w:highlight w:val="none"/>
                <w:vertAlign w:val="subscript"/>
              </w:rPr>
              <w:t>10</w:t>
            </w:r>
            <w:r>
              <w:rPr>
                <w:color w:val="auto"/>
                <w:sz w:val="24"/>
                <w:highlight w:val="none"/>
              </w:rPr>
              <w:t>、</w:t>
            </w:r>
            <w:r>
              <w:rPr>
                <w:rFonts w:hint="eastAsia"/>
                <w:color w:val="auto"/>
                <w:sz w:val="24"/>
                <w:highlight w:val="none"/>
              </w:rPr>
              <w:t>NO</w:t>
            </w:r>
            <w:r>
              <w:rPr>
                <w:rFonts w:hint="eastAsia"/>
                <w:color w:val="auto"/>
                <w:sz w:val="24"/>
                <w:highlight w:val="none"/>
                <w:vertAlign w:val="subscript"/>
              </w:rPr>
              <w:t>2</w:t>
            </w:r>
            <w:r>
              <w:rPr>
                <w:color w:val="auto"/>
                <w:sz w:val="24"/>
                <w:highlight w:val="none"/>
              </w:rPr>
              <w:t>的年平均质量浓度不满足《环境空气质量标准》（GB3095-2012）中二级标准，</w:t>
            </w:r>
            <w:r>
              <w:rPr>
                <w:rFonts w:hint="eastAsia"/>
                <w:color w:val="auto"/>
                <w:sz w:val="24"/>
                <w:highlight w:val="none"/>
              </w:rPr>
              <w:t>SO</w:t>
            </w:r>
            <w:r>
              <w:rPr>
                <w:rFonts w:hint="eastAsia"/>
                <w:color w:val="auto"/>
                <w:sz w:val="24"/>
                <w:highlight w:val="none"/>
                <w:vertAlign w:val="subscript"/>
              </w:rPr>
              <w:t>2</w:t>
            </w:r>
            <w:r>
              <w:rPr>
                <w:rFonts w:hint="eastAsia"/>
                <w:color w:val="auto"/>
                <w:sz w:val="24"/>
                <w:highlight w:val="none"/>
              </w:rPr>
              <w:t>年平均质量浓度、CO第95百分位数日平均质量浓度、O3第90百分位数均满足《环境空气质量标准》（GB3095-2012）及其修改单中二类标准限值的要求</w:t>
            </w:r>
            <w:r>
              <w:rPr>
                <w:color w:val="auto"/>
                <w:sz w:val="24"/>
                <w:highlight w:val="none"/>
              </w:rPr>
              <w:t>。</w:t>
            </w:r>
          </w:p>
          <w:p w14:paraId="0252B416">
            <w:pPr>
              <w:adjustRightInd w:val="0"/>
              <w:snapToGrid w:val="0"/>
              <w:spacing w:line="360" w:lineRule="auto"/>
              <w:ind w:firstLine="480" w:firstLineChars="200"/>
              <w:jc w:val="left"/>
              <w:rPr>
                <w:rFonts w:hint="eastAsia"/>
                <w:color w:val="auto"/>
                <w:sz w:val="24"/>
                <w:highlight w:val="none"/>
                <w:lang w:eastAsia="zh-CN"/>
              </w:rPr>
            </w:pPr>
            <w:r>
              <w:rPr>
                <w:rFonts w:hint="eastAsia"/>
                <w:color w:val="auto"/>
                <w:sz w:val="24"/>
                <w:highlight w:val="none"/>
                <w:lang w:val="en-US" w:eastAsia="zh-CN"/>
              </w:rPr>
              <w:t>西咸新</w:t>
            </w:r>
            <w:r>
              <w:rPr>
                <w:color w:val="auto"/>
                <w:sz w:val="24"/>
                <w:highlight w:val="none"/>
              </w:rPr>
              <w:t>区积极响应《</w:t>
            </w:r>
            <w:r>
              <w:rPr>
                <w:rFonts w:hint="eastAsia"/>
                <w:color w:val="auto"/>
                <w:sz w:val="24"/>
                <w:highlight w:val="none"/>
              </w:rPr>
              <w:t>西安市推进实现“十四五”空气质量目标暨大气污染治理专项行动2025年工作方案</w:t>
            </w:r>
            <w:r>
              <w:rPr>
                <w:color w:val="auto"/>
                <w:sz w:val="24"/>
                <w:highlight w:val="none"/>
              </w:rPr>
              <w:t>》等省市相关政策，落实相关措施，加强环境管理，改善区域环境空气质量，争取区域环境空气质量达标</w:t>
            </w:r>
            <w:r>
              <w:rPr>
                <w:rFonts w:hint="eastAsia"/>
                <w:color w:val="auto"/>
                <w:sz w:val="24"/>
                <w:highlight w:val="none"/>
                <w:lang w:eastAsia="zh-CN"/>
              </w:rPr>
              <w:t>。</w:t>
            </w:r>
          </w:p>
          <w:p w14:paraId="1A5C30FE">
            <w:pPr>
              <w:adjustRightInd w:val="0"/>
              <w:snapToGrid w:val="0"/>
              <w:spacing w:line="360" w:lineRule="auto"/>
              <w:ind w:firstLine="482" w:firstLineChars="200"/>
              <w:jc w:val="left"/>
              <w:rPr>
                <w:b/>
                <w:bCs/>
                <w:color w:val="auto"/>
                <w:sz w:val="24"/>
                <w:highlight w:val="none"/>
              </w:rPr>
            </w:pPr>
            <w:r>
              <w:rPr>
                <w:b/>
                <w:bCs/>
                <w:color w:val="auto"/>
                <w:sz w:val="24"/>
                <w:highlight w:val="none"/>
              </w:rPr>
              <w:t>（</w:t>
            </w:r>
            <w:r>
              <w:rPr>
                <w:rFonts w:hint="eastAsia"/>
                <w:b/>
                <w:bCs/>
                <w:color w:val="auto"/>
                <w:sz w:val="24"/>
                <w:highlight w:val="none"/>
                <w:lang w:val="en-US" w:eastAsia="zh-CN"/>
              </w:rPr>
              <w:t>2</w:t>
            </w:r>
            <w:r>
              <w:rPr>
                <w:b/>
                <w:bCs/>
                <w:color w:val="auto"/>
                <w:sz w:val="24"/>
                <w:highlight w:val="none"/>
              </w:rPr>
              <w:t>）</w:t>
            </w:r>
            <w:r>
              <w:rPr>
                <w:rFonts w:hint="eastAsia"/>
                <w:b/>
                <w:bCs/>
                <w:color w:val="auto"/>
                <w:sz w:val="24"/>
                <w:highlight w:val="none"/>
              </w:rPr>
              <w:t>其他污染物</w:t>
            </w:r>
          </w:p>
          <w:p w14:paraId="123AE4AA">
            <w:pPr>
              <w:adjustRightInd w:val="0"/>
              <w:snapToGrid w:val="0"/>
              <w:spacing w:line="360" w:lineRule="auto"/>
              <w:ind w:firstLine="480" w:firstLineChars="200"/>
              <w:jc w:val="both"/>
              <w:rPr>
                <w:rFonts w:hint="eastAsia"/>
                <w:color w:val="auto"/>
                <w:kern w:val="0"/>
                <w:sz w:val="24"/>
                <w:highlight w:val="none"/>
              </w:rPr>
            </w:pPr>
            <w:r>
              <w:rPr>
                <w:rFonts w:hint="eastAsia"/>
                <w:color w:val="auto"/>
                <w:kern w:val="0"/>
                <w:sz w:val="24"/>
                <w:highlight w:val="none"/>
              </w:rPr>
              <w:t>项目</w:t>
            </w:r>
            <w:r>
              <w:rPr>
                <w:color w:val="auto"/>
                <w:kern w:val="0"/>
                <w:sz w:val="24"/>
                <w:highlight w:val="none"/>
              </w:rPr>
              <w:t>排放的特征污染物为非甲烷总烃、</w:t>
            </w:r>
            <w:r>
              <w:rPr>
                <w:rFonts w:hint="eastAsia"/>
                <w:color w:val="auto"/>
                <w:kern w:val="0"/>
                <w:sz w:val="24"/>
                <w:highlight w:val="none"/>
                <w:lang w:val="en-US" w:eastAsia="zh-CN"/>
              </w:rPr>
              <w:t>甲苯、甲醇、</w:t>
            </w:r>
            <w:r>
              <w:rPr>
                <w:color w:val="auto"/>
                <w:kern w:val="0"/>
                <w:sz w:val="24"/>
                <w:highlight w:val="none"/>
              </w:rPr>
              <w:t>HCl</w:t>
            </w:r>
            <w:r>
              <w:rPr>
                <w:rFonts w:hint="eastAsia"/>
                <w:color w:val="auto"/>
                <w:kern w:val="0"/>
                <w:sz w:val="24"/>
                <w:highlight w:val="none"/>
                <w:lang w:eastAsia="zh-CN"/>
              </w:rPr>
              <w:t>、</w:t>
            </w:r>
            <w:r>
              <w:rPr>
                <w:rFonts w:hint="eastAsia"/>
                <w:color w:val="auto"/>
                <w:kern w:val="0"/>
                <w:sz w:val="24"/>
                <w:highlight w:val="none"/>
              </w:rPr>
              <w:t>硝酸雾（以NO</w:t>
            </w:r>
            <w:r>
              <w:rPr>
                <w:rFonts w:hint="eastAsia"/>
                <w:color w:val="auto"/>
                <w:kern w:val="0"/>
                <w:sz w:val="24"/>
                <w:highlight w:val="none"/>
                <w:lang w:val="en-US" w:eastAsia="zh-CN"/>
              </w:rPr>
              <w:t>x</w:t>
            </w:r>
            <w:r>
              <w:rPr>
                <w:rFonts w:hint="eastAsia"/>
                <w:color w:val="auto"/>
                <w:kern w:val="0"/>
                <w:sz w:val="24"/>
                <w:highlight w:val="none"/>
              </w:rPr>
              <w:t>计）</w:t>
            </w:r>
            <w:r>
              <w:rPr>
                <w:color w:val="auto"/>
                <w:kern w:val="0"/>
                <w:sz w:val="24"/>
                <w:highlight w:val="none"/>
              </w:rPr>
              <w:t>、硫酸雾</w:t>
            </w:r>
            <w:r>
              <w:rPr>
                <w:rFonts w:hint="eastAsia"/>
                <w:color w:val="auto"/>
                <w:kern w:val="0"/>
                <w:sz w:val="24"/>
                <w:highlight w:val="none"/>
                <w:lang w:eastAsia="zh-CN"/>
              </w:rPr>
              <w:t>、</w:t>
            </w:r>
            <w:r>
              <w:rPr>
                <w:rFonts w:hint="eastAsia"/>
                <w:color w:val="auto"/>
                <w:kern w:val="0"/>
                <w:sz w:val="24"/>
                <w:highlight w:val="none"/>
                <w:lang w:val="en-US" w:eastAsia="zh-CN"/>
              </w:rPr>
              <w:t>氟化物</w:t>
            </w:r>
            <w:r>
              <w:rPr>
                <w:color w:val="auto"/>
                <w:kern w:val="0"/>
                <w:sz w:val="24"/>
                <w:highlight w:val="none"/>
              </w:rPr>
              <w:t>，</w:t>
            </w:r>
            <w:r>
              <w:rPr>
                <w:rFonts w:hint="eastAsia"/>
                <w:color w:val="auto"/>
                <w:kern w:val="0"/>
                <w:sz w:val="24"/>
                <w:highlight w:val="none"/>
              </w:rPr>
              <w:t>根据环境影响评价网2021年10月20日发布的《建设项目环境影响报告表》内容、格式及编制技术指南常见问题解答第7条回复</w:t>
            </w:r>
            <w:r>
              <w:rPr>
                <w:rFonts w:hint="eastAsia"/>
                <w:color w:val="auto"/>
                <w:kern w:val="0"/>
                <w:sz w:val="24"/>
                <w:highlight w:val="none"/>
                <w:lang w:eastAsia="zh-CN"/>
              </w:rPr>
              <w:t>，</w:t>
            </w:r>
            <w:r>
              <w:rPr>
                <w:rFonts w:hint="eastAsia"/>
                <w:color w:val="auto"/>
                <w:kern w:val="0"/>
                <w:sz w:val="24"/>
                <w:highlight w:val="none"/>
                <w:lang w:val="en-US" w:eastAsia="zh-CN"/>
              </w:rPr>
              <w:t>《建设项目环境影响报告表编制指南(污染影响类)》</w:t>
            </w:r>
            <w:r>
              <w:rPr>
                <w:rFonts w:hint="eastAsia"/>
                <w:color w:val="auto"/>
                <w:kern w:val="0"/>
                <w:sz w:val="24"/>
                <w:highlight w:val="none"/>
              </w:rPr>
              <w:t>中提到“排放国家、地方环境空气质量标准中有标准限值要求的特征污染物”，其中环境空气质量标准指《环境空气质量标准》（GB3095</w:t>
            </w:r>
            <w:r>
              <w:rPr>
                <w:rFonts w:hint="eastAsia"/>
                <w:color w:val="auto"/>
                <w:kern w:val="0"/>
                <w:sz w:val="24"/>
                <w:highlight w:val="none"/>
                <w:lang w:val="en-US" w:eastAsia="zh-CN"/>
              </w:rPr>
              <w:t>-2012</w:t>
            </w:r>
            <w:r>
              <w:rPr>
                <w:rFonts w:hint="eastAsia"/>
                <w:color w:val="auto"/>
                <w:kern w:val="0"/>
                <w:sz w:val="24"/>
                <w:highlight w:val="none"/>
              </w:rPr>
              <w:t>）和地方的环境空气质量标准，不包括《环境影响评价技术导则大气环境》（HJ2.2-2018）附录D、《工业企业设计卫生标准》</w:t>
            </w:r>
            <w:r>
              <w:rPr>
                <w:rFonts w:hint="eastAsia"/>
                <w:color w:val="auto"/>
                <w:kern w:val="0"/>
                <w:sz w:val="24"/>
                <w:highlight w:val="none"/>
                <w:lang w:eastAsia="zh-CN"/>
              </w:rPr>
              <w:t>、</w:t>
            </w:r>
            <w:r>
              <w:rPr>
                <w:rFonts w:hint="eastAsia"/>
                <w:color w:val="auto"/>
                <w:kern w:val="0"/>
                <w:sz w:val="24"/>
                <w:highlight w:val="none"/>
              </w:rPr>
              <w:t>《前苏联居住区标准》</w:t>
            </w:r>
            <w:r>
              <w:rPr>
                <w:rFonts w:hint="eastAsia"/>
                <w:color w:val="auto"/>
                <w:kern w:val="0"/>
                <w:sz w:val="24"/>
                <w:highlight w:val="none"/>
                <w:lang w:eastAsia="zh-CN"/>
              </w:rPr>
              <w:t>（</w:t>
            </w:r>
            <w:r>
              <w:rPr>
                <w:rFonts w:hint="eastAsia"/>
                <w:color w:val="auto"/>
                <w:kern w:val="0"/>
                <w:sz w:val="24"/>
                <w:highlight w:val="none"/>
              </w:rPr>
              <w:t>TJ36-97）</w:t>
            </w:r>
            <w:r>
              <w:rPr>
                <w:rFonts w:hint="eastAsia"/>
                <w:color w:val="auto"/>
                <w:kern w:val="0"/>
                <w:sz w:val="24"/>
                <w:highlight w:val="none"/>
                <w:lang w:eastAsia="zh-CN"/>
              </w:rPr>
              <w:t>、</w:t>
            </w:r>
            <w:r>
              <w:rPr>
                <w:rFonts w:hint="eastAsia"/>
                <w:color w:val="auto"/>
                <w:kern w:val="0"/>
                <w:sz w:val="24"/>
                <w:highlight w:val="none"/>
              </w:rPr>
              <w:t>《大气污染物综合排放标准详解》等导则或参考资料。</w:t>
            </w:r>
          </w:p>
          <w:p w14:paraId="43841A2C">
            <w:pPr>
              <w:adjustRightInd w:val="0"/>
              <w:snapToGrid w:val="0"/>
              <w:spacing w:line="360" w:lineRule="auto"/>
              <w:ind w:firstLine="480" w:firstLineChars="200"/>
              <w:jc w:val="left"/>
              <w:rPr>
                <w:color w:val="auto"/>
                <w:sz w:val="24"/>
                <w:highlight w:val="none"/>
              </w:rPr>
            </w:pPr>
            <w:r>
              <w:rPr>
                <w:rFonts w:hint="eastAsia"/>
                <w:color w:val="auto"/>
                <w:kern w:val="0"/>
                <w:sz w:val="24"/>
                <w:highlight w:val="none"/>
                <w:lang w:val="en-US" w:eastAsia="zh-CN"/>
              </w:rPr>
              <w:t>本项目特征污染物在《环境空气质量标准》（GB3095-2012）中不存在标准限值</w:t>
            </w:r>
            <w:r>
              <w:rPr>
                <w:color w:val="auto"/>
                <w:kern w:val="0"/>
                <w:sz w:val="24"/>
                <w:highlight w:val="none"/>
              </w:rPr>
              <w:t>，故</w:t>
            </w:r>
            <w:r>
              <w:rPr>
                <w:rFonts w:hint="eastAsia"/>
                <w:color w:val="auto"/>
                <w:kern w:val="0"/>
                <w:sz w:val="24"/>
                <w:highlight w:val="none"/>
                <w:lang w:val="en-US" w:eastAsia="zh-CN"/>
              </w:rPr>
              <w:t>本次</w:t>
            </w:r>
            <w:r>
              <w:rPr>
                <w:color w:val="auto"/>
                <w:kern w:val="0"/>
                <w:sz w:val="24"/>
                <w:highlight w:val="none"/>
              </w:rPr>
              <w:t>不</w:t>
            </w:r>
            <w:r>
              <w:rPr>
                <w:rFonts w:hint="eastAsia"/>
                <w:color w:val="auto"/>
                <w:kern w:val="0"/>
                <w:sz w:val="24"/>
                <w:highlight w:val="none"/>
                <w:lang w:val="en-US" w:eastAsia="zh-CN"/>
              </w:rPr>
              <w:t>进行特征污染物补充</w:t>
            </w:r>
            <w:r>
              <w:rPr>
                <w:color w:val="auto"/>
                <w:kern w:val="0"/>
                <w:sz w:val="24"/>
                <w:highlight w:val="none"/>
              </w:rPr>
              <w:t>监测</w:t>
            </w:r>
            <w:r>
              <w:rPr>
                <w:rFonts w:hint="eastAsia"/>
                <w:color w:val="auto"/>
                <w:kern w:val="0"/>
                <w:sz w:val="24"/>
                <w:highlight w:val="none"/>
                <w:lang w:eastAsia="zh-CN"/>
              </w:rPr>
              <w:t>。</w:t>
            </w:r>
          </w:p>
          <w:p w14:paraId="737FE2FE">
            <w:pPr>
              <w:adjustRightInd w:val="0"/>
              <w:snapToGrid w:val="0"/>
              <w:spacing w:line="360" w:lineRule="auto"/>
              <w:ind w:firstLine="482" w:firstLineChars="200"/>
              <w:rPr>
                <w:b/>
                <w:bCs/>
                <w:color w:val="auto"/>
                <w:sz w:val="24"/>
                <w:highlight w:val="none"/>
              </w:rPr>
            </w:pPr>
            <w:r>
              <w:rPr>
                <w:b/>
                <w:bCs/>
                <w:color w:val="auto"/>
                <w:sz w:val="24"/>
                <w:highlight w:val="none"/>
              </w:rPr>
              <w:t>2</w:t>
            </w:r>
            <w:r>
              <w:rPr>
                <w:rFonts w:hint="eastAsia"/>
                <w:b/>
                <w:bCs/>
                <w:color w:val="auto"/>
                <w:sz w:val="24"/>
                <w:highlight w:val="none"/>
              </w:rPr>
              <w:t>.</w:t>
            </w:r>
            <w:r>
              <w:rPr>
                <w:b/>
                <w:bCs/>
                <w:color w:val="auto"/>
                <w:sz w:val="24"/>
                <w:highlight w:val="none"/>
              </w:rPr>
              <w:t>声环境质量现状</w:t>
            </w:r>
          </w:p>
          <w:p w14:paraId="6AA50E2C">
            <w:pPr>
              <w:adjustRightInd w:val="0"/>
              <w:snapToGrid w:val="0"/>
              <w:spacing w:line="360" w:lineRule="auto"/>
              <w:ind w:firstLine="480" w:firstLineChars="200"/>
              <w:rPr>
                <w:rFonts w:hint="eastAsia"/>
                <w:color w:val="auto"/>
                <w:sz w:val="24"/>
                <w:highlight w:val="none"/>
                <w:lang w:val="en-US" w:eastAsia="zh-CN"/>
              </w:rPr>
            </w:pPr>
            <w:r>
              <w:rPr>
                <w:color w:val="auto"/>
                <w:kern w:val="0"/>
                <w:sz w:val="24"/>
                <w:highlight w:val="none"/>
              </w:rPr>
              <w:t>本项目位于</w:t>
            </w:r>
            <w:r>
              <w:rPr>
                <w:rFonts w:hint="eastAsia"/>
                <w:color w:val="auto"/>
                <w:sz w:val="24"/>
                <w:highlight w:val="none"/>
              </w:rPr>
              <w:t>陕西省西咸新区沣东新城科源三路869号核工业二0三研究所</w:t>
            </w:r>
            <w:r>
              <w:rPr>
                <w:rFonts w:hint="eastAsia"/>
                <w:color w:val="auto"/>
                <w:sz w:val="24"/>
                <w:highlight w:val="none"/>
                <w:lang w:eastAsia="zh-CN"/>
              </w:rPr>
              <w:t>科技综合楼</w:t>
            </w:r>
            <w:r>
              <w:rPr>
                <w:rFonts w:hint="eastAsia"/>
                <w:color w:val="auto"/>
                <w:sz w:val="24"/>
                <w:highlight w:val="none"/>
              </w:rPr>
              <w:t>B座</w:t>
            </w:r>
            <w:r>
              <w:rPr>
                <w:color w:val="auto"/>
                <w:kern w:val="0"/>
                <w:sz w:val="24"/>
                <w:highlight w:val="none"/>
              </w:rPr>
              <w:t>，厂界外50m范围内无声环境保护目标</w:t>
            </w:r>
            <w:r>
              <w:rPr>
                <w:rFonts w:hint="eastAsia"/>
                <w:color w:val="auto"/>
                <w:kern w:val="0"/>
                <w:sz w:val="24"/>
                <w:highlight w:val="none"/>
              </w:rPr>
              <w:t>，</w:t>
            </w:r>
            <w:r>
              <w:rPr>
                <w:color w:val="auto"/>
                <w:kern w:val="0"/>
                <w:sz w:val="24"/>
                <w:highlight w:val="none"/>
              </w:rPr>
              <w:t>根据《建设项目环境影响报告表编制技术指南（污染影响类）（试行）》</w:t>
            </w:r>
            <w:r>
              <w:rPr>
                <w:rFonts w:hint="eastAsia"/>
                <w:color w:val="auto"/>
                <w:kern w:val="0"/>
                <w:sz w:val="24"/>
                <w:highlight w:val="none"/>
              </w:rPr>
              <w:t>，本次不</w:t>
            </w:r>
            <w:r>
              <w:rPr>
                <w:color w:val="auto"/>
                <w:kern w:val="0"/>
                <w:sz w:val="24"/>
                <w:highlight w:val="none"/>
              </w:rPr>
              <w:t>开展</w:t>
            </w:r>
            <w:r>
              <w:rPr>
                <w:rFonts w:hint="eastAsia"/>
                <w:color w:val="auto"/>
                <w:kern w:val="0"/>
                <w:sz w:val="24"/>
                <w:highlight w:val="none"/>
                <w:lang w:val="en-US" w:eastAsia="zh-CN"/>
              </w:rPr>
              <w:t>声环境现状</w:t>
            </w:r>
            <w:r>
              <w:rPr>
                <w:color w:val="auto"/>
                <w:kern w:val="0"/>
                <w:sz w:val="24"/>
                <w:highlight w:val="none"/>
              </w:rPr>
              <w:t>监测</w:t>
            </w:r>
            <w:r>
              <w:rPr>
                <w:rFonts w:hint="eastAsia"/>
                <w:color w:val="auto"/>
                <w:kern w:val="0"/>
                <w:sz w:val="24"/>
                <w:highlight w:val="none"/>
                <w:lang w:eastAsia="zh-CN"/>
              </w:rPr>
              <w:t>。</w:t>
            </w:r>
          </w:p>
          <w:p w14:paraId="76B188B1">
            <w:pPr>
              <w:adjustRightInd w:val="0"/>
              <w:snapToGrid w:val="0"/>
              <w:spacing w:line="360" w:lineRule="auto"/>
              <w:ind w:firstLine="482" w:firstLineChars="200"/>
              <w:rPr>
                <w:rFonts w:hint="eastAsia"/>
                <w:color w:val="auto"/>
                <w:sz w:val="24"/>
                <w:highlight w:val="none"/>
              </w:rPr>
            </w:pPr>
            <w:r>
              <w:rPr>
                <w:rFonts w:hint="eastAsia"/>
                <w:b/>
                <w:bCs/>
                <w:color w:val="auto"/>
                <w:sz w:val="24"/>
                <w:highlight w:val="none"/>
                <w:lang w:val="en-US" w:eastAsia="zh-CN"/>
              </w:rPr>
              <w:t>3.</w:t>
            </w:r>
            <w:r>
              <w:rPr>
                <w:rFonts w:hint="eastAsia"/>
                <w:b/>
                <w:bCs/>
                <w:color w:val="auto"/>
                <w:sz w:val="24"/>
                <w:highlight w:val="none"/>
              </w:rPr>
              <w:t>生态环境质量现状</w:t>
            </w:r>
          </w:p>
          <w:p w14:paraId="08869345">
            <w:pPr>
              <w:adjustRightInd w:val="0"/>
              <w:snapToGrid w:val="0"/>
              <w:spacing w:line="360" w:lineRule="auto"/>
              <w:ind w:firstLine="480" w:firstLineChars="200"/>
              <w:rPr>
                <w:rFonts w:hint="eastAsia"/>
                <w:color w:val="auto"/>
                <w:sz w:val="24"/>
                <w:highlight w:val="none"/>
              </w:rPr>
            </w:pPr>
            <w:r>
              <w:rPr>
                <w:rFonts w:hint="eastAsia" w:ascii="Times New Roman" w:hAnsi="Times New Roman" w:eastAsia="宋体" w:cs="Times New Roman"/>
                <w:color w:val="auto"/>
                <w:spacing w:val="0"/>
                <w:sz w:val="24"/>
                <w:szCs w:val="24"/>
                <w:highlight w:val="none"/>
                <w:lang w:val="en-US" w:eastAsia="zh-CN"/>
              </w:rPr>
              <w:t>根据《建设项目环境影响报告表编制技术指南》（污染影响类）（试行），</w:t>
            </w:r>
            <w:r>
              <w:rPr>
                <w:rFonts w:hint="eastAsia"/>
                <w:color w:val="auto"/>
                <w:sz w:val="24"/>
                <w:highlight w:val="none"/>
              </w:rPr>
              <w:t>本项目</w:t>
            </w:r>
            <w:r>
              <w:rPr>
                <w:rFonts w:hint="eastAsia"/>
                <w:color w:val="auto"/>
                <w:sz w:val="24"/>
                <w:highlight w:val="none"/>
                <w:lang w:val="en-US" w:eastAsia="zh-CN"/>
              </w:rPr>
              <w:t>在现有实验室内进行扩建</w:t>
            </w:r>
            <w:r>
              <w:rPr>
                <w:rFonts w:hint="eastAsia"/>
                <w:color w:val="auto"/>
                <w:sz w:val="24"/>
                <w:highlight w:val="none"/>
                <w:lang w:eastAsia="zh-CN"/>
              </w:rPr>
              <w:t>，</w:t>
            </w:r>
            <w:r>
              <w:rPr>
                <w:rFonts w:hint="eastAsia"/>
                <w:color w:val="auto"/>
                <w:sz w:val="24"/>
                <w:highlight w:val="none"/>
              </w:rPr>
              <w:t>不涉及新增</w:t>
            </w:r>
            <w:r>
              <w:rPr>
                <w:rFonts w:hint="eastAsia"/>
                <w:color w:val="auto"/>
                <w:sz w:val="24"/>
                <w:highlight w:val="none"/>
                <w:lang w:val="en-US" w:eastAsia="zh-CN"/>
              </w:rPr>
              <w:t>占地</w:t>
            </w:r>
            <w:r>
              <w:rPr>
                <w:rFonts w:hint="eastAsia"/>
                <w:color w:val="auto"/>
                <w:sz w:val="24"/>
                <w:highlight w:val="none"/>
              </w:rPr>
              <w:t>，故本次评价不做生态环境现状调查。</w:t>
            </w:r>
          </w:p>
          <w:p w14:paraId="784D9CCB">
            <w:pPr>
              <w:adjustRightInd w:val="0"/>
              <w:snapToGrid w:val="0"/>
              <w:spacing w:line="360" w:lineRule="auto"/>
              <w:ind w:firstLine="482" w:firstLineChars="200"/>
              <w:rPr>
                <w:rFonts w:hint="eastAsia"/>
                <w:color w:val="auto"/>
                <w:sz w:val="24"/>
                <w:highlight w:val="none"/>
              </w:rPr>
            </w:pPr>
            <w:r>
              <w:rPr>
                <w:rFonts w:hint="eastAsia"/>
                <w:b/>
                <w:bCs/>
                <w:color w:val="auto"/>
                <w:sz w:val="24"/>
                <w:highlight w:val="none"/>
                <w:lang w:val="en-US" w:eastAsia="zh-CN"/>
              </w:rPr>
              <w:t>4.</w:t>
            </w:r>
            <w:r>
              <w:rPr>
                <w:rFonts w:hint="eastAsia"/>
                <w:b/>
                <w:bCs/>
                <w:color w:val="auto"/>
                <w:sz w:val="24"/>
                <w:highlight w:val="none"/>
              </w:rPr>
              <w:t>地下水、土壤环境质量现状</w:t>
            </w:r>
          </w:p>
          <w:p w14:paraId="2E06C3B1">
            <w:pPr>
              <w:adjustRightInd w:val="0"/>
              <w:snapToGrid w:val="0"/>
              <w:spacing w:line="360" w:lineRule="auto"/>
              <w:ind w:firstLine="480" w:firstLineChars="200"/>
              <w:rPr>
                <w:color w:val="auto"/>
                <w:sz w:val="24"/>
                <w:highlight w:val="none"/>
              </w:rPr>
            </w:pPr>
            <w:r>
              <w:rPr>
                <w:color w:val="auto"/>
                <w:kern w:val="0"/>
                <w:sz w:val="24"/>
                <w:highlight w:val="none"/>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本项目在已建好的</w:t>
            </w:r>
            <w:r>
              <w:rPr>
                <w:rFonts w:hint="eastAsia"/>
                <w:color w:val="auto"/>
                <w:sz w:val="24"/>
                <w:highlight w:val="none"/>
              </w:rPr>
              <w:t>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color w:val="auto"/>
                <w:kern w:val="0"/>
                <w:sz w:val="24"/>
                <w:highlight w:val="none"/>
              </w:rPr>
              <w:t>内</w:t>
            </w:r>
            <w:r>
              <w:rPr>
                <w:color w:val="auto"/>
                <w:kern w:val="0"/>
                <w:sz w:val="24"/>
                <w:highlight w:val="none"/>
              </w:rPr>
              <w:t>安装设备，无裸露土壤；危废贮存库按照要求进行建设，采取防渗措施；经上述措施后不存在土壤及地下水环境污染途径，故不需开展现状调查</w:t>
            </w:r>
            <w:r>
              <w:rPr>
                <w:rFonts w:hint="eastAsia"/>
                <w:color w:val="auto"/>
                <w:sz w:val="24"/>
                <w:highlight w:val="none"/>
              </w:rPr>
              <w:t>。</w:t>
            </w:r>
          </w:p>
        </w:tc>
      </w:tr>
      <w:tr w14:paraId="02A55B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7" w:hRule="atLeast"/>
          <w:jc w:val="center"/>
        </w:trPr>
        <w:tc>
          <w:tcPr>
            <w:tcW w:w="800" w:type="dxa"/>
            <w:noWrap w:val="0"/>
            <w:vAlign w:val="center"/>
          </w:tcPr>
          <w:p w14:paraId="31395C21">
            <w:pPr>
              <w:adjustRightInd w:val="0"/>
              <w:snapToGrid w:val="0"/>
              <w:jc w:val="center"/>
              <w:rPr>
                <w:color w:val="auto"/>
                <w:kern w:val="0"/>
                <w:szCs w:val="21"/>
                <w:highlight w:val="none"/>
              </w:rPr>
            </w:pPr>
            <w:r>
              <w:rPr>
                <w:color w:val="auto"/>
                <w:kern w:val="0"/>
                <w:szCs w:val="21"/>
                <w:highlight w:val="none"/>
              </w:rPr>
              <w:t>环境</w:t>
            </w:r>
          </w:p>
          <w:p w14:paraId="1F0B9F5B">
            <w:pPr>
              <w:adjustRightInd w:val="0"/>
              <w:snapToGrid w:val="0"/>
              <w:jc w:val="center"/>
              <w:rPr>
                <w:color w:val="auto"/>
                <w:kern w:val="0"/>
                <w:szCs w:val="21"/>
                <w:highlight w:val="none"/>
              </w:rPr>
            </w:pPr>
            <w:r>
              <w:rPr>
                <w:color w:val="auto"/>
                <w:kern w:val="0"/>
                <w:szCs w:val="21"/>
                <w:highlight w:val="none"/>
              </w:rPr>
              <w:t>保护</w:t>
            </w:r>
          </w:p>
          <w:p w14:paraId="24C96C2A">
            <w:pPr>
              <w:adjustRightInd w:val="0"/>
              <w:snapToGrid w:val="0"/>
              <w:jc w:val="center"/>
              <w:rPr>
                <w:color w:val="auto"/>
                <w:kern w:val="0"/>
                <w:szCs w:val="21"/>
                <w:highlight w:val="none"/>
              </w:rPr>
            </w:pPr>
            <w:r>
              <w:rPr>
                <w:color w:val="auto"/>
                <w:kern w:val="0"/>
                <w:szCs w:val="21"/>
                <w:highlight w:val="none"/>
              </w:rPr>
              <w:t>目标</w:t>
            </w:r>
          </w:p>
        </w:tc>
        <w:tc>
          <w:tcPr>
            <w:tcW w:w="8190" w:type="dxa"/>
            <w:noWrap w:val="0"/>
            <w:vAlign w:val="top"/>
          </w:tcPr>
          <w:p w14:paraId="57A77BFD">
            <w:pPr>
              <w:pStyle w:val="9"/>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0" w:firstLineChars="200"/>
              <w:textAlignment w:val="auto"/>
              <w:rPr>
                <w:rFonts w:hint="eastAsia" w:eastAsia="宋体"/>
                <w:color w:val="auto"/>
                <w:highlight w:val="none"/>
                <w:lang w:eastAsia="zh-CN"/>
              </w:rPr>
            </w:pPr>
            <w:r>
              <w:rPr>
                <w:color w:val="auto"/>
                <w:highlight w:val="none"/>
              </w:rPr>
              <w:t>根据《建设项目环境影响报告表编制技术指南（污染影响类）（试行）》环境保护目标要求</w:t>
            </w:r>
            <w:r>
              <w:rPr>
                <w:rFonts w:hint="eastAsia"/>
                <w:color w:val="auto"/>
                <w:highlight w:val="none"/>
                <w:lang w:eastAsia="zh-CN"/>
              </w:rPr>
              <w:t>。</w:t>
            </w:r>
          </w:p>
          <w:p w14:paraId="13FF41F8">
            <w:pPr>
              <w:pStyle w:val="9"/>
              <w:spacing w:after="0" w:line="360" w:lineRule="auto"/>
              <w:ind w:left="0" w:leftChars="0" w:firstLine="482" w:firstLineChars="200"/>
              <w:rPr>
                <w:b/>
                <w:bCs/>
                <w:color w:val="auto"/>
                <w:highlight w:val="none"/>
              </w:rPr>
            </w:pPr>
            <w:r>
              <w:rPr>
                <w:b/>
                <w:bCs/>
                <w:color w:val="auto"/>
                <w:highlight w:val="none"/>
              </w:rPr>
              <w:t>1</w:t>
            </w:r>
            <w:r>
              <w:rPr>
                <w:rFonts w:hint="eastAsia"/>
                <w:b/>
                <w:bCs/>
                <w:color w:val="auto"/>
                <w:highlight w:val="none"/>
              </w:rPr>
              <w:t>.</w:t>
            </w:r>
            <w:r>
              <w:rPr>
                <w:b/>
                <w:bCs/>
                <w:color w:val="auto"/>
                <w:highlight w:val="none"/>
              </w:rPr>
              <w:t>大气环境</w:t>
            </w:r>
          </w:p>
          <w:p w14:paraId="71A2F98D">
            <w:pPr>
              <w:pStyle w:val="9"/>
              <w:spacing w:after="0" w:line="360" w:lineRule="auto"/>
              <w:ind w:left="0" w:leftChars="0" w:firstLine="480" w:firstLineChars="200"/>
              <w:rPr>
                <w:color w:val="auto"/>
                <w:highlight w:val="none"/>
              </w:rPr>
            </w:pPr>
            <w:bookmarkStart w:id="6" w:name="_Hlk138770018"/>
            <w:r>
              <w:rPr>
                <w:rFonts w:hint="eastAsia"/>
                <w:color w:val="auto"/>
                <w:highlight w:val="none"/>
              </w:rPr>
              <w:t>本项目厂界外500米范围内无自然保护区、风景名胜区、居住区、文化区和农村地区中人群较集中的区域等保护目标。</w:t>
            </w:r>
          </w:p>
          <w:p w14:paraId="1F533087">
            <w:pPr>
              <w:pStyle w:val="9"/>
              <w:spacing w:after="0" w:line="360" w:lineRule="auto"/>
              <w:ind w:left="0" w:leftChars="0" w:firstLine="482" w:firstLineChars="200"/>
              <w:rPr>
                <w:rFonts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2</w:t>
            </w:r>
            <w:r>
              <w:rPr>
                <w:rFonts w:ascii="Times New Roman" w:hAnsi="Times New Roman" w:eastAsia="宋体" w:cs="Times New Roman"/>
                <w:b/>
                <w:bCs/>
                <w:color w:val="auto"/>
                <w:highlight w:val="none"/>
              </w:rPr>
              <w:t>.声环境</w:t>
            </w:r>
          </w:p>
          <w:p w14:paraId="0D1C210A">
            <w:pPr>
              <w:pStyle w:val="9"/>
              <w:spacing w:after="0" w:line="360" w:lineRule="auto"/>
              <w:ind w:left="0" w:leftChars="0" w:firstLine="480" w:firstLineChars="200"/>
              <w:rPr>
                <w:rFonts w:hint="eastAsia" w:eastAsia="宋体"/>
                <w:color w:val="auto"/>
                <w:highlight w:val="none"/>
                <w:lang w:eastAsia="zh-CN"/>
              </w:rPr>
            </w:pPr>
            <w:r>
              <w:rPr>
                <w:rFonts w:hint="eastAsia"/>
                <w:color w:val="auto"/>
                <w:highlight w:val="none"/>
              </w:rPr>
              <w:t>本</w:t>
            </w:r>
            <w:r>
              <w:rPr>
                <w:color w:val="auto"/>
                <w:highlight w:val="none"/>
              </w:rPr>
              <w:t>项目</w:t>
            </w:r>
            <w:r>
              <w:rPr>
                <w:rFonts w:hint="eastAsia"/>
                <w:color w:val="auto"/>
                <w:highlight w:val="none"/>
              </w:rPr>
              <w:t>周围</w:t>
            </w:r>
            <w:r>
              <w:rPr>
                <w:rFonts w:hint="eastAsia"/>
                <w:color w:val="auto"/>
                <w:highlight w:val="none"/>
                <w:lang w:val="en-US" w:eastAsia="zh-CN"/>
              </w:rPr>
              <w:t>5</w:t>
            </w:r>
            <w:r>
              <w:rPr>
                <w:rFonts w:hint="eastAsia"/>
                <w:color w:val="auto"/>
                <w:highlight w:val="none"/>
              </w:rPr>
              <w:t>0m范围内无</w:t>
            </w:r>
            <w:r>
              <w:rPr>
                <w:color w:val="auto"/>
                <w:highlight w:val="none"/>
              </w:rPr>
              <w:t>声环境保护目标</w:t>
            </w:r>
            <w:r>
              <w:rPr>
                <w:rFonts w:hint="eastAsia"/>
                <w:color w:val="auto"/>
                <w:highlight w:val="none"/>
                <w:lang w:eastAsia="zh-CN"/>
              </w:rPr>
              <w:t>。</w:t>
            </w:r>
          </w:p>
          <w:p w14:paraId="17E15122">
            <w:pPr>
              <w:pStyle w:val="9"/>
              <w:spacing w:after="0" w:line="360" w:lineRule="auto"/>
              <w:ind w:left="0" w:leftChars="0" w:firstLine="482" w:firstLineChars="200"/>
              <w:rPr>
                <w:rFonts w:hint="eastAsia"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3.地下水环境</w:t>
            </w:r>
          </w:p>
          <w:p w14:paraId="55AB3D26">
            <w:pPr>
              <w:pStyle w:val="9"/>
              <w:spacing w:after="0" w:line="360" w:lineRule="auto"/>
              <w:ind w:left="0" w:leftChars="0" w:firstLine="480" w:firstLineChars="200"/>
              <w:rPr>
                <w:color w:val="auto"/>
                <w:highlight w:val="none"/>
              </w:rPr>
            </w:pPr>
            <w:r>
              <w:rPr>
                <w:color w:val="auto"/>
                <w:highlight w:val="none"/>
              </w:rPr>
              <w:t>厂界外500m范围内无地下水集中式饮用水水源和热水、矿泉水、温泉等特殊地下水资源，</w:t>
            </w:r>
            <w:r>
              <w:rPr>
                <w:rFonts w:hint="eastAsia"/>
                <w:color w:val="auto"/>
                <w:highlight w:val="none"/>
              </w:rPr>
              <w:t>本项目厂界外5</w:t>
            </w:r>
            <w:r>
              <w:rPr>
                <w:color w:val="auto"/>
                <w:highlight w:val="none"/>
              </w:rPr>
              <w:t>00</w:t>
            </w:r>
            <w:r>
              <w:rPr>
                <w:rFonts w:hint="eastAsia"/>
                <w:color w:val="auto"/>
                <w:highlight w:val="none"/>
              </w:rPr>
              <w:t>m</w:t>
            </w:r>
            <w:r>
              <w:rPr>
                <w:color w:val="auto"/>
                <w:highlight w:val="none"/>
              </w:rPr>
              <w:t>范围内无地下水环境保护目标。</w:t>
            </w:r>
          </w:p>
          <w:p w14:paraId="6189826E">
            <w:pPr>
              <w:pStyle w:val="9"/>
              <w:spacing w:after="0" w:line="360" w:lineRule="auto"/>
              <w:ind w:left="0" w:leftChars="0" w:firstLine="482" w:firstLineChars="200"/>
              <w:rPr>
                <w:rFonts w:hint="eastAsia"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4.生态环境</w:t>
            </w:r>
          </w:p>
          <w:bookmarkEnd w:id="6"/>
          <w:p w14:paraId="6BB8973D">
            <w:pPr>
              <w:pStyle w:val="9"/>
              <w:spacing w:after="0" w:line="360" w:lineRule="auto"/>
              <w:ind w:left="0" w:leftChars="0" w:firstLine="480" w:firstLineChars="200"/>
              <w:rPr>
                <w:rFonts w:hint="eastAsia"/>
                <w:color w:val="auto"/>
                <w:highlight w:val="none"/>
              </w:rPr>
            </w:pPr>
            <w:r>
              <w:rPr>
                <w:rFonts w:hint="eastAsia"/>
                <w:color w:val="auto"/>
                <w:highlight w:val="none"/>
              </w:rPr>
              <w:t>本项目</w:t>
            </w:r>
            <w:r>
              <w:rPr>
                <w:rFonts w:hint="eastAsia"/>
                <w:color w:val="auto"/>
                <w:sz w:val="24"/>
                <w:highlight w:val="none"/>
                <w:lang w:val="en-US" w:eastAsia="zh-CN"/>
              </w:rPr>
              <w:t>在现有实验室内进行扩建</w:t>
            </w:r>
            <w:r>
              <w:rPr>
                <w:rFonts w:hint="eastAsia"/>
                <w:color w:val="auto"/>
                <w:sz w:val="24"/>
                <w:highlight w:val="none"/>
                <w:lang w:eastAsia="zh-CN"/>
              </w:rPr>
              <w:t>，</w:t>
            </w:r>
            <w:r>
              <w:rPr>
                <w:rFonts w:hint="eastAsia"/>
                <w:color w:val="auto"/>
                <w:highlight w:val="none"/>
              </w:rPr>
              <w:t>不涉及新增</w:t>
            </w:r>
            <w:r>
              <w:rPr>
                <w:rFonts w:hint="eastAsia"/>
                <w:color w:val="auto"/>
                <w:highlight w:val="none"/>
                <w:lang w:val="en-US" w:eastAsia="zh-CN"/>
              </w:rPr>
              <w:t>占地</w:t>
            </w:r>
            <w:r>
              <w:rPr>
                <w:rFonts w:hint="eastAsia"/>
                <w:color w:val="auto"/>
                <w:highlight w:val="none"/>
              </w:rPr>
              <w:t>，</w:t>
            </w:r>
            <w:r>
              <w:rPr>
                <w:color w:val="auto"/>
                <w:highlight w:val="none"/>
              </w:rPr>
              <w:t>用地范围内无生态环境保护目标。</w:t>
            </w:r>
          </w:p>
        </w:tc>
      </w:tr>
      <w:tr w14:paraId="44B92B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800" w:type="dxa"/>
            <w:noWrap w:val="0"/>
            <w:tcMar>
              <w:left w:w="28" w:type="dxa"/>
              <w:right w:w="28" w:type="dxa"/>
            </w:tcMar>
            <w:vAlign w:val="center"/>
          </w:tcPr>
          <w:p w14:paraId="5E30E4B2">
            <w:pPr>
              <w:adjustRightInd w:val="0"/>
              <w:snapToGrid w:val="0"/>
              <w:jc w:val="center"/>
              <w:rPr>
                <w:color w:val="auto"/>
                <w:kern w:val="0"/>
                <w:szCs w:val="21"/>
                <w:highlight w:val="none"/>
              </w:rPr>
            </w:pPr>
            <w:r>
              <w:rPr>
                <w:color w:val="auto"/>
                <w:kern w:val="0"/>
                <w:szCs w:val="21"/>
                <w:highlight w:val="none"/>
              </w:rPr>
              <w:t>污染</w:t>
            </w:r>
          </w:p>
          <w:p w14:paraId="4420FC95">
            <w:pPr>
              <w:adjustRightInd w:val="0"/>
              <w:snapToGrid w:val="0"/>
              <w:jc w:val="center"/>
              <w:rPr>
                <w:color w:val="auto"/>
                <w:kern w:val="0"/>
                <w:szCs w:val="21"/>
                <w:highlight w:val="none"/>
              </w:rPr>
            </w:pPr>
            <w:r>
              <w:rPr>
                <w:color w:val="auto"/>
                <w:kern w:val="0"/>
                <w:szCs w:val="21"/>
                <w:highlight w:val="none"/>
              </w:rPr>
              <w:t>物排</w:t>
            </w:r>
          </w:p>
          <w:p w14:paraId="3B5BC567">
            <w:pPr>
              <w:adjustRightInd w:val="0"/>
              <w:snapToGrid w:val="0"/>
              <w:jc w:val="center"/>
              <w:rPr>
                <w:color w:val="auto"/>
                <w:kern w:val="0"/>
                <w:szCs w:val="21"/>
                <w:highlight w:val="none"/>
              </w:rPr>
            </w:pPr>
            <w:r>
              <w:rPr>
                <w:color w:val="auto"/>
                <w:kern w:val="0"/>
                <w:szCs w:val="21"/>
                <w:highlight w:val="none"/>
              </w:rPr>
              <w:t>放控</w:t>
            </w:r>
          </w:p>
          <w:p w14:paraId="2B2DC001">
            <w:pPr>
              <w:adjustRightInd w:val="0"/>
              <w:snapToGrid w:val="0"/>
              <w:jc w:val="center"/>
              <w:rPr>
                <w:color w:val="auto"/>
                <w:kern w:val="0"/>
                <w:szCs w:val="21"/>
                <w:highlight w:val="none"/>
              </w:rPr>
            </w:pPr>
            <w:r>
              <w:rPr>
                <w:color w:val="auto"/>
                <w:kern w:val="0"/>
                <w:szCs w:val="21"/>
                <w:highlight w:val="none"/>
              </w:rPr>
              <w:t>制标</w:t>
            </w:r>
          </w:p>
          <w:p w14:paraId="3F20E44F">
            <w:pPr>
              <w:adjustRightInd w:val="0"/>
              <w:snapToGrid w:val="0"/>
              <w:jc w:val="center"/>
              <w:rPr>
                <w:color w:val="auto"/>
                <w:kern w:val="0"/>
                <w:szCs w:val="21"/>
                <w:highlight w:val="none"/>
              </w:rPr>
            </w:pPr>
            <w:r>
              <w:rPr>
                <w:color w:val="auto"/>
                <w:kern w:val="0"/>
                <w:szCs w:val="21"/>
                <w:highlight w:val="none"/>
              </w:rPr>
              <w:t>准</w:t>
            </w:r>
          </w:p>
        </w:tc>
        <w:tc>
          <w:tcPr>
            <w:tcW w:w="8190" w:type="dxa"/>
            <w:noWrap w:val="0"/>
            <w:vAlign w:val="center"/>
          </w:tcPr>
          <w:p w14:paraId="3C038470">
            <w:pPr>
              <w:adjustRightInd w:val="0"/>
              <w:snapToGrid w:val="0"/>
              <w:spacing w:before="120" w:beforeLines="50" w:line="360" w:lineRule="auto"/>
              <w:ind w:firstLine="482" w:firstLineChars="200"/>
              <w:rPr>
                <w:b/>
                <w:bCs/>
                <w:color w:val="auto"/>
                <w:kern w:val="0"/>
                <w:sz w:val="24"/>
                <w:highlight w:val="none"/>
              </w:rPr>
            </w:pPr>
            <w:r>
              <w:rPr>
                <w:b/>
                <w:bCs/>
                <w:color w:val="auto"/>
                <w:kern w:val="0"/>
                <w:sz w:val="24"/>
                <w:highlight w:val="none"/>
              </w:rPr>
              <w:t>1.废气</w:t>
            </w:r>
          </w:p>
          <w:p w14:paraId="61C5D8A6">
            <w:pPr>
              <w:adjustRightInd w:val="0"/>
              <w:snapToGrid w:val="0"/>
              <w:spacing w:line="360" w:lineRule="auto"/>
              <w:ind w:firstLine="480" w:firstLineChars="200"/>
              <w:rPr>
                <w:rFonts w:hint="default" w:eastAsia="宋体"/>
                <w:color w:val="auto"/>
                <w:sz w:val="24"/>
                <w:highlight w:val="none"/>
                <w:lang w:val="en-US" w:eastAsia="zh-CN"/>
              </w:rPr>
            </w:pPr>
            <w:r>
              <w:rPr>
                <w:color w:val="auto"/>
                <w:sz w:val="24"/>
                <w:highlight w:val="none"/>
              </w:rPr>
              <w:t>本项目有组织有机废气执行《大气污染物综合排放标准》（GB16297-1996）表2中的二级标准</w:t>
            </w:r>
            <w:r>
              <w:rPr>
                <w:rFonts w:hint="eastAsia"/>
                <w:color w:val="auto"/>
                <w:sz w:val="24"/>
                <w:highlight w:val="none"/>
                <w:lang w:eastAsia="zh-CN"/>
              </w:rPr>
              <w:t>，</w:t>
            </w:r>
            <w:r>
              <w:rPr>
                <w:rFonts w:hint="eastAsia"/>
                <w:color w:val="auto"/>
                <w:sz w:val="24"/>
                <w:highlight w:val="none"/>
                <w:lang w:val="en-US" w:eastAsia="zh-CN"/>
              </w:rPr>
              <w:t>其中周围200米半径范围内有高于排气筒的建筑（研究所科技综合楼A座），故废气排放速率严于标准值50%执行。另根据生态环境部发布的《新污染物生态环境监测标准体系表（2024年版）》，本项目涉及新污染物为二氯甲烷、三氯甲烷。</w:t>
            </w:r>
          </w:p>
          <w:p w14:paraId="51B56AF2">
            <w:pPr>
              <w:adjustRightInd w:val="0"/>
              <w:snapToGrid w:val="0"/>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表3-</w:t>
            </w:r>
            <w:r>
              <w:rPr>
                <w:rFonts w:hint="eastAsia" w:ascii="Times New Roman" w:hAnsi="Times New Roman" w:eastAsia="宋体" w:cs="Times New Roman"/>
                <w:b/>
                <w:color w:val="auto"/>
                <w:szCs w:val="21"/>
                <w:highlight w:val="none"/>
                <w:lang w:val="en-US" w:eastAsia="zh-CN"/>
              </w:rPr>
              <w:t>2</w:t>
            </w:r>
            <w:r>
              <w:rPr>
                <w:rFonts w:ascii="Times New Roman" w:hAnsi="Times New Roman" w:eastAsia="宋体" w:cs="Times New Roman"/>
                <w:b/>
                <w:color w:val="auto"/>
                <w:szCs w:val="21"/>
                <w:highlight w:val="none"/>
              </w:rPr>
              <w:t xml:space="preserve">   废气监测执行的评价标准限值</w:t>
            </w:r>
          </w:p>
          <w:tbl>
            <w:tblPr>
              <w:tblStyle w:val="27"/>
              <w:tblW w:w="8017" w:type="dxa"/>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8"/>
              <w:gridCol w:w="1235"/>
              <w:gridCol w:w="969"/>
              <w:gridCol w:w="923"/>
              <w:gridCol w:w="750"/>
              <w:gridCol w:w="2037"/>
              <w:gridCol w:w="1205"/>
            </w:tblGrid>
            <w:tr w14:paraId="497B074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vMerge w:val="restart"/>
                  <w:tcBorders>
                    <w:tl2br w:val="nil"/>
                    <w:tr2bl w:val="nil"/>
                  </w:tcBorders>
                  <w:noWrap w:val="0"/>
                  <w:vAlign w:val="center"/>
                </w:tcPr>
                <w:p w14:paraId="618E928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污染物名称</w:t>
                  </w:r>
                </w:p>
              </w:tc>
              <w:tc>
                <w:tcPr>
                  <w:tcW w:w="1235" w:type="dxa"/>
                  <w:vMerge w:val="restart"/>
                  <w:tcBorders>
                    <w:tl2br w:val="nil"/>
                    <w:tr2bl w:val="nil"/>
                  </w:tcBorders>
                  <w:noWrap w:val="0"/>
                  <w:vAlign w:val="center"/>
                </w:tcPr>
                <w:p w14:paraId="3EDA13E5">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最高允许排放浓度mg/m</w:t>
                  </w:r>
                  <w:r>
                    <w:rPr>
                      <w:rFonts w:hint="default" w:ascii="Times New Roman" w:hAnsi="Times New Roman" w:cs="Times New Roman" w:eastAsiaTheme="minorEastAsia"/>
                      <w:b/>
                      <w:bCs w:val="0"/>
                      <w:color w:val="auto"/>
                      <w:w w:val="100"/>
                      <w:sz w:val="21"/>
                      <w:szCs w:val="21"/>
                      <w:highlight w:val="none"/>
                      <w:vertAlign w:val="superscript"/>
                    </w:rPr>
                    <w:t>3</w:t>
                  </w:r>
                </w:p>
              </w:tc>
              <w:tc>
                <w:tcPr>
                  <w:tcW w:w="1892" w:type="dxa"/>
                  <w:gridSpan w:val="2"/>
                  <w:tcBorders>
                    <w:tl2br w:val="nil"/>
                    <w:tr2bl w:val="nil"/>
                  </w:tcBorders>
                  <w:noWrap w:val="0"/>
                  <w:vAlign w:val="center"/>
                </w:tcPr>
                <w:p w14:paraId="37FB6DF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最高允许排放速率kg/h</w:t>
                  </w:r>
                </w:p>
              </w:tc>
              <w:tc>
                <w:tcPr>
                  <w:tcW w:w="2787" w:type="dxa"/>
                  <w:gridSpan w:val="2"/>
                  <w:tcBorders>
                    <w:tl2br w:val="nil"/>
                    <w:tr2bl w:val="nil"/>
                  </w:tcBorders>
                  <w:noWrap w:val="0"/>
                  <w:vAlign w:val="center"/>
                </w:tcPr>
                <w:p w14:paraId="66D72745">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无组织排放监控浓度限值</w:t>
                  </w:r>
                </w:p>
              </w:tc>
              <w:tc>
                <w:tcPr>
                  <w:tcW w:w="1205" w:type="dxa"/>
                  <w:vMerge w:val="restart"/>
                  <w:tcBorders>
                    <w:tl2br w:val="nil"/>
                    <w:tr2bl w:val="nil"/>
                  </w:tcBorders>
                  <w:noWrap w:val="0"/>
                  <w:vAlign w:val="center"/>
                </w:tcPr>
                <w:p w14:paraId="5155D7D4">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color w:val="auto"/>
                      <w:sz w:val="21"/>
                      <w:szCs w:val="21"/>
                      <w:highlight w:val="none"/>
                    </w:rPr>
                    <w:t>执行标准</w:t>
                  </w:r>
                </w:p>
              </w:tc>
            </w:tr>
            <w:tr w14:paraId="0A3C655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vMerge w:val="continue"/>
                  <w:tcBorders>
                    <w:tl2br w:val="nil"/>
                    <w:tr2bl w:val="nil"/>
                  </w:tcBorders>
                  <w:noWrap w:val="0"/>
                  <w:vAlign w:val="center"/>
                </w:tcPr>
                <w:p w14:paraId="7A6BAF1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p>
              </w:tc>
              <w:tc>
                <w:tcPr>
                  <w:tcW w:w="1235" w:type="dxa"/>
                  <w:vMerge w:val="continue"/>
                  <w:tcBorders>
                    <w:tl2br w:val="nil"/>
                    <w:tr2bl w:val="nil"/>
                  </w:tcBorders>
                  <w:noWrap w:val="0"/>
                  <w:vAlign w:val="center"/>
                </w:tcPr>
                <w:p w14:paraId="5D8162DA">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p>
              </w:tc>
              <w:tc>
                <w:tcPr>
                  <w:tcW w:w="969" w:type="dxa"/>
                  <w:tcBorders>
                    <w:tl2br w:val="nil"/>
                    <w:tr2bl w:val="nil"/>
                  </w:tcBorders>
                  <w:noWrap w:val="0"/>
                  <w:vAlign w:val="center"/>
                </w:tcPr>
                <w:p w14:paraId="5D354E6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排气筒高度m</w:t>
                  </w:r>
                </w:p>
              </w:tc>
              <w:tc>
                <w:tcPr>
                  <w:tcW w:w="923" w:type="dxa"/>
                  <w:tcBorders>
                    <w:tl2br w:val="nil"/>
                    <w:tr2bl w:val="nil"/>
                  </w:tcBorders>
                  <w:noWrap w:val="0"/>
                  <w:vAlign w:val="center"/>
                </w:tcPr>
                <w:p w14:paraId="1AE627E7">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二级标准值*</w:t>
                  </w:r>
                </w:p>
              </w:tc>
              <w:tc>
                <w:tcPr>
                  <w:tcW w:w="750" w:type="dxa"/>
                  <w:tcBorders>
                    <w:tl2br w:val="nil"/>
                    <w:tr2bl w:val="nil"/>
                  </w:tcBorders>
                  <w:noWrap w:val="0"/>
                  <w:vAlign w:val="center"/>
                </w:tcPr>
                <w:p w14:paraId="27E5EFF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监控点</w:t>
                  </w:r>
                </w:p>
              </w:tc>
              <w:tc>
                <w:tcPr>
                  <w:tcW w:w="2037" w:type="dxa"/>
                  <w:tcBorders>
                    <w:tl2br w:val="nil"/>
                    <w:tr2bl w:val="nil"/>
                  </w:tcBorders>
                  <w:noWrap w:val="0"/>
                  <w:vAlign w:val="center"/>
                </w:tcPr>
                <w:p w14:paraId="5206F3C8">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r>
                    <w:rPr>
                      <w:rFonts w:hint="default" w:ascii="Times New Roman" w:hAnsi="Times New Roman" w:cs="Times New Roman" w:eastAsiaTheme="minorEastAsia"/>
                      <w:b/>
                      <w:bCs w:val="0"/>
                      <w:color w:val="auto"/>
                      <w:w w:val="100"/>
                      <w:sz w:val="21"/>
                      <w:szCs w:val="21"/>
                      <w:highlight w:val="none"/>
                    </w:rPr>
                    <w:t>浓度</w:t>
                  </w:r>
                </w:p>
              </w:tc>
              <w:tc>
                <w:tcPr>
                  <w:tcW w:w="1205" w:type="dxa"/>
                  <w:vMerge w:val="continue"/>
                  <w:tcBorders>
                    <w:tl2br w:val="nil"/>
                    <w:tr2bl w:val="nil"/>
                  </w:tcBorders>
                  <w:noWrap w:val="0"/>
                  <w:vAlign w:val="center"/>
                </w:tcPr>
                <w:p w14:paraId="5EA9153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bCs w:val="0"/>
                      <w:color w:val="auto"/>
                      <w:w w:val="100"/>
                      <w:sz w:val="21"/>
                      <w:szCs w:val="21"/>
                      <w:highlight w:val="none"/>
                    </w:rPr>
                  </w:pPr>
                </w:p>
              </w:tc>
            </w:tr>
            <w:tr w14:paraId="5999DD1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2ABC7AA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rPr>
                    <w:t>氯化氢</w:t>
                  </w:r>
                </w:p>
              </w:tc>
              <w:tc>
                <w:tcPr>
                  <w:tcW w:w="1235" w:type="dxa"/>
                  <w:tcBorders>
                    <w:tl2br w:val="nil"/>
                    <w:tr2bl w:val="nil"/>
                  </w:tcBorders>
                  <w:shd w:val="clear" w:color="auto" w:fill="auto"/>
                  <w:noWrap w:val="0"/>
                  <w:vAlign w:val="center"/>
                </w:tcPr>
                <w:p w14:paraId="6C21DFB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rPr>
                    <w:t>100</w:t>
                  </w:r>
                </w:p>
              </w:tc>
              <w:tc>
                <w:tcPr>
                  <w:tcW w:w="969" w:type="dxa"/>
                  <w:vMerge w:val="restart"/>
                  <w:tcBorders>
                    <w:tl2br w:val="nil"/>
                    <w:tr2bl w:val="nil"/>
                  </w:tcBorders>
                  <w:noWrap w:val="0"/>
                  <w:vAlign w:val="center"/>
                </w:tcPr>
                <w:p w14:paraId="3C898D4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sz w:val="21"/>
                      <w:szCs w:val="21"/>
                      <w:highlight w:val="none"/>
                      <w:lang w:val="en-US" w:eastAsia="zh-CN"/>
                    </w:rPr>
                  </w:pPr>
                  <w:r>
                    <w:rPr>
                      <w:rFonts w:hint="default" w:ascii="Times New Roman" w:hAnsi="Times New Roman" w:cs="Times New Roman" w:eastAsiaTheme="minorEastAsia"/>
                      <w:b w:val="0"/>
                      <w:bCs/>
                      <w:color w:val="auto"/>
                      <w:w w:val="100"/>
                      <w:sz w:val="21"/>
                      <w:szCs w:val="21"/>
                      <w:highlight w:val="none"/>
                      <w:lang w:val="en-US" w:eastAsia="zh-CN"/>
                    </w:rPr>
                    <w:t>23</w:t>
                  </w:r>
                </w:p>
              </w:tc>
              <w:tc>
                <w:tcPr>
                  <w:tcW w:w="923" w:type="dxa"/>
                  <w:tcBorders>
                    <w:tl2br w:val="nil"/>
                    <w:tr2bl w:val="nil"/>
                  </w:tcBorders>
                  <w:shd w:val="clear" w:color="auto" w:fill="auto"/>
                  <w:noWrap w:val="0"/>
                  <w:vAlign w:val="center"/>
                </w:tcPr>
                <w:p w14:paraId="53EBBD2A">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0.721</w:t>
                  </w:r>
                </w:p>
              </w:tc>
              <w:tc>
                <w:tcPr>
                  <w:tcW w:w="750" w:type="dxa"/>
                  <w:vMerge w:val="restart"/>
                  <w:tcBorders>
                    <w:tl2br w:val="nil"/>
                    <w:tr2bl w:val="nil"/>
                  </w:tcBorders>
                  <w:noWrap w:val="0"/>
                  <w:vAlign w:val="center"/>
                </w:tcPr>
                <w:p w14:paraId="53D30E9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b w:val="0"/>
                      <w:bCs/>
                      <w:color w:val="auto"/>
                      <w:w w:val="100"/>
                      <w:sz w:val="21"/>
                      <w:szCs w:val="21"/>
                      <w:highlight w:val="none"/>
                    </w:rPr>
                    <w:t>周界外浓度最高点</w:t>
                  </w:r>
                </w:p>
              </w:tc>
              <w:tc>
                <w:tcPr>
                  <w:tcW w:w="2037" w:type="dxa"/>
                  <w:tcBorders>
                    <w:tl2br w:val="nil"/>
                    <w:tr2bl w:val="nil"/>
                  </w:tcBorders>
                  <w:noWrap w:val="0"/>
                  <w:vAlign w:val="center"/>
                </w:tcPr>
                <w:p w14:paraId="226063C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b w:val="0"/>
                      <w:bCs/>
                      <w:color w:val="auto"/>
                      <w:w w:val="100"/>
                      <w:sz w:val="21"/>
                      <w:szCs w:val="21"/>
                      <w:highlight w:val="none"/>
                    </w:rPr>
                    <w:t>0.2mg/m</w:t>
                  </w:r>
                  <w:r>
                    <w:rPr>
                      <w:rFonts w:hint="default" w:ascii="Times New Roman" w:hAnsi="Times New Roman" w:cs="Times New Roman" w:eastAsiaTheme="minorEastAsia"/>
                      <w:b w:val="0"/>
                      <w:bCs/>
                      <w:color w:val="auto"/>
                      <w:w w:val="100"/>
                      <w:sz w:val="21"/>
                      <w:szCs w:val="21"/>
                      <w:highlight w:val="none"/>
                      <w:vertAlign w:val="superscript"/>
                    </w:rPr>
                    <w:t>3</w:t>
                  </w:r>
                </w:p>
              </w:tc>
              <w:tc>
                <w:tcPr>
                  <w:tcW w:w="1205" w:type="dxa"/>
                  <w:vMerge w:val="restart"/>
                  <w:tcBorders>
                    <w:tl2br w:val="nil"/>
                    <w:tr2bl w:val="nil"/>
                  </w:tcBorders>
                  <w:noWrap w:val="0"/>
                  <w:vAlign w:val="center"/>
                </w:tcPr>
                <w:p w14:paraId="71AC0B2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b w:val="0"/>
                      <w:bCs/>
                      <w:color w:val="auto"/>
                      <w:w w:val="100"/>
                      <w:sz w:val="21"/>
                      <w:szCs w:val="21"/>
                      <w:highlight w:val="none"/>
                    </w:rPr>
                    <w:t>GB16297-1996，</w:t>
                  </w:r>
                </w:p>
                <w:p w14:paraId="65E9DD9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b w:val="0"/>
                      <w:bCs/>
                      <w:color w:val="auto"/>
                      <w:w w:val="100"/>
                      <w:sz w:val="21"/>
                      <w:szCs w:val="21"/>
                      <w:highlight w:val="none"/>
                    </w:rPr>
                    <w:t>排放速率严于标准值50%执行</w:t>
                  </w:r>
                </w:p>
              </w:tc>
            </w:tr>
            <w:tr w14:paraId="0B2E361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0FA1202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kern w:val="0"/>
                      <w:sz w:val="21"/>
                      <w:szCs w:val="21"/>
                      <w:highlight w:val="none"/>
                      <w:lang w:val="en-US" w:eastAsia="zh-CN" w:bidi="ar-SA"/>
                    </w:rPr>
                    <w:t>氟化物</w:t>
                  </w:r>
                </w:p>
              </w:tc>
              <w:tc>
                <w:tcPr>
                  <w:tcW w:w="1235" w:type="dxa"/>
                  <w:tcBorders>
                    <w:tl2br w:val="nil"/>
                    <w:tr2bl w:val="nil"/>
                  </w:tcBorders>
                  <w:shd w:val="clear" w:color="auto" w:fill="auto"/>
                  <w:noWrap w:val="0"/>
                  <w:vAlign w:val="center"/>
                </w:tcPr>
                <w:p w14:paraId="6B738B0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kern w:val="0"/>
                      <w:sz w:val="21"/>
                      <w:szCs w:val="21"/>
                      <w:highlight w:val="none"/>
                      <w:lang w:val="en-US" w:eastAsia="zh-CN" w:bidi="ar-SA"/>
                    </w:rPr>
                    <w:t>9</w:t>
                  </w:r>
                </w:p>
              </w:tc>
              <w:tc>
                <w:tcPr>
                  <w:tcW w:w="969" w:type="dxa"/>
                  <w:vMerge w:val="continue"/>
                  <w:tcBorders>
                    <w:tl2br w:val="nil"/>
                    <w:tr2bl w:val="nil"/>
                  </w:tcBorders>
                  <w:noWrap w:val="0"/>
                  <w:vAlign w:val="center"/>
                </w:tcPr>
                <w:p w14:paraId="58D8106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0D16A5ED">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0.296</w:t>
                  </w:r>
                </w:p>
              </w:tc>
              <w:tc>
                <w:tcPr>
                  <w:tcW w:w="750" w:type="dxa"/>
                  <w:vMerge w:val="continue"/>
                  <w:tcBorders>
                    <w:tl2br w:val="nil"/>
                    <w:tr2bl w:val="nil"/>
                  </w:tcBorders>
                  <w:noWrap w:val="0"/>
                  <w:vAlign w:val="center"/>
                </w:tcPr>
                <w:p w14:paraId="26BE137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2037" w:type="dxa"/>
                  <w:tcBorders>
                    <w:tl2br w:val="nil"/>
                    <w:tr2bl w:val="nil"/>
                  </w:tcBorders>
                  <w:noWrap w:val="0"/>
                  <w:vAlign w:val="center"/>
                </w:tcPr>
                <w:p w14:paraId="54A86412">
                  <w:pPr>
                    <w:pStyle w:val="90"/>
                    <w:spacing w:line="240" w:lineRule="auto"/>
                    <w:ind w:firstLine="0" w:firstLineChars="0"/>
                    <w:jc w:val="center"/>
                    <w:rPr>
                      <w:rFonts w:hint="default" w:ascii="Times New Roman" w:hAnsi="Times New Roman" w:cs="Times New Roman" w:eastAsiaTheme="minorEastAsia"/>
                      <w:b w:val="0"/>
                      <w:bCs/>
                      <w:color w:val="auto"/>
                      <w:w w:val="100"/>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20u</w:t>
                  </w:r>
                  <w:r>
                    <w:rPr>
                      <w:rFonts w:hint="default" w:ascii="Times New Roman" w:hAnsi="Times New Roman" w:cs="Times New Roman" w:eastAsiaTheme="minorEastAsia"/>
                      <w:color w:val="auto"/>
                      <w:sz w:val="21"/>
                      <w:szCs w:val="21"/>
                      <w:highlight w:val="none"/>
                    </w:rPr>
                    <w:t>g/m</w:t>
                  </w:r>
                  <w:r>
                    <w:rPr>
                      <w:rFonts w:hint="default" w:ascii="Times New Roman" w:hAnsi="Times New Roman" w:cs="Times New Roman" w:eastAsiaTheme="minorEastAsia"/>
                      <w:color w:val="auto"/>
                      <w:sz w:val="21"/>
                      <w:szCs w:val="21"/>
                      <w:highlight w:val="none"/>
                      <w:vertAlign w:val="superscript"/>
                    </w:rPr>
                    <w:t>3</w:t>
                  </w:r>
                </w:p>
              </w:tc>
              <w:tc>
                <w:tcPr>
                  <w:tcW w:w="1205" w:type="dxa"/>
                  <w:vMerge w:val="continue"/>
                  <w:tcBorders>
                    <w:tl2br w:val="nil"/>
                    <w:tr2bl w:val="nil"/>
                  </w:tcBorders>
                  <w:noWrap w:val="0"/>
                  <w:vAlign w:val="center"/>
                </w:tcPr>
                <w:p w14:paraId="367ECBD3">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4C510A5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36E52F0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rPr>
                    <w:t>氮氧化物</w:t>
                  </w:r>
                </w:p>
              </w:tc>
              <w:tc>
                <w:tcPr>
                  <w:tcW w:w="1235" w:type="dxa"/>
                  <w:tcBorders>
                    <w:tl2br w:val="nil"/>
                    <w:tr2bl w:val="nil"/>
                  </w:tcBorders>
                  <w:shd w:val="clear" w:color="auto" w:fill="auto"/>
                  <w:noWrap w:val="0"/>
                  <w:vAlign w:val="center"/>
                </w:tcPr>
                <w:p w14:paraId="364F75A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rPr>
                    <w:t>240</w:t>
                  </w:r>
                </w:p>
              </w:tc>
              <w:tc>
                <w:tcPr>
                  <w:tcW w:w="969" w:type="dxa"/>
                  <w:vMerge w:val="continue"/>
                  <w:tcBorders>
                    <w:tl2br w:val="nil"/>
                    <w:tr2bl w:val="nil"/>
                  </w:tcBorders>
                  <w:noWrap w:val="0"/>
                  <w:vAlign w:val="center"/>
                </w:tcPr>
                <w:p w14:paraId="66F45C3A">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221E57BA">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2.23</w:t>
                  </w:r>
                </w:p>
              </w:tc>
              <w:tc>
                <w:tcPr>
                  <w:tcW w:w="750" w:type="dxa"/>
                  <w:vMerge w:val="continue"/>
                  <w:tcBorders>
                    <w:tl2br w:val="nil"/>
                    <w:tr2bl w:val="nil"/>
                  </w:tcBorders>
                  <w:noWrap w:val="0"/>
                  <w:vAlign w:val="center"/>
                </w:tcPr>
                <w:p w14:paraId="3D10480D">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2037" w:type="dxa"/>
                  <w:tcBorders>
                    <w:tl2br w:val="nil"/>
                    <w:tr2bl w:val="nil"/>
                  </w:tcBorders>
                  <w:noWrap w:val="0"/>
                  <w:vAlign w:val="center"/>
                </w:tcPr>
                <w:p w14:paraId="3A2E7CA2">
                  <w:pPr>
                    <w:pStyle w:val="90"/>
                    <w:spacing w:line="240" w:lineRule="auto"/>
                    <w:ind w:firstLine="0" w:firstLineChars="0"/>
                    <w:jc w:val="center"/>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color w:val="auto"/>
                      <w:sz w:val="21"/>
                      <w:szCs w:val="21"/>
                      <w:highlight w:val="none"/>
                      <w:lang w:val="en-US" w:eastAsia="zh-CN"/>
                    </w:rPr>
                    <w:t>0.12</w:t>
                  </w:r>
                  <w:r>
                    <w:rPr>
                      <w:rFonts w:hint="default" w:ascii="Times New Roman" w:hAnsi="Times New Roman" w:cs="Times New Roman" w:eastAsiaTheme="minorEastAsia"/>
                      <w:color w:val="auto"/>
                      <w:sz w:val="21"/>
                      <w:szCs w:val="21"/>
                      <w:highlight w:val="none"/>
                    </w:rPr>
                    <w:t>mg/m</w:t>
                  </w:r>
                  <w:r>
                    <w:rPr>
                      <w:rFonts w:hint="default" w:ascii="Times New Roman" w:hAnsi="Times New Roman" w:cs="Times New Roman" w:eastAsiaTheme="minorEastAsia"/>
                      <w:color w:val="auto"/>
                      <w:sz w:val="21"/>
                      <w:szCs w:val="21"/>
                      <w:highlight w:val="none"/>
                      <w:vertAlign w:val="superscript"/>
                    </w:rPr>
                    <w:t>3</w:t>
                  </w:r>
                </w:p>
              </w:tc>
              <w:tc>
                <w:tcPr>
                  <w:tcW w:w="1205" w:type="dxa"/>
                  <w:vMerge w:val="continue"/>
                  <w:tcBorders>
                    <w:tl2br w:val="nil"/>
                    <w:tr2bl w:val="nil"/>
                  </w:tcBorders>
                  <w:noWrap w:val="0"/>
                  <w:vAlign w:val="center"/>
                </w:tcPr>
                <w:p w14:paraId="1FC79819">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5638693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596DCD95">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rPr>
                    <w:t>硫酸雾</w:t>
                  </w:r>
                </w:p>
              </w:tc>
              <w:tc>
                <w:tcPr>
                  <w:tcW w:w="1235" w:type="dxa"/>
                  <w:tcBorders>
                    <w:tl2br w:val="nil"/>
                    <w:tr2bl w:val="nil"/>
                  </w:tcBorders>
                  <w:shd w:val="clear" w:color="auto" w:fill="auto"/>
                  <w:noWrap w:val="0"/>
                  <w:vAlign w:val="center"/>
                </w:tcPr>
                <w:p w14:paraId="5B5C630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rPr>
                    <w:t>45</w:t>
                  </w:r>
                </w:p>
              </w:tc>
              <w:tc>
                <w:tcPr>
                  <w:tcW w:w="969" w:type="dxa"/>
                  <w:vMerge w:val="continue"/>
                  <w:tcBorders>
                    <w:tl2br w:val="nil"/>
                    <w:tr2bl w:val="nil"/>
                  </w:tcBorders>
                  <w:noWrap w:val="0"/>
                  <w:vAlign w:val="center"/>
                </w:tcPr>
                <w:p w14:paraId="0E378CD7">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4DEBD1D5">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4.46</w:t>
                  </w:r>
                </w:p>
              </w:tc>
              <w:tc>
                <w:tcPr>
                  <w:tcW w:w="750" w:type="dxa"/>
                  <w:vMerge w:val="continue"/>
                  <w:tcBorders>
                    <w:tl2br w:val="nil"/>
                    <w:tr2bl w:val="nil"/>
                  </w:tcBorders>
                  <w:noWrap w:val="0"/>
                  <w:vAlign w:val="center"/>
                </w:tcPr>
                <w:p w14:paraId="01D49EB5">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lang w:val="en-US" w:eastAsia="zh-CN"/>
                    </w:rPr>
                  </w:pPr>
                </w:p>
              </w:tc>
              <w:tc>
                <w:tcPr>
                  <w:tcW w:w="2037" w:type="dxa"/>
                  <w:tcBorders>
                    <w:tl2br w:val="nil"/>
                    <w:tr2bl w:val="nil"/>
                  </w:tcBorders>
                  <w:noWrap w:val="0"/>
                  <w:vAlign w:val="center"/>
                </w:tcPr>
                <w:p w14:paraId="63975ADB">
                  <w:pPr>
                    <w:pStyle w:val="90"/>
                    <w:spacing w:line="240" w:lineRule="auto"/>
                    <w:ind w:firstLine="0" w:firstLineChars="0"/>
                    <w:jc w:val="center"/>
                    <w:rPr>
                      <w:rFonts w:hint="default" w:ascii="Times New Roman" w:hAnsi="Times New Roman" w:cs="Times New Roman" w:eastAsiaTheme="minorEastAsia"/>
                      <w:b w:val="0"/>
                      <w:bCs/>
                      <w:color w:val="auto"/>
                      <w:w w:val="100"/>
                      <w:sz w:val="21"/>
                      <w:szCs w:val="21"/>
                      <w:highlight w:val="none"/>
                    </w:rPr>
                  </w:pPr>
                  <w:r>
                    <w:rPr>
                      <w:rFonts w:hint="default" w:ascii="Times New Roman" w:hAnsi="Times New Roman" w:cs="Times New Roman" w:eastAsiaTheme="minorEastAsia"/>
                      <w:color w:val="auto"/>
                      <w:sz w:val="21"/>
                      <w:szCs w:val="21"/>
                      <w:highlight w:val="none"/>
                      <w:lang w:val="en-US" w:eastAsia="zh-CN"/>
                    </w:rPr>
                    <w:t>1.2</w:t>
                  </w:r>
                  <w:r>
                    <w:rPr>
                      <w:rFonts w:hint="default" w:ascii="Times New Roman" w:hAnsi="Times New Roman" w:cs="Times New Roman" w:eastAsiaTheme="minorEastAsia"/>
                      <w:color w:val="auto"/>
                      <w:sz w:val="21"/>
                      <w:szCs w:val="21"/>
                      <w:highlight w:val="none"/>
                    </w:rPr>
                    <w:t>mg/m</w:t>
                  </w:r>
                  <w:r>
                    <w:rPr>
                      <w:rFonts w:hint="default" w:ascii="Times New Roman" w:hAnsi="Times New Roman" w:cs="Times New Roman" w:eastAsiaTheme="minorEastAsia"/>
                      <w:color w:val="auto"/>
                      <w:sz w:val="21"/>
                      <w:szCs w:val="21"/>
                      <w:highlight w:val="none"/>
                      <w:vertAlign w:val="superscript"/>
                    </w:rPr>
                    <w:t>3</w:t>
                  </w:r>
                </w:p>
              </w:tc>
              <w:tc>
                <w:tcPr>
                  <w:tcW w:w="1205" w:type="dxa"/>
                  <w:vMerge w:val="continue"/>
                  <w:tcBorders>
                    <w:tl2br w:val="nil"/>
                    <w:tr2bl w:val="nil"/>
                  </w:tcBorders>
                  <w:noWrap w:val="0"/>
                  <w:vAlign w:val="center"/>
                </w:tcPr>
                <w:p w14:paraId="256F60DB">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48B4FE3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1A5B965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r>
                    <w:rPr>
                      <w:rFonts w:hint="default" w:ascii="Times New Roman" w:hAnsi="Times New Roman" w:cs="Times New Roman" w:eastAsiaTheme="minorEastAsia"/>
                      <w:b w:val="0"/>
                      <w:bCs/>
                      <w:color w:val="auto"/>
                      <w:w w:val="100"/>
                      <w:sz w:val="21"/>
                      <w:szCs w:val="21"/>
                      <w:highlight w:val="none"/>
                      <w:lang w:val="en-US" w:eastAsia="zh-CN"/>
                    </w:rPr>
                    <w:t>甲醇</w:t>
                  </w:r>
                </w:p>
              </w:tc>
              <w:tc>
                <w:tcPr>
                  <w:tcW w:w="1235" w:type="dxa"/>
                  <w:tcBorders>
                    <w:tl2br w:val="nil"/>
                    <w:tr2bl w:val="nil"/>
                  </w:tcBorders>
                  <w:shd w:val="clear" w:color="auto" w:fill="auto"/>
                  <w:noWrap w:val="0"/>
                  <w:vAlign w:val="center"/>
                </w:tcPr>
                <w:p w14:paraId="7FB9B7E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190</w:t>
                  </w:r>
                </w:p>
              </w:tc>
              <w:tc>
                <w:tcPr>
                  <w:tcW w:w="969" w:type="dxa"/>
                  <w:vMerge w:val="continue"/>
                  <w:tcBorders>
                    <w:tl2br w:val="nil"/>
                    <w:tr2bl w:val="nil"/>
                  </w:tcBorders>
                  <w:shd w:val="clear" w:color="auto" w:fill="auto"/>
                  <w:noWrap w:val="0"/>
                  <w:vAlign w:val="center"/>
                </w:tcPr>
                <w:p w14:paraId="2869E471">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7C5B986E">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14.72</w:t>
                  </w:r>
                </w:p>
              </w:tc>
              <w:tc>
                <w:tcPr>
                  <w:tcW w:w="750" w:type="dxa"/>
                  <w:vMerge w:val="continue"/>
                  <w:tcBorders>
                    <w:tl2br w:val="nil"/>
                    <w:tr2bl w:val="nil"/>
                  </w:tcBorders>
                  <w:shd w:val="clear" w:color="auto" w:fill="auto"/>
                  <w:noWrap w:val="0"/>
                  <w:vAlign w:val="center"/>
                </w:tcPr>
                <w:p w14:paraId="511B1DA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2037" w:type="dxa"/>
                  <w:tcBorders>
                    <w:tl2br w:val="nil"/>
                    <w:tr2bl w:val="nil"/>
                  </w:tcBorders>
                  <w:shd w:val="clear" w:color="auto" w:fill="auto"/>
                  <w:noWrap w:val="0"/>
                  <w:vAlign w:val="center"/>
                </w:tcPr>
                <w:p w14:paraId="5C657269">
                  <w:pPr>
                    <w:pStyle w:val="90"/>
                    <w:spacing w:line="240" w:lineRule="auto"/>
                    <w:ind w:firstLine="0" w:firstLineChars="0"/>
                    <w:jc w:val="center"/>
                    <w:rPr>
                      <w:rFonts w:hint="default" w:ascii="Times New Roman" w:hAnsi="Times New Roman" w:cs="Times New Roman" w:eastAsiaTheme="minorEastAsia"/>
                      <w:b w:val="0"/>
                      <w:bCs/>
                      <w:color w:val="auto"/>
                      <w:w w:val="100"/>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12mg/m</w:t>
                  </w:r>
                  <w:r>
                    <w:rPr>
                      <w:rFonts w:hint="default" w:ascii="Times New Roman" w:hAnsi="Times New Roman" w:cs="Times New Roman" w:eastAsiaTheme="minorEastAsia"/>
                      <w:color w:val="auto"/>
                      <w:sz w:val="21"/>
                      <w:szCs w:val="21"/>
                      <w:highlight w:val="none"/>
                      <w:vertAlign w:val="superscript"/>
                      <w:lang w:val="en-US" w:eastAsia="zh-CN"/>
                    </w:rPr>
                    <w:t>3</w:t>
                  </w:r>
                </w:p>
              </w:tc>
              <w:tc>
                <w:tcPr>
                  <w:tcW w:w="1205" w:type="dxa"/>
                  <w:vMerge w:val="continue"/>
                  <w:tcBorders>
                    <w:tl2br w:val="nil"/>
                    <w:tr2bl w:val="nil"/>
                  </w:tcBorders>
                  <w:shd w:val="clear" w:color="auto" w:fill="auto"/>
                  <w:noWrap w:val="0"/>
                  <w:vAlign w:val="center"/>
                </w:tcPr>
                <w:p w14:paraId="0216375F">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6FA8488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73EFE85B">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甲苯</w:t>
                  </w:r>
                </w:p>
              </w:tc>
              <w:tc>
                <w:tcPr>
                  <w:tcW w:w="1235" w:type="dxa"/>
                  <w:tcBorders>
                    <w:tl2br w:val="nil"/>
                    <w:tr2bl w:val="nil"/>
                  </w:tcBorders>
                  <w:shd w:val="clear" w:color="auto" w:fill="auto"/>
                  <w:noWrap w:val="0"/>
                  <w:vAlign w:val="center"/>
                </w:tcPr>
                <w:p w14:paraId="129EBF2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40</w:t>
                  </w:r>
                </w:p>
              </w:tc>
              <w:tc>
                <w:tcPr>
                  <w:tcW w:w="969" w:type="dxa"/>
                  <w:vMerge w:val="continue"/>
                  <w:tcBorders>
                    <w:tl2br w:val="nil"/>
                    <w:tr2bl w:val="nil"/>
                  </w:tcBorders>
                  <w:noWrap w:val="0"/>
                  <w:vAlign w:val="center"/>
                </w:tcPr>
                <w:p w14:paraId="51F1CAC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0E3F644A">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9.04</w:t>
                  </w:r>
                </w:p>
              </w:tc>
              <w:tc>
                <w:tcPr>
                  <w:tcW w:w="750" w:type="dxa"/>
                  <w:vMerge w:val="continue"/>
                  <w:tcBorders>
                    <w:tl2br w:val="nil"/>
                    <w:tr2bl w:val="nil"/>
                  </w:tcBorders>
                  <w:noWrap w:val="0"/>
                  <w:vAlign w:val="center"/>
                </w:tcPr>
                <w:p w14:paraId="28EBA43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2037" w:type="dxa"/>
                  <w:tcBorders>
                    <w:tl2br w:val="nil"/>
                    <w:tr2bl w:val="nil"/>
                  </w:tcBorders>
                  <w:shd w:val="clear" w:color="auto" w:fill="auto"/>
                  <w:noWrap w:val="0"/>
                  <w:vAlign w:val="center"/>
                </w:tcPr>
                <w:p w14:paraId="5C6397DF">
                  <w:pPr>
                    <w:pStyle w:val="90"/>
                    <w:spacing w:line="240" w:lineRule="auto"/>
                    <w:ind w:firstLine="0" w:firstLineChars="0"/>
                    <w:jc w:val="center"/>
                    <w:rPr>
                      <w:rFonts w:hint="default" w:ascii="Times New Roman" w:hAnsi="Times New Roman" w:cs="Times New Roman" w:eastAsiaTheme="minorEastAsia"/>
                      <w:b w:val="0"/>
                      <w:bCs/>
                      <w:color w:val="auto"/>
                      <w:w w:val="100"/>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2.4</w:t>
                  </w:r>
                  <w:r>
                    <w:rPr>
                      <w:rFonts w:hint="default" w:ascii="Times New Roman" w:hAnsi="Times New Roman" w:cs="Times New Roman" w:eastAsiaTheme="minorEastAsia"/>
                      <w:color w:val="auto"/>
                      <w:sz w:val="21"/>
                      <w:szCs w:val="21"/>
                      <w:highlight w:val="none"/>
                    </w:rPr>
                    <w:t>mg/m</w:t>
                  </w:r>
                  <w:r>
                    <w:rPr>
                      <w:rFonts w:hint="default" w:ascii="Times New Roman" w:hAnsi="Times New Roman" w:cs="Times New Roman" w:eastAsiaTheme="minorEastAsia"/>
                      <w:color w:val="auto"/>
                      <w:sz w:val="21"/>
                      <w:szCs w:val="21"/>
                      <w:highlight w:val="none"/>
                      <w:vertAlign w:val="superscript"/>
                    </w:rPr>
                    <w:t>3</w:t>
                  </w:r>
                </w:p>
              </w:tc>
              <w:tc>
                <w:tcPr>
                  <w:tcW w:w="1205" w:type="dxa"/>
                  <w:vMerge w:val="continue"/>
                  <w:tcBorders>
                    <w:tl2br w:val="nil"/>
                    <w:tr2bl w:val="nil"/>
                  </w:tcBorders>
                  <w:shd w:val="clear" w:color="auto" w:fill="auto"/>
                  <w:noWrap w:val="0"/>
                  <w:vAlign w:val="center"/>
                </w:tcPr>
                <w:p w14:paraId="49F3FF0F">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0734AE5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tcBorders>
                    <w:tl2br w:val="nil"/>
                    <w:tr2bl w:val="nil"/>
                  </w:tcBorders>
                  <w:shd w:val="clear" w:color="auto" w:fill="auto"/>
                  <w:noWrap w:val="0"/>
                  <w:vAlign w:val="center"/>
                </w:tcPr>
                <w:p w14:paraId="63C6DA36">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颗粒物</w:t>
                  </w:r>
                </w:p>
              </w:tc>
              <w:tc>
                <w:tcPr>
                  <w:tcW w:w="1235" w:type="dxa"/>
                  <w:tcBorders>
                    <w:tl2br w:val="nil"/>
                    <w:tr2bl w:val="nil"/>
                  </w:tcBorders>
                  <w:shd w:val="clear" w:color="auto" w:fill="auto"/>
                  <w:noWrap w:val="0"/>
                  <w:vAlign w:val="center"/>
                </w:tcPr>
                <w:p w14:paraId="4280EAD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120</w:t>
                  </w:r>
                </w:p>
              </w:tc>
              <w:tc>
                <w:tcPr>
                  <w:tcW w:w="969" w:type="dxa"/>
                  <w:vMerge w:val="continue"/>
                  <w:tcBorders>
                    <w:tl2br w:val="nil"/>
                    <w:tr2bl w:val="nil"/>
                  </w:tcBorders>
                  <w:noWrap w:val="0"/>
                  <w:vAlign w:val="center"/>
                </w:tcPr>
                <w:p w14:paraId="6B4CEA1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923" w:type="dxa"/>
                  <w:tcBorders>
                    <w:tl2br w:val="nil"/>
                    <w:tr2bl w:val="nil"/>
                  </w:tcBorders>
                  <w:shd w:val="clear" w:color="auto" w:fill="auto"/>
                  <w:noWrap w:val="0"/>
                  <w:vAlign w:val="center"/>
                </w:tcPr>
                <w:p w14:paraId="447B94DC">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11.03</w:t>
                  </w:r>
                </w:p>
              </w:tc>
              <w:tc>
                <w:tcPr>
                  <w:tcW w:w="750" w:type="dxa"/>
                  <w:vMerge w:val="continue"/>
                  <w:tcBorders>
                    <w:tl2br w:val="nil"/>
                    <w:tr2bl w:val="nil"/>
                  </w:tcBorders>
                  <w:noWrap w:val="0"/>
                  <w:vAlign w:val="center"/>
                </w:tcPr>
                <w:p w14:paraId="2E0FC45E">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2037" w:type="dxa"/>
                  <w:tcBorders>
                    <w:tl2br w:val="nil"/>
                    <w:tr2bl w:val="nil"/>
                  </w:tcBorders>
                  <w:shd w:val="clear" w:color="auto" w:fill="auto"/>
                  <w:noWrap w:val="0"/>
                  <w:vAlign w:val="center"/>
                </w:tcPr>
                <w:p w14:paraId="61BED4FB">
                  <w:pPr>
                    <w:pStyle w:val="90"/>
                    <w:spacing w:line="240" w:lineRule="auto"/>
                    <w:ind w:firstLine="0" w:firstLineChars="0"/>
                    <w:jc w:val="center"/>
                    <w:rPr>
                      <w:rFonts w:hint="default" w:ascii="Times New Roman" w:hAnsi="Times New Roman" w:cs="Times New Roman" w:eastAsiaTheme="minorEastAsia"/>
                      <w:b w:val="0"/>
                      <w:bCs/>
                      <w:color w:val="auto"/>
                      <w:w w:val="100"/>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1mg/m</w:t>
                  </w:r>
                  <w:r>
                    <w:rPr>
                      <w:rFonts w:hint="default" w:ascii="Times New Roman" w:hAnsi="Times New Roman" w:cs="Times New Roman" w:eastAsiaTheme="minorEastAsia"/>
                      <w:color w:val="auto"/>
                      <w:sz w:val="21"/>
                      <w:szCs w:val="21"/>
                      <w:highlight w:val="none"/>
                      <w:vertAlign w:val="superscript"/>
                    </w:rPr>
                    <w:t>3</w:t>
                  </w:r>
                </w:p>
              </w:tc>
              <w:tc>
                <w:tcPr>
                  <w:tcW w:w="1205" w:type="dxa"/>
                  <w:vMerge w:val="continue"/>
                  <w:tcBorders>
                    <w:tl2br w:val="nil"/>
                    <w:tr2bl w:val="nil"/>
                  </w:tcBorders>
                  <w:shd w:val="clear" w:color="auto" w:fill="auto"/>
                  <w:noWrap w:val="0"/>
                  <w:vAlign w:val="center"/>
                </w:tcPr>
                <w:p w14:paraId="68F10528">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rPr>
                  </w:pPr>
                </w:p>
              </w:tc>
            </w:tr>
            <w:tr w14:paraId="5114EB9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vMerge w:val="restart"/>
                  <w:tcBorders>
                    <w:tl2br w:val="nil"/>
                    <w:tr2bl w:val="nil"/>
                  </w:tcBorders>
                  <w:shd w:val="clear" w:color="auto" w:fill="auto"/>
                  <w:noWrap w:val="0"/>
                  <w:vAlign w:val="center"/>
                </w:tcPr>
                <w:p w14:paraId="27B1138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rPr>
                    <w:t>非甲烷总烃</w:t>
                  </w:r>
                </w:p>
              </w:tc>
              <w:tc>
                <w:tcPr>
                  <w:tcW w:w="1235" w:type="dxa"/>
                  <w:tcBorders>
                    <w:tl2br w:val="nil"/>
                    <w:tr2bl w:val="nil"/>
                  </w:tcBorders>
                  <w:shd w:val="clear" w:color="auto" w:fill="auto"/>
                  <w:noWrap w:val="0"/>
                  <w:vAlign w:val="center"/>
                </w:tcPr>
                <w:p w14:paraId="3A23F90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rPr>
                    <w:t>120</w:t>
                  </w:r>
                </w:p>
              </w:tc>
              <w:tc>
                <w:tcPr>
                  <w:tcW w:w="969" w:type="dxa"/>
                  <w:vMerge w:val="continue"/>
                  <w:tcBorders>
                    <w:tl2br w:val="nil"/>
                    <w:tr2bl w:val="nil"/>
                  </w:tcBorders>
                  <w:shd w:val="clear" w:color="auto" w:fill="auto"/>
                  <w:noWrap w:val="0"/>
                  <w:vAlign w:val="center"/>
                </w:tcPr>
                <w:p w14:paraId="4F95CBF8">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p>
              </w:tc>
              <w:tc>
                <w:tcPr>
                  <w:tcW w:w="923" w:type="dxa"/>
                  <w:tcBorders>
                    <w:tl2br w:val="nil"/>
                    <w:tr2bl w:val="nil"/>
                  </w:tcBorders>
                  <w:shd w:val="clear" w:color="auto" w:fill="auto"/>
                  <w:noWrap w:val="0"/>
                  <w:vAlign w:val="center"/>
                </w:tcPr>
                <w:p w14:paraId="7D4CA4F4">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default" w:ascii="Times New Roman" w:hAnsi="Times New Roman" w:cs="Times New Roman" w:eastAsiaTheme="minorEastAsia"/>
                      <w:b w:val="0"/>
                      <w:bCs/>
                      <w:color w:val="auto"/>
                      <w:w w:val="100"/>
                      <w:sz w:val="21"/>
                      <w:szCs w:val="21"/>
                      <w:highlight w:val="none"/>
                      <w:lang w:val="en-US" w:eastAsia="zh-CN"/>
                    </w:rPr>
                    <w:t>27.8</w:t>
                  </w:r>
                </w:p>
              </w:tc>
              <w:tc>
                <w:tcPr>
                  <w:tcW w:w="750" w:type="dxa"/>
                  <w:vMerge w:val="continue"/>
                  <w:tcBorders>
                    <w:tl2br w:val="nil"/>
                    <w:tr2bl w:val="nil"/>
                  </w:tcBorders>
                  <w:shd w:val="clear" w:color="auto" w:fill="auto"/>
                  <w:noWrap w:val="0"/>
                  <w:vAlign w:val="center"/>
                </w:tcPr>
                <w:p w14:paraId="6DC813F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p>
              </w:tc>
              <w:tc>
                <w:tcPr>
                  <w:tcW w:w="2037" w:type="dxa"/>
                  <w:tcBorders>
                    <w:tl2br w:val="nil"/>
                    <w:tr2bl w:val="nil"/>
                  </w:tcBorders>
                  <w:shd w:val="clear" w:color="auto" w:fill="auto"/>
                  <w:noWrap w:val="0"/>
                  <w:vAlign w:val="center"/>
                </w:tcPr>
                <w:p w14:paraId="76946DED">
                  <w:pPr>
                    <w:pStyle w:val="90"/>
                    <w:spacing w:line="240" w:lineRule="auto"/>
                    <w:ind w:firstLine="0" w:firstLineChars="0"/>
                    <w:jc w:val="center"/>
                    <w:rPr>
                      <w:rFonts w:hint="default" w:ascii="Times New Roman" w:hAnsi="Times New Roman" w:cs="Times New Roman" w:eastAsiaTheme="minorEastAsia"/>
                      <w:b w:val="0"/>
                      <w:bCs/>
                      <w:color w:val="auto"/>
                      <w:w w:val="100"/>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4.0mg/m</w:t>
                  </w:r>
                  <w:r>
                    <w:rPr>
                      <w:rFonts w:hint="default" w:ascii="Times New Roman" w:hAnsi="Times New Roman" w:cs="Times New Roman" w:eastAsiaTheme="minorEastAsia"/>
                      <w:color w:val="auto"/>
                      <w:sz w:val="21"/>
                      <w:szCs w:val="21"/>
                      <w:highlight w:val="none"/>
                      <w:vertAlign w:val="superscript"/>
                      <w:lang w:val="en-US" w:eastAsia="zh-CN"/>
                    </w:rPr>
                    <w:t>3</w:t>
                  </w:r>
                </w:p>
              </w:tc>
              <w:tc>
                <w:tcPr>
                  <w:tcW w:w="1205" w:type="dxa"/>
                  <w:vMerge w:val="continue"/>
                  <w:tcBorders>
                    <w:tl2br w:val="nil"/>
                    <w:tr2bl w:val="nil"/>
                  </w:tcBorders>
                  <w:shd w:val="clear" w:color="auto" w:fill="auto"/>
                  <w:noWrap w:val="0"/>
                  <w:vAlign w:val="center"/>
                </w:tcPr>
                <w:p w14:paraId="78A1E33E">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lang w:val="en-US" w:eastAsia="zh-CN"/>
                    </w:rPr>
                  </w:pPr>
                </w:p>
              </w:tc>
            </w:tr>
            <w:tr w14:paraId="10B1793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8" w:type="dxa"/>
                  <w:vMerge w:val="continue"/>
                  <w:tcBorders>
                    <w:tl2br w:val="nil"/>
                    <w:tr2bl w:val="nil"/>
                  </w:tcBorders>
                  <w:shd w:val="clear" w:color="auto" w:fill="auto"/>
                  <w:noWrap w:val="0"/>
                  <w:vAlign w:val="center"/>
                </w:tcPr>
                <w:p w14:paraId="27252E63">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3877" w:type="dxa"/>
                  <w:gridSpan w:val="4"/>
                  <w:vMerge w:val="restart"/>
                  <w:tcBorders>
                    <w:tl2br w:val="nil"/>
                    <w:tr2bl w:val="nil"/>
                  </w:tcBorders>
                  <w:shd w:val="clear" w:color="auto" w:fill="auto"/>
                  <w:noWrap w:val="0"/>
                  <w:vAlign w:val="center"/>
                </w:tcPr>
                <w:p w14:paraId="6C1AF70C">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zh-CN" w:bidi="ar-SA"/>
                    </w:rPr>
                  </w:pPr>
                  <w:r>
                    <w:rPr>
                      <w:rFonts w:hint="eastAsia" w:ascii="Times New Roman" w:hAnsi="Times New Roman" w:cs="Times New Roman" w:eastAsiaTheme="minorEastAsia"/>
                      <w:b w:val="0"/>
                      <w:bCs/>
                      <w:color w:val="auto"/>
                      <w:w w:val="100"/>
                      <w:kern w:val="0"/>
                      <w:sz w:val="21"/>
                      <w:szCs w:val="21"/>
                      <w:highlight w:val="none"/>
                      <w:lang w:val="en-US" w:eastAsia="zh-CN" w:bidi="ar-SA"/>
                    </w:rPr>
                    <w:t>在厂房外设置监控点</w:t>
                  </w:r>
                </w:p>
              </w:tc>
              <w:tc>
                <w:tcPr>
                  <w:tcW w:w="2037" w:type="dxa"/>
                  <w:tcBorders>
                    <w:tl2br w:val="nil"/>
                    <w:tr2bl w:val="nil"/>
                  </w:tcBorders>
                  <w:shd w:val="clear" w:color="auto" w:fill="auto"/>
                  <w:noWrap w:val="0"/>
                  <w:vAlign w:val="center"/>
                </w:tcPr>
                <w:p w14:paraId="23FE36E4">
                  <w:pPr>
                    <w:pStyle w:val="90"/>
                    <w:spacing w:line="240" w:lineRule="auto"/>
                    <w:ind w:firstLine="0" w:firstLineChars="0"/>
                    <w:jc w:val="center"/>
                    <w:rPr>
                      <w:rFonts w:hint="eastAsia"/>
                      <w:color w:val="auto"/>
                      <w:sz w:val="21"/>
                      <w:szCs w:val="21"/>
                      <w:highlight w:val="none"/>
                      <w:vertAlign w:val="superscript"/>
                    </w:rPr>
                  </w:pPr>
                  <w:r>
                    <w:rPr>
                      <w:rFonts w:hint="eastAsia"/>
                      <w:color w:val="auto"/>
                      <w:sz w:val="21"/>
                      <w:szCs w:val="21"/>
                      <w:highlight w:val="none"/>
                      <w:lang w:val="en-US" w:eastAsia="zh-CN"/>
                    </w:rPr>
                    <w:t>6.0</w:t>
                  </w:r>
                  <w:r>
                    <w:rPr>
                      <w:rFonts w:hint="eastAsia"/>
                      <w:color w:val="auto"/>
                      <w:sz w:val="21"/>
                      <w:szCs w:val="21"/>
                      <w:highlight w:val="none"/>
                    </w:rPr>
                    <w:t>mg/m</w:t>
                  </w:r>
                  <w:r>
                    <w:rPr>
                      <w:rFonts w:hint="eastAsia"/>
                      <w:color w:val="auto"/>
                      <w:sz w:val="21"/>
                      <w:szCs w:val="21"/>
                      <w:highlight w:val="none"/>
                      <w:vertAlign w:val="superscript"/>
                    </w:rPr>
                    <w:t>3</w:t>
                  </w:r>
                </w:p>
                <w:p w14:paraId="17C6C388">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olor w:val="auto"/>
                      <w:sz w:val="21"/>
                      <w:szCs w:val="21"/>
                      <w:highlight w:val="none"/>
                      <w:vertAlign w:val="baseline"/>
                      <w:lang w:val="en-US" w:eastAsia="zh-CN"/>
                    </w:rPr>
                    <w:t>（1h平均浓度值）</w:t>
                  </w:r>
                </w:p>
              </w:tc>
              <w:tc>
                <w:tcPr>
                  <w:tcW w:w="1205" w:type="dxa"/>
                  <w:vMerge w:val="restart"/>
                  <w:tcBorders>
                    <w:tl2br w:val="nil"/>
                    <w:tr2bl w:val="nil"/>
                  </w:tcBorders>
                  <w:shd w:val="clear" w:color="auto" w:fill="auto"/>
                  <w:noWrap w:val="0"/>
                  <w:vAlign w:val="center"/>
                </w:tcPr>
                <w:p w14:paraId="16310E31">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GB37822-2019</w:t>
                  </w:r>
                </w:p>
              </w:tc>
            </w:tr>
            <w:tr w14:paraId="1C2A026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PrEx>
              <w:trPr>
                <w:trHeight w:val="433" w:hRule="atLeast"/>
                <w:jc w:val="center"/>
              </w:trPr>
              <w:tc>
                <w:tcPr>
                  <w:tcW w:w="898" w:type="dxa"/>
                  <w:vMerge w:val="continue"/>
                  <w:tcBorders>
                    <w:tl2br w:val="nil"/>
                    <w:tr2bl w:val="nil"/>
                  </w:tcBorders>
                  <w:shd w:val="clear" w:color="auto" w:fill="auto"/>
                  <w:noWrap w:val="0"/>
                  <w:vAlign w:val="center"/>
                </w:tcPr>
                <w:p w14:paraId="4B797750">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sz w:val="21"/>
                      <w:szCs w:val="21"/>
                      <w:highlight w:val="none"/>
                    </w:rPr>
                  </w:pPr>
                </w:p>
              </w:tc>
              <w:tc>
                <w:tcPr>
                  <w:tcW w:w="3877" w:type="dxa"/>
                  <w:gridSpan w:val="4"/>
                  <w:vMerge w:val="continue"/>
                  <w:tcBorders>
                    <w:tl2br w:val="nil"/>
                    <w:tr2bl w:val="nil"/>
                  </w:tcBorders>
                  <w:shd w:val="clear" w:color="auto" w:fill="auto"/>
                  <w:noWrap w:val="0"/>
                  <w:vAlign w:val="center"/>
                </w:tcPr>
                <w:p w14:paraId="49E37692">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leftChars="0" w:right="0" w:rightChars="0" w:firstLine="0" w:firstLineChars="0"/>
                    <w:jc w:val="center"/>
                    <w:textAlignment w:val="baseline"/>
                    <w:rPr>
                      <w:rFonts w:hint="default" w:ascii="Times New Roman" w:hAnsi="Times New Roman" w:cs="Times New Roman" w:eastAsiaTheme="minorEastAsia"/>
                      <w:b w:val="0"/>
                      <w:bCs/>
                      <w:color w:val="auto"/>
                      <w:w w:val="100"/>
                      <w:kern w:val="0"/>
                      <w:sz w:val="21"/>
                      <w:szCs w:val="21"/>
                      <w:highlight w:val="none"/>
                      <w:lang w:val="en-US" w:eastAsia="en-US" w:bidi="ar-SA"/>
                    </w:rPr>
                  </w:pPr>
                </w:p>
              </w:tc>
              <w:tc>
                <w:tcPr>
                  <w:tcW w:w="2037" w:type="dxa"/>
                  <w:tcBorders>
                    <w:tl2br w:val="nil"/>
                    <w:tr2bl w:val="nil"/>
                  </w:tcBorders>
                  <w:shd w:val="clear" w:color="auto" w:fill="auto"/>
                  <w:noWrap w:val="0"/>
                  <w:vAlign w:val="center"/>
                </w:tcPr>
                <w:p w14:paraId="300A0032">
                  <w:pPr>
                    <w:pStyle w:val="90"/>
                    <w:spacing w:line="240" w:lineRule="auto"/>
                    <w:ind w:firstLine="0" w:firstLineChars="0"/>
                    <w:jc w:val="center"/>
                    <w:rPr>
                      <w:rFonts w:hint="eastAsia"/>
                      <w:color w:val="auto"/>
                      <w:sz w:val="21"/>
                      <w:szCs w:val="21"/>
                      <w:highlight w:val="none"/>
                      <w:vertAlign w:val="superscript"/>
                    </w:rPr>
                  </w:pPr>
                  <w:r>
                    <w:rPr>
                      <w:rFonts w:hint="eastAsia"/>
                      <w:color w:val="auto"/>
                      <w:sz w:val="21"/>
                      <w:szCs w:val="21"/>
                      <w:highlight w:val="none"/>
                      <w:lang w:val="en-US" w:eastAsia="zh-CN"/>
                    </w:rPr>
                    <w:t>20.0</w:t>
                  </w:r>
                  <w:r>
                    <w:rPr>
                      <w:rFonts w:hint="eastAsia"/>
                      <w:color w:val="auto"/>
                      <w:sz w:val="21"/>
                      <w:szCs w:val="21"/>
                      <w:highlight w:val="none"/>
                    </w:rPr>
                    <w:t>mg/m</w:t>
                  </w:r>
                  <w:r>
                    <w:rPr>
                      <w:rFonts w:hint="eastAsia"/>
                      <w:color w:val="auto"/>
                      <w:sz w:val="21"/>
                      <w:szCs w:val="21"/>
                      <w:highlight w:val="none"/>
                      <w:vertAlign w:val="superscript"/>
                    </w:rPr>
                    <w:t>3</w:t>
                  </w:r>
                </w:p>
                <w:p w14:paraId="14F61F32">
                  <w:pPr>
                    <w:pStyle w:val="90"/>
                    <w:spacing w:line="240" w:lineRule="auto"/>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olor w:val="auto"/>
                      <w:sz w:val="21"/>
                      <w:szCs w:val="21"/>
                      <w:highlight w:val="none"/>
                      <w:vertAlign w:val="baseline"/>
                      <w:lang w:val="en-US" w:eastAsia="zh-CN"/>
                    </w:rPr>
                    <w:t>（任意一次浓度值）</w:t>
                  </w:r>
                </w:p>
              </w:tc>
              <w:tc>
                <w:tcPr>
                  <w:tcW w:w="1205" w:type="dxa"/>
                  <w:vMerge w:val="continue"/>
                  <w:tcBorders>
                    <w:tl2br w:val="nil"/>
                    <w:tr2bl w:val="nil"/>
                  </w:tcBorders>
                  <w:shd w:val="clear" w:color="auto" w:fill="auto"/>
                  <w:noWrap w:val="0"/>
                  <w:vAlign w:val="center"/>
                </w:tcPr>
                <w:p w14:paraId="14C5D94A">
                  <w:pPr>
                    <w:pStyle w:val="90"/>
                    <w:spacing w:line="240" w:lineRule="auto"/>
                    <w:ind w:firstLine="0" w:firstLineChars="0"/>
                    <w:jc w:val="center"/>
                    <w:rPr>
                      <w:rFonts w:hint="default" w:ascii="Times New Roman" w:hAnsi="Times New Roman" w:cs="Times New Roman" w:eastAsiaTheme="minorEastAsia"/>
                      <w:color w:val="auto"/>
                      <w:sz w:val="21"/>
                      <w:szCs w:val="21"/>
                      <w:highlight w:val="none"/>
                      <w:vertAlign w:val="baseline"/>
                      <w:lang w:val="en-US" w:eastAsia="zh-CN"/>
                    </w:rPr>
                  </w:pPr>
                </w:p>
              </w:tc>
            </w:tr>
            <w:tr w14:paraId="3E28B6E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017" w:type="dxa"/>
                  <w:gridSpan w:val="7"/>
                  <w:tcBorders>
                    <w:tl2br w:val="nil"/>
                    <w:tr2bl w:val="nil"/>
                  </w:tcBorders>
                  <w:noWrap w:val="0"/>
                  <w:vAlign w:val="center"/>
                </w:tcPr>
                <w:p w14:paraId="02E55A5F">
                  <w:pPr>
                    <w:pStyle w:val="95"/>
                    <w:keepNext w:val="0"/>
                    <w:keepLines w:val="0"/>
                    <w:pageBreakBefore w:val="0"/>
                    <w:widowControl/>
                    <w:kinsoku/>
                    <w:wordWrap/>
                    <w:overflowPunct w:val="0"/>
                    <w:topLinePunct w:val="0"/>
                    <w:autoSpaceDE w:val="0"/>
                    <w:autoSpaceDN w:val="0"/>
                    <w:bidi w:val="0"/>
                    <w:adjustRightInd/>
                    <w:snapToGrid/>
                    <w:spacing w:beforeLines="0" w:afterLines="0" w:line="240" w:lineRule="auto"/>
                    <w:ind w:left="0" w:right="0" w:firstLine="0"/>
                    <w:jc w:val="both"/>
                    <w:textAlignment w:val="baseline"/>
                    <w:rPr>
                      <w:rFonts w:hint="default" w:ascii="Times New Roman" w:hAnsi="Times New Roman" w:cs="Times New Roman" w:eastAsiaTheme="minorEastAsia"/>
                      <w:b w:val="0"/>
                      <w:bCs/>
                      <w:color w:val="auto"/>
                      <w:w w:val="100"/>
                      <w:sz w:val="21"/>
                      <w:szCs w:val="21"/>
                      <w:highlight w:val="none"/>
                      <w:lang w:val="en-US" w:eastAsia="zh-CN"/>
                    </w:rPr>
                  </w:pPr>
                  <w:r>
                    <w:rPr>
                      <w:rFonts w:hint="default" w:ascii="Times New Roman" w:hAnsi="Times New Roman" w:cs="Times New Roman" w:eastAsiaTheme="minorEastAsia"/>
                      <w:b w:val="0"/>
                      <w:bCs/>
                      <w:color w:val="auto"/>
                      <w:w w:val="100"/>
                      <w:sz w:val="21"/>
                      <w:szCs w:val="21"/>
                      <w:highlight w:val="none"/>
                      <w:lang w:val="en-US" w:eastAsia="zh-CN"/>
                    </w:rPr>
                    <w:t>注：</w:t>
                  </w:r>
                  <w:r>
                    <w:rPr>
                      <w:rFonts w:hint="default" w:ascii="Times New Roman" w:hAnsi="Times New Roman" w:cs="Times New Roman" w:eastAsiaTheme="minorEastAsia"/>
                      <w:b w:val="0"/>
                      <w:bCs/>
                      <w:color w:val="auto"/>
                      <w:w w:val="100"/>
                      <w:sz w:val="21"/>
                      <w:szCs w:val="21"/>
                      <w:highlight w:val="none"/>
                    </w:rPr>
                    <w:t>*</w:t>
                  </w:r>
                  <w:r>
                    <w:rPr>
                      <w:rFonts w:hint="default" w:ascii="Times New Roman" w:hAnsi="Times New Roman" w:cs="Times New Roman" w:eastAsiaTheme="minorEastAsia"/>
                      <w:b w:val="0"/>
                      <w:bCs/>
                      <w:color w:val="auto"/>
                      <w:w w:val="100"/>
                      <w:sz w:val="21"/>
                      <w:szCs w:val="21"/>
                      <w:highlight w:val="none"/>
                      <w:lang w:val="en-US" w:eastAsia="zh-CN"/>
                    </w:rPr>
                    <w:t>按排气筒高度采用内差法计算所得的最高允许排放速率。</w:t>
                  </w:r>
                </w:p>
              </w:tc>
            </w:tr>
          </w:tbl>
          <w:p w14:paraId="27B6BE8D">
            <w:pPr>
              <w:adjustRightInd w:val="0"/>
              <w:snapToGrid w:val="0"/>
              <w:spacing w:before="120" w:beforeLines="50" w:line="360" w:lineRule="auto"/>
              <w:ind w:firstLine="482" w:firstLineChars="200"/>
              <w:jc w:val="left"/>
              <w:rPr>
                <w:b/>
                <w:bCs/>
                <w:color w:val="auto"/>
                <w:sz w:val="24"/>
                <w:highlight w:val="none"/>
              </w:rPr>
            </w:pPr>
            <w:r>
              <w:rPr>
                <w:rFonts w:hint="eastAsia"/>
                <w:b/>
                <w:bCs/>
                <w:color w:val="auto"/>
                <w:sz w:val="24"/>
                <w:highlight w:val="none"/>
              </w:rPr>
              <w:t>2.</w:t>
            </w:r>
            <w:r>
              <w:rPr>
                <w:b/>
                <w:bCs/>
                <w:color w:val="auto"/>
                <w:sz w:val="24"/>
                <w:highlight w:val="none"/>
              </w:rPr>
              <w:t>废水</w:t>
            </w:r>
          </w:p>
          <w:p w14:paraId="421AEAFB">
            <w:pPr>
              <w:pStyle w:val="7"/>
              <w:ind w:firstLine="480"/>
              <w:rPr>
                <w:color w:val="auto"/>
                <w:szCs w:val="24"/>
                <w:highlight w:val="none"/>
              </w:rPr>
            </w:pPr>
            <w:r>
              <w:rPr>
                <w:rFonts w:hint="eastAsia"/>
                <w:color w:val="auto"/>
                <w:szCs w:val="24"/>
                <w:highlight w:val="none"/>
                <w:lang w:val="en-US" w:eastAsia="zh-CN"/>
              </w:rPr>
              <w:t>项目运营期废水</w:t>
            </w:r>
            <w:r>
              <w:rPr>
                <w:color w:val="auto"/>
                <w:szCs w:val="24"/>
                <w:highlight w:val="none"/>
              </w:rPr>
              <w:t>经处理后达到以下要求：《污水综合排放标准》</w:t>
            </w:r>
            <w:r>
              <w:rPr>
                <w:rFonts w:hint="eastAsia"/>
                <w:color w:val="auto"/>
                <w:szCs w:val="24"/>
                <w:highlight w:val="none"/>
                <w:lang w:eastAsia="zh-CN"/>
              </w:rPr>
              <w:t>（</w:t>
            </w:r>
            <w:r>
              <w:rPr>
                <w:color w:val="auto"/>
                <w:szCs w:val="24"/>
                <w:highlight w:val="none"/>
              </w:rPr>
              <w:t>GB 8978-1996</w:t>
            </w:r>
            <w:r>
              <w:rPr>
                <w:rFonts w:hint="eastAsia"/>
                <w:color w:val="auto"/>
                <w:szCs w:val="24"/>
                <w:highlight w:val="none"/>
                <w:lang w:eastAsia="zh-CN"/>
              </w:rPr>
              <w:t>）</w:t>
            </w:r>
            <w:r>
              <w:rPr>
                <w:rFonts w:hint="eastAsia"/>
                <w:color w:val="auto"/>
                <w:szCs w:val="24"/>
                <w:highlight w:val="none"/>
              </w:rPr>
              <w:t>三级标准、</w:t>
            </w:r>
            <w:r>
              <w:rPr>
                <w:color w:val="auto"/>
                <w:szCs w:val="24"/>
                <w:highlight w:val="none"/>
              </w:rPr>
              <w:t>《污水排入城镇下水道水质标准》</w:t>
            </w:r>
            <w:r>
              <w:rPr>
                <w:rFonts w:hint="eastAsia"/>
                <w:color w:val="auto"/>
                <w:szCs w:val="24"/>
                <w:highlight w:val="none"/>
                <w:lang w:eastAsia="zh-CN"/>
              </w:rPr>
              <w:t>（</w:t>
            </w:r>
            <w:r>
              <w:rPr>
                <w:color w:val="auto"/>
                <w:szCs w:val="24"/>
                <w:highlight w:val="none"/>
              </w:rPr>
              <w:t>GB/T 31962-2015</w:t>
            </w:r>
            <w:r>
              <w:rPr>
                <w:rFonts w:hint="eastAsia"/>
                <w:color w:val="auto"/>
                <w:szCs w:val="24"/>
                <w:highlight w:val="none"/>
                <w:lang w:eastAsia="zh-CN"/>
              </w:rPr>
              <w:t>）</w:t>
            </w:r>
            <w:r>
              <w:rPr>
                <w:rFonts w:hint="eastAsia"/>
                <w:color w:val="auto"/>
                <w:szCs w:val="24"/>
                <w:highlight w:val="none"/>
                <w:lang w:val="en-US" w:eastAsia="zh-CN"/>
              </w:rPr>
              <w:t>中A级标准</w:t>
            </w:r>
            <w:r>
              <w:rPr>
                <w:rFonts w:hint="eastAsia"/>
                <w:color w:val="auto"/>
                <w:szCs w:val="24"/>
                <w:highlight w:val="none"/>
              </w:rPr>
              <w:t>，</w:t>
            </w:r>
            <w:r>
              <w:rPr>
                <w:color w:val="auto"/>
                <w:szCs w:val="24"/>
                <w:highlight w:val="none"/>
              </w:rPr>
              <w:t>详见表3-</w:t>
            </w:r>
            <w:r>
              <w:rPr>
                <w:rFonts w:hint="eastAsia"/>
                <w:color w:val="auto"/>
                <w:szCs w:val="24"/>
                <w:highlight w:val="none"/>
                <w:lang w:val="en-US" w:eastAsia="zh-CN"/>
              </w:rPr>
              <w:t>3</w:t>
            </w:r>
            <w:r>
              <w:rPr>
                <w:color w:val="auto"/>
                <w:szCs w:val="24"/>
                <w:highlight w:val="none"/>
              </w:rPr>
              <w:t>。</w:t>
            </w:r>
          </w:p>
          <w:p w14:paraId="39C42483">
            <w:pPr>
              <w:adjustRightInd w:val="0"/>
              <w:snapToGrid w:val="0"/>
              <w:jc w:val="center"/>
              <w:rPr>
                <w:b/>
                <w:color w:val="auto"/>
                <w:szCs w:val="21"/>
                <w:highlight w:val="none"/>
              </w:rPr>
            </w:pPr>
            <w:r>
              <w:rPr>
                <w:b/>
                <w:color w:val="auto"/>
                <w:szCs w:val="21"/>
                <w:highlight w:val="none"/>
              </w:rPr>
              <w:t>表3-</w:t>
            </w:r>
            <w:r>
              <w:rPr>
                <w:rFonts w:hint="eastAsia"/>
                <w:b/>
                <w:color w:val="auto"/>
                <w:szCs w:val="21"/>
                <w:highlight w:val="none"/>
                <w:lang w:val="en-US" w:eastAsia="zh-CN"/>
              </w:rPr>
              <w:t>3</w:t>
            </w:r>
            <w:r>
              <w:rPr>
                <w:b/>
                <w:color w:val="auto"/>
                <w:szCs w:val="21"/>
                <w:highlight w:val="none"/>
              </w:rPr>
              <w:t xml:space="preserve">  </w:t>
            </w:r>
            <w:r>
              <w:rPr>
                <w:rFonts w:hint="eastAsia"/>
                <w:b/>
                <w:color w:val="auto"/>
                <w:szCs w:val="21"/>
                <w:highlight w:val="none"/>
              </w:rPr>
              <w:t xml:space="preserve"> 污水排放标准限</w:t>
            </w:r>
            <w:r>
              <w:rPr>
                <w:rFonts w:hint="eastAsia"/>
                <w:b/>
                <w:color w:val="auto"/>
                <w:szCs w:val="21"/>
                <w:highlight w:val="none"/>
                <w:lang w:val="en-US" w:eastAsia="zh-CN"/>
              </w:rPr>
              <w:t>值     单位：</w:t>
            </w:r>
            <w:r>
              <w:rPr>
                <w:b/>
                <w:color w:val="auto"/>
                <w:szCs w:val="21"/>
                <w:highlight w:val="none"/>
              </w:rPr>
              <w:t>mg/L（</w:t>
            </w:r>
            <w:r>
              <w:rPr>
                <w:rFonts w:hint="eastAsia"/>
                <w:b/>
                <w:color w:val="auto"/>
                <w:szCs w:val="21"/>
                <w:highlight w:val="none"/>
                <w:lang w:val="en-US" w:eastAsia="zh-CN"/>
              </w:rPr>
              <w:t>pH除外</w:t>
            </w:r>
            <w:r>
              <w:rPr>
                <w:b/>
                <w:color w:val="auto"/>
                <w:szCs w:val="21"/>
                <w:highlight w:val="none"/>
              </w:rPr>
              <w:t>）</w:t>
            </w:r>
          </w:p>
          <w:tbl>
            <w:tblPr>
              <w:tblStyle w:val="28"/>
              <w:tblW w:w="7915" w:type="dxa"/>
              <w:tblInd w:w="1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90"/>
              <w:gridCol w:w="634"/>
              <w:gridCol w:w="822"/>
              <w:gridCol w:w="532"/>
              <w:gridCol w:w="902"/>
              <w:gridCol w:w="860"/>
              <w:gridCol w:w="735"/>
              <w:gridCol w:w="714"/>
              <w:gridCol w:w="726"/>
            </w:tblGrid>
            <w:tr w14:paraId="2055E2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257" w:type="pct"/>
                  <w:tcBorders>
                    <w:tl2br w:val="nil"/>
                    <w:tr2bl w:val="nil"/>
                  </w:tcBorders>
                  <w:noWrap w:val="0"/>
                  <w:vAlign w:val="center"/>
                </w:tcPr>
                <w:p w14:paraId="4C1A2AAB">
                  <w:pPr>
                    <w:pStyle w:val="7"/>
                    <w:spacing w:line="240" w:lineRule="auto"/>
                    <w:ind w:firstLine="0" w:firstLineChars="0"/>
                    <w:jc w:val="center"/>
                    <w:rPr>
                      <w:b/>
                      <w:bCs/>
                      <w:color w:val="auto"/>
                      <w:sz w:val="21"/>
                      <w:szCs w:val="21"/>
                      <w:highlight w:val="none"/>
                    </w:rPr>
                  </w:pPr>
                  <w:r>
                    <w:rPr>
                      <w:b/>
                      <w:bCs/>
                      <w:color w:val="auto"/>
                      <w:sz w:val="21"/>
                      <w:szCs w:val="21"/>
                      <w:highlight w:val="none"/>
                    </w:rPr>
                    <w:t>类别</w:t>
                  </w:r>
                </w:p>
              </w:tc>
              <w:tc>
                <w:tcPr>
                  <w:tcW w:w="400" w:type="pct"/>
                  <w:tcBorders>
                    <w:tl2br w:val="nil"/>
                    <w:tr2bl w:val="nil"/>
                  </w:tcBorders>
                  <w:noWrap w:val="0"/>
                  <w:vAlign w:val="center"/>
                </w:tcPr>
                <w:p w14:paraId="4B50B376">
                  <w:pPr>
                    <w:pStyle w:val="7"/>
                    <w:spacing w:line="240" w:lineRule="auto"/>
                    <w:ind w:firstLine="0" w:firstLineChars="0"/>
                    <w:jc w:val="center"/>
                    <w:rPr>
                      <w:b/>
                      <w:bCs/>
                      <w:color w:val="auto"/>
                      <w:sz w:val="21"/>
                      <w:szCs w:val="21"/>
                      <w:highlight w:val="none"/>
                    </w:rPr>
                  </w:pPr>
                  <w:r>
                    <w:rPr>
                      <w:rFonts w:hint="eastAsia"/>
                      <w:b/>
                      <w:bCs/>
                      <w:color w:val="auto"/>
                      <w:sz w:val="21"/>
                      <w:szCs w:val="21"/>
                      <w:highlight w:val="none"/>
                    </w:rPr>
                    <w:t>pH</w:t>
                  </w:r>
                </w:p>
              </w:tc>
              <w:tc>
                <w:tcPr>
                  <w:tcW w:w="519" w:type="pct"/>
                  <w:tcBorders>
                    <w:tl2br w:val="nil"/>
                    <w:tr2bl w:val="nil"/>
                  </w:tcBorders>
                  <w:noWrap w:val="0"/>
                  <w:vAlign w:val="center"/>
                </w:tcPr>
                <w:p w14:paraId="7B33F89F">
                  <w:pPr>
                    <w:pStyle w:val="7"/>
                    <w:spacing w:line="240" w:lineRule="auto"/>
                    <w:ind w:firstLine="0" w:firstLineChars="0"/>
                    <w:jc w:val="center"/>
                    <w:rPr>
                      <w:b/>
                      <w:bCs/>
                      <w:color w:val="auto"/>
                      <w:sz w:val="21"/>
                      <w:szCs w:val="21"/>
                      <w:highlight w:val="none"/>
                    </w:rPr>
                  </w:pPr>
                  <w:r>
                    <w:rPr>
                      <w:b/>
                      <w:bCs/>
                      <w:color w:val="auto"/>
                      <w:sz w:val="21"/>
                      <w:szCs w:val="21"/>
                      <w:highlight w:val="none"/>
                    </w:rPr>
                    <w:t>COD</w:t>
                  </w:r>
                </w:p>
              </w:tc>
              <w:tc>
                <w:tcPr>
                  <w:tcW w:w="336" w:type="pct"/>
                  <w:tcBorders>
                    <w:tl2br w:val="nil"/>
                    <w:tr2bl w:val="nil"/>
                  </w:tcBorders>
                  <w:noWrap w:val="0"/>
                  <w:vAlign w:val="center"/>
                </w:tcPr>
                <w:p w14:paraId="15970A60">
                  <w:pPr>
                    <w:pStyle w:val="7"/>
                    <w:spacing w:line="240" w:lineRule="auto"/>
                    <w:ind w:firstLine="0" w:firstLineChars="0"/>
                    <w:jc w:val="center"/>
                    <w:rPr>
                      <w:b/>
                      <w:bCs/>
                      <w:color w:val="auto"/>
                      <w:sz w:val="21"/>
                      <w:szCs w:val="21"/>
                      <w:highlight w:val="none"/>
                    </w:rPr>
                  </w:pPr>
                  <w:r>
                    <w:rPr>
                      <w:b/>
                      <w:bCs/>
                      <w:color w:val="auto"/>
                      <w:sz w:val="21"/>
                      <w:szCs w:val="21"/>
                      <w:highlight w:val="none"/>
                    </w:rPr>
                    <w:t>SS</w:t>
                  </w:r>
                </w:p>
              </w:tc>
              <w:tc>
                <w:tcPr>
                  <w:tcW w:w="569" w:type="pct"/>
                  <w:tcBorders>
                    <w:tl2br w:val="nil"/>
                    <w:tr2bl w:val="nil"/>
                  </w:tcBorders>
                  <w:noWrap w:val="0"/>
                  <w:vAlign w:val="center"/>
                </w:tcPr>
                <w:p w14:paraId="2E675207">
                  <w:pPr>
                    <w:pStyle w:val="7"/>
                    <w:spacing w:line="240" w:lineRule="auto"/>
                    <w:ind w:firstLine="0" w:firstLineChars="0"/>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BOD</w:t>
                  </w:r>
                  <w:r>
                    <w:rPr>
                      <w:rFonts w:hint="eastAsia"/>
                      <w:b/>
                      <w:bCs/>
                      <w:color w:val="auto"/>
                      <w:sz w:val="21"/>
                      <w:szCs w:val="21"/>
                      <w:highlight w:val="none"/>
                      <w:vertAlign w:val="subscript"/>
                      <w:lang w:val="en-US" w:eastAsia="zh-CN"/>
                    </w:rPr>
                    <w:t>5</w:t>
                  </w:r>
                </w:p>
              </w:tc>
              <w:tc>
                <w:tcPr>
                  <w:tcW w:w="543" w:type="pct"/>
                  <w:tcBorders>
                    <w:tl2br w:val="nil"/>
                    <w:tr2bl w:val="nil"/>
                  </w:tcBorders>
                  <w:noWrap w:val="0"/>
                  <w:vAlign w:val="center"/>
                </w:tcPr>
                <w:p w14:paraId="59959A4C">
                  <w:pPr>
                    <w:pStyle w:val="7"/>
                    <w:spacing w:line="240" w:lineRule="auto"/>
                    <w:ind w:firstLine="0" w:firstLineChars="0"/>
                    <w:jc w:val="center"/>
                    <w:rPr>
                      <w:b/>
                      <w:bCs/>
                      <w:color w:val="auto"/>
                      <w:sz w:val="21"/>
                      <w:szCs w:val="21"/>
                      <w:highlight w:val="none"/>
                    </w:rPr>
                  </w:pPr>
                  <w:r>
                    <w:rPr>
                      <w:b/>
                      <w:bCs/>
                      <w:color w:val="auto"/>
                      <w:sz w:val="21"/>
                      <w:szCs w:val="21"/>
                      <w:highlight w:val="none"/>
                    </w:rPr>
                    <w:t>NH</w:t>
                  </w:r>
                  <w:r>
                    <w:rPr>
                      <w:b/>
                      <w:bCs/>
                      <w:color w:val="auto"/>
                      <w:sz w:val="21"/>
                      <w:szCs w:val="21"/>
                      <w:highlight w:val="none"/>
                      <w:vertAlign w:val="subscript"/>
                    </w:rPr>
                    <w:t>3</w:t>
                  </w:r>
                  <w:r>
                    <w:rPr>
                      <w:b/>
                      <w:bCs/>
                      <w:color w:val="auto"/>
                      <w:sz w:val="21"/>
                      <w:szCs w:val="21"/>
                      <w:highlight w:val="none"/>
                    </w:rPr>
                    <w:t>-N</w:t>
                  </w:r>
                </w:p>
              </w:tc>
              <w:tc>
                <w:tcPr>
                  <w:tcW w:w="464" w:type="pct"/>
                  <w:tcBorders>
                    <w:tl2br w:val="nil"/>
                    <w:tr2bl w:val="nil"/>
                  </w:tcBorders>
                  <w:noWrap w:val="0"/>
                  <w:vAlign w:val="center"/>
                </w:tcPr>
                <w:p w14:paraId="660F9B3A">
                  <w:pPr>
                    <w:pStyle w:val="7"/>
                    <w:spacing w:line="240" w:lineRule="auto"/>
                    <w:ind w:firstLine="0" w:firstLineChars="0"/>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总磷</w:t>
                  </w:r>
                </w:p>
              </w:tc>
              <w:tc>
                <w:tcPr>
                  <w:tcW w:w="451" w:type="pct"/>
                  <w:tcBorders>
                    <w:tl2br w:val="nil"/>
                    <w:tr2bl w:val="nil"/>
                  </w:tcBorders>
                  <w:noWrap w:val="0"/>
                  <w:vAlign w:val="center"/>
                </w:tcPr>
                <w:p w14:paraId="696ACFCF">
                  <w:pPr>
                    <w:pStyle w:val="7"/>
                    <w:spacing w:line="240" w:lineRule="auto"/>
                    <w:ind w:firstLine="0" w:firstLineChars="0"/>
                    <w:jc w:val="center"/>
                    <w:rPr>
                      <w:rFonts w:hint="default"/>
                      <w:b/>
                      <w:bCs/>
                      <w:color w:val="auto"/>
                      <w:sz w:val="21"/>
                      <w:szCs w:val="21"/>
                      <w:highlight w:val="none"/>
                      <w:lang w:val="en-US" w:eastAsia="zh-CN"/>
                    </w:rPr>
                  </w:pPr>
                  <w:r>
                    <w:rPr>
                      <w:rFonts w:hint="eastAsia"/>
                      <w:b/>
                      <w:bCs/>
                      <w:color w:val="auto"/>
                      <w:sz w:val="21"/>
                      <w:szCs w:val="21"/>
                      <w:highlight w:val="none"/>
                      <w:lang w:val="en-US" w:eastAsia="zh-CN"/>
                    </w:rPr>
                    <w:t>总氮</w:t>
                  </w:r>
                </w:p>
              </w:tc>
              <w:tc>
                <w:tcPr>
                  <w:tcW w:w="458" w:type="pct"/>
                  <w:tcBorders>
                    <w:tl2br w:val="nil"/>
                    <w:tr2bl w:val="nil"/>
                  </w:tcBorders>
                  <w:noWrap w:val="0"/>
                  <w:vAlign w:val="center"/>
                </w:tcPr>
                <w:p w14:paraId="2C868BE3">
                  <w:pPr>
                    <w:pStyle w:val="7"/>
                    <w:spacing w:line="240" w:lineRule="auto"/>
                    <w:ind w:firstLine="0" w:firstLineChars="0"/>
                    <w:jc w:val="center"/>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动植物油</w:t>
                  </w:r>
                </w:p>
              </w:tc>
            </w:tr>
            <w:tr w14:paraId="197F1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257" w:type="pct"/>
                  <w:tcBorders>
                    <w:tl2br w:val="nil"/>
                    <w:tr2bl w:val="nil"/>
                  </w:tcBorders>
                  <w:noWrap w:val="0"/>
                  <w:vAlign w:val="center"/>
                </w:tcPr>
                <w:p w14:paraId="58E379DD">
                  <w:pPr>
                    <w:pStyle w:val="7"/>
                    <w:spacing w:line="240" w:lineRule="auto"/>
                    <w:ind w:firstLine="0" w:firstLineChars="0"/>
                    <w:jc w:val="center"/>
                    <w:rPr>
                      <w:color w:val="auto"/>
                      <w:sz w:val="21"/>
                      <w:szCs w:val="21"/>
                      <w:highlight w:val="none"/>
                    </w:rPr>
                  </w:pPr>
                  <w:r>
                    <w:rPr>
                      <w:color w:val="auto"/>
                      <w:sz w:val="21"/>
                      <w:szCs w:val="21"/>
                      <w:highlight w:val="none"/>
                    </w:rPr>
                    <w:t>《污水综合排放标准》（GB8978—1996）三级标准</w:t>
                  </w:r>
                </w:p>
              </w:tc>
              <w:tc>
                <w:tcPr>
                  <w:tcW w:w="400" w:type="pct"/>
                  <w:tcBorders>
                    <w:tl2br w:val="nil"/>
                    <w:tr2bl w:val="nil"/>
                  </w:tcBorders>
                  <w:noWrap w:val="0"/>
                  <w:vAlign w:val="center"/>
                </w:tcPr>
                <w:p w14:paraId="345748E5">
                  <w:pPr>
                    <w:pStyle w:val="7"/>
                    <w:spacing w:line="240" w:lineRule="auto"/>
                    <w:ind w:firstLine="0" w:firstLineChars="0"/>
                    <w:jc w:val="center"/>
                    <w:rPr>
                      <w:color w:val="auto"/>
                      <w:sz w:val="21"/>
                      <w:szCs w:val="21"/>
                      <w:highlight w:val="none"/>
                    </w:rPr>
                  </w:pPr>
                  <w:r>
                    <w:rPr>
                      <w:rFonts w:hint="eastAsia"/>
                      <w:color w:val="auto"/>
                      <w:sz w:val="21"/>
                      <w:szCs w:val="21"/>
                      <w:highlight w:val="none"/>
                    </w:rPr>
                    <w:t>6~9</w:t>
                  </w:r>
                </w:p>
              </w:tc>
              <w:tc>
                <w:tcPr>
                  <w:tcW w:w="519" w:type="pct"/>
                  <w:tcBorders>
                    <w:tl2br w:val="nil"/>
                    <w:tr2bl w:val="nil"/>
                  </w:tcBorders>
                  <w:noWrap w:val="0"/>
                  <w:vAlign w:val="center"/>
                </w:tcPr>
                <w:p w14:paraId="19F006EA">
                  <w:pPr>
                    <w:pStyle w:val="7"/>
                    <w:spacing w:line="240" w:lineRule="auto"/>
                    <w:ind w:firstLine="0" w:firstLineChars="0"/>
                    <w:jc w:val="center"/>
                    <w:rPr>
                      <w:color w:val="auto"/>
                      <w:sz w:val="21"/>
                      <w:szCs w:val="21"/>
                      <w:highlight w:val="none"/>
                    </w:rPr>
                  </w:pPr>
                  <w:r>
                    <w:rPr>
                      <w:color w:val="auto"/>
                      <w:sz w:val="21"/>
                      <w:szCs w:val="21"/>
                      <w:highlight w:val="none"/>
                    </w:rPr>
                    <w:t>500</w:t>
                  </w:r>
                </w:p>
              </w:tc>
              <w:tc>
                <w:tcPr>
                  <w:tcW w:w="336" w:type="pct"/>
                  <w:tcBorders>
                    <w:tl2br w:val="nil"/>
                    <w:tr2bl w:val="nil"/>
                  </w:tcBorders>
                  <w:noWrap w:val="0"/>
                  <w:vAlign w:val="center"/>
                </w:tcPr>
                <w:p w14:paraId="214CEDCA">
                  <w:pPr>
                    <w:pStyle w:val="7"/>
                    <w:spacing w:line="240" w:lineRule="auto"/>
                    <w:ind w:firstLine="0" w:firstLineChars="0"/>
                    <w:jc w:val="center"/>
                    <w:rPr>
                      <w:color w:val="auto"/>
                      <w:sz w:val="21"/>
                      <w:szCs w:val="21"/>
                      <w:highlight w:val="none"/>
                    </w:rPr>
                  </w:pPr>
                  <w:r>
                    <w:rPr>
                      <w:color w:val="auto"/>
                      <w:sz w:val="21"/>
                      <w:szCs w:val="21"/>
                      <w:highlight w:val="none"/>
                    </w:rPr>
                    <w:t>400</w:t>
                  </w:r>
                </w:p>
              </w:tc>
              <w:tc>
                <w:tcPr>
                  <w:tcW w:w="569" w:type="pct"/>
                  <w:tcBorders>
                    <w:tl2br w:val="nil"/>
                    <w:tr2bl w:val="nil"/>
                  </w:tcBorders>
                  <w:noWrap w:val="0"/>
                  <w:vAlign w:val="center"/>
                </w:tcPr>
                <w:p w14:paraId="154EAD0E">
                  <w:pPr>
                    <w:pStyle w:val="7"/>
                    <w:spacing w:line="240" w:lineRule="auto"/>
                    <w:ind w:firstLine="0" w:firstLineChars="0"/>
                    <w:jc w:val="center"/>
                    <w:rPr>
                      <w:color w:val="auto"/>
                      <w:sz w:val="21"/>
                      <w:szCs w:val="21"/>
                      <w:highlight w:val="none"/>
                    </w:rPr>
                  </w:pPr>
                  <w:r>
                    <w:rPr>
                      <w:rFonts w:hint="eastAsia"/>
                      <w:color w:val="auto"/>
                      <w:sz w:val="21"/>
                      <w:szCs w:val="21"/>
                      <w:highlight w:val="none"/>
                      <w:lang w:val="en-US" w:eastAsia="zh-CN"/>
                    </w:rPr>
                    <w:t>3</w:t>
                  </w:r>
                  <w:r>
                    <w:rPr>
                      <w:color w:val="auto"/>
                      <w:sz w:val="21"/>
                      <w:szCs w:val="21"/>
                      <w:highlight w:val="none"/>
                    </w:rPr>
                    <w:t>00</w:t>
                  </w:r>
                </w:p>
              </w:tc>
              <w:tc>
                <w:tcPr>
                  <w:tcW w:w="543" w:type="pct"/>
                  <w:tcBorders>
                    <w:tl2br w:val="nil"/>
                    <w:tr2bl w:val="nil"/>
                  </w:tcBorders>
                  <w:noWrap w:val="0"/>
                  <w:vAlign w:val="center"/>
                </w:tcPr>
                <w:p w14:paraId="59B5DA0B">
                  <w:pPr>
                    <w:pStyle w:val="7"/>
                    <w:spacing w:line="240" w:lineRule="auto"/>
                    <w:ind w:firstLine="0" w:firstLineChars="0"/>
                    <w:jc w:val="center"/>
                    <w:rPr>
                      <w:color w:val="auto"/>
                      <w:sz w:val="21"/>
                      <w:szCs w:val="21"/>
                      <w:highlight w:val="none"/>
                    </w:rPr>
                  </w:pPr>
                  <w:r>
                    <w:rPr>
                      <w:rFonts w:hint="eastAsia"/>
                      <w:color w:val="auto"/>
                      <w:sz w:val="21"/>
                      <w:szCs w:val="21"/>
                      <w:highlight w:val="none"/>
                    </w:rPr>
                    <w:t>/</w:t>
                  </w:r>
                </w:p>
              </w:tc>
              <w:tc>
                <w:tcPr>
                  <w:tcW w:w="464" w:type="pct"/>
                  <w:tcBorders>
                    <w:tl2br w:val="nil"/>
                    <w:tr2bl w:val="nil"/>
                  </w:tcBorders>
                  <w:noWrap w:val="0"/>
                  <w:vAlign w:val="center"/>
                </w:tcPr>
                <w:p w14:paraId="3EC75B0B">
                  <w:pPr>
                    <w:pStyle w:val="7"/>
                    <w:spacing w:line="240" w:lineRule="auto"/>
                    <w:ind w:firstLine="0" w:firstLineChars="0"/>
                    <w:jc w:val="center"/>
                    <w:rPr>
                      <w:rFonts w:hint="eastAsia" w:eastAsia="宋体"/>
                      <w:color w:val="auto"/>
                      <w:sz w:val="21"/>
                      <w:szCs w:val="21"/>
                      <w:highlight w:val="none"/>
                      <w:lang w:eastAsia="zh-CN"/>
                    </w:rPr>
                  </w:pPr>
                  <w:r>
                    <w:rPr>
                      <w:rFonts w:hint="eastAsia"/>
                      <w:color w:val="auto"/>
                      <w:sz w:val="21"/>
                      <w:szCs w:val="21"/>
                      <w:highlight w:val="none"/>
                    </w:rPr>
                    <w:t>/</w:t>
                  </w:r>
                </w:p>
              </w:tc>
              <w:tc>
                <w:tcPr>
                  <w:tcW w:w="451" w:type="pct"/>
                  <w:tcBorders>
                    <w:tl2br w:val="nil"/>
                    <w:tr2bl w:val="nil"/>
                  </w:tcBorders>
                  <w:noWrap w:val="0"/>
                  <w:vAlign w:val="center"/>
                </w:tcPr>
                <w:p w14:paraId="22A4CB9D">
                  <w:pPr>
                    <w:pStyle w:val="7"/>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458" w:type="pct"/>
                  <w:tcBorders>
                    <w:tl2br w:val="nil"/>
                    <w:tr2bl w:val="nil"/>
                  </w:tcBorders>
                  <w:noWrap w:val="0"/>
                  <w:vAlign w:val="center"/>
                </w:tcPr>
                <w:p w14:paraId="2D007F9E">
                  <w:pPr>
                    <w:pStyle w:val="7"/>
                    <w:spacing w:line="240" w:lineRule="auto"/>
                    <w:ind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100</w:t>
                  </w:r>
                </w:p>
              </w:tc>
            </w:tr>
            <w:tr w14:paraId="5F5093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257" w:type="pct"/>
                  <w:tcBorders>
                    <w:tl2br w:val="nil"/>
                    <w:tr2bl w:val="nil"/>
                  </w:tcBorders>
                  <w:noWrap w:val="0"/>
                  <w:vAlign w:val="center"/>
                </w:tcPr>
                <w:p w14:paraId="1467782B">
                  <w:pPr>
                    <w:pStyle w:val="7"/>
                    <w:spacing w:line="240" w:lineRule="auto"/>
                    <w:ind w:firstLine="0" w:firstLineChars="0"/>
                    <w:jc w:val="center"/>
                    <w:rPr>
                      <w:rFonts w:hint="default" w:eastAsia="宋体"/>
                      <w:color w:val="auto"/>
                      <w:sz w:val="21"/>
                      <w:szCs w:val="21"/>
                      <w:highlight w:val="none"/>
                      <w:lang w:val="en-US" w:eastAsia="zh-CN"/>
                    </w:rPr>
                  </w:pPr>
                  <w:r>
                    <w:rPr>
                      <w:color w:val="auto"/>
                      <w:sz w:val="21"/>
                      <w:szCs w:val="21"/>
                      <w:highlight w:val="none"/>
                    </w:rPr>
                    <w:t>《污水排入城镇下水道水质标准》（GB/T 31962-2015）</w:t>
                  </w:r>
                  <w:r>
                    <w:rPr>
                      <w:rFonts w:hint="eastAsia"/>
                      <w:color w:val="auto"/>
                      <w:sz w:val="21"/>
                      <w:szCs w:val="21"/>
                      <w:highlight w:val="none"/>
                      <w:lang w:val="en-US" w:eastAsia="zh-CN"/>
                    </w:rPr>
                    <w:t>A级标准</w:t>
                  </w:r>
                </w:p>
              </w:tc>
              <w:tc>
                <w:tcPr>
                  <w:tcW w:w="400" w:type="pct"/>
                  <w:tcBorders>
                    <w:tl2br w:val="nil"/>
                    <w:tr2bl w:val="nil"/>
                  </w:tcBorders>
                  <w:noWrap w:val="0"/>
                  <w:vAlign w:val="center"/>
                </w:tcPr>
                <w:p w14:paraId="6A7B2242">
                  <w:pPr>
                    <w:pStyle w:val="7"/>
                    <w:spacing w:line="240" w:lineRule="auto"/>
                    <w:ind w:firstLine="0" w:firstLineChars="0"/>
                    <w:jc w:val="center"/>
                    <w:rPr>
                      <w:color w:val="auto"/>
                      <w:sz w:val="21"/>
                      <w:szCs w:val="21"/>
                      <w:highlight w:val="none"/>
                    </w:rPr>
                  </w:pPr>
                  <w:r>
                    <w:rPr>
                      <w:rFonts w:hint="eastAsia"/>
                      <w:color w:val="auto"/>
                      <w:sz w:val="21"/>
                      <w:szCs w:val="21"/>
                      <w:highlight w:val="none"/>
                    </w:rPr>
                    <w:t>/</w:t>
                  </w:r>
                </w:p>
              </w:tc>
              <w:tc>
                <w:tcPr>
                  <w:tcW w:w="519" w:type="pct"/>
                  <w:tcBorders>
                    <w:tl2br w:val="nil"/>
                    <w:tr2bl w:val="nil"/>
                  </w:tcBorders>
                  <w:noWrap w:val="0"/>
                  <w:vAlign w:val="center"/>
                </w:tcPr>
                <w:p w14:paraId="53F6AF13">
                  <w:pPr>
                    <w:pStyle w:val="7"/>
                    <w:spacing w:line="240" w:lineRule="auto"/>
                    <w:ind w:firstLine="0" w:firstLineChars="0"/>
                    <w:jc w:val="center"/>
                    <w:rPr>
                      <w:color w:val="auto"/>
                      <w:sz w:val="21"/>
                      <w:szCs w:val="21"/>
                      <w:highlight w:val="none"/>
                    </w:rPr>
                  </w:pPr>
                  <w:r>
                    <w:rPr>
                      <w:rFonts w:hint="eastAsia"/>
                      <w:color w:val="auto"/>
                      <w:sz w:val="21"/>
                      <w:szCs w:val="21"/>
                      <w:highlight w:val="none"/>
                    </w:rPr>
                    <w:t>/</w:t>
                  </w:r>
                </w:p>
              </w:tc>
              <w:tc>
                <w:tcPr>
                  <w:tcW w:w="336" w:type="pct"/>
                  <w:tcBorders>
                    <w:tl2br w:val="nil"/>
                    <w:tr2bl w:val="nil"/>
                  </w:tcBorders>
                  <w:noWrap w:val="0"/>
                  <w:vAlign w:val="center"/>
                </w:tcPr>
                <w:p w14:paraId="0FE793D8">
                  <w:pPr>
                    <w:pStyle w:val="7"/>
                    <w:spacing w:line="240" w:lineRule="auto"/>
                    <w:ind w:firstLine="0" w:firstLineChars="0"/>
                    <w:jc w:val="center"/>
                    <w:rPr>
                      <w:color w:val="auto"/>
                      <w:sz w:val="21"/>
                      <w:szCs w:val="21"/>
                      <w:highlight w:val="none"/>
                    </w:rPr>
                  </w:pPr>
                  <w:r>
                    <w:rPr>
                      <w:rFonts w:hint="eastAsia"/>
                      <w:color w:val="auto"/>
                      <w:sz w:val="21"/>
                      <w:szCs w:val="21"/>
                      <w:highlight w:val="none"/>
                    </w:rPr>
                    <w:t>/</w:t>
                  </w:r>
                </w:p>
              </w:tc>
              <w:tc>
                <w:tcPr>
                  <w:tcW w:w="569" w:type="pct"/>
                  <w:tcBorders>
                    <w:tl2br w:val="nil"/>
                    <w:tr2bl w:val="nil"/>
                  </w:tcBorders>
                  <w:noWrap w:val="0"/>
                  <w:vAlign w:val="center"/>
                </w:tcPr>
                <w:p w14:paraId="759FCEE5">
                  <w:pPr>
                    <w:pStyle w:val="7"/>
                    <w:spacing w:line="240" w:lineRule="auto"/>
                    <w:ind w:firstLine="0" w:firstLineChars="0"/>
                    <w:jc w:val="center"/>
                    <w:rPr>
                      <w:color w:val="auto"/>
                      <w:sz w:val="21"/>
                      <w:szCs w:val="21"/>
                      <w:highlight w:val="none"/>
                    </w:rPr>
                  </w:pPr>
                  <w:r>
                    <w:rPr>
                      <w:rFonts w:hint="eastAsia"/>
                      <w:color w:val="auto"/>
                      <w:sz w:val="21"/>
                      <w:szCs w:val="21"/>
                      <w:highlight w:val="none"/>
                    </w:rPr>
                    <w:t>/</w:t>
                  </w:r>
                </w:p>
              </w:tc>
              <w:tc>
                <w:tcPr>
                  <w:tcW w:w="543" w:type="pct"/>
                  <w:tcBorders>
                    <w:tl2br w:val="nil"/>
                    <w:tr2bl w:val="nil"/>
                  </w:tcBorders>
                  <w:noWrap w:val="0"/>
                  <w:vAlign w:val="center"/>
                </w:tcPr>
                <w:p w14:paraId="29484177">
                  <w:pPr>
                    <w:pStyle w:val="7"/>
                    <w:spacing w:line="240" w:lineRule="auto"/>
                    <w:ind w:firstLine="0" w:firstLineChars="0"/>
                    <w:jc w:val="center"/>
                    <w:rPr>
                      <w:color w:val="auto"/>
                      <w:sz w:val="21"/>
                      <w:szCs w:val="21"/>
                      <w:highlight w:val="none"/>
                    </w:rPr>
                  </w:pPr>
                  <w:r>
                    <w:rPr>
                      <w:color w:val="auto"/>
                      <w:sz w:val="21"/>
                      <w:szCs w:val="21"/>
                      <w:highlight w:val="none"/>
                    </w:rPr>
                    <w:t>45</w:t>
                  </w:r>
                </w:p>
              </w:tc>
              <w:tc>
                <w:tcPr>
                  <w:tcW w:w="464" w:type="pct"/>
                  <w:tcBorders>
                    <w:tl2br w:val="nil"/>
                    <w:tr2bl w:val="nil"/>
                  </w:tcBorders>
                  <w:noWrap w:val="0"/>
                  <w:vAlign w:val="center"/>
                </w:tcPr>
                <w:p w14:paraId="1732AC3F">
                  <w:pPr>
                    <w:pStyle w:val="7"/>
                    <w:spacing w:line="240" w:lineRule="auto"/>
                    <w:ind w:firstLine="0" w:firstLineChars="0"/>
                    <w:jc w:val="center"/>
                    <w:rPr>
                      <w:color w:val="auto"/>
                      <w:sz w:val="21"/>
                      <w:szCs w:val="21"/>
                      <w:highlight w:val="none"/>
                    </w:rPr>
                  </w:pPr>
                  <w:r>
                    <w:rPr>
                      <w:rFonts w:hint="eastAsia"/>
                      <w:color w:val="auto"/>
                      <w:sz w:val="21"/>
                      <w:szCs w:val="21"/>
                      <w:highlight w:val="none"/>
                      <w:lang w:val="en-US" w:eastAsia="zh-CN"/>
                    </w:rPr>
                    <w:t>8</w:t>
                  </w:r>
                </w:p>
              </w:tc>
              <w:tc>
                <w:tcPr>
                  <w:tcW w:w="451" w:type="pct"/>
                  <w:tcBorders>
                    <w:tl2br w:val="nil"/>
                    <w:tr2bl w:val="nil"/>
                  </w:tcBorders>
                  <w:noWrap w:val="0"/>
                  <w:vAlign w:val="center"/>
                </w:tcPr>
                <w:p w14:paraId="4B679D42">
                  <w:pPr>
                    <w:pStyle w:val="7"/>
                    <w:spacing w:line="240" w:lineRule="auto"/>
                    <w:ind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70</w:t>
                  </w:r>
                </w:p>
              </w:tc>
              <w:tc>
                <w:tcPr>
                  <w:tcW w:w="458" w:type="pct"/>
                  <w:tcBorders>
                    <w:tl2br w:val="nil"/>
                    <w:tr2bl w:val="nil"/>
                  </w:tcBorders>
                  <w:noWrap w:val="0"/>
                  <w:vAlign w:val="center"/>
                </w:tcPr>
                <w:p w14:paraId="02EA0D07">
                  <w:pPr>
                    <w:pStyle w:val="7"/>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bl>
          <w:p w14:paraId="66D90F31">
            <w:pPr>
              <w:adjustRightInd w:val="0"/>
              <w:snapToGrid w:val="0"/>
              <w:spacing w:before="120" w:beforeLines="50" w:line="360" w:lineRule="auto"/>
              <w:ind w:left="420" w:leftChars="200"/>
              <w:jc w:val="left"/>
              <w:rPr>
                <w:b/>
                <w:bCs/>
                <w:color w:val="auto"/>
                <w:sz w:val="24"/>
                <w:highlight w:val="none"/>
              </w:rPr>
            </w:pPr>
            <w:r>
              <w:rPr>
                <w:rFonts w:hint="eastAsia"/>
                <w:b/>
                <w:bCs/>
                <w:color w:val="auto"/>
                <w:sz w:val="24"/>
                <w:highlight w:val="none"/>
              </w:rPr>
              <w:t>3.</w:t>
            </w:r>
            <w:r>
              <w:rPr>
                <w:b/>
                <w:bCs/>
                <w:color w:val="auto"/>
                <w:sz w:val="24"/>
                <w:highlight w:val="none"/>
              </w:rPr>
              <w:t>噪声</w:t>
            </w:r>
          </w:p>
          <w:p w14:paraId="02179862">
            <w:pPr>
              <w:pStyle w:val="7"/>
              <w:ind w:firstLine="480"/>
              <w:rPr>
                <w:color w:val="auto"/>
                <w:highlight w:val="none"/>
              </w:rPr>
            </w:pPr>
            <w:r>
              <w:rPr>
                <w:rFonts w:hint="eastAsia"/>
                <w:color w:val="auto"/>
                <w:highlight w:val="none"/>
              </w:rPr>
              <w:t>根据西咸新区声环境功能区划方案，本项目厂界噪声执行《工业企业厂界环境噪声排放标准》（GB12348-2008）中的2类</w:t>
            </w:r>
            <w:r>
              <w:rPr>
                <w:rFonts w:hint="eastAsia"/>
                <w:color w:val="auto"/>
                <w:highlight w:val="none"/>
                <w:lang w:eastAsia="zh-CN"/>
              </w:rPr>
              <w:t>、</w:t>
            </w:r>
            <w:r>
              <w:rPr>
                <w:rFonts w:hint="eastAsia"/>
                <w:color w:val="auto"/>
                <w:highlight w:val="none"/>
                <w:lang w:val="en-US" w:eastAsia="zh-CN"/>
              </w:rPr>
              <w:t>4类（西厂界）</w:t>
            </w:r>
            <w:r>
              <w:rPr>
                <w:rFonts w:hint="eastAsia"/>
                <w:color w:val="auto"/>
                <w:highlight w:val="none"/>
              </w:rPr>
              <w:t>标准。</w:t>
            </w:r>
            <w:r>
              <w:rPr>
                <w:color w:val="auto"/>
                <w:highlight w:val="none"/>
              </w:rPr>
              <w:t>详见表3-</w:t>
            </w:r>
            <w:r>
              <w:rPr>
                <w:rFonts w:hint="eastAsia"/>
                <w:color w:val="auto"/>
                <w:highlight w:val="none"/>
                <w:lang w:val="en-US" w:eastAsia="zh-CN"/>
              </w:rPr>
              <w:t>4</w:t>
            </w:r>
            <w:r>
              <w:rPr>
                <w:color w:val="auto"/>
                <w:highlight w:val="none"/>
              </w:rPr>
              <w:t>。</w:t>
            </w:r>
          </w:p>
          <w:p w14:paraId="7B85D2F9">
            <w:pPr>
              <w:keepNext w:val="0"/>
              <w:keepLines w:val="0"/>
              <w:pageBreakBefore w:val="0"/>
              <w:widowControl w:val="0"/>
              <w:kinsoku/>
              <w:wordWrap/>
              <w:overflowPunct/>
              <w:topLinePunct w:val="0"/>
              <w:autoSpaceDE/>
              <w:autoSpaceDN/>
              <w:bidi w:val="0"/>
              <w:adjustRightInd w:val="0"/>
              <w:snapToGrid w:val="0"/>
              <w:jc w:val="center"/>
              <w:textAlignment w:val="auto"/>
              <w:rPr>
                <w:b/>
                <w:color w:val="auto"/>
                <w:szCs w:val="21"/>
                <w:highlight w:val="none"/>
              </w:rPr>
            </w:pPr>
            <w:r>
              <w:rPr>
                <w:b/>
                <w:color w:val="auto"/>
                <w:szCs w:val="21"/>
                <w:highlight w:val="none"/>
              </w:rPr>
              <w:t>表3-</w:t>
            </w:r>
            <w:r>
              <w:rPr>
                <w:rFonts w:hint="eastAsia"/>
                <w:b/>
                <w:color w:val="auto"/>
                <w:szCs w:val="21"/>
                <w:highlight w:val="none"/>
                <w:lang w:val="en-US" w:eastAsia="zh-CN"/>
              </w:rPr>
              <w:t>4</w:t>
            </w:r>
            <w:r>
              <w:rPr>
                <w:b/>
                <w:color w:val="auto"/>
                <w:szCs w:val="21"/>
                <w:highlight w:val="none"/>
              </w:rPr>
              <w:t xml:space="preserve">  </w:t>
            </w:r>
            <w:r>
              <w:rPr>
                <w:rFonts w:hint="eastAsia"/>
                <w:b/>
                <w:color w:val="auto"/>
                <w:szCs w:val="21"/>
                <w:highlight w:val="none"/>
              </w:rPr>
              <w:t xml:space="preserve"> </w:t>
            </w:r>
            <w:r>
              <w:rPr>
                <w:b/>
                <w:color w:val="auto"/>
                <w:szCs w:val="21"/>
                <w:highlight w:val="none"/>
              </w:rPr>
              <w:t>工业企业厂界环境噪声排放标准      单位：dB（A）</w:t>
            </w:r>
          </w:p>
          <w:tbl>
            <w:tblPr>
              <w:tblStyle w:val="27"/>
              <w:tblW w:w="492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1253"/>
              <w:gridCol w:w="1114"/>
              <w:gridCol w:w="1081"/>
              <w:gridCol w:w="3385"/>
            </w:tblGrid>
            <w:tr w14:paraId="1D244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52" w:type="pct"/>
                  <w:tcBorders>
                    <w:tl2br w:val="nil"/>
                    <w:tr2bl w:val="nil"/>
                  </w:tcBorders>
                  <w:noWrap w:val="0"/>
                  <w:vAlign w:val="center"/>
                </w:tcPr>
                <w:p w14:paraId="10CDE3A1">
                  <w:pPr>
                    <w:snapToGrid w:val="0"/>
                    <w:spacing w:before="20" w:after="20"/>
                    <w:jc w:val="center"/>
                    <w:rPr>
                      <w:b/>
                      <w:bCs/>
                      <w:color w:val="auto"/>
                      <w:szCs w:val="21"/>
                      <w:highlight w:val="none"/>
                    </w:rPr>
                  </w:pPr>
                  <w:r>
                    <w:rPr>
                      <w:b/>
                      <w:bCs/>
                      <w:color w:val="auto"/>
                      <w:szCs w:val="21"/>
                      <w:highlight w:val="none"/>
                    </w:rPr>
                    <w:t>污染物类别</w:t>
                  </w:r>
                </w:p>
              </w:tc>
              <w:tc>
                <w:tcPr>
                  <w:tcW w:w="797" w:type="pct"/>
                  <w:tcBorders>
                    <w:tl2br w:val="nil"/>
                    <w:tr2bl w:val="nil"/>
                  </w:tcBorders>
                  <w:noWrap w:val="0"/>
                  <w:vAlign w:val="center"/>
                </w:tcPr>
                <w:p w14:paraId="603C4319">
                  <w:pPr>
                    <w:snapToGrid w:val="0"/>
                    <w:spacing w:before="20" w:after="20"/>
                    <w:jc w:val="center"/>
                    <w:rPr>
                      <w:b/>
                      <w:bCs/>
                      <w:color w:val="auto"/>
                      <w:szCs w:val="21"/>
                      <w:highlight w:val="none"/>
                    </w:rPr>
                  </w:pPr>
                  <w:r>
                    <w:rPr>
                      <w:b/>
                      <w:bCs/>
                      <w:color w:val="auto"/>
                      <w:szCs w:val="21"/>
                      <w:highlight w:val="none"/>
                    </w:rPr>
                    <w:t>项目</w:t>
                  </w:r>
                </w:p>
              </w:tc>
              <w:tc>
                <w:tcPr>
                  <w:tcW w:w="1396" w:type="pct"/>
                  <w:gridSpan w:val="2"/>
                  <w:tcBorders>
                    <w:tl2br w:val="nil"/>
                    <w:tr2bl w:val="nil"/>
                  </w:tcBorders>
                  <w:noWrap w:val="0"/>
                  <w:vAlign w:val="center"/>
                </w:tcPr>
                <w:p w14:paraId="1A464B8B">
                  <w:pPr>
                    <w:snapToGrid w:val="0"/>
                    <w:spacing w:before="20" w:after="20"/>
                    <w:jc w:val="center"/>
                    <w:rPr>
                      <w:b/>
                      <w:bCs/>
                      <w:color w:val="auto"/>
                      <w:szCs w:val="21"/>
                      <w:highlight w:val="none"/>
                    </w:rPr>
                  </w:pPr>
                  <w:r>
                    <w:rPr>
                      <w:b/>
                      <w:bCs/>
                      <w:color w:val="auto"/>
                      <w:szCs w:val="21"/>
                      <w:highlight w:val="none"/>
                    </w:rPr>
                    <w:t>排放标准限值</w:t>
                  </w:r>
                </w:p>
              </w:tc>
              <w:tc>
                <w:tcPr>
                  <w:tcW w:w="2153" w:type="pct"/>
                  <w:tcBorders>
                    <w:tl2br w:val="nil"/>
                    <w:tr2bl w:val="nil"/>
                  </w:tcBorders>
                  <w:noWrap w:val="0"/>
                  <w:vAlign w:val="center"/>
                </w:tcPr>
                <w:p w14:paraId="571907CF">
                  <w:pPr>
                    <w:snapToGrid w:val="0"/>
                    <w:spacing w:before="20" w:after="20"/>
                    <w:ind w:left="-2" w:leftChars="-1"/>
                    <w:jc w:val="center"/>
                    <w:rPr>
                      <w:b/>
                      <w:bCs/>
                      <w:color w:val="auto"/>
                      <w:szCs w:val="21"/>
                      <w:highlight w:val="none"/>
                    </w:rPr>
                  </w:pPr>
                  <w:r>
                    <w:rPr>
                      <w:b/>
                      <w:bCs/>
                      <w:color w:val="auto"/>
                      <w:szCs w:val="21"/>
                      <w:highlight w:val="none"/>
                    </w:rPr>
                    <w:t>执行标准</w:t>
                  </w:r>
                </w:p>
              </w:tc>
            </w:tr>
            <w:tr w14:paraId="28E4C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2" w:type="pct"/>
                  <w:vMerge w:val="restart"/>
                  <w:tcBorders>
                    <w:tl2br w:val="nil"/>
                    <w:tr2bl w:val="nil"/>
                  </w:tcBorders>
                  <w:noWrap w:val="0"/>
                  <w:vAlign w:val="center"/>
                </w:tcPr>
                <w:p w14:paraId="031CDC1E">
                  <w:pPr>
                    <w:snapToGrid w:val="0"/>
                    <w:spacing w:before="20" w:after="20"/>
                    <w:jc w:val="center"/>
                    <w:rPr>
                      <w:color w:val="auto"/>
                      <w:szCs w:val="21"/>
                      <w:highlight w:val="none"/>
                    </w:rPr>
                  </w:pPr>
                  <w:r>
                    <w:rPr>
                      <w:color w:val="auto"/>
                      <w:szCs w:val="21"/>
                      <w:highlight w:val="none"/>
                    </w:rPr>
                    <w:t>噪声</w:t>
                  </w:r>
                </w:p>
              </w:tc>
              <w:tc>
                <w:tcPr>
                  <w:tcW w:w="797" w:type="pct"/>
                  <w:vMerge w:val="restart"/>
                  <w:tcBorders>
                    <w:tl2br w:val="nil"/>
                    <w:tr2bl w:val="nil"/>
                  </w:tcBorders>
                  <w:noWrap w:val="0"/>
                  <w:vAlign w:val="center"/>
                </w:tcPr>
                <w:p w14:paraId="4BCDDE14">
                  <w:pPr>
                    <w:snapToGrid w:val="0"/>
                    <w:spacing w:before="20" w:after="20"/>
                    <w:jc w:val="center"/>
                    <w:rPr>
                      <w:color w:val="auto"/>
                      <w:szCs w:val="21"/>
                      <w:highlight w:val="none"/>
                    </w:rPr>
                  </w:pPr>
                  <w:r>
                    <w:rPr>
                      <w:rFonts w:hint="eastAsia"/>
                      <w:color w:val="auto"/>
                      <w:szCs w:val="21"/>
                      <w:highlight w:val="none"/>
                    </w:rPr>
                    <w:t>厂界</w:t>
                  </w:r>
                  <w:r>
                    <w:rPr>
                      <w:color w:val="auto"/>
                      <w:szCs w:val="21"/>
                      <w:highlight w:val="none"/>
                    </w:rPr>
                    <w:t>噪声</w:t>
                  </w:r>
                </w:p>
              </w:tc>
              <w:tc>
                <w:tcPr>
                  <w:tcW w:w="708" w:type="pct"/>
                  <w:tcBorders>
                    <w:tl2br w:val="nil"/>
                    <w:tr2bl w:val="nil"/>
                  </w:tcBorders>
                  <w:noWrap w:val="0"/>
                  <w:vAlign w:val="center"/>
                </w:tcPr>
                <w:p w14:paraId="19782670">
                  <w:pPr>
                    <w:snapToGrid w:val="0"/>
                    <w:spacing w:before="20" w:after="20"/>
                    <w:jc w:val="center"/>
                    <w:rPr>
                      <w:rFonts w:hint="default" w:eastAsia="宋体"/>
                      <w:color w:val="auto"/>
                      <w:szCs w:val="21"/>
                      <w:highlight w:val="none"/>
                      <w:lang w:val="en-US" w:eastAsia="zh-CN"/>
                    </w:rPr>
                  </w:pPr>
                  <w:r>
                    <w:rPr>
                      <w:rFonts w:hint="eastAsia"/>
                      <w:color w:val="auto"/>
                      <w:szCs w:val="21"/>
                      <w:highlight w:val="none"/>
                      <w:lang w:val="en-US" w:eastAsia="zh-CN"/>
                    </w:rPr>
                    <w:t>2类</w:t>
                  </w:r>
                </w:p>
              </w:tc>
              <w:tc>
                <w:tcPr>
                  <w:tcW w:w="687" w:type="pct"/>
                  <w:tcBorders>
                    <w:tl2br w:val="nil"/>
                    <w:tr2bl w:val="nil"/>
                  </w:tcBorders>
                  <w:noWrap w:val="0"/>
                  <w:vAlign w:val="center"/>
                </w:tcPr>
                <w:p w14:paraId="624E80A6">
                  <w:pPr>
                    <w:snapToGrid w:val="0"/>
                    <w:spacing w:before="20" w:after="20"/>
                    <w:jc w:val="center"/>
                    <w:rPr>
                      <w:rFonts w:hint="default" w:eastAsia="宋体"/>
                      <w:color w:val="auto"/>
                      <w:szCs w:val="21"/>
                      <w:highlight w:val="none"/>
                      <w:lang w:val="en-US" w:eastAsia="zh-CN"/>
                    </w:rPr>
                  </w:pPr>
                  <w:r>
                    <w:rPr>
                      <w:rFonts w:hint="eastAsia"/>
                      <w:color w:val="auto"/>
                      <w:szCs w:val="21"/>
                      <w:highlight w:val="none"/>
                      <w:lang w:val="en-US" w:eastAsia="zh-CN"/>
                    </w:rPr>
                    <w:t>4类</w:t>
                  </w:r>
                </w:p>
              </w:tc>
              <w:tc>
                <w:tcPr>
                  <w:tcW w:w="2153" w:type="pct"/>
                  <w:vMerge w:val="restart"/>
                  <w:tcBorders>
                    <w:tl2br w:val="nil"/>
                    <w:tr2bl w:val="nil"/>
                  </w:tcBorders>
                  <w:noWrap w:val="0"/>
                  <w:vAlign w:val="center"/>
                </w:tcPr>
                <w:p w14:paraId="6A2FE6DE">
                  <w:pPr>
                    <w:snapToGrid w:val="0"/>
                    <w:spacing w:before="20" w:after="20"/>
                    <w:jc w:val="center"/>
                    <w:rPr>
                      <w:color w:val="auto"/>
                      <w:szCs w:val="21"/>
                      <w:highlight w:val="none"/>
                    </w:rPr>
                  </w:pPr>
                  <w:r>
                    <w:rPr>
                      <w:color w:val="auto"/>
                      <w:szCs w:val="21"/>
                      <w:highlight w:val="none"/>
                    </w:rPr>
                    <w:t>GB12348-2008《工业企业厂界环境噪声排放标准》中</w:t>
                  </w:r>
                  <w:r>
                    <w:rPr>
                      <w:rFonts w:hint="eastAsia"/>
                      <w:color w:val="auto"/>
                      <w:szCs w:val="21"/>
                      <w:highlight w:val="none"/>
                      <w:lang w:val="en-US" w:eastAsia="zh-CN"/>
                    </w:rPr>
                    <w:t>2</w:t>
                  </w:r>
                  <w:r>
                    <w:rPr>
                      <w:color w:val="auto"/>
                      <w:szCs w:val="21"/>
                      <w:highlight w:val="none"/>
                    </w:rPr>
                    <w:t>类</w:t>
                  </w:r>
                  <w:r>
                    <w:rPr>
                      <w:rFonts w:hint="eastAsia"/>
                      <w:color w:val="auto"/>
                      <w:szCs w:val="21"/>
                      <w:highlight w:val="none"/>
                      <w:lang w:eastAsia="zh-CN"/>
                    </w:rPr>
                    <w:t>、</w:t>
                  </w:r>
                  <w:r>
                    <w:rPr>
                      <w:rFonts w:hint="eastAsia"/>
                      <w:color w:val="auto"/>
                      <w:szCs w:val="21"/>
                      <w:highlight w:val="none"/>
                    </w:rPr>
                    <w:t>4类（西厂界）</w:t>
                  </w:r>
                  <w:r>
                    <w:rPr>
                      <w:color w:val="auto"/>
                      <w:szCs w:val="21"/>
                      <w:highlight w:val="none"/>
                    </w:rPr>
                    <w:t>标准</w:t>
                  </w:r>
                </w:p>
              </w:tc>
            </w:tr>
            <w:tr w14:paraId="2170B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652" w:type="pct"/>
                  <w:vMerge w:val="continue"/>
                  <w:tcBorders>
                    <w:tl2br w:val="nil"/>
                    <w:tr2bl w:val="nil"/>
                  </w:tcBorders>
                  <w:noWrap w:val="0"/>
                  <w:vAlign w:val="center"/>
                </w:tcPr>
                <w:p w14:paraId="7ADAF601">
                  <w:pPr>
                    <w:snapToGrid w:val="0"/>
                    <w:spacing w:before="20" w:after="20"/>
                    <w:jc w:val="center"/>
                    <w:rPr>
                      <w:color w:val="auto"/>
                      <w:highlight w:val="none"/>
                    </w:rPr>
                  </w:pPr>
                </w:p>
              </w:tc>
              <w:tc>
                <w:tcPr>
                  <w:tcW w:w="797" w:type="pct"/>
                  <w:vMerge w:val="continue"/>
                  <w:tcBorders>
                    <w:tl2br w:val="nil"/>
                    <w:tr2bl w:val="nil"/>
                  </w:tcBorders>
                  <w:noWrap w:val="0"/>
                  <w:vAlign w:val="center"/>
                </w:tcPr>
                <w:p w14:paraId="7052F4E2">
                  <w:pPr>
                    <w:snapToGrid w:val="0"/>
                    <w:spacing w:before="20" w:after="20"/>
                    <w:jc w:val="center"/>
                    <w:rPr>
                      <w:color w:val="auto"/>
                      <w:highlight w:val="none"/>
                    </w:rPr>
                  </w:pPr>
                </w:p>
              </w:tc>
              <w:tc>
                <w:tcPr>
                  <w:tcW w:w="708" w:type="pct"/>
                  <w:tcBorders>
                    <w:tl2br w:val="nil"/>
                    <w:tr2bl w:val="nil"/>
                  </w:tcBorders>
                  <w:noWrap w:val="0"/>
                  <w:vAlign w:val="center"/>
                </w:tcPr>
                <w:p w14:paraId="5F76D0CF">
                  <w:pPr>
                    <w:snapToGrid w:val="0"/>
                    <w:spacing w:before="20" w:after="20"/>
                    <w:jc w:val="center"/>
                    <w:rPr>
                      <w:color w:val="auto"/>
                      <w:highlight w:val="none"/>
                    </w:rPr>
                  </w:pPr>
                  <w:r>
                    <w:rPr>
                      <w:color w:val="auto"/>
                      <w:szCs w:val="21"/>
                      <w:highlight w:val="none"/>
                    </w:rPr>
                    <w:t>昼间6</w:t>
                  </w:r>
                  <w:r>
                    <w:rPr>
                      <w:rFonts w:hint="eastAsia"/>
                      <w:color w:val="auto"/>
                      <w:szCs w:val="21"/>
                      <w:highlight w:val="none"/>
                      <w:lang w:val="en-US" w:eastAsia="zh-CN"/>
                    </w:rPr>
                    <w:t>0</w:t>
                  </w:r>
                  <w:r>
                    <w:rPr>
                      <w:color w:val="auto"/>
                      <w:szCs w:val="21"/>
                      <w:highlight w:val="none"/>
                    </w:rPr>
                    <w:t xml:space="preserve"> dB(A)</w:t>
                  </w:r>
                </w:p>
              </w:tc>
              <w:tc>
                <w:tcPr>
                  <w:tcW w:w="687" w:type="pct"/>
                  <w:tcBorders>
                    <w:tl2br w:val="nil"/>
                    <w:tr2bl w:val="nil"/>
                  </w:tcBorders>
                  <w:noWrap w:val="0"/>
                  <w:vAlign w:val="center"/>
                </w:tcPr>
                <w:p w14:paraId="380B85D5">
                  <w:pPr>
                    <w:snapToGrid w:val="0"/>
                    <w:spacing w:before="20" w:after="20"/>
                    <w:jc w:val="center"/>
                    <w:rPr>
                      <w:color w:val="auto"/>
                      <w:highlight w:val="none"/>
                    </w:rPr>
                  </w:pPr>
                  <w:r>
                    <w:rPr>
                      <w:color w:val="auto"/>
                      <w:szCs w:val="21"/>
                      <w:highlight w:val="none"/>
                    </w:rPr>
                    <w:t>昼间</w:t>
                  </w:r>
                  <w:r>
                    <w:rPr>
                      <w:rFonts w:hint="eastAsia"/>
                      <w:color w:val="auto"/>
                      <w:szCs w:val="21"/>
                      <w:highlight w:val="none"/>
                      <w:lang w:val="en-US" w:eastAsia="zh-CN"/>
                    </w:rPr>
                    <w:t>70</w:t>
                  </w:r>
                  <w:r>
                    <w:rPr>
                      <w:color w:val="auto"/>
                      <w:szCs w:val="21"/>
                      <w:highlight w:val="none"/>
                    </w:rPr>
                    <w:t xml:space="preserve"> dB(A)</w:t>
                  </w:r>
                </w:p>
              </w:tc>
              <w:tc>
                <w:tcPr>
                  <w:tcW w:w="2153" w:type="pct"/>
                  <w:vMerge w:val="continue"/>
                  <w:tcBorders>
                    <w:tl2br w:val="nil"/>
                    <w:tr2bl w:val="nil"/>
                  </w:tcBorders>
                  <w:noWrap w:val="0"/>
                  <w:vAlign w:val="center"/>
                </w:tcPr>
                <w:p w14:paraId="6FA72925">
                  <w:pPr>
                    <w:snapToGrid w:val="0"/>
                    <w:spacing w:before="20" w:after="20"/>
                    <w:jc w:val="center"/>
                    <w:rPr>
                      <w:color w:val="auto"/>
                      <w:highlight w:val="none"/>
                    </w:rPr>
                  </w:pPr>
                </w:p>
              </w:tc>
            </w:tr>
          </w:tbl>
          <w:p w14:paraId="3ABAEB02">
            <w:pPr>
              <w:adjustRightInd w:val="0"/>
              <w:snapToGrid w:val="0"/>
              <w:spacing w:line="360" w:lineRule="auto"/>
              <w:ind w:firstLine="482" w:firstLineChars="200"/>
              <w:rPr>
                <w:b/>
                <w:bCs/>
                <w:color w:val="auto"/>
                <w:sz w:val="24"/>
                <w:highlight w:val="none"/>
              </w:rPr>
            </w:pPr>
            <w:r>
              <w:rPr>
                <w:rFonts w:hint="eastAsia"/>
                <w:b/>
                <w:bCs/>
                <w:color w:val="auto"/>
                <w:sz w:val="24"/>
                <w:highlight w:val="none"/>
              </w:rPr>
              <w:t>4.</w:t>
            </w:r>
            <w:r>
              <w:rPr>
                <w:b/>
                <w:bCs/>
                <w:color w:val="auto"/>
                <w:sz w:val="24"/>
                <w:highlight w:val="none"/>
              </w:rPr>
              <w:t>固废</w:t>
            </w:r>
          </w:p>
          <w:p w14:paraId="6C9DA95B">
            <w:pPr>
              <w:pStyle w:val="7"/>
              <w:ind w:firstLine="480"/>
              <w:rPr>
                <w:color w:val="auto"/>
                <w:szCs w:val="24"/>
                <w:highlight w:val="none"/>
              </w:rPr>
            </w:pPr>
            <w:r>
              <w:rPr>
                <w:color w:val="auto"/>
                <w:szCs w:val="24"/>
                <w:highlight w:val="none"/>
              </w:rPr>
              <w:t>一般固体废物执行《一般工业固体废物贮存</w:t>
            </w:r>
            <w:r>
              <w:rPr>
                <w:rFonts w:hint="eastAsia"/>
                <w:color w:val="auto"/>
                <w:szCs w:val="24"/>
                <w:highlight w:val="none"/>
              </w:rPr>
              <w:t>和填埋</w:t>
            </w:r>
            <w:r>
              <w:rPr>
                <w:color w:val="auto"/>
                <w:szCs w:val="24"/>
                <w:highlight w:val="none"/>
              </w:rPr>
              <w:t>污染控制标准》（GB</w:t>
            </w:r>
            <w:r>
              <w:rPr>
                <w:rFonts w:hint="eastAsia"/>
                <w:color w:val="auto"/>
                <w:szCs w:val="24"/>
                <w:highlight w:val="none"/>
              </w:rPr>
              <w:t xml:space="preserve"> </w:t>
            </w:r>
            <w:r>
              <w:rPr>
                <w:color w:val="auto"/>
                <w:szCs w:val="24"/>
                <w:highlight w:val="none"/>
              </w:rPr>
              <w:t>18599-20</w:t>
            </w:r>
            <w:r>
              <w:rPr>
                <w:rFonts w:hint="eastAsia"/>
                <w:color w:val="auto"/>
                <w:szCs w:val="24"/>
                <w:highlight w:val="none"/>
              </w:rPr>
              <w:t>20</w:t>
            </w:r>
            <w:r>
              <w:rPr>
                <w:color w:val="auto"/>
                <w:szCs w:val="24"/>
                <w:highlight w:val="none"/>
              </w:rPr>
              <w:t>）中的相关要求，危险废物执行《危险废物贮存污染控制标准》（GB</w:t>
            </w:r>
            <w:r>
              <w:rPr>
                <w:rFonts w:hint="eastAsia"/>
                <w:color w:val="auto"/>
                <w:szCs w:val="24"/>
                <w:highlight w:val="none"/>
              </w:rPr>
              <w:t xml:space="preserve"> </w:t>
            </w:r>
            <w:r>
              <w:rPr>
                <w:color w:val="auto"/>
                <w:szCs w:val="24"/>
                <w:highlight w:val="none"/>
              </w:rPr>
              <w:t>18597-20</w:t>
            </w:r>
            <w:r>
              <w:rPr>
                <w:rFonts w:hint="eastAsia"/>
                <w:color w:val="auto"/>
                <w:szCs w:val="24"/>
                <w:highlight w:val="none"/>
              </w:rPr>
              <w:t>23</w:t>
            </w:r>
            <w:r>
              <w:rPr>
                <w:color w:val="auto"/>
                <w:szCs w:val="24"/>
                <w:highlight w:val="none"/>
              </w:rPr>
              <w:t>）中的相关要求。</w:t>
            </w:r>
          </w:p>
        </w:tc>
      </w:tr>
      <w:tr w14:paraId="55DA68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00" w:type="dxa"/>
            <w:noWrap w:val="0"/>
            <w:vAlign w:val="center"/>
          </w:tcPr>
          <w:p w14:paraId="426F4F3A">
            <w:pPr>
              <w:adjustRightInd w:val="0"/>
              <w:snapToGrid w:val="0"/>
              <w:jc w:val="center"/>
              <w:rPr>
                <w:color w:val="auto"/>
                <w:kern w:val="0"/>
                <w:szCs w:val="21"/>
                <w:highlight w:val="none"/>
              </w:rPr>
            </w:pPr>
            <w:r>
              <w:rPr>
                <w:color w:val="auto"/>
                <w:kern w:val="0"/>
                <w:szCs w:val="21"/>
                <w:highlight w:val="none"/>
              </w:rPr>
              <w:t>总量</w:t>
            </w:r>
          </w:p>
          <w:p w14:paraId="697ECB33">
            <w:pPr>
              <w:adjustRightInd w:val="0"/>
              <w:snapToGrid w:val="0"/>
              <w:jc w:val="center"/>
              <w:rPr>
                <w:color w:val="auto"/>
                <w:kern w:val="0"/>
                <w:szCs w:val="21"/>
                <w:highlight w:val="none"/>
              </w:rPr>
            </w:pPr>
            <w:r>
              <w:rPr>
                <w:color w:val="auto"/>
                <w:kern w:val="0"/>
                <w:szCs w:val="21"/>
                <w:highlight w:val="none"/>
              </w:rPr>
              <w:t>控制</w:t>
            </w:r>
          </w:p>
          <w:p w14:paraId="45BDD485">
            <w:pPr>
              <w:adjustRightInd w:val="0"/>
              <w:snapToGrid w:val="0"/>
              <w:jc w:val="center"/>
              <w:rPr>
                <w:color w:val="auto"/>
                <w:kern w:val="0"/>
                <w:szCs w:val="21"/>
                <w:highlight w:val="none"/>
              </w:rPr>
            </w:pPr>
            <w:r>
              <w:rPr>
                <w:color w:val="auto"/>
                <w:kern w:val="0"/>
                <w:szCs w:val="21"/>
                <w:highlight w:val="none"/>
              </w:rPr>
              <w:t>指标</w:t>
            </w:r>
          </w:p>
        </w:tc>
        <w:tc>
          <w:tcPr>
            <w:tcW w:w="8190" w:type="dxa"/>
            <w:noWrap w:val="0"/>
            <w:vAlign w:val="center"/>
          </w:tcPr>
          <w:p w14:paraId="631885B3">
            <w:pPr>
              <w:pStyle w:val="97"/>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rPr>
              <w:t>本项目</w:t>
            </w:r>
            <w:r>
              <w:rPr>
                <w:rFonts w:hint="eastAsia" w:ascii="Times New Roman" w:hAnsi="Times New Roman" w:cs="Times New Roman"/>
                <w:color w:val="auto"/>
                <w:highlight w:val="none"/>
                <w:lang w:val="en-US" w:eastAsia="zh-CN"/>
              </w:rPr>
              <w:t>废水</w:t>
            </w:r>
            <w:r>
              <w:rPr>
                <w:rFonts w:hint="eastAsia" w:ascii="Times New Roman" w:hAnsi="Times New Roman" w:cs="Times New Roman"/>
                <w:color w:val="auto"/>
                <w:highlight w:val="none"/>
              </w:rPr>
              <w:t>中的COD和氨氮</w:t>
            </w:r>
            <w:r>
              <w:rPr>
                <w:rFonts w:hint="eastAsia" w:ascii="Times New Roman" w:hAnsi="Times New Roman" w:cs="Times New Roman"/>
                <w:color w:val="auto"/>
                <w:highlight w:val="none"/>
                <w:lang w:val="en-US" w:eastAsia="zh-CN"/>
              </w:rPr>
              <w:t>等排</w:t>
            </w:r>
            <w:r>
              <w:rPr>
                <w:rFonts w:hint="eastAsia" w:ascii="Times New Roman" w:hAnsi="Times New Roman" w:cs="Times New Roman"/>
                <w:color w:val="auto"/>
                <w:highlight w:val="none"/>
              </w:rPr>
              <w:t>入</w:t>
            </w:r>
            <w:r>
              <w:rPr>
                <w:rFonts w:hint="eastAsia" w:ascii="Times New Roman" w:hAnsi="Times New Roman" w:cs="Times New Roman"/>
                <w:color w:val="auto"/>
                <w:highlight w:val="none"/>
                <w:lang w:val="en-US" w:eastAsia="zh-CN"/>
              </w:rPr>
              <w:t>核工业二0三研究所</w:t>
            </w:r>
            <w:r>
              <w:rPr>
                <w:rFonts w:hint="eastAsia" w:ascii="Times New Roman" w:hAnsi="Times New Roman" w:cs="Times New Roman"/>
                <w:color w:val="auto"/>
                <w:highlight w:val="none"/>
              </w:rPr>
              <w:t>化粪池</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处理后排入</w:t>
            </w:r>
            <w:r>
              <w:rPr>
                <w:rFonts w:hint="eastAsia" w:ascii="Times New Roman" w:hAnsi="Times New Roman" w:cs="Times New Roman"/>
                <w:color w:val="auto"/>
                <w:highlight w:val="none"/>
              </w:rPr>
              <w:t>市政污水管网</w:t>
            </w:r>
            <w:r>
              <w:rPr>
                <w:rFonts w:hint="eastAsia" w:ascii="Times New Roman" w:hAnsi="Times New Roman" w:cs="Times New Roman"/>
                <w:color w:val="auto"/>
                <w:highlight w:val="none"/>
                <w:lang w:val="en-US" w:eastAsia="zh-CN"/>
              </w:rPr>
              <w:t>汇入</w:t>
            </w:r>
            <w:r>
              <w:rPr>
                <w:rFonts w:hint="eastAsia" w:ascii="Times New Roman" w:hAnsi="Times New Roman" w:cs="Times New Roman"/>
                <w:snapToGrid w:val="0"/>
                <w:color w:val="auto"/>
                <w:sz w:val="24"/>
                <w:highlight w:val="none"/>
                <w:lang w:val="en-US" w:eastAsia="zh-CN"/>
              </w:rPr>
              <w:t>沣东南</w:t>
            </w:r>
            <w:r>
              <w:rPr>
                <w:rFonts w:hint="eastAsia" w:ascii="Times New Roman" w:hAnsi="Times New Roman" w:eastAsia="宋体" w:cs="Times New Roman"/>
                <w:snapToGrid w:val="0"/>
                <w:color w:val="auto"/>
                <w:sz w:val="24"/>
                <w:highlight w:val="none"/>
                <w:lang w:eastAsia="zh-CN"/>
              </w:rPr>
              <w:t>污水处理厂</w:t>
            </w:r>
            <w:r>
              <w:rPr>
                <w:rFonts w:hint="eastAsia" w:ascii="Times New Roman" w:hAnsi="Times New Roman" w:eastAsia="宋体" w:cs="Times New Roman"/>
                <w:snapToGrid w:val="0"/>
                <w:color w:val="auto"/>
                <w:sz w:val="24"/>
                <w:highlight w:val="none"/>
                <w:lang w:val="en-US" w:eastAsia="zh-CN"/>
              </w:rPr>
              <w:t>。</w:t>
            </w:r>
          </w:p>
          <w:p w14:paraId="542BBEF7">
            <w:pPr>
              <w:pStyle w:val="97"/>
              <w:shd w:val="clear" w:color="auto" w:fill="auto"/>
              <w:rPr>
                <w:color w:val="auto"/>
                <w:spacing w:val="-1"/>
                <w:highlight w:val="none"/>
              </w:rPr>
            </w:pPr>
            <w:r>
              <w:rPr>
                <w:rFonts w:hint="eastAsia" w:ascii="Times New Roman" w:hAnsi="Times New Roman" w:cs="Times New Roman"/>
                <w:color w:val="auto"/>
                <w:highlight w:val="none"/>
              </w:rPr>
              <w:t>根据国家“十四五”污染物总量控制的要求，对NO</w:t>
            </w:r>
            <w:r>
              <w:rPr>
                <w:rFonts w:hint="eastAsia" w:ascii="Times New Roman" w:hAnsi="Times New Roman" w:cs="Times New Roman"/>
                <w:color w:val="auto"/>
                <w:highlight w:val="none"/>
                <w:vertAlign w:val="subscript"/>
              </w:rPr>
              <w:t>X</w:t>
            </w:r>
            <w:r>
              <w:rPr>
                <w:rFonts w:hint="eastAsia" w:ascii="Times New Roman" w:hAnsi="Times New Roman" w:cs="Times New Roman"/>
                <w:color w:val="auto"/>
                <w:highlight w:val="none"/>
              </w:rPr>
              <w:t>、非甲烷总烃</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COD、NH</w:t>
            </w:r>
            <w:r>
              <w:rPr>
                <w:rFonts w:hint="eastAsia" w:ascii="Times New Roman" w:hAnsi="Times New Roman" w:cs="Times New Roman"/>
                <w:color w:val="auto"/>
                <w:highlight w:val="none"/>
                <w:vertAlign w:val="subscript"/>
                <w:lang w:val="en-US" w:eastAsia="zh-CN"/>
              </w:rPr>
              <w:t>3</w:t>
            </w:r>
            <w:r>
              <w:rPr>
                <w:rFonts w:hint="eastAsia" w:ascii="Times New Roman" w:hAnsi="Times New Roman" w:cs="Times New Roman"/>
                <w:color w:val="auto"/>
                <w:highlight w:val="none"/>
                <w:lang w:val="en-US" w:eastAsia="zh-CN"/>
              </w:rPr>
              <w:t>-N</w:t>
            </w:r>
            <w:r>
              <w:rPr>
                <w:rFonts w:hint="eastAsia" w:ascii="Times New Roman" w:hAnsi="Times New Roman" w:cs="Times New Roman"/>
                <w:color w:val="auto"/>
                <w:highlight w:val="none"/>
              </w:rPr>
              <w:t>实行排放总量控制</w:t>
            </w:r>
            <w:r>
              <w:rPr>
                <w:color w:val="auto"/>
                <w:spacing w:val="1"/>
                <w:highlight w:val="none"/>
              </w:rPr>
              <w:t>计划管理，结</w:t>
            </w:r>
            <w:r>
              <w:rPr>
                <w:color w:val="auto"/>
                <w:spacing w:val="-1"/>
                <w:highlight w:val="none"/>
              </w:rPr>
              <w:t>合本项目污染物排放情况，建议本项目总量控制指标如下表。</w:t>
            </w:r>
          </w:p>
          <w:p w14:paraId="526BA661">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表3-5  建议项目总量控制指标单位：t/a</w:t>
            </w:r>
          </w:p>
          <w:tbl>
            <w:tblPr>
              <w:tblStyle w:val="108"/>
              <w:tblW w:w="7719" w:type="dxa"/>
              <w:tblInd w:w="12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599"/>
              <w:gridCol w:w="2750"/>
              <w:gridCol w:w="2370"/>
            </w:tblGrid>
            <w:tr w14:paraId="369505AA">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599" w:type="dxa"/>
                  <w:tcBorders>
                    <w:bottom w:val="single" w:color="auto" w:sz="4" w:space="0"/>
                    <w:right w:val="single" w:color="auto" w:sz="4" w:space="0"/>
                  </w:tcBorders>
                  <w:vAlign w:val="center"/>
                </w:tcPr>
                <w:p w14:paraId="3B1BB5A3">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bCs/>
                      <w:color w:val="auto"/>
                      <w:sz w:val="20"/>
                      <w:szCs w:val="20"/>
                      <w:highlight w:val="none"/>
                    </w:rPr>
                  </w:pPr>
                  <w:r>
                    <w:rPr>
                      <w:b/>
                      <w:bCs/>
                      <w:color w:val="auto"/>
                      <w:spacing w:val="4"/>
                      <w:sz w:val="20"/>
                      <w:szCs w:val="20"/>
                      <w:highlight w:val="none"/>
                    </w:rPr>
                    <w:t>类别</w:t>
                  </w:r>
                </w:p>
              </w:tc>
              <w:tc>
                <w:tcPr>
                  <w:tcW w:w="2750" w:type="dxa"/>
                  <w:tcBorders>
                    <w:left w:val="single" w:color="auto" w:sz="4" w:space="0"/>
                    <w:bottom w:val="single" w:color="auto" w:sz="4" w:space="0"/>
                    <w:right w:val="single" w:color="auto" w:sz="4" w:space="0"/>
                  </w:tcBorders>
                  <w:vAlign w:val="center"/>
                </w:tcPr>
                <w:p w14:paraId="6C250CE6">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bCs/>
                      <w:color w:val="auto"/>
                      <w:sz w:val="20"/>
                      <w:szCs w:val="20"/>
                      <w:highlight w:val="none"/>
                    </w:rPr>
                  </w:pPr>
                  <w:r>
                    <w:rPr>
                      <w:b/>
                      <w:bCs/>
                      <w:color w:val="auto"/>
                      <w:spacing w:val="7"/>
                      <w:sz w:val="20"/>
                      <w:szCs w:val="20"/>
                      <w:highlight w:val="none"/>
                    </w:rPr>
                    <w:t>污染物名称</w:t>
                  </w:r>
                </w:p>
              </w:tc>
              <w:tc>
                <w:tcPr>
                  <w:tcW w:w="2370" w:type="dxa"/>
                  <w:tcBorders>
                    <w:left w:val="single" w:color="auto" w:sz="4" w:space="0"/>
                    <w:bottom w:val="single" w:color="auto" w:sz="4" w:space="0"/>
                  </w:tcBorders>
                  <w:vAlign w:val="center"/>
                </w:tcPr>
                <w:p w14:paraId="771105A7">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bCs/>
                      <w:color w:val="auto"/>
                      <w:sz w:val="20"/>
                      <w:szCs w:val="20"/>
                      <w:highlight w:val="none"/>
                    </w:rPr>
                  </w:pPr>
                  <w:r>
                    <w:rPr>
                      <w:b/>
                      <w:bCs/>
                      <w:color w:val="auto"/>
                      <w:spacing w:val="7"/>
                      <w:sz w:val="20"/>
                      <w:szCs w:val="20"/>
                      <w:highlight w:val="none"/>
                    </w:rPr>
                    <w:t>控制指标</w:t>
                  </w:r>
                </w:p>
              </w:tc>
            </w:tr>
            <w:tr w14:paraId="703BE6A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2599" w:type="dxa"/>
                  <w:vMerge w:val="restart"/>
                  <w:tcBorders>
                    <w:top w:val="single" w:color="auto" w:sz="4" w:space="0"/>
                    <w:bottom w:val="single" w:color="auto" w:sz="4" w:space="0"/>
                    <w:right w:val="single" w:color="auto" w:sz="4" w:space="0"/>
                  </w:tcBorders>
                  <w:vAlign w:val="center"/>
                </w:tcPr>
                <w:p w14:paraId="377A0041">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color w:val="auto"/>
                      <w:sz w:val="20"/>
                      <w:szCs w:val="20"/>
                      <w:highlight w:val="none"/>
                    </w:rPr>
                  </w:pPr>
                  <w:r>
                    <w:rPr>
                      <w:color w:val="auto"/>
                      <w:spacing w:val="5"/>
                      <w:sz w:val="20"/>
                      <w:szCs w:val="20"/>
                      <w:highlight w:val="none"/>
                    </w:rPr>
                    <w:t>废气</w:t>
                  </w:r>
                </w:p>
              </w:tc>
              <w:tc>
                <w:tcPr>
                  <w:tcW w:w="2750" w:type="dxa"/>
                  <w:tcBorders>
                    <w:top w:val="single" w:color="auto" w:sz="4" w:space="0"/>
                    <w:left w:val="single" w:color="auto" w:sz="4" w:space="0"/>
                    <w:bottom w:val="single" w:color="auto" w:sz="4" w:space="0"/>
                    <w:right w:val="single" w:color="auto" w:sz="4" w:space="0"/>
                  </w:tcBorders>
                  <w:vAlign w:val="center"/>
                </w:tcPr>
                <w:p w14:paraId="2C24422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VOCs</w:t>
                  </w:r>
                </w:p>
              </w:tc>
              <w:tc>
                <w:tcPr>
                  <w:tcW w:w="2370" w:type="dxa"/>
                  <w:tcBorders>
                    <w:top w:val="single" w:color="auto" w:sz="4" w:space="0"/>
                    <w:left w:val="single" w:color="auto" w:sz="4" w:space="0"/>
                    <w:bottom w:val="single" w:color="auto" w:sz="4" w:space="0"/>
                  </w:tcBorders>
                  <w:vAlign w:val="center"/>
                </w:tcPr>
                <w:p w14:paraId="200D793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cs="Times New Roman"/>
                      <w:color w:val="auto"/>
                      <w:spacing w:val="3"/>
                      <w:sz w:val="20"/>
                      <w:szCs w:val="20"/>
                      <w:highlight w:val="none"/>
                      <w:lang w:val="en-US" w:eastAsia="zh-CN"/>
                    </w:rPr>
                    <w:t>0.0207</w:t>
                  </w:r>
                </w:p>
              </w:tc>
            </w:tr>
            <w:tr w14:paraId="43119821">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599" w:type="dxa"/>
                  <w:vMerge w:val="continue"/>
                  <w:tcBorders>
                    <w:top w:val="single" w:color="auto" w:sz="4" w:space="0"/>
                    <w:bottom w:val="single" w:color="auto" w:sz="4" w:space="0"/>
                    <w:right w:val="single" w:color="auto" w:sz="4" w:space="0"/>
                  </w:tcBorders>
                  <w:vAlign w:val="center"/>
                </w:tcPr>
                <w:p w14:paraId="1930BB0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ascii="Arial"/>
                      <w:color w:val="auto"/>
                      <w:sz w:val="21"/>
                      <w:highlight w:val="none"/>
                    </w:rPr>
                  </w:pPr>
                </w:p>
              </w:tc>
              <w:tc>
                <w:tcPr>
                  <w:tcW w:w="2750" w:type="dxa"/>
                  <w:tcBorders>
                    <w:top w:val="single" w:color="auto" w:sz="4" w:space="0"/>
                    <w:left w:val="single" w:color="auto" w:sz="4" w:space="0"/>
                    <w:bottom w:val="single" w:color="auto" w:sz="4" w:space="0"/>
                    <w:right w:val="single" w:color="auto" w:sz="4" w:space="0"/>
                  </w:tcBorders>
                  <w:vAlign w:val="center"/>
                </w:tcPr>
                <w:p w14:paraId="7608C35F">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color w:val="auto"/>
                      <w:sz w:val="20"/>
                      <w:szCs w:val="20"/>
                      <w:highlight w:val="none"/>
                    </w:rPr>
                  </w:pPr>
                  <w:r>
                    <w:rPr>
                      <w:rFonts w:hint="eastAsia" w:ascii="Times New Roman" w:hAnsi="Times New Roman" w:eastAsia="Times New Roman" w:cs="Times New Roman"/>
                      <w:color w:val="auto"/>
                      <w:spacing w:val="5"/>
                      <w:kern w:val="2"/>
                      <w:sz w:val="20"/>
                      <w:szCs w:val="20"/>
                      <w:highlight w:val="none"/>
                      <w:lang w:val="en-US" w:eastAsia="zh-CN" w:bidi="ar-SA"/>
                    </w:rPr>
                    <w:t>NO</w:t>
                  </w:r>
                  <w:r>
                    <w:rPr>
                      <w:rFonts w:hint="eastAsia" w:ascii="Times New Roman" w:hAnsi="Times New Roman" w:eastAsia="Times New Roman" w:cs="Times New Roman"/>
                      <w:color w:val="auto"/>
                      <w:spacing w:val="5"/>
                      <w:kern w:val="2"/>
                      <w:sz w:val="20"/>
                      <w:szCs w:val="20"/>
                      <w:highlight w:val="none"/>
                      <w:vertAlign w:val="subscript"/>
                      <w:lang w:val="en-US" w:eastAsia="zh-CN" w:bidi="ar-SA"/>
                    </w:rPr>
                    <w:t>X</w:t>
                  </w:r>
                </w:p>
              </w:tc>
              <w:tc>
                <w:tcPr>
                  <w:tcW w:w="2370" w:type="dxa"/>
                  <w:tcBorders>
                    <w:top w:val="single" w:color="auto" w:sz="4" w:space="0"/>
                    <w:left w:val="single" w:color="auto" w:sz="4" w:space="0"/>
                    <w:bottom w:val="single" w:color="auto" w:sz="4" w:space="0"/>
                  </w:tcBorders>
                  <w:vAlign w:val="center"/>
                </w:tcPr>
                <w:p w14:paraId="4477A6A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ascii="Times New Roman" w:hAnsi="Times New Roman" w:eastAsia="Times New Roman" w:cs="Times New Roman"/>
                      <w:color w:val="auto"/>
                      <w:sz w:val="20"/>
                      <w:szCs w:val="20"/>
                      <w:highlight w:val="none"/>
                    </w:rPr>
                    <w:t>0.0</w:t>
                  </w:r>
                  <w:r>
                    <w:rPr>
                      <w:rFonts w:hint="eastAsia" w:eastAsia="宋体" w:cs="Times New Roman"/>
                      <w:color w:val="auto"/>
                      <w:sz w:val="20"/>
                      <w:szCs w:val="20"/>
                      <w:highlight w:val="none"/>
                      <w:lang w:val="en-US" w:eastAsia="zh-CN"/>
                    </w:rPr>
                    <w:t>128</w:t>
                  </w:r>
                </w:p>
              </w:tc>
            </w:tr>
            <w:tr w14:paraId="7D7B1C13">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599" w:type="dxa"/>
                  <w:vMerge w:val="restart"/>
                  <w:tcBorders>
                    <w:top w:val="single" w:color="auto" w:sz="4" w:space="0"/>
                    <w:right w:val="single" w:color="auto" w:sz="4" w:space="0"/>
                  </w:tcBorders>
                  <w:vAlign w:val="center"/>
                </w:tcPr>
                <w:p w14:paraId="47E4BA7B">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color w:val="auto"/>
                      <w:spacing w:val="5"/>
                      <w:sz w:val="20"/>
                      <w:szCs w:val="20"/>
                      <w:highlight w:val="none"/>
                      <w:lang w:val="en-US" w:eastAsia="zh-CN"/>
                    </w:rPr>
                  </w:pPr>
                  <w:r>
                    <w:rPr>
                      <w:rFonts w:hint="eastAsia"/>
                      <w:color w:val="auto"/>
                      <w:spacing w:val="5"/>
                      <w:sz w:val="20"/>
                      <w:szCs w:val="20"/>
                      <w:highlight w:val="none"/>
                      <w:lang w:val="en-US" w:eastAsia="zh-CN"/>
                    </w:rPr>
                    <w:t>废水</w:t>
                  </w:r>
                </w:p>
              </w:tc>
              <w:tc>
                <w:tcPr>
                  <w:tcW w:w="2750" w:type="dxa"/>
                  <w:tcBorders>
                    <w:top w:val="single" w:color="auto" w:sz="4" w:space="0"/>
                    <w:left w:val="single" w:color="auto" w:sz="4" w:space="0"/>
                    <w:bottom w:val="single" w:color="auto" w:sz="4" w:space="0"/>
                    <w:right w:val="single" w:color="auto" w:sz="4" w:space="0"/>
                  </w:tcBorders>
                  <w:vAlign w:val="center"/>
                </w:tcPr>
                <w:p w14:paraId="550EC6C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pacing w:val="5"/>
                      <w:sz w:val="20"/>
                      <w:szCs w:val="20"/>
                      <w:highlight w:val="none"/>
                      <w:lang w:val="en-US" w:eastAsia="zh-CN"/>
                    </w:rPr>
                  </w:pPr>
                  <w:r>
                    <w:rPr>
                      <w:rFonts w:hint="eastAsia" w:ascii="Times New Roman" w:hAnsi="Times New Roman" w:eastAsia="Times New Roman" w:cs="Times New Roman"/>
                      <w:color w:val="auto"/>
                      <w:spacing w:val="5"/>
                      <w:sz w:val="20"/>
                      <w:szCs w:val="20"/>
                      <w:highlight w:val="none"/>
                      <w:lang w:val="en-US" w:eastAsia="zh-CN"/>
                    </w:rPr>
                    <w:t>COD</w:t>
                  </w:r>
                </w:p>
              </w:tc>
              <w:tc>
                <w:tcPr>
                  <w:tcW w:w="2370" w:type="dxa"/>
                  <w:tcBorders>
                    <w:top w:val="single" w:color="auto" w:sz="4" w:space="0"/>
                    <w:left w:val="single" w:color="auto" w:sz="4" w:space="0"/>
                    <w:bottom w:val="single" w:color="auto" w:sz="4" w:space="0"/>
                  </w:tcBorders>
                  <w:vAlign w:val="center"/>
                </w:tcPr>
                <w:p w14:paraId="5EC3717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eastAsia="宋体" w:cs="Times New Roman"/>
                      <w:color w:val="auto"/>
                      <w:spacing w:val="3"/>
                      <w:sz w:val="20"/>
                      <w:szCs w:val="20"/>
                      <w:highlight w:val="none"/>
                      <w:lang w:val="en-US" w:eastAsia="zh-CN"/>
                    </w:rPr>
                  </w:pPr>
                  <w:r>
                    <w:rPr>
                      <w:rFonts w:hint="eastAsia" w:cs="Times New Roman"/>
                      <w:color w:val="auto"/>
                      <w:spacing w:val="3"/>
                      <w:sz w:val="20"/>
                      <w:szCs w:val="20"/>
                      <w:highlight w:val="none"/>
                      <w:lang w:val="en-US" w:eastAsia="zh-CN"/>
                    </w:rPr>
                    <w:t>0.220</w:t>
                  </w:r>
                </w:p>
              </w:tc>
            </w:tr>
            <w:tr w14:paraId="49D4A09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599" w:type="dxa"/>
                  <w:vMerge w:val="continue"/>
                  <w:tcBorders>
                    <w:right w:val="single" w:color="auto" w:sz="4" w:space="0"/>
                  </w:tcBorders>
                  <w:vAlign w:val="center"/>
                </w:tcPr>
                <w:p w14:paraId="5F71BA7F">
                  <w:pPr>
                    <w:pStyle w:val="11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color w:val="auto"/>
                      <w:spacing w:val="5"/>
                      <w:sz w:val="20"/>
                      <w:szCs w:val="20"/>
                      <w:highlight w:val="none"/>
                      <w:lang w:val="en-US" w:eastAsia="zh-CN"/>
                    </w:rPr>
                  </w:pPr>
                </w:p>
              </w:tc>
              <w:tc>
                <w:tcPr>
                  <w:tcW w:w="2750" w:type="dxa"/>
                  <w:tcBorders>
                    <w:top w:val="single" w:color="auto" w:sz="4" w:space="0"/>
                    <w:left w:val="single" w:color="auto" w:sz="4" w:space="0"/>
                    <w:right w:val="single" w:color="auto" w:sz="4" w:space="0"/>
                  </w:tcBorders>
                  <w:vAlign w:val="center"/>
                </w:tcPr>
                <w:p w14:paraId="7E24FA1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Times New Roman" w:cs="Times New Roman"/>
                      <w:color w:val="auto"/>
                      <w:spacing w:val="5"/>
                      <w:sz w:val="20"/>
                      <w:szCs w:val="20"/>
                      <w:highlight w:val="none"/>
                      <w:lang w:val="en-US" w:eastAsia="zh-CN"/>
                    </w:rPr>
                  </w:pPr>
                  <w:r>
                    <w:rPr>
                      <w:rFonts w:hint="eastAsia" w:ascii="Times New Roman" w:hAnsi="Times New Roman" w:eastAsia="Times New Roman" w:cs="Times New Roman"/>
                      <w:color w:val="auto"/>
                      <w:spacing w:val="5"/>
                      <w:sz w:val="20"/>
                      <w:szCs w:val="20"/>
                      <w:highlight w:val="none"/>
                      <w:lang w:val="en-US" w:eastAsia="zh-CN"/>
                    </w:rPr>
                    <w:t>NH</w:t>
                  </w:r>
                  <w:r>
                    <w:rPr>
                      <w:rFonts w:hint="eastAsia" w:ascii="Times New Roman" w:hAnsi="Times New Roman" w:eastAsia="Times New Roman" w:cs="Times New Roman"/>
                      <w:color w:val="auto"/>
                      <w:spacing w:val="5"/>
                      <w:sz w:val="20"/>
                      <w:szCs w:val="20"/>
                      <w:highlight w:val="none"/>
                      <w:vertAlign w:val="subscript"/>
                      <w:lang w:val="en-US" w:eastAsia="zh-CN"/>
                    </w:rPr>
                    <w:t>3</w:t>
                  </w:r>
                  <w:r>
                    <w:rPr>
                      <w:rFonts w:hint="eastAsia" w:ascii="Times New Roman" w:hAnsi="Times New Roman" w:eastAsia="Times New Roman" w:cs="Times New Roman"/>
                      <w:color w:val="auto"/>
                      <w:spacing w:val="5"/>
                      <w:sz w:val="20"/>
                      <w:szCs w:val="20"/>
                      <w:highlight w:val="none"/>
                      <w:lang w:val="en-US" w:eastAsia="zh-CN"/>
                    </w:rPr>
                    <w:t>-N</w:t>
                  </w:r>
                </w:p>
              </w:tc>
              <w:tc>
                <w:tcPr>
                  <w:tcW w:w="2370" w:type="dxa"/>
                  <w:tcBorders>
                    <w:top w:val="single" w:color="auto" w:sz="4" w:space="0"/>
                    <w:left w:val="single" w:color="auto" w:sz="4" w:space="0"/>
                  </w:tcBorders>
                  <w:vAlign w:val="center"/>
                </w:tcPr>
                <w:p w14:paraId="19D8F84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eastAsia="宋体" w:cs="Times New Roman"/>
                      <w:color w:val="auto"/>
                      <w:spacing w:val="3"/>
                      <w:sz w:val="20"/>
                      <w:szCs w:val="20"/>
                      <w:highlight w:val="none"/>
                      <w:lang w:val="en-US" w:eastAsia="zh-CN"/>
                    </w:rPr>
                  </w:pPr>
                  <w:r>
                    <w:rPr>
                      <w:rFonts w:hint="eastAsia" w:cs="Times New Roman"/>
                      <w:color w:val="auto"/>
                      <w:spacing w:val="3"/>
                      <w:sz w:val="20"/>
                      <w:szCs w:val="20"/>
                      <w:highlight w:val="none"/>
                      <w:lang w:val="en-US" w:eastAsia="zh-CN"/>
                    </w:rPr>
                    <w:t>0.019</w:t>
                  </w:r>
                </w:p>
              </w:tc>
            </w:tr>
          </w:tbl>
          <w:p w14:paraId="04C75643">
            <w:pPr>
              <w:pStyle w:val="34"/>
              <w:keepNext w:val="0"/>
              <w:keepLines w:val="0"/>
              <w:pageBreakBefore w:val="0"/>
              <w:widowControl w:val="0"/>
              <w:kinsoku/>
              <w:wordWrap/>
              <w:overflowPunct/>
              <w:topLinePunct w:val="0"/>
              <w:autoSpaceDE/>
              <w:autoSpaceDN/>
              <w:bidi w:val="0"/>
              <w:adjustRightInd w:val="0"/>
              <w:snapToGrid w:val="0"/>
              <w:spacing w:before="157" w:beforeLines="50"/>
              <w:ind w:left="0" w:leftChars="0" w:firstLine="484" w:firstLineChars="200"/>
              <w:textAlignment w:val="auto"/>
              <w:rPr>
                <w:color w:val="auto"/>
                <w:highlight w:val="none"/>
              </w:rPr>
            </w:pPr>
            <w:r>
              <w:rPr>
                <w:color w:val="auto"/>
                <w:sz w:val="24"/>
                <w:highlight w:val="none"/>
              </w:rPr>
              <w:t>项目具体总量指标最后以当地环保部门核定的总量为准。</w:t>
            </w:r>
          </w:p>
          <w:p w14:paraId="3E6DB5C5">
            <w:pPr>
              <w:pStyle w:val="34"/>
              <w:rPr>
                <w:rFonts w:hint="eastAsia"/>
                <w:color w:val="auto"/>
                <w:highlight w:val="none"/>
                <w:lang w:eastAsia="zh-CN"/>
              </w:rPr>
            </w:pPr>
          </w:p>
          <w:p w14:paraId="0E1F93E0">
            <w:pPr>
              <w:pStyle w:val="34"/>
              <w:rPr>
                <w:rFonts w:hint="eastAsia"/>
                <w:color w:val="auto"/>
                <w:highlight w:val="none"/>
                <w:lang w:eastAsia="zh-CN"/>
              </w:rPr>
            </w:pPr>
          </w:p>
          <w:p w14:paraId="40151CC1">
            <w:pPr>
              <w:pStyle w:val="34"/>
              <w:rPr>
                <w:rFonts w:hint="eastAsia"/>
                <w:color w:val="auto"/>
                <w:highlight w:val="none"/>
                <w:lang w:eastAsia="zh-CN"/>
              </w:rPr>
            </w:pPr>
          </w:p>
          <w:p w14:paraId="6BCCC4F6">
            <w:pPr>
              <w:pStyle w:val="34"/>
              <w:rPr>
                <w:rFonts w:hint="eastAsia"/>
                <w:color w:val="auto"/>
                <w:highlight w:val="none"/>
                <w:lang w:eastAsia="zh-CN"/>
              </w:rPr>
            </w:pPr>
          </w:p>
          <w:p w14:paraId="5605563C">
            <w:pPr>
              <w:pStyle w:val="34"/>
              <w:rPr>
                <w:rFonts w:hint="eastAsia"/>
                <w:color w:val="auto"/>
                <w:highlight w:val="none"/>
                <w:lang w:eastAsia="zh-CN"/>
              </w:rPr>
            </w:pPr>
          </w:p>
          <w:p w14:paraId="7BDBE040">
            <w:pPr>
              <w:pStyle w:val="34"/>
              <w:rPr>
                <w:rFonts w:hint="eastAsia"/>
                <w:color w:val="auto"/>
                <w:highlight w:val="none"/>
                <w:lang w:eastAsia="zh-CN"/>
              </w:rPr>
            </w:pPr>
          </w:p>
          <w:p w14:paraId="578F5E90">
            <w:pPr>
              <w:pStyle w:val="34"/>
              <w:rPr>
                <w:rFonts w:hint="eastAsia"/>
                <w:color w:val="auto"/>
                <w:highlight w:val="none"/>
                <w:lang w:eastAsia="zh-CN"/>
              </w:rPr>
            </w:pPr>
          </w:p>
          <w:p w14:paraId="157D78D4">
            <w:pPr>
              <w:pStyle w:val="34"/>
              <w:rPr>
                <w:rFonts w:hint="eastAsia"/>
                <w:color w:val="auto"/>
                <w:highlight w:val="none"/>
                <w:lang w:eastAsia="zh-CN"/>
              </w:rPr>
            </w:pPr>
          </w:p>
          <w:p w14:paraId="51D084E4">
            <w:pPr>
              <w:pStyle w:val="34"/>
              <w:rPr>
                <w:rFonts w:hint="eastAsia"/>
                <w:color w:val="auto"/>
                <w:highlight w:val="none"/>
                <w:lang w:eastAsia="zh-CN"/>
              </w:rPr>
            </w:pPr>
          </w:p>
          <w:p w14:paraId="24DD22E2">
            <w:pPr>
              <w:pStyle w:val="34"/>
              <w:rPr>
                <w:rFonts w:hint="eastAsia"/>
                <w:color w:val="auto"/>
                <w:highlight w:val="none"/>
                <w:lang w:eastAsia="zh-CN"/>
              </w:rPr>
            </w:pPr>
          </w:p>
          <w:p w14:paraId="27017AAF">
            <w:pPr>
              <w:pStyle w:val="34"/>
              <w:rPr>
                <w:rFonts w:hint="eastAsia"/>
                <w:color w:val="auto"/>
                <w:highlight w:val="none"/>
                <w:lang w:eastAsia="zh-CN"/>
              </w:rPr>
            </w:pPr>
          </w:p>
          <w:p w14:paraId="64A48E33">
            <w:pPr>
              <w:pStyle w:val="34"/>
              <w:rPr>
                <w:rFonts w:hint="eastAsia"/>
                <w:color w:val="auto"/>
                <w:highlight w:val="none"/>
                <w:lang w:eastAsia="zh-CN"/>
              </w:rPr>
            </w:pPr>
          </w:p>
          <w:p w14:paraId="67DECE84">
            <w:pPr>
              <w:pStyle w:val="34"/>
              <w:rPr>
                <w:rFonts w:hint="eastAsia"/>
                <w:color w:val="auto"/>
                <w:highlight w:val="none"/>
                <w:lang w:eastAsia="zh-CN"/>
              </w:rPr>
            </w:pPr>
          </w:p>
          <w:p w14:paraId="0C7E9AFA">
            <w:pPr>
              <w:pStyle w:val="34"/>
              <w:rPr>
                <w:rFonts w:hint="eastAsia" w:eastAsia="宋体"/>
                <w:color w:val="auto"/>
                <w:highlight w:val="none"/>
                <w:lang w:eastAsia="zh-CN"/>
              </w:rPr>
            </w:pPr>
          </w:p>
        </w:tc>
      </w:tr>
    </w:tbl>
    <w:p w14:paraId="6E3623C3">
      <w:pPr>
        <w:pStyle w:val="22"/>
        <w:jc w:val="center"/>
        <w:outlineLvl w:val="0"/>
        <w:rPr>
          <w:rFonts w:ascii="黑体" w:hAnsi="黑体" w:eastAsia="黑体"/>
          <w:snapToGrid w:val="0"/>
          <w:color w:val="auto"/>
          <w:sz w:val="36"/>
          <w:szCs w:val="36"/>
          <w:highlight w:val="none"/>
        </w:rPr>
      </w:pPr>
      <w:r>
        <w:rPr>
          <w:rFonts w:ascii="黑体" w:hAnsi="黑体" w:eastAsia="黑体"/>
          <w:snapToGrid w:val="0"/>
          <w:color w:val="auto"/>
          <w:sz w:val="36"/>
          <w:szCs w:val="36"/>
          <w:highlight w:val="none"/>
        </w:rPr>
        <w:br w:type="page"/>
      </w:r>
      <w:r>
        <w:rPr>
          <w:rFonts w:hint="eastAsia" w:ascii="黑体" w:hAnsi="黑体" w:eastAsia="黑体"/>
          <w:snapToGrid w:val="0"/>
          <w:color w:val="auto"/>
          <w:sz w:val="30"/>
          <w:szCs w:val="30"/>
          <w:highlight w:val="none"/>
        </w:rPr>
        <w:t>四、主要环境影响和保护措施</w:t>
      </w:r>
    </w:p>
    <w:tbl>
      <w:tblPr>
        <w:tblStyle w:val="27"/>
        <w:tblW w:w="89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1CAB52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746" w:type="dxa"/>
            <w:noWrap w:val="0"/>
            <w:tcMar>
              <w:left w:w="28" w:type="dxa"/>
              <w:right w:w="28" w:type="dxa"/>
            </w:tcMar>
            <w:vAlign w:val="center"/>
          </w:tcPr>
          <w:p w14:paraId="459F01A9">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施工</w:t>
            </w:r>
          </w:p>
          <w:p w14:paraId="1E08D5D5">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期环</w:t>
            </w:r>
          </w:p>
          <w:p w14:paraId="7BDC9AD4">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境保</w:t>
            </w:r>
          </w:p>
          <w:p w14:paraId="58AE3EFF">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护措</w:t>
            </w:r>
          </w:p>
          <w:p w14:paraId="04292563">
            <w:pPr>
              <w:pStyle w:val="22"/>
              <w:adjustRightInd w:val="0"/>
              <w:snapToGrid w:val="0"/>
              <w:spacing w:before="0" w:beforeAutospacing="0" w:after="0" w:afterAutospacing="0"/>
              <w:jc w:val="center"/>
              <w:rPr>
                <w:rFonts w:cs="宋体"/>
                <w:bCs/>
                <w:color w:val="auto"/>
                <w:kern w:val="2"/>
                <w:sz w:val="21"/>
                <w:szCs w:val="21"/>
                <w:highlight w:val="none"/>
              </w:rPr>
            </w:pPr>
            <w:r>
              <w:rPr>
                <w:rFonts w:hint="eastAsia" w:cs="宋体"/>
                <w:color w:val="auto"/>
                <w:kern w:val="2"/>
                <w:sz w:val="21"/>
                <w:szCs w:val="21"/>
                <w:highlight w:val="none"/>
              </w:rPr>
              <w:t>施</w:t>
            </w:r>
          </w:p>
        </w:tc>
        <w:tc>
          <w:tcPr>
            <w:tcW w:w="8162" w:type="dxa"/>
            <w:noWrap w:val="0"/>
            <w:vAlign w:val="center"/>
          </w:tcPr>
          <w:p w14:paraId="07D14896">
            <w:pPr>
              <w:keepNext w:val="0"/>
              <w:keepLines w:val="0"/>
              <w:pageBreakBefore w:val="0"/>
              <w:widowControl/>
              <w:kinsoku/>
              <w:wordWrap/>
              <w:overflowPunct/>
              <w:topLinePunct w:val="0"/>
              <w:autoSpaceDE/>
              <w:autoSpaceDN/>
              <w:bidi w:val="0"/>
              <w:spacing w:line="360" w:lineRule="auto"/>
              <w:ind w:left="0" w:leftChars="0" w:firstLine="480" w:firstLineChars="200"/>
              <w:textAlignment w:val="auto"/>
              <w:rPr>
                <w:rFonts w:hint="eastAsia"/>
                <w:color w:val="auto"/>
                <w:kern w:val="0"/>
                <w:sz w:val="24"/>
                <w:highlight w:val="none"/>
                <w:lang w:val="en-US" w:eastAsia="zh-CN"/>
              </w:rPr>
            </w:pPr>
            <w:r>
              <w:rPr>
                <w:rFonts w:hint="eastAsia"/>
                <w:color w:val="auto"/>
                <w:kern w:val="0"/>
                <w:sz w:val="24"/>
                <w:highlight w:val="none"/>
                <w:lang w:val="en-US" w:eastAsia="zh-CN"/>
              </w:rPr>
              <w:t>本次扩建位于</w:t>
            </w:r>
            <w:r>
              <w:rPr>
                <w:rFonts w:hint="eastAsia"/>
                <w:bCs/>
                <w:color w:val="auto"/>
                <w:kern w:val="0"/>
                <w:sz w:val="24"/>
                <w:highlight w:val="none"/>
                <w:lang w:val="en-US" w:eastAsia="zh-CN"/>
              </w:rPr>
              <w:t>核工业二0三研究所</w:t>
            </w:r>
            <w:r>
              <w:rPr>
                <w:rFonts w:hint="eastAsia"/>
                <w:color w:val="auto"/>
                <w:sz w:val="24"/>
                <w:highlight w:val="none"/>
                <w:lang w:eastAsia="zh-CN"/>
              </w:rPr>
              <w:t>科技综合楼</w:t>
            </w:r>
            <w:r>
              <w:rPr>
                <w:rFonts w:hint="eastAsia"/>
                <w:bCs/>
                <w:color w:val="auto"/>
                <w:kern w:val="0"/>
                <w:sz w:val="24"/>
                <w:highlight w:val="none"/>
                <w:lang w:val="en-US" w:eastAsia="zh-CN"/>
              </w:rPr>
              <w:t>B座</w:t>
            </w:r>
            <w:r>
              <w:rPr>
                <w:rFonts w:hint="eastAsia"/>
                <w:color w:val="auto"/>
                <w:kern w:val="0"/>
                <w:sz w:val="24"/>
                <w:highlight w:val="none"/>
              </w:rPr>
              <w:t>内</w:t>
            </w:r>
            <w:r>
              <w:rPr>
                <w:rFonts w:hint="eastAsia"/>
                <w:color w:val="auto"/>
                <w:kern w:val="0"/>
                <w:sz w:val="24"/>
                <w:highlight w:val="none"/>
                <w:lang w:eastAsia="zh-CN"/>
              </w:rPr>
              <w:t>，</w:t>
            </w:r>
            <w:r>
              <w:rPr>
                <w:rFonts w:hint="eastAsia"/>
                <w:color w:val="auto"/>
                <w:kern w:val="0"/>
                <w:sz w:val="24"/>
                <w:highlight w:val="none"/>
                <w:lang w:val="en-US" w:eastAsia="zh-CN"/>
              </w:rPr>
              <w:t>仅将新增设备放置及安装至已建成的房间内，不进行土建、构筑物的施工和室内装饰，仅涉及实验设备的安装，整个施工过程对周围环境影响较小，主要采取的环保措施如下：</w:t>
            </w:r>
          </w:p>
          <w:p w14:paraId="4C6BA200">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b/>
                <w:bCs/>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（1）废气</w:t>
            </w:r>
          </w:p>
          <w:p w14:paraId="501057F1">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color w:val="auto"/>
                <w:kern w:val="0"/>
                <w:sz w:val="24"/>
                <w:highlight w:val="none"/>
                <w:lang w:val="en-US" w:eastAsia="zh-CN"/>
              </w:rPr>
            </w:pPr>
            <w:r>
              <w:rPr>
                <w:rFonts w:hint="default" w:ascii="Times New Roman" w:hAnsi="Times New Roman" w:cs="Times New Roman"/>
                <w:color w:val="auto"/>
                <w:kern w:val="0"/>
                <w:sz w:val="24"/>
                <w:highlight w:val="none"/>
                <w:lang w:val="en-US" w:eastAsia="zh-CN"/>
              </w:rPr>
              <w:t>设备安装焊接或切割时，使用移动式焊烟净化器，防止烟尘扩散；钻孔、打磨等作业时，采用湿法操作或配备吸尘器实时收集粉尘；安装支架等辅材选择无甲醛、低VOCs的环保材料；使用水性密封胶或环保粘剂，避免含苯、甲醛等有害物质的传统胶水。</w:t>
            </w:r>
          </w:p>
          <w:p w14:paraId="05FDA4E4">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b/>
                <w:bCs/>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（2）废水</w:t>
            </w:r>
          </w:p>
          <w:p w14:paraId="3F0E6E05">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color w:val="auto"/>
                <w:kern w:val="0"/>
                <w:sz w:val="24"/>
                <w:highlight w:val="none"/>
                <w:lang w:val="en-US" w:eastAsia="zh-CN"/>
              </w:rPr>
            </w:pPr>
            <w:r>
              <w:rPr>
                <w:rFonts w:hint="default" w:ascii="Times New Roman" w:hAnsi="Times New Roman" w:cs="Times New Roman"/>
                <w:color w:val="auto"/>
                <w:kern w:val="0"/>
                <w:sz w:val="24"/>
                <w:highlight w:val="none"/>
                <w:lang w:val="en-US" w:eastAsia="zh-CN"/>
              </w:rPr>
              <w:t>少量安装施工人员生活污水主要为冲厕废水，可依托现有化粪池处理后，最终排至沣东南污水处理厂。</w:t>
            </w:r>
          </w:p>
          <w:p w14:paraId="58F6C249">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b/>
                <w:bCs/>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（3）噪声</w:t>
            </w:r>
          </w:p>
          <w:p w14:paraId="7130DBF4">
            <w:pPr>
              <w:pStyle w:val="26"/>
              <w:keepNext w:val="0"/>
              <w:keepLines w:val="0"/>
              <w:pageBreakBefore w:val="0"/>
              <w:kinsoku/>
              <w:wordWrap/>
              <w:overflowPunct/>
              <w:topLinePunct w:val="0"/>
              <w:autoSpaceDE/>
              <w:autoSpaceDN/>
              <w:bidi w:val="0"/>
              <w:spacing w:after="0"/>
              <w:ind w:left="0" w:leftChars="0"/>
              <w:textAlignment w:val="auto"/>
              <w:rPr>
                <w:rFonts w:hint="default" w:ascii="Times New Roman" w:hAnsi="Times New Roman" w:cs="Times New Roman"/>
                <w:color w:val="auto"/>
                <w:kern w:val="0"/>
                <w:sz w:val="24"/>
                <w:highlight w:val="none"/>
                <w:lang w:val="en-US" w:eastAsia="zh-CN"/>
              </w:rPr>
            </w:pPr>
            <w:r>
              <w:rPr>
                <w:rFonts w:hint="default" w:ascii="Times New Roman" w:hAnsi="Times New Roman" w:cs="Times New Roman"/>
                <w:color w:val="auto"/>
                <w:kern w:val="0"/>
                <w:sz w:val="24"/>
                <w:highlight w:val="none"/>
                <w:lang w:val="en-US" w:eastAsia="zh-CN"/>
              </w:rPr>
              <w:t>使用低噪声工具（如静音电钻），减少对实验人员的影响；限制高噪声作业时段，避开实验室敏感实验时间。</w:t>
            </w:r>
          </w:p>
          <w:p w14:paraId="7F0C7F9E">
            <w:pPr>
              <w:pStyle w:val="26"/>
              <w:keepNext w:val="0"/>
              <w:keepLines w:val="0"/>
              <w:pageBreakBefore w:val="0"/>
              <w:kinsoku/>
              <w:wordWrap/>
              <w:overflowPunct/>
              <w:topLinePunct w:val="0"/>
              <w:autoSpaceDE/>
              <w:autoSpaceDN/>
              <w:bidi w:val="0"/>
              <w:spacing w:after="0"/>
              <w:ind w:left="0" w:leftChars="0"/>
              <w:textAlignment w:val="auto"/>
              <w:rPr>
                <w:rFonts w:hint="eastAsia"/>
                <w:b/>
                <w:bCs/>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（4）</w:t>
            </w:r>
            <w:r>
              <w:rPr>
                <w:rFonts w:hint="eastAsia"/>
                <w:b/>
                <w:bCs/>
                <w:color w:val="auto"/>
                <w:kern w:val="0"/>
                <w:sz w:val="24"/>
                <w:highlight w:val="none"/>
                <w:lang w:val="en-US" w:eastAsia="zh-CN"/>
              </w:rPr>
              <w:t>固废</w:t>
            </w:r>
          </w:p>
          <w:p w14:paraId="0E74F283">
            <w:pPr>
              <w:pStyle w:val="26"/>
              <w:keepNext w:val="0"/>
              <w:keepLines w:val="0"/>
              <w:pageBreakBefore w:val="0"/>
              <w:kinsoku/>
              <w:wordWrap/>
              <w:overflowPunct/>
              <w:topLinePunct w:val="0"/>
              <w:autoSpaceDE/>
              <w:autoSpaceDN/>
              <w:bidi w:val="0"/>
              <w:spacing w:after="0"/>
              <w:ind w:left="0" w:leftChars="0"/>
              <w:textAlignment w:val="auto"/>
              <w:rPr>
                <w:rFonts w:hint="eastAsia"/>
                <w:bCs/>
                <w:color w:val="auto"/>
                <w:kern w:val="4"/>
                <w:sz w:val="24"/>
                <w:highlight w:val="none"/>
                <w:lang w:eastAsia="zh-CN"/>
              </w:rPr>
            </w:pPr>
            <w:r>
              <w:rPr>
                <w:rFonts w:hint="eastAsia"/>
                <w:color w:val="auto"/>
                <w:kern w:val="0"/>
                <w:sz w:val="24"/>
                <w:highlight w:val="none"/>
                <w:lang w:val="en-US" w:eastAsia="zh-CN"/>
              </w:rPr>
              <w:t>由于施工人员少，安装时间较短，因此，固废主要为设备安装材料、</w:t>
            </w:r>
            <w:r>
              <w:rPr>
                <w:bCs/>
                <w:color w:val="auto"/>
                <w:kern w:val="4"/>
                <w:sz w:val="24"/>
                <w:highlight w:val="none"/>
              </w:rPr>
              <w:t>施工人员的生活垃圾</w:t>
            </w:r>
            <w:r>
              <w:rPr>
                <w:rFonts w:hint="eastAsia"/>
                <w:color w:val="auto"/>
                <w:kern w:val="0"/>
                <w:sz w:val="24"/>
                <w:highlight w:val="none"/>
                <w:lang w:val="en-US" w:eastAsia="zh-CN"/>
              </w:rPr>
              <w:t>，设备安装材料收集后交由废品回收站处理，</w:t>
            </w:r>
            <w:r>
              <w:rPr>
                <w:bCs/>
                <w:color w:val="auto"/>
                <w:kern w:val="4"/>
                <w:sz w:val="24"/>
                <w:highlight w:val="none"/>
              </w:rPr>
              <w:t>施工人员生活垃圾分类收集后，交由环卫部门统一清运处理</w:t>
            </w:r>
            <w:r>
              <w:rPr>
                <w:rFonts w:hint="eastAsia"/>
                <w:bCs/>
                <w:color w:val="auto"/>
                <w:kern w:val="4"/>
                <w:sz w:val="24"/>
                <w:highlight w:val="none"/>
                <w:lang w:eastAsia="zh-CN"/>
              </w:rPr>
              <w:t>。</w:t>
            </w:r>
          </w:p>
          <w:p w14:paraId="31E4F310">
            <w:pPr>
              <w:pStyle w:val="26"/>
              <w:keepNext w:val="0"/>
              <w:keepLines w:val="0"/>
              <w:pageBreakBefore w:val="0"/>
              <w:kinsoku/>
              <w:wordWrap/>
              <w:overflowPunct/>
              <w:topLinePunct w:val="0"/>
              <w:autoSpaceDE/>
              <w:autoSpaceDN/>
              <w:bidi w:val="0"/>
              <w:spacing w:after="0"/>
              <w:ind w:left="0" w:leftChars="0"/>
              <w:textAlignment w:val="auto"/>
              <w:rPr>
                <w:rFonts w:hint="eastAsia"/>
                <w:bCs/>
                <w:color w:val="auto"/>
                <w:kern w:val="4"/>
                <w:sz w:val="24"/>
                <w:highlight w:val="none"/>
                <w:lang w:eastAsia="zh-CN"/>
              </w:rPr>
            </w:pPr>
          </w:p>
          <w:p w14:paraId="5317219D">
            <w:pPr>
              <w:pStyle w:val="26"/>
              <w:keepNext w:val="0"/>
              <w:keepLines w:val="0"/>
              <w:pageBreakBefore w:val="0"/>
              <w:kinsoku/>
              <w:wordWrap/>
              <w:overflowPunct/>
              <w:topLinePunct w:val="0"/>
              <w:autoSpaceDE/>
              <w:autoSpaceDN/>
              <w:bidi w:val="0"/>
              <w:spacing w:after="0"/>
              <w:ind w:left="0" w:leftChars="0"/>
              <w:textAlignment w:val="auto"/>
              <w:rPr>
                <w:rFonts w:hint="eastAsia"/>
                <w:bCs/>
                <w:color w:val="auto"/>
                <w:kern w:val="4"/>
                <w:sz w:val="24"/>
                <w:highlight w:val="none"/>
                <w:lang w:eastAsia="zh-CN"/>
              </w:rPr>
            </w:pPr>
          </w:p>
          <w:p w14:paraId="119BF847">
            <w:pPr>
              <w:pStyle w:val="26"/>
              <w:keepNext w:val="0"/>
              <w:keepLines w:val="0"/>
              <w:pageBreakBefore w:val="0"/>
              <w:kinsoku/>
              <w:wordWrap/>
              <w:overflowPunct/>
              <w:topLinePunct w:val="0"/>
              <w:autoSpaceDE/>
              <w:autoSpaceDN/>
              <w:bidi w:val="0"/>
              <w:spacing w:after="0"/>
              <w:ind w:left="0" w:leftChars="0"/>
              <w:textAlignment w:val="auto"/>
              <w:rPr>
                <w:rFonts w:hint="eastAsia" w:ascii="宋体" w:hAnsi="Times New Roman" w:eastAsia="宋体" w:cs="Times New Roman"/>
                <w:bCs/>
                <w:color w:val="auto"/>
                <w:kern w:val="4"/>
                <w:sz w:val="24"/>
                <w:highlight w:val="none"/>
                <w:lang w:eastAsia="zh-CN"/>
              </w:rPr>
            </w:pPr>
          </w:p>
          <w:p w14:paraId="7729BB81">
            <w:pPr>
              <w:pStyle w:val="26"/>
              <w:keepNext w:val="0"/>
              <w:keepLines w:val="0"/>
              <w:pageBreakBefore w:val="0"/>
              <w:kinsoku/>
              <w:wordWrap/>
              <w:overflowPunct/>
              <w:topLinePunct w:val="0"/>
              <w:autoSpaceDE/>
              <w:autoSpaceDN/>
              <w:bidi w:val="0"/>
              <w:spacing w:after="0"/>
              <w:ind w:left="0" w:leftChars="0"/>
              <w:textAlignment w:val="auto"/>
              <w:rPr>
                <w:rFonts w:hint="eastAsia" w:ascii="宋体" w:hAnsi="Times New Roman" w:eastAsia="宋体" w:cs="Times New Roman"/>
                <w:bCs/>
                <w:color w:val="auto"/>
                <w:kern w:val="4"/>
                <w:sz w:val="24"/>
                <w:highlight w:val="none"/>
                <w:lang w:eastAsia="zh-CN"/>
              </w:rPr>
            </w:pPr>
          </w:p>
          <w:p w14:paraId="0C06E20A">
            <w:pPr>
              <w:pStyle w:val="26"/>
              <w:keepNext w:val="0"/>
              <w:keepLines w:val="0"/>
              <w:pageBreakBefore w:val="0"/>
              <w:kinsoku/>
              <w:wordWrap/>
              <w:overflowPunct/>
              <w:topLinePunct w:val="0"/>
              <w:autoSpaceDE/>
              <w:autoSpaceDN/>
              <w:bidi w:val="0"/>
              <w:spacing w:after="0"/>
              <w:ind w:left="0" w:leftChars="0"/>
              <w:textAlignment w:val="auto"/>
              <w:rPr>
                <w:rFonts w:hint="eastAsia" w:ascii="宋体" w:hAnsi="Times New Roman" w:eastAsia="宋体" w:cs="Times New Roman"/>
                <w:bCs/>
                <w:color w:val="auto"/>
                <w:kern w:val="4"/>
                <w:sz w:val="24"/>
                <w:highlight w:val="none"/>
                <w:lang w:eastAsia="zh-CN"/>
              </w:rPr>
            </w:pPr>
          </w:p>
          <w:p w14:paraId="5AAD3DA9">
            <w:pPr>
              <w:pStyle w:val="25"/>
              <w:rPr>
                <w:rFonts w:hint="eastAsia"/>
                <w:color w:val="auto"/>
                <w:highlight w:val="none"/>
                <w:lang w:eastAsia="zh-CN"/>
              </w:rPr>
            </w:pPr>
          </w:p>
          <w:p w14:paraId="47A1770C">
            <w:pPr>
              <w:rPr>
                <w:rFonts w:hint="default"/>
                <w:color w:val="auto"/>
                <w:highlight w:val="none"/>
                <w:lang w:val="en-US"/>
              </w:rPr>
            </w:pPr>
          </w:p>
        </w:tc>
      </w:tr>
      <w:tr w14:paraId="10262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746" w:type="dxa"/>
            <w:noWrap w:val="0"/>
            <w:tcMar>
              <w:left w:w="28" w:type="dxa"/>
              <w:right w:w="28" w:type="dxa"/>
            </w:tcMar>
            <w:vAlign w:val="center"/>
          </w:tcPr>
          <w:p w14:paraId="690ED64E">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运营</w:t>
            </w:r>
          </w:p>
          <w:p w14:paraId="2DA7AE5D">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期环</w:t>
            </w:r>
          </w:p>
          <w:p w14:paraId="42F2F1DE">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境影</w:t>
            </w:r>
          </w:p>
          <w:p w14:paraId="651FE02D">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响和</w:t>
            </w:r>
          </w:p>
          <w:p w14:paraId="6377FE11">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保护</w:t>
            </w:r>
          </w:p>
          <w:p w14:paraId="065DB763">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bCs/>
                <w:color w:val="auto"/>
                <w:sz w:val="21"/>
                <w:szCs w:val="21"/>
                <w:highlight w:val="none"/>
              </w:rPr>
              <w:t>措施</w:t>
            </w:r>
          </w:p>
        </w:tc>
        <w:tc>
          <w:tcPr>
            <w:tcW w:w="8162" w:type="dxa"/>
            <w:noWrap w:val="0"/>
            <w:vAlign w:val="center"/>
          </w:tcPr>
          <w:p w14:paraId="05C9AF00">
            <w:pPr>
              <w:adjustRightInd w:val="0"/>
              <w:snapToGrid w:val="0"/>
              <w:spacing w:before="120" w:beforeLines="50" w:line="360" w:lineRule="auto"/>
              <w:ind w:firstLine="482" w:firstLineChars="200"/>
              <w:rPr>
                <w:rFonts w:hAnsi="宋体"/>
                <w:b/>
                <w:color w:val="auto"/>
                <w:sz w:val="24"/>
                <w:highlight w:val="none"/>
              </w:rPr>
            </w:pPr>
            <w:r>
              <w:rPr>
                <w:rFonts w:hAnsi="宋体"/>
                <w:b/>
                <w:color w:val="auto"/>
                <w:sz w:val="24"/>
                <w:highlight w:val="none"/>
              </w:rPr>
              <w:t>4</w:t>
            </w:r>
            <w:r>
              <w:rPr>
                <w:rFonts w:hint="eastAsia" w:hAnsi="宋体"/>
                <w:b/>
                <w:color w:val="auto"/>
                <w:sz w:val="24"/>
                <w:highlight w:val="none"/>
              </w:rPr>
              <w:t>.1</w:t>
            </w:r>
            <w:r>
              <w:rPr>
                <w:rFonts w:hAnsi="宋体"/>
                <w:b/>
                <w:color w:val="auto"/>
                <w:sz w:val="24"/>
                <w:highlight w:val="none"/>
              </w:rPr>
              <w:t>废气</w:t>
            </w:r>
          </w:p>
          <w:p w14:paraId="2ABDD834">
            <w:pPr>
              <w:adjustRightInd w:val="0"/>
              <w:snapToGrid w:val="0"/>
              <w:spacing w:line="360" w:lineRule="auto"/>
              <w:ind w:firstLine="482" w:firstLineChars="200"/>
              <w:rPr>
                <w:b/>
                <w:color w:val="auto"/>
                <w:sz w:val="24"/>
                <w:highlight w:val="none"/>
              </w:rPr>
            </w:pPr>
            <w:r>
              <w:rPr>
                <w:b/>
                <w:color w:val="auto"/>
                <w:sz w:val="24"/>
                <w:highlight w:val="none"/>
              </w:rPr>
              <w:t>4.</w:t>
            </w:r>
            <w:r>
              <w:rPr>
                <w:rFonts w:hint="eastAsia"/>
                <w:b/>
                <w:color w:val="auto"/>
                <w:sz w:val="24"/>
                <w:highlight w:val="none"/>
              </w:rPr>
              <w:t>1.1污染工序及源强分析</w:t>
            </w:r>
          </w:p>
          <w:p w14:paraId="3E33904E">
            <w:pPr>
              <w:spacing w:line="360" w:lineRule="auto"/>
              <w:ind w:firstLine="480" w:firstLineChars="200"/>
              <w:rPr>
                <w:rFonts w:hint="eastAsia"/>
                <w:color w:val="auto"/>
                <w:sz w:val="24"/>
                <w:highlight w:val="none"/>
              </w:rPr>
            </w:pPr>
            <w:r>
              <w:rPr>
                <w:rFonts w:hint="eastAsia"/>
                <w:color w:val="auto"/>
                <w:sz w:val="24"/>
                <w:highlight w:val="none"/>
              </w:rPr>
              <w:t>本项目大气污染源</w:t>
            </w:r>
            <w:r>
              <w:rPr>
                <w:rFonts w:hint="eastAsia"/>
                <w:color w:val="auto"/>
                <w:sz w:val="24"/>
                <w:highlight w:val="none"/>
                <w:lang w:val="en-US" w:eastAsia="zh-CN"/>
              </w:rPr>
              <w:t>主要为酸性废气、有机废气以及碎样间的粉尘。</w:t>
            </w:r>
          </w:p>
          <w:p w14:paraId="004E1F1B">
            <w:pPr>
              <w:spacing w:line="360" w:lineRule="auto"/>
              <w:ind w:firstLine="480" w:firstLineChars="200"/>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rPr>
              <w:t>碎样间粉尘</w:t>
            </w:r>
          </w:p>
          <w:p w14:paraId="52AE40DF">
            <w:pPr>
              <w:spacing w:line="360" w:lineRule="auto"/>
              <w:ind w:firstLine="480" w:firstLineChars="200"/>
              <w:rPr>
                <w:rFonts w:hint="eastAsia"/>
                <w:color w:val="auto"/>
                <w:sz w:val="24"/>
                <w:highlight w:val="none"/>
                <w:lang w:eastAsia="zh-CN"/>
              </w:rPr>
            </w:pPr>
            <w:r>
              <w:rPr>
                <w:rFonts w:hint="eastAsia"/>
                <w:color w:val="auto"/>
                <w:sz w:val="24"/>
                <w:highlight w:val="none"/>
                <w:lang w:eastAsia="zh-CN"/>
              </w:rPr>
              <w:t>碎样间粉尘主要来自于岩矿破碎、筛分过程中产生的粉尘，参考《逸散性工业粉尘控制技术》中一级破碎</w:t>
            </w:r>
            <w:r>
              <w:rPr>
                <w:rFonts w:hint="eastAsia"/>
                <w:color w:val="auto"/>
                <w:sz w:val="24"/>
                <w:highlight w:val="none"/>
                <w:lang w:val="en-US" w:eastAsia="zh-CN"/>
              </w:rPr>
              <w:t>产尘系数</w:t>
            </w:r>
            <w:r>
              <w:rPr>
                <w:rFonts w:hint="eastAsia"/>
                <w:color w:val="auto"/>
                <w:sz w:val="24"/>
                <w:highlight w:val="none"/>
                <w:lang w:eastAsia="zh-CN"/>
              </w:rPr>
              <w:t>0.25kg/t进行核算，</w:t>
            </w:r>
            <w:r>
              <w:rPr>
                <w:rFonts w:hint="eastAsia"/>
                <w:color w:val="auto"/>
                <w:sz w:val="24"/>
                <w:highlight w:val="none"/>
                <w:lang w:val="en-US" w:eastAsia="zh-CN"/>
              </w:rPr>
              <w:t>项目破碎样品约290t/a，因此产生量为0.07t/a</w:t>
            </w:r>
            <w:r>
              <w:rPr>
                <w:rFonts w:hint="eastAsia"/>
                <w:color w:val="auto"/>
                <w:sz w:val="24"/>
                <w:highlight w:val="none"/>
                <w:lang w:eastAsia="zh-CN"/>
              </w:rPr>
              <w:t>，三面围挡</w:t>
            </w:r>
            <w:r>
              <w:rPr>
                <w:rFonts w:hint="eastAsia"/>
                <w:color w:val="auto"/>
                <w:sz w:val="24"/>
                <w:highlight w:val="none"/>
              </w:rPr>
              <w:t>集气罩收集，收集效率</w:t>
            </w:r>
            <w:r>
              <w:rPr>
                <w:rFonts w:hint="eastAsia"/>
                <w:color w:val="auto"/>
                <w:sz w:val="24"/>
                <w:highlight w:val="none"/>
                <w:lang w:val="en-US" w:eastAsia="zh-CN"/>
              </w:rPr>
              <w:t>8</w:t>
            </w:r>
            <w:r>
              <w:rPr>
                <w:rFonts w:hint="eastAsia"/>
                <w:color w:val="auto"/>
                <w:sz w:val="24"/>
                <w:highlight w:val="none"/>
              </w:rPr>
              <w:t>0%，则收集的粉尘为</w:t>
            </w:r>
            <w:r>
              <w:rPr>
                <w:rFonts w:hint="eastAsia"/>
                <w:color w:val="auto"/>
                <w:sz w:val="24"/>
                <w:highlight w:val="none"/>
                <w:lang w:val="en-US" w:eastAsia="zh-CN"/>
              </w:rPr>
              <w:t>0.056</w:t>
            </w:r>
            <w:r>
              <w:rPr>
                <w:rFonts w:hint="eastAsia"/>
                <w:color w:val="auto"/>
                <w:sz w:val="24"/>
                <w:highlight w:val="none"/>
                <w:lang w:eastAsia="zh-CN"/>
              </w:rPr>
              <w:t>t/a，</w:t>
            </w:r>
            <w:r>
              <w:rPr>
                <w:rFonts w:hint="eastAsia"/>
                <w:color w:val="auto"/>
                <w:sz w:val="24"/>
                <w:highlight w:val="none"/>
              </w:rPr>
              <w:t>无组织</w:t>
            </w:r>
            <w:r>
              <w:rPr>
                <w:rFonts w:hint="eastAsia"/>
                <w:color w:val="auto"/>
                <w:sz w:val="24"/>
                <w:highlight w:val="none"/>
                <w:lang w:val="en-US" w:eastAsia="zh-CN"/>
              </w:rPr>
              <w:t>挥发</w:t>
            </w:r>
            <w:r>
              <w:rPr>
                <w:rFonts w:hint="eastAsia"/>
                <w:color w:val="auto"/>
                <w:sz w:val="24"/>
                <w:highlight w:val="none"/>
              </w:rPr>
              <w:t>粉尘量为</w:t>
            </w:r>
            <w:r>
              <w:rPr>
                <w:rFonts w:hint="eastAsia"/>
                <w:color w:val="auto"/>
                <w:sz w:val="24"/>
                <w:highlight w:val="none"/>
                <w:lang w:val="en-US" w:eastAsia="zh-CN"/>
              </w:rPr>
              <w:t>0.014</w:t>
            </w:r>
            <w:r>
              <w:rPr>
                <w:rFonts w:hint="eastAsia"/>
                <w:color w:val="auto"/>
                <w:sz w:val="24"/>
                <w:highlight w:val="none"/>
              </w:rPr>
              <w:t>t/a</w:t>
            </w:r>
            <w:r>
              <w:rPr>
                <w:rFonts w:hint="eastAsia"/>
                <w:color w:val="auto"/>
                <w:sz w:val="24"/>
                <w:highlight w:val="none"/>
                <w:lang w:eastAsia="zh-CN"/>
              </w:rPr>
              <w:t>。经风量为</w:t>
            </w:r>
            <w:r>
              <w:rPr>
                <w:rFonts w:hint="eastAsia"/>
                <w:color w:val="auto"/>
                <w:sz w:val="24"/>
                <w:highlight w:val="none"/>
                <w:lang w:val="en-US" w:eastAsia="zh-CN"/>
              </w:rPr>
              <w:t>2</w:t>
            </w:r>
            <w:r>
              <w:rPr>
                <w:rFonts w:hint="eastAsia"/>
                <w:color w:val="auto"/>
                <w:sz w:val="24"/>
                <w:highlight w:val="none"/>
                <w:lang w:eastAsia="zh-CN"/>
              </w:rPr>
              <w:t>000Nm</w:t>
            </w:r>
            <w:r>
              <w:rPr>
                <w:rFonts w:hint="eastAsia"/>
                <w:color w:val="auto"/>
                <w:sz w:val="24"/>
                <w:highlight w:val="none"/>
                <w:vertAlign w:val="superscript"/>
                <w:lang w:eastAsia="zh-CN"/>
              </w:rPr>
              <w:t>3</w:t>
            </w:r>
            <w:r>
              <w:rPr>
                <w:rFonts w:hint="eastAsia"/>
                <w:color w:val="auto"/>
                <w:sz w:val="24"/>
                <w:highlight w:val="none"/>
                <w:lang w:eastAsia="zh-CN"/>
              </w:rPr>
              <w:t>/h风机引入</w:t>
            </w:r>
            <w:r>
              <w:rPr>
                <w:rFonts w:hint="eastAsia"/>
                <w:color w:val="auto"/>
                <w:sz w:val="24"/>
                <w:highlight w:val="none"/>
                <w:lang w:val="en-US" w:eastAsia="zh-CN"/>
              </w:rPr>
              <w:t>布袋</w:t>
            </w:r>
            <w:r>
              <w:rPr>
                <w:rFonts w:hint="eastAsia"/>
                <w:color w:val="auto"/>
                <w:sz w:val="24"/>
                <w:highlight w:val="none"/>
                <w:lang w:eastAsia="zh-CN"/>
              </w:rPr>
              <w:t>除尘器处理后通过排气筒排放，</w:t>
            </w:r>
            <w:r>
              <w:rPr>
                <w:rFonts w:hint="eastAsia"/>
                <w:color w:val="auto"/>
                <w:sz w:val="24"/>
                <w:highlight w:val="none"/>
              </w:rPr>
              <w:t>除尘效率为</w:t>
            </w:r>
            <w:r>
              <w:rPr>
                <w:rFonts w:hint="eastAsia"/>
                <w:color w:val="auto"/>
                <w:sz w:val="24"/>
                <w:highlight w:val="none"/>
                <w:lang w:val="en-US" w:eastAsia="zh-CN"/>
              </w:rPr>
              <w:t>85</w:t>
            </w:r>
            <w:r>
              <w:rPr>
                <w:rFonts w:hint="eastAsia"/>
                <w:color w:val="auto"/>
                <w:sz w:val="24"/>
                <w:highlight w:val="none"/>
              </w:rPr>
              <w:t>%，</w:t>
            </w:r>
            <w:r>
              <w:rPr>
                <w:rFonts w:hint="eastAsia"/>
                <w:color w:val="auto"/>
                <w:sz w:val="24"/>
                <w:highlight w:val="none"/>
                <w:lang w:val="en-US" w:eastAsia="zh-CN"/>
              </w:rPr>
              <w:t>则</w:t>
            </w:r>
            <w:r>
              <w:rPr>
                <w:rFonts w:hint="eastAsia"/>
                <w:color w:val="auto"/>
                <w:sz w:val="24"/>
                <w:highlight w:val="none"/>
                <w:lang w:eastAsia="zh-CN"/>
              </w:rPr>
              <w:t>年排放量约0.</w:t>
            </w:r>
            <w:r>
              <w:rPr>
                <w:rFonts w:hint="eastAsia"/>
                <w:color w:val="auto"/>
                <w:sz w:val="24"/>
                <w:highlight w:val="none"/>
                <w:lang w:val="en-US" w:eastAsia="zh-CN"/>
              </w:rPr>
              <w:t>0084</w:t>
            </w:r>
            <w:r>
              <w:rPr>
                <w:rFonts w:hint="eastAsia"/>
                <w:color w:val="auto"/>
                <w:sz w:val="24"/>
                <w:highlight w:val="none"/>
                <w:lang w:eastAsia="zh-CN"/>
              </w:rPr>
              <w:t>t/a，排放浓度为</w:t>
            </w:r>
            <w:r>
              <w:rPr>
                <w:rFonts w:hint="eastAsia"/>
                <w:color w:val="auto"/>
                <w:sz w:val="24"/>
                <w:highlight w:val="none"/>
                <w:lang w:val="en-US" w:eastAsia="zh-CN"/>
              </w:rPr>
              <w:t>2.02</w:t>
            </w:r>
            <w:r>
              <w:rPr>
                <w:rFonts w:hint="eastAsia"/>
                <w:color w:val="auto"/>
                <w:sz w:val="24"/>
                <w:highlight w:val="none"/>
                <w:lang w:eastAsia="zh-CN"/>
              </w:rPr>
              <w:t>mg/m</w:t>
            </w:r>
            <w:r>
              <w:rPr>
                <w:rFonts w:hint="eastAsia"/>
                <w:color w:val="auto"/>
                <w:sz w:val="24"/>
                <w:highlight w:val="none"/>
                <w:vertAlign w:val="superscript"/>
                <w:lang w:eastAsia="zh-CN"/>
              </w:rPr>
              <w:t>3</w:t>
            </w:r>
            <w:r>
              <w:rPr>
                <w:rFonts w:hint="eastAsia"/>
                <w:color w:val="auto"/>
                <w:sz w:val="24"/>
                <w:highlight w:val="none"/>
                <w:lang w:eastAsia="zh-CN"/>
              </w:rPr>
              <w:t>。</w:t>
            </w:r>
          </w:p>
          <w:p w14:paraId="0399A1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0"/>
              <w:rPr>
                <w:rFonts w:hint="eastAsia"/>
                <w:color w:val="auto"/>
                <w:sz w:val="24"/>
                <w:highlight w:val="none"/>
                <w:lang w:val="en-US" w:eastAsia="zh-CN"/>
              </w:rPr>
            </w:pPr>
            <w:r>
              <w:rPr>
                <w:rFonts w:hint="eastAsia"/>
                <w:color w:val="auto"/>
                <w:sz w:val="24"/>
                <w:highlight w:val="none"/>
                <w:lang w:eastAsia="zh-CN"/>
              </w:rPr>
              <w:t>（</w:t>
            </w:r>
            <w:r>
              <w:rPr>
                <w:rFonts w:hint="eastAsia"/>
                <w:color w:val="auto"/>
                <w:sz w:val="24"/>
                <w:highlight w:val="none"/>
                <w:lang w:val="en-US" w:eastAsia="zh-CN"/>
              </w:rPr>
              <w:t>2）酸性废气</w:t>
            </w:r>
          </w:p>
          <w:p w14:paraId="63731C5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0"/>
              <w:rPr>
                <w:rFonts w:hint="default" w:eastAsia="宋体"/>
                <w:color w:val="auto"/>
                <w:sz w:val="24"/>
                <w:highlight w:val="none"/>
                <w:lang w:val="en-US" w:eastAsia="zh-CN"/>
              </w:rPr>
            </w:pPr>
            <w:r>
              <w:rPr>
                <w:color w:val="auto"/>
                <w:sz w:val="24"/>
                <w:highlight w:val="none"/>
              </w:rPr>
              <w:t>实验室</w:t>
            </w:r>
            <w:r>
              <w:rPr>
                <w:rFonts w:hint="eastAsia"/>
                <w:color w:val="auto"/>
                <w:sz w:val="24"/>
                <w:highlight w:val="none"/>
                <w:lang w:val="en-US" w:eastAsia="zh-CN"/>
              </w:rPr>
              <w:t>酸性</w:t>
            </w:r>
            <w:r>
              <w:rPr>
                <w:color w:val="auto"/>
                <w:sz w:val="24"/>
                <w:highlight w:val="none"/>
              </w:rPr>
              <w:t>废气主要来自于熔矿过程中</w:t>
            </w:r>
            <w:r>
              <w:rPr>
                <w:rFonts w:hint="eastAsia"/>
                <w:color w:val="auto"/>
                <w:sz w:val="24"/>
                <w:highlight w:val="none"/>
                <w:lang w:eastAsia="zh-CN"/>
              </w:rPr>
              <w:t>，</w:t>
            </w:r>
            <w:r>
              <w:rPr>
                <w:rFonts w:hint="eastAsia"/>
                <w:color w:val="auto"/>
                <w:sz w:val="24"/>
                <w:highlight w:val="none"/>
                <w:lang w:val="en-US" w:eastAsia="zh-CN"/>
              </w:rPr>
              <w:t>实验样品在前处理如消解时需要加酸加热，此过程会产生无机废气，主要为酸性气体。</w:t>
            </w:r>
            <w:r>
              <w:rPr>
                <w:color w:val="auto"/>
                <w:sz w:val="24"/>
                <w:highlight w:val="none"/>
              </w:rPr>
              <w:t>所用试剂一般为盐酸</w:t>
            </w:r>
            <w:r>
              <w:rPr>
                <w:rFonts w:hint="eastAsia"/>
                <w:color w:val="auto"/>
                <w:sz w:val="24"/>
                <w:highlight w:val="none"/>
                <w:lang w:eastAsia="zh-CN"/>
              </w:rPr>
              <w:t>（</w:t>
            </w:r>
            <w:r>
              <w:rPr>
                <w:rFonts w:hint="eastAsia"/>
                <w:color w:val="auto"/>
                <w:sz w:val="24"/>
                <w:highlight w:val="none"/>
                <w:lang w:val="en-US" w:eastAsia="zh-CN"/>
              </w:rPr>
              <w:t>2000L/a）</w:t>
            </w:r>
            <w:r>
              <w:rPr>
                <w:rFonts w:hint="eastAsia"/>
                <w:color w:val="auto"/>
                <w:sz w:val="24"/>
                <w:highlight w:val="none"/>
              </w:rPr>
              <w:t>、硫酸</w:t>
            </w:r>
            <w:r>
              <w:rPr>
                <w:rFonts w:hint="eastAsia"/>
                <w:color w:val="auto"/>
                <w:sz w:val="24"/>
                <w:highlight w:val="none"/>
                <w:lang w:eastAsia="zh-CN"/>
              </w:rPr>
              <w:t>（</w:t>
            </w:r>
            <w:r>
              <w:rPr>
                <w:rFonts w:hint="eastAsia"/>
                <w:color w:val="auto"/>
                <w:sz w:val="24"/>
                <w:highlight w:val="none"/>
                <w:lang w:val="en-US" w:eastAsia="zh-CN"/>
              </w:rPr>
              <w:t>100L/a）</w:t>
            </w:r>
            <w:r>
              <w:rPr>
                <w:rFonts w:hint="eastAsia"/>
                <w:color w:val="auto"/>
                <w:sz w:val="24"/>
                <w:highlight w:val="none"/>
                <w:lang w:eastAsia="zh-CN"/>
              </w:rPr>
              <w:t>、</w:t>
            </w:r>
            <w:r>
              <w:rPr>
                <w:rFonts w:hint="eastAsia"/>
                <w:color w:val="auto"/>
                <w:sz w:val="24"/>
                <w:highlight w:val="none"/>
                <w:lang w:val="en-US" w:eastAsia="zh-CN"/>
              </w:rPr>
              <w:t>硝酸</w:t>
            </w:r>
            <w:r>
              <w:rPr>
                <w:rFonts w:hint="eastAsia"/>
                <w:color w:val="auto"/>
                <w:sz w:val="24"/>
                <w:highlight w:val="none"/>
                <w:lang w:eastAsia="zh-CN"/>
              </w:rPr>
              <w:t>（</w:t>
            </w:r>
            <w:r>
              <w:rPr>
                <w:rFonts w:hint="eastAsia"/>
                <w:color w:val="auto"/>
                <w:sz w:val="24"/>
                <w:highlight w:val="none"/>
                <w:lang w:val="en-US" w:eastAsia="zh-CN"/>
              </w:rPr>
              <w:t>1000L/a）、氢氟酸</w:t>
            </w:r>
            <w:r>
              <w:rPr>
                <w:rFonts w:hint="eastAsia"/>
                <w:color w:val="auto"/>
                <w:sz w:val="24"/>
                <w:highlight w:val="none"/>
                <w:lang w:eastAsia="zh-CN"/>
              </w:rPr>
              <w:t>（</w:t>
            </w:r>
            <w:r>
              <w:rPr>
                <w:rFonts w:hint="eastAsia"/>
                <w:color w:val="auto"/>
                <w:sz w:val="24"/>
                <w:highlight w:val="none"/>
                <w:lang w:val="en-US" w:eastAsia="zh-CN"/>
              </w:rPr>
              <w:t>300L/a）</w:t>
            </w:r>
            <w:r>
              <w:rPr>
                <w:color w:val="auto"/>
                <w:sz w:val="24"/>
                <w:highlight w:val="none"/>
              </w:rPr>
              <w:t>等</w:t>
            </w:r>
            <w:r>
              <w:rPr>
                <w:rFonts w:hint="eastAsia"/>
                <w:color w:val="auto"/>
                <w:sz w:val="24"/>
                <w:highlight w:val="none"/>
                <w:lang w:eastAsia="zh-CN"/>
              </w:rPr>
              <w:t>，</w:t>
            </w:r>
            <w:r>
              <w:rPr>
                <w:rFonts w:hint="eastAsia"/>
                <w:color w:val="auto"/>
                <w:sz w:val="24"/>
                <w:highlight w:val="none"/>
                <w:lang w:val="en-US" w:eastAsia="zh-CN"/>
              </w:rPr>
              <w:t>其产生</w:t>
            </w:r>
            <w:r>
              <w:rPr>
                <w:color w:val="auto"/>
                <w:sz w:val="24"/>
                <w:highlight w:val="none"/>
              </w:rPr>
              <w:t>废气主要成分</w:t>
            </w:r>
            <w:r>
              <w:rPr>
                <w:rFonts w:hint="eastAsia"/>
                <w:color w:val="auto"/>
                <w:sz w:val="24"/>
                <w:highlight w:val="none"/>
                <w:lang w:val="en-US" w:eastAsia="zh-CN"/>
              </w:rPr>
              <w:t>依次</w:t>
            </w:r>
            <w:r>
              <w:rPr>
                <w:color w:val="auto"/>
                <w:sz w:val="24"/>
                <w:highlight w:val="none"/>
              </w:rPr>
              <w:t>为</w:t>
            </w:r>
            <w:r>
              <w:rPr>
                <w:rFonts w:hint="eastAsia"/>
                <w:color w:val="auto"/>
                <w:sz w:val="24"/>
                <w:highlight w:val="none"/>
                <w:lang w:val="en-US" w:eastAsia="zh-CN"/>
              </w:rPr>
              <w:t>氯化氢</w:t>
            </w:r>
            <w:r>
              <w:rPr>
                <w:rFonts w:hint="eastAsia"/>
                <w:color w:val="auto"/>
                <w:sz w:val="24"/>
                <w:highlight w:val="none"/>
                <w:lang w:eastAsia="zh-CN"/>
              </w:rPr>
              <w:t>、</w:t>
            </w:r>
            <w:r>
              <w:rPr>
                <w:rFonts w:hint="eastAsia"/>
                <w:color w:val="auto"/>
                <w:sz w:val="24"/>
                <w:highlight w:val="none"/>
                <w:lang w:val="en-US" w:eastAsia="zh-CN"/>
              </w:rPr>
              <w:t>硫酸雾、氮氧化物、氟化物。</w:t>
            </w:r>
          </w:p>
          <w:p w14:paraId="5D7092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0"/>
              <w:rPr>
                <w:rFonts w:hint="eastAsia"/>
                <w:color w:val="auto"/>
                <w:sz w:val="24"/>
                <w:highlight w:val="none"/>
              </w:rPr>
            </w:pPr>
            <w:r>
              <w:rPr>
                <w:rFonts w:hint="eastAsia" w:ascii="TimesNewRomanPSMT" w:hAnsi="TimesNewRomanPSMT" w:eastAsia="宋体"/>
                <w:color w:val="auto"/>
                <w:sz w:val="24"/>
                <w:szCs w:val="24"/>
                <w:highlight w:val="none"/>
                <w:lang w:val="en-US" w:eastAsia="zh-CN"/>
              </w:rPr>
              <w:t>参考美国国家环保局编写的《工业污染源调查与研究》等相关资料，实验室所用试剂挥发项基本在使用量的1%~4%，本项目所用试剂为实验室内常用试剂，具有可参考性，基于可能被蒸汽带出的最大量考虑，本项目取4%。本项目实验类型主要为检测实验，易挥发试剂如硝酸、盐酸、氢氟酸等可类比《华南区域危险废物环境风险防控技术中心建设项目环境影响报告表》</w:t>
            </w:r>
            <w:r>
              <w:rPr>
                <w:rFonts w:hint="eastAsia" w:ascii="TimesNewRomanPSMT" w:hAnsi="TimesNewRomanPSMT"/>
                <w:color w:val="auto"/>
                <w:sz w:val="24"/>
                <w:szCs w:val="24"/>
                <w:highlight w:val="none"/>
                <w:lang w:val="en-US" w:eastAsia="zh-CN"/>
              </w:rPr>
              <w:t>检测实验中无机实验内容，使用原辅材料和实验过程相似，具有可类比性，</w:t>
            </w:r>
            <w:r>
              <w:rPr>
                <w:rFonts w:hint="eastAsia" w:ascii="TimesNewRomanPSMT" w:hAnsi="TimesNewRomanPSMT" w:eastAsia="宋体"/>
                <w:color w:val="auto"/>
                <w:sz w:val="24"/>
                <w:szCs w:val="24"/>
                <w:highlight w:val="none"/>
                <w:lang w:val="en-US" w:eastAsia="zh-CN"/>
              </w:rPr>
              <w:t>挥发性试剂按挥发量40%计算，挥发性酸在实验过程中首先与被测物质反应，一般消耗60%以上，剩余部分按最大影响考虑挥发。项目各无机试剂实验过程的无机废气产生情况见表4-1。</w:t>
            </w:r>
          </w:p>
          <w:p w14:paraId="0B64EAF6">
            <w:pPr>
              <w:adjustRightInd w:val="0"/>
              <w:snapToGrid w:val="0"/>
              <w:jc w:val="center"/>
              <w:rPr>
                <w:rFonts w:hint="eastAsia"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表4-1  本项目无机废气产生情况表</w:t>
            </w:r>
          </w:p>
          <w:tbl>
            <w:tblPr>
              <w:tblStyle w:val="28"/>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1204"/>
              <w:gridCol w:w="1204"/>
              <w:gridCol w:w="1204"/>
              <w:gridCol w:w="1205"/>
              <w:gridCol w:w="1835"/>
            </w:tblGrid>
            <w:tr w14:paraId="451D251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04" w:type="dxa"/>
                  <w:tcBorders>
                    <w:tl2br w:val="nil"/>
                    <w:tr2bl w:val="nil"/>
                  </w:tcBorders>
                  <w:vAlign w:val="center"/>
                </w:tcPr>
                <w:p w14:paraId="7CE0EF2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废气来源</w:t>
                  </w:r>
                </w:p>
              </w:tc>
              <w:tc>
                <w:tcPr>
                  <w:tcW w:w="1204" w:type="dxa"/>
                  <w:tcBorders>
                    <w:tl2br w:val="nil"/>
                    <w:tr2bl w:val="nil"/>
                  </w:tcBorders>
                  <w:vAlign w:val="center"/>
                </w:tcPr>
                <w:p w14:paraId="1949687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年用量</w:t>
                  </w:r>
                </w:p>
              </w:tc>
              <w:tc>
                <w:tcPr>
                  <w:tcW w:w="1204" w:type="dxa"/>
                  <w:tcBorders>
                    <w:tl2br w:val="nil"/>
                    <w:tr2bl w:val="nil"/>
                  </w:tcBorders>
                  <w:vAlign w:val="center"/>
                </w:tcPr>
                <w:p w14:paraId="4446768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纯度</w:t>
                  </w:r>
                </w:p>
              </w:tc>
              <w:tc>
                <w:tcPr>
                  <w:tcW w:w="1204" w:type="dxa"/>
                  <w:tcBorders>
                    <w:tl2br w:val="nil"/>
                    <w:tr2bl w:val="nil"/>
                  </w:tcBorders>
                  <w:vAlign w:val="center"/>
                </w:tcPr>
                <w:p w14:paraId="0720ED2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挥发率</w:t>
                  </w:r>
                </w:p>
              </w:tc>
              <w:tc>
                <w:tcPr>
                  <w:tcW w:w="1205" w:type="dxa"/>
                  <w:tcBorders>
                    <w:tl2br w:val="nil"/>
                    <w:tr2bl w:val="nil"/>
                  </w:tcBorders>
                  <w:vAlign w:val="center"/>
                </w:tcPr>
                <w:p w14:paraId="13EE989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污染物</w:t>
                  </w:r>
                </w:p>
              </w:tc>
              <w:tc>
                <w:tcPr>
                  <w:tcW w:w="1835" w:type="dxa"/>
                  <w:tcBorders>
                    <w:tl2br w:val="nil"/>
                    <w:tr2bl w:val="nil"/>
                  </w:tcBorders>
                  <w:vAlign w:val="center"/>
                </w:tcPr>
                <w:p w14:paraId="716C61F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挥发量（kg/a）</w:t>
                  </w:r>
                </w:p>
              </w:tc>
            </w:tr>
            <w:tr w14:paraId="241EDE5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4" w:type="dxa"/>
                  <w:tcBorders>
                    <w:tl2br w:val="nil"/>
                    <w:tr2bl w:val="nil"/>
                  </w:tcBorders>
                  <w:vAlign w:val="center"/>
                </w:tcPr>
                <w:p w14:paraId="137E891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硫酸</w:t>
                  </w:r>
                </w:p>
              </w:tc>
              <w:tc>
                <w:tcPr>
                  <w:tcW w:w="1204" w:type="dxa"/>
                  <w:tcBorders>
                    <w:tl2br w:val="nil"/>
                    <w:tr2bl w:val="nil"/>
                  </w:tcBorders>
                  <w:vAlign w:val="center"/>
                </w:tcPr>
                <w:p w14:paraId="1449BB3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100L</w:t>
                  </w:r>
                </w:p>
              </w:tc>
              <w:tc>
                <w:tcPr>
                  <w:tcW w:w="1204" w:type="dxa"/>
                  <w:tcBorders>
                    <w:tl2br w:val="nil"/>
                    <w:tr2bl w:val="nil"/>
                  </w:tcBorders>
                  <w:vAlign w:val="center"/>
                </w:tcPr>
                <w:p w14:paraId="606D0C7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98%</w:t>
                  </w:r>
                </w:p>
              </w:tc>
              <w:tc>
                <w:tcPr>
                  <w:tcW w:w="1204" w:type="dxa"/>
                  <w:tcBorders>
                    <w:tl2br w:val="nil"/>
                    <w:tr2bl w:val="nil"/>
                  </w:tcBorders>
                  <w:vAlign w:val="center"/>
                </w:tcPr>
                <w:p w14:paraId="7A9BA39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205" w:type="dxa"/>
                  <w:tcBorders>
                    <w:tl2br w:val="nil"/>
                    <w:tr2bl w:val="nil"/>
                  </w:tcBorders>
                  <w:vAlign w:val="center"/>
                </w:tcPr>
                <w:p w14:paraId="22DE74C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硫酸雾</w:t>
                  </w:r>
                </w:p>
              </w:tc>
              <w:tc>
                <w:tcPr>
                  <w:tcW w:w="1835" w:type="dxa"/>
                  <w:tcBorders>
                    <w:tl2br w:val="nil"/>
                    <w:tr2bl w:val="nil"/>
                  </w:tcBorders>
                  <w:vAlign w:val="center"/>
                </w:tcPr>
                <w:p w14:paraId="0B96CF9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s="Times New Roman"/>
                      <w:color w:val="auto"/>
                      <w:sz w:val="21"/>
                      <w:szCs w:val="21"/>
                      <w:highlight w:val="none"/>
                      <w:vertAlign w:val="baseline"/>
                      <w:lang w:val="en-US" w:eastAsia="zh-CN"/>
                    </w:rPr>
                  </w:pPr>
                  <w:r>
                    <w:rPr>
                      <w:rFonts w:hint="default" w:ascii="TimesNewRomanPSMT" w:hAnsi="TimesNewRomanPSMT" w:eastAsia="宋体" w:cs="Times New Roman"/>
                      <w:color w:val="auto"/>
                      <w:sz w:val="21"/>
                      <w:szCs w:val="21"/>
                      <w:highlight w:val="none"/>
                      <w:vertAlign w:val="baseline"/>
                      <w:lang w:val="en-US" w:eastAsia="zh-CN"/>
                    </w:rPr>
                    <w:t>7.17</w:t>
                  </w:r>
                </w:p>
              </w:tc>
            </w:tr>
            <w:tr w14:paraId="76E3AD9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4" w:type="dxa"/>
                  <w:tcBorders>
                    <w:tl2br w:val="nil"/>
                    <w:tr2bl w:val="nil"/>
                  </w:tcBorders>
                  <w:vAlign w:val="center"/>
                </w:tcPr>
                <w:p w14:paraId="6347CEC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硝酸</w:t>
                  </w:r>
                </w:p>
              </w:tc>
              <w:tc>
                <w:tcPr>
                  <w:tcW w:w="1204" w:type="dxa"/>
                  <w:tcBorders>
                    <w:tl2br w:val="nil"/>
                    <w:tr2bl w:val="nil"/>
                  </w:tcBorders>
                  <w:vAlign w:val="center"/>
                </w:tcPr>
                <w:p w14:paraId="16C0756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1000L</w:t>
                  </w:r>
                </w:p>
              </w:tc>
              <w:tc>
                <w:tcPr>
                  <w:tcW w:w="1204" w:type="dxa"/>
                  <w:tcBorders>
                    <w:tl2br w:val="nil"/>
                    <w:tr2bl w:val="nil"/>
                  </w:tcBorders>
                  <w:vAlign w:val="center"/>
                </w:tcPr>
                <w:p w14:paraId="4EE4E4C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68%</w:t>
                  </w:r>
                </w:p>
              </w:tc>
              <w:tc>
                <w:tcPr>
                  <w:tcW w:w="1204" w:type="dxa"/>
                  <w:tcBorders>
                    <w:tl2br w:val="nil"/>
                    <w:tr2bl w:val="nil"/>
                  </w:tcBorders>
                  <w:vAlign w:val="center"/>
                </w:tcPr>
                <w:p w14:paraId="38FE4B9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40%</w:t>
                  </w:r>
                </w:p>
              </w:tc>
              <w:tc>
                <w:tcPr>
                  <w:tcW w:w="1205" w:type="dxa"/>
                  <w:tcBorders>
                    <w:tl2br w:val="nil"/>
                    <w:tr2bl w:val="nil"/>
                  </w:tcBorders>
                  <w:vAlign w:val="center"/>
                </w:tcPr>
                <w:p w14:paraId="2954256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NOx</w:t>
                  </w:r>
                </w:p>
              </w:tc>
              <w:tc>
                <w:tcPr>
                  <w:tcW w:w="1835" w:type="dxa"/>
                  <w:tcBorders>
                    <w:tl2br w:val="nil"/>
                    <w:tr2bl w:val="nil"/>
                  </w:tcBorders>
                  <w:vAlign w:val="center"/>
                </w:tcPr>
                <w:p w14:paraId="2CAD452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s="Times New Roman"/>
                      <w:color w:val="auto"/>
                      <w:sz w:val="21"/>
                      <w:szCs w:val="21"/>
                      <w:highlight w:val="none"/>
                      <w:vertAlign w:val="baseline"/>
                      <w:lang w:val="en-US" w:eastAsia="zh-CN"/>
                    </w:rPr>
                  </w:pPr>
                  <w:r>
                    <w:rPr>
                      <w:rFonts w:hint="default" w:ascii="TimesNewRomanPSMT" w:hAnsi="TimesNewRomanPSMT" w:eastAsia="宋体" w:cs="Times New Roman"/>
                      <w:color w:val="auto"/>
                      <w:sz w:val="21"/>
                      <w:szCs w:val="21"/>
                      <w:highlight w:val="none"/>
                      <w:vertAlign w:val="baseline"/>
                      <w:lang w:val="en-US" w:eastAsia="zh-CN"/>
                    </w:rPr>
                    <w:t>380.80</w:t>
                  </w:r>
                </w:p>
              </w:tc>
            </w:tr>
            <w:tr w14:paraId="340306A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4" w:type="dxa"/>
                  <w:tcBorders>
                    <w:tl2br w:val="nil"/>
                    <w:tr2bl w:val="nil"/>
                  </w:tcBorders>
                  <w:vAlign w:val="center"/>
                </w:tcPr>
                <w:p w14:paraId="33098CA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盐酸</w:t>
                  </w:r>
                </w:p>
              </w:tc>
              <w:tc>
                <w:tcPr>
                  <w:tcW w:w="1204" w:type="dxa"/>
                  <w:tcBorders>
                    <w:tl2br w:val="nil"/>
                    <w:tr2bl w:val="nil"/>
                  </w:tcBorders>
                  <w:vAlign w:val="center"/>
                </w:tcPr>
                <w:p w14:paraId="185725E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2000L</w:t>
                  </w:r>
                </w:p>
              </w:tc>
              <w:tc>
                <w:tcPr>
                  <w:tcW w:w="1204" w:type="dxa"/>
                  <w:tcBorders>
                    <w:tl2br w:val="nil"/>
                    <w:tr2bl w:val="nil"/>
                  </w:tcBorders>
                  <w:vAlign w:val="center"/>
                </w:tcPr>
                <w:p w14:paraId="1436147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38%</w:t>
                  </w:r>
                </w:p>
              </w:tc>
              <w:tc>
                <w:tcPr>
                  <w:tcW w:w="1204" w:type="dxa"/>
                  <w:tcBorders>
                    <w:tl2br w:val="nil"/>
                    <w:tr2bl w:val="nil"/>
                  </w:tcBorders>
                  <w:vAlign w:val="center"/>
                </w:tcPr>
                <w:p w14:paraId="0B9F439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40%</w:t>
                  </w:r>
                </w:p>
              </w:tc>
              <w:tc>
                <w:tcPr>
                  <w:tcW w:w="1205" w:type="dxa"/>
                  <w:tcBorders>
                    <w:tl2br w:val="nil"/>
                    <w:tr2bl w:val="nil"/>
                  </w:tcBorders>
                  <w:vAlign w:val="center"/>
                </w:tcPr>
                <w:p w14:paraId="18E5AB2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氯化氢</w:t>
                  </w:r>
                </w:p>
              </w:tc>
              <w:tc>
                <w:tcPr>
                  <w:tcW w:w="1835" w:type="dxa"/>
                  <w:tcBorders>
                    <w:tl2br w:val="nil"/>
                    <w:tr2bl w:val="nil"/>
                  </w:tcBorders>
                  <w:vAlign w:val="center"/>
                </w:tcPr>
                <w:p w14:paraId="7DEDA9A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s="Times New Roman"/>
                      <w:color w:val="auto"/>
                      <w:sz w:val="21"/>
                      <w:szCs w:val="21"/>
                      <w:highlight w:val="none"/>
                      <w:vertAlign w:val="baseline"/>
                      <w:lang w:val="en-US" w:eastAsia="zh-CN"/>
                    </w:rPr>
                  </w:pPr>
                  <w:r>
                    <w:rPr>
                      <w:rFonts w:hint="default" w:ascii="TimesNewRomanPSMT" w:hAnsi="TimesNewRomanPSMT" w:eastAsia="宋体" w:cs="Times New Roman"/>
                      <w:color w:val="auto"/>
                      <w:sz w:val="21"/>
                      <w:szCs w:val="21"/>
                      <w:highlight w:val="none"/>
                      <w:vertAlign w:val="baseline"/>
                      <w:lang w:val="en-US" w:eastAsia="zh-CN"/>
                    </w:rPr>
                    <w:t>361.76</w:t>
                  </w:r>
                </w:p>
              </w:tc>
            </w:tr>
            <w:tr w14:paraId="72BAC27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4" w:type="dxa"/>
                  <w:tcBorders>
                    <w:tl2br w:val="nil"/>
                    <w:tr2bl w:val="nil"/>
                  </w:tcBorders>
                  <w:vAlign w:val="center"/>
                </w:tcPr>
                <w:p w14:paraId="402415C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氢氟酸</w:t>
                  </w:r>
                </w:p>
              </w:tc>
              <w:tc>
                <w:tcPr>
                  <w:tcW w:w="1204" w:type="dxa"/>
                  <w:tcBorders>
                    <w:tl2br w:val="nil"/>
                    <w:tr2bl w:val="nil"/>
                  </w:tcBorders>
                  <w:vAlign w:val="center"/>
                </w:tcPr>
                <w:p w14:paraId="32360F3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300L</w:t>
                  </w:r>
                </w:p>
              </w:tc>
              <w:tc>
                <w:tcPr>
                  <w:tcW w:w="1204" w:type="dxa"/>
                  <w:tcBorders>
                    <w:tl2br w:val="nil"/>
                    <w:tr2bl w:val="nil"/>
                  </w:tcBorders>
                  <w:vAlign w:val="center"/>
                </w:tcPr>
                <w:p w14:paraId="4F3D0E7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40%</w:t>
                  </w:r>
                </w:p>
              </w:tc>
              <w:tc>
                <w:tcPr>
                  <w:tcW w:w="1204" w:type="dxa"/>
                  <w:tcBorders>
                    <w:tl2br w:val="nil"/>
                    <w:tr2bl w:val="nil"/>
                  </w:tcBorders>
                  <w:vAlign w:val="center"/>
                </w:tcPr>
                <w:p w14:paraId="571D2A4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40%</w:t>
                  </w:r>
                </w:p>
              </w:tc>
              <w:tc>
                <w:tcPr>
                  <w:tcW w:w="1205" w:type="dxa"/>
                  <w:tcBorders>
                    <w:tl2br w:val="nil"/>
                    <w:tr2bl w:val="nil"/>
                  </w:tcBorders>
                  <w:vAlign w:val="center"/>
                </w:tcPr>
                <w:p w14:paraId="3032C51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氟化物</w:t>
                  </w:r>
                </w:p>
              </w:tc>
              <w:tc>
                <w:tcPr>
                  <w:tcW w:w="1835" w:type="dxa"/>
                  <w:tcBorders>
                    <w:tl2br w:val="nil"/>
                    <w:tr2bl w:val="nil"/>
                  </w:tcBorders>
                  <w:vAlign w:val="center"/>
                </w:tcPr>
                <w:p w14:paraId="265E4C2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s="Times New Roman"/>
                      <w:color w:val="auto"/>
                      <w:sz w:val="21"/>
                      <w:szCs w:val="21"/>
                      <w:highlight w:val="none"/>
                      <w:vertAlign w:val="baseline"/>
                      <w:lang w:val="en-US" w:eastAsia="zh-CN"/>
                    </w:rPr>
                  </w:pPr>
                  <w:r>
                    <w:rPr>
                      <w:rFonts w:hint="default" w:ascii="TimesNewRomanPSMT" w:hAnsi="TimesNewRomanPSMT" w:eastAsia="宋体" w:cs="Times New Roman"/>
                      <w:color w:val="auto"/>
                      <w:sz w:val="21"/>
                      <w:szCs w:val="21"/>
                      <w:highlight w:val="none"/>
                      <w:vertAlign w:val="baseline"/>
                      <w:lang w:val="en-US" w:eastAsia="zh-CN"/>
                    </w:rPr>
                    <w:t>60.48</w:t>
                  </w:r>
                </w:p>
              </w:tc>
            </w:tr>
          </w:tbl>
          <w:p w14:paraId="45EF7C70">
            <w:pPr>
              <w:keepNext w:val="0"/>
              <w:keepLines w:val="0"/>
              <w:pageBreakBefore w:val="0"/>
              <w:widowControl/>
              <w:kinsoku/>
              <w:wordWrap/>
              <w:overflowPunct/>
              <w:topLinePunct w:val="0"/>
              <w:autoSpaceDE w:val="0"/>
              <w:autoSpaceDN w:val="0"/>
              <w:bidi w:val="0"/>
              <w:adjustRightInd/>
              <w:snapToGrid/>
              <w:spacing w:line="240" w:lineRule="auto"/>
              <w:ind w:leftChars="0" w:firstLine="422" w:firstLineChars="200"/>
              <w:jc w:val="left"/>
              <w:textAlignment w:val="baseline"/>
              <w:rPr>
                <w:rFonts w:hint="default" w:ascii="TimesNewRomanPSMT" w:hAnsi="TimesNewRomanPSMT" w:eastAsia="宋体"/>
                <w:b/>
                <w:bCs/>
                <w:color w:val="auto"/>
                <w:sz w:val="21"/>
                <w:szCs w:val="21"/>
                <w:highlight w:val="none"/>
                <w:lang w:val="en-US" w:eastAsia="zh-CN"/>
              </w:rPr>
            </w:pPr>
            <w:r>
              <w:rPr>
                <w:rFonts w:hint="default" w:ascii="TimesNewRomanPSMT" w:hAnsi="TimesNewRomanPSMT" w:eastAsia="宋体"/>
                <w:b/>
                <w:bCs/>
                <w:color w:val="auto"/>
                <w:sz w:val="21"/>
                <w:szCs w:val="21"/>
                <w:highlight w:val="none"/>
                <w:lang w:val="en-US" w:eastAsia="zh-CN"/>
              </w:rPr>
              <w:t>注</w:t>
            </w:r>
            <w:r>
              <w:rPr>
                <w:rFonts w:hint="eastAsia" w:ascii="TimesNewRomanPSMT" w:hAnsi="TimesNewRomanPSMT" w:eastAsia="宋体"/>
                <w:b/>
                <w:bCs/>
                <w:color w:val="auto"/>
                <w:sz w:val="21"/>
                <w:szCs w:val="21"/>
                <w:highlight w:val="none"/>
                <w:lang w:val="en-US" w:eastAsia="zh-CN"/>
              </w:rPr>
              <w:t>：</w:t>
            </w:r>
            <w:r>
              <w:rPr>
                <w:rFonts w:hint="default" w:ascii="TimesNewRomanPSMT" w:hAnsi="TimesNewRomanPSMT" w:eastAsia="宋体"/>
                <w:b/>
                <w:bCs/>
                <w:color w:val="auto"/>
                <w:sz w:val="21"/>
                <w:szCs w:val="21"/>
                <w:highlight w:val="none"/>
                <w:lang w:val="en-US" w:eastAsia="zh-CN"/>
              </w:rPr>
              <w:t>盐酸密度1.19g/cm</w:t>
            </w:r>
            <w:r>
              <w:rPr>
                <w:rFonts w:hint="eastAsia" w:ascii="TimesNewRomanPSMT" w:hAnsi="TimesNewRomanPSMT" w:eastAsia="宋体"/>
                <w:b/>
                <w:bCs/>
                <w:color w:val="auto"/>
                <w:sz w:val="21"/>
                <w:szCs w:val="21"/>
                <w:highlight w:val="none"/>
                <w:vertAlign w:val="superscript"/>
                <w:lang w:val="en-US" w:eastAsia="zh-CN"/>
              </w:rPr>
              <w:t>3</w:t>
            </w:r>
            <w:r>
              <w:rPr>
                <w:rFonts w:hint="default" w:ascii="TimesNewRomanPSMT" w:hAnsi="TimesNewRomanPSMT" w:eastAsia="宋体"/>
                <w:b/>
                <w:bCs/>
                <w:color w:val="auto"/>
                <w:sz w:val="21"/>
                <w:szCs w:val="21"/>
                <w:highlight w:val="none"/>
                <w:lang w:val="en-US" w:eastAsia="zh-CN"/>
              </w:rPr>
              <w:t>、硝酸密度1.40g/cm</w:t>
            </w:r>
            <w:r>
              <w:rPr>
                <w:rFonts w:hint="eastAsia" w:ascii="TimesNewRomanPSMT" w:hAnsi="TimesNewRomanPSMT" w:eastAsia="宋体"/>
                <w:b/>
                <w:bCs/>
                <w:color w:val="auto"/>
                <w:sz w:val="21"/>
                <w:szCs w:val="21"/>
                <w:highlight w:val="none"/>
                <w:vertAlign w:val="superscript"/>
                <w:lang w:val="en-US" w:eastAsia="zh-CN"/>
              </w:rPr>
              <w:t>3</w:t>
            </w:r>
            <w:r>
              <w:rPr>
                <w:rFonts w:hint="default" w:ascii="TimesNewRomanPSMT" w:hAnsi="TimesNewRomanPSMT" w:eastAsia="宋体"/>
                <w:b/>
                <w:bCs/>
                <w:color w:val="auto"/>
                <w:sz w:val="21"/>
                <w:szCs w:val="21"/>
                <w:highlight w:val="none"/>
                <w:lang w:val="en-US" w:eastAsia="zh-CN"/>
              </w:rPr>
              <w:t>、硫酸密度1.83g/cm</w:t>
            </w:r>
            <w:r>
              <w:rPr>
                <w:rFonts w:hint="eastAsia" w:ascii="TimesNewRomanPSMT" w:hAnsi="TimesNewRomanPSMT" w:eastAsia="宋体"/>
                <w:b/>
                <w:bCs/>
                <w:color w:val="auto"/>
                <w:sz w:val="21"/>
                <w:szCs w:val="21"/>
                <w:highlight w:val="none"/>
                <w:vertAlign w:val="superscript"/>
                <w:lang w:val="en-US" w:eastAsia="zh-CN"/>
              </w:rPr>
              <w:t>3</w:t>
            </w:r>
            <w:r>
              <w:rPr>
                <w:rFonts w:hint="default" w:ascii="TimesNewRomanPSMT" w:hAnsi="TimesNewRomanPSMT" w:eastAsia="宋体"/>
                <w:b/>
                <w:bCs/>
                <w:color w:val="auto"/>
                <w:sz w:val="21"/>
                <w:szCs w:val="21"/>
                <w:highlight w:val="none"/>
                <w:lang w:val="en-US" w:eastAsia="zh-CN"/>
              </w:rPr>
              <w:t>、</w:t>
            </w:r>
            <w:r>
              <w:rPr>
                <w:rFonts w:hint="eastAsia" w:ascii="TimesNewRomanPSMT" w:hAnsi="TimesNewRomanPSMT" w:eastAsia="宋体"/>
                <w:b/>
                <w:bCs/>
                <w:color w:val="auto"/>
                <w:sz w:val="21"/>
                <w:szCs w:val="21"/>
                <w:highlight w:val="none"/>
                <w:lang w:val="en-US" w:eastAsia="zh-CN"/>
              </w:rPr>
              <w:t>氢氟酸1.26</w:t>
            </w:r>
            <w:r>
              <w:rPr>
                <w:rFonts w:hint="default" w:ascii="TimesNewRomanPSMT" w:hAnsi="TimesNewRomanPSMT" w:eastAsia="宋体"/>
                <w:b/>
                <w:bCs/>
                <w:color w:val="auto"/>
                <w:sz w:val="21"/>
                <w:szCs w:val="21"/>
                <w:highlight w:val="none"/>
                <w:lang w:val="en-US" w:eastAsia="zh-CN"/>
              </w:rPr>
              <w:t>g/cm</w:t>
            </w:r>
            <w:r>
              <w:rPr>
                <w:rFonts w:hint="eastAsia" w:ascii="TimesNewRomanPSMT" w:hAnsi="TimesNewRomanPSMT" w:eastAsia="宋体"/>
                <w:b/>
                <w:bCs/>
                <w:color w:val="auto"/>
                <w:sz w:val="21"/>
                <w:szCs w:val="21"/>
                <w:highlight w:val="none"/>
                <w:vertAlign w:val="superscript"/>
                <w:lang w:val="en-US" w:eastAsia="zh-CN"/>
              </w:rPr>
              <w:t>3</w:t>
            </w:r>
            <w:r>
              <w:rPr>
                <w:rFonts w:hint="default" w:ascii="TimesNewRomanPSMT" w:hAnsi="TimesNewRomanPSMT" w:eastAsia="宋体"/>
                <w:b/>
                <w:bCs/>
                <w:color w:val="auto"/>
                <w:sz w:val="21"/>
                <w:szCs w:val="21"/>
                <w:highlight w:val="none"/>
                <w:lang w:val="en-US" w:eastAsia="zh-CN"/>
              </w:rPr>
              <w:t>。</w:t>
            </w:r>
          </w:p>
          <w:p w14:paraId="0589D7E2">
            <w:pPr>
              <w:numPr>
                <w:ilvl w:val="0"/>
                <w:numId w:val="0"/>
              </w:numPr>
              <w:spacing w:line="360" w:lineRule="auto"/>
              <w:ind w:firstLine="480" w:firstLineChars="200"/>
              <w:rPr>
                <w:rFonts w:hint="eastAsia"/>
                <w:color w:val="auto"/>
                <w:sz w:val="24"/>
                <w:highlight w:val="none"/>
                <w:lang w:val="en-US" w:eastAsia="zh-CN"/>
              </w:rPr>
            </w:pPr>
            <w:r>
              <w:rPr>
                <w:rFonts w:hint="eastAsia" w:ascii="Times New Roman" w:hAnsi="Times New Roman" w:eastAsia="宋体" w:cs="Times New Roman"/>
                <w:color w:val="auto"/>
                <w:kern w:val="2"/>
                <w:sz w:val="24"/>
                <w:szCs w:val="24"/>
                <w:highlight w:val="none"/>
                <w:lang w:val="en-US" w:eastAsia="zh-CN" w:bidi="ar-SA"/>
              </w:rPr>
              <w:t>（3）</w:t>
            </w:r>
            <w:r>
              <w:rPr>
                <w:rFonts w:hint="eastAsia"/>
                <w:color w:val="auto"/>
                <w:sz w:val="24"/>
                <w:highlight w:val="none"/>
                <w:lang w:val="en-US" w:eastAsia="zh-CN"/>
              </w:rPr>
              <w:t>有机废气</w:t>
            </w:r>
          </w:p>
          <w:p w14:paraId="61FE1AE1">
            <w:pPr>
              <w:numPr>
                <w:ilvl w:val="0"/>
                <w:numId w:val="0"/>
              </w:numPr>
              <w:spacing w:line="360" w:lineRule="auto"/>
              <w:ind w:firstLine="480" w:firstLineChars="200"/>
              <w:rPr>
                <w:rFonts w:hint="eastAsia"/>
                <w:color w:val="auto"/>
                <w:sz w:val="24"/>
                <w:highlight w:val="none"/>
                <w:lang w:val="en-US" w:eastAsia="zh-CN"/>
              </w:rPr>
            </w:pPr>
            <w:r>
              <w:rPr>
                <w:color w:val="auto"/>
                <w:sz w:val="24"/>
                <w:highlight w:val="none"/>
              </w:rPr>
              <w:t>实验室</w:t>
            </w:r>
            <w:r>
              <w:rPr>
                <w:rFonts w:hint="eastAsia"/>
                <w:color w:val="auto"/>
                <w:sz w:val="24"/>
                <w:highlight w:val="none"/>
                <w:lang w:val="en-US" w:eastAsia="zh-CN"/>
              </w:rPr>
              <w:t>有机废气主要来自于</w:t>
            </w:r>
            <w:r>
              <w:rPr>
                <w:color w:val="auto"/>
                <w:sz w:val="24"/>
                <w:highlight w:val="none"/>
              </w:rPr>
              <w:t>熔矿过程中</w:t>
            </w:r>
            <w:r>
              <w:rPr>
                <w:rFonts w:hint="eastAsia"/>
                <w:color w:val="auto"/>
                <w:sz w:val="24"/>
                <w:highlight w:val="none"/>
                <w:lang w:val="en-US" w:eastAsia="zh-CN"/>
              </w:rPr>
              <w:t>少量有机试剂产生的有机废气。本项目在实验过程中会使用甲醇、异丙醇、正戊烷、正丁醇、甲苯、丙酮等有机试剂，参考美国国家环保局编写的《工业污染源调查与研究》等相关资料，实验室所用试剂挥发项基本在使用量的1%~4%，本项目所用试剂为实验室内常用试剂，具有可参考性，基于可能被蒸汽带出的最大量考虑，本项目取4%，结合原辅材料用量览表可知，易挥发的有机溶剂情况如表4-2所示。</w:t>
            </w:r>
          </w:p>
          <w:p w14:paraId="403A2893">
            <w:pPr>
              <w:adjustRightInd w:val="0"/>
              <w:snapToGrid w:val="0"/>
              <w:jc w:val="center"/>
              <w:rPr>
                <w:rFonts w:hint="eastAsia"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表4-</w:t>
            </w:r>
            <w:r>
              <w:rPr>
                <w:rFonts w:hint="eastAsia" w:cs="Times New Roman"/>
                <w:b/>
                <w:color w:val="auto"/>
                <w:szCs w:val="21"/>
                <w:highlight w:val="none"/>
                <w:lang w:val="en-US" w:eastAsia="zh-CN"/>
              </w:rPr>
              <w:t>2</w:t>
            </w:r>
            <w:r>
              <w:rPr>
                <w:rFonts w:hint="eastAsia" w:ascii="Times New Roman" w:hAnsi="Times New Roman" w:eastAsia="宋体" w:cs="Times New Roman"/>
                <w:b/>
                <w:color w:val="auto"/>
                <w:szCs w:val="21"/>
                <w:highlight w:val="none"/>
                <w:lang w:val="en-US" w:eastAsia="zh-CN"/>
              </w:rPr>
              <w:t xml:space="preserve">  本项目有机废气产生情况表</w:t>
            </w:r>
          </w:p>
          <w:tbl>
            <w:tblPr>
              <w:tblStyle w:val="28"/>
              <w:tblW w:w="797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1062"/>
              <w:gridCol w:w="1218"/>
              <w:gridCol w:w="1109"/>
              <w:gridCol w:w="1929"/>
              <w:gridCol w:w="1330"/>
            </w:tblGrid>
            <w:tr w14:paraId="08D6267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329" w:type="dxa"/>
                  <w:tcBorders>
                    <w:tl2br w:val="nil"/>
                    <w:tr2bl w:val="nil"/>
                  </w:tcBorders>
                  <w:vAlign w:val="center"/>
                </w:tcPr>
                <w:p w14:paraId="3D5D97C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有机试剂</w:t>
                  </w:r>
                </w:p>
              </w:tc>
              <w:tc>
                <w:tcPr>
                  <w:tcW w:w="1062" w:type="dxa"/>
                  <w:tcBorders>
                    <w:tl2br w:val="nil"/>
                    <w:tr2bl w:val="nil"/>
                  </w:tcBorders>
                  <w:vAlign w:val="center"/>
                </w:tcPr>
                <w:p w14:paraId="4AEEF85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使用量/a</w:t>
                  </w:r>
                </w:p>
              </w:tc>
              <w:tc>
                <w:tcPr>
                  <w:tcW w:w="1218" w:type="dxa"/>
                  <w:tcBorders>
                    <w:tl2br w:val="nil"/>
                    <w:tr2bl w:val="nil"/>
                  </w:tcBorders>
                  <w:vAlign w:val="center"/>
                </w:tcPr>
                <w:p w14:paraId="05B8F75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密度</w:t>
                  </w:r>
                  <w:r>
                    <w:rPr>
                      <w:rFonts w:hint="default" w:ascii="TimesNewRomanPSMT" w:hAnsi="TimesNewRomanPSMT" w:eastAsia="宋体"/>
                      <w:b/>
                      <w:bCs/>
                      <w:color w:val="auto"/>
                      <w:sz w:val="21"/>
                      <w:szCs w:val="21"/>
                      <w:highlight w:val="none"/>
                      <w:lang w:val="en-US" w:eastAsia="zh-CN"/>
                    </w:rPr>
                    <w:t>g/cm</w:t>
                  </w:r>
                  <w:r>
                    <w:rPr>
                      <w:rFonts w:hint="eastAsia" w:ascii="TimesNewRomanPSMT" w:hAnsi="TimesNewRomanPSMT" w:eastAsia="宋体"/>
                      <w:b/>
                      <w:bCs/>
                      <w:color w:val="auto"/>
                      <w:sz w:val="21"/>
                      <w:szCs w:val="21"/>
                      <w:highlight w:val="none"/>
                      <w:vertAlign w:val="superscript"/>
                      <w:lang w:val="en-US" w:eastAsia="zh-CN"/>
                    </w:rPr>
                    <w:t>3</w:t>
                  </w:r>
                </w:p>
              </w:tc>
              <w:tc>
                <w:tcPr>
                  <w:tcW w:w="1109" w:type="dxa"/>
                  <w:tcBorders>
                    <w:tl2br w:val="nil"/>
                    <w:tr2bl w:val="nil"/>
                  </w:tcBorders>
                  <w:vAlign w:val="center"/>
                </w:tcPr>
                <w:p w14:paraId="32683BC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挥发系数</w:t>
                  </w:r>
                </w:p>
              </w:tc>
              <w:tc>
                <w:tcPr>
                  <w:tcW w:w="1929" w:type="dxa"/>
                  <w:tcBorders>
                    <w:tl2br w:val="nil"/>
                    <w:tr2bl w:val="nil"/>
                  </w:tcBorders>
                  <w:vAlign w:val="center"/>
                </w:tcPr>
                <w:p w14:paraId="3201AB0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污染物</w:t>
                  </w:r>
                </w:p>
              </w:tc>
              <w:tc>
                <w:tcPr>
                  <w:tcW w:w="1330" w:type="dxa"/>
                  <w:tcBorders>
                    <w:tl2br w:val="nil"/>
                    <w:tr2bl w:val="nil"/>
                  </w:tcBorders>
                  <w:vAlign w:val="center"/>
                </w:tcPr>
                <w:p w14:paraId="0F84277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b/>
                      <w:bCs/>
                      <w:color w:val="auto"/>
                      <w:sz w:val="21"/>
                      <w:szCs w:val="21"/>
                      <w:highlight w:val="none"/>
                      <w:vertAlign w:val="baseline"/>
                      <w:lang w:val="en-US" w:eastAsia="zh-CN"/>
                    </w:rPr>
                  </w:pPr>
                  <w:r>
                    <w:rPr>
                      <w:rFonts w:hint="eastAsia" w:ascii="TimesNewRomanPSMT" w:hAnsi="TimesNewRomanPSMT" w:eastAsia="宋体"/>
                      <w:b/>
                      <w:bCs/>
                      <w:color w:val="auto"/>
                      <w:sz w:val="21"/>
                      <w:szCs w:val="21"/>
                      <w:highlight w:val="none"/>
                      <w:vertAlign w:val="baseline"/>
                      <w:lang w:val="en-US" w:eastAsia="zh-CN"/>
                    </w:rPr>
                    <w:t>挥发量kg/a</w:t>
                  </w:r>
                </w:p>
              </w:tc>
            </w:tr>
            <w:tr w14:paraId="37DDEF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1BE6F8D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甲醇</w:t>
                  </w:r>
                </w:p>
              </w:tc>
              <w:tc>
                <w:tcPr>
                  <w:tcW w:w="1062" w:type="dxa"/>
                  <w:tcBorders>
                    <w:tl2br w:val="nil"/>
                    <w:tr2bl w:val="nil"/>
                  </w:tcBorders>
                  <w:shd w:val="clear" w:color="auto" w:fill="auto"/>
                  <w:vAlign w:val="center"/>
                </w:tcPr>
                <w:p w14:paraId="3877E89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color w:val="auto"/>
                      <w:sz w:val="21"/>
                      <w:szCs w:val="21"/>
                      <w:highlight w:val="none"/>
                      <w:vertAlign w:val="baseline"/>
                      <w:lang w:val="en-US" w:eastAsia="zh-CN"/>
                    </w:rPr>
                    <w:t>20</w:t>
                  </w:r>
                  <w:r>
                    <w:rPr>
                      <w:rFonts w:hint="eastAsia" w:ascii="TimesNewRomanPSMT" w:hAnsi="TimesNewRomanPSMT" w:eastAsia="宋体"/>
                      <w:color w:val="auto"/>
                      <w:sz w:val="21"/>
                      <w:szCs w:val="21"/>
                      <w:highlight w:val="none"/>
                      <w:vertAlign w:val="baseline"/>
                      <w:lang w:val="en-US" w:eastAsia="zh-CN"/>
                    </w:rPr>
                    <w:t>L</w:t>
                  </w:r>
                </w:p>
              </w:tc>
              <w:tc>
                <w:tcPr>
                  <w:tcW w:w="1218" w:type="dxa"/>
                  <w:tcBorders>
                    <w:tl2br w:val="nil"/>
                    <w:tr2bl w:val="nil"/>
                  </w:tcBorders>
                  <w:shd w:val="clear" w:color="auto" w:fill="auto"/>
                  <w:vAlign w:val="center"/>
                </w:tcPr>
                <w:p w14:paraId="3BF81A9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0.791</w:t>
                  </w:r>
                </w:p>
              </w:tc>
              <w:tc>
                <w:tcPr>
                  <w:tcW w:w="1109" w:type="dxa"/>
                  <w:tcBorders>
                    <w:tl2br w:val="nil"/>
                    <w:tr2bl w:val="nil"/>
                  </w:tcBorders>
                  <w:shd w:val="clear" w:color="auto" w:fill="auto"/>
                  <w:vAlign w:val="center"/>
                </w:tcPr>
                <w:p w14:paraId="048F8AC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12B1190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甲醇</w:t>
                  </w:r>
                </w:p>
              </w:tc>
              <w:tc>
                <w:tcPr>
                  <w:tcW w:w="1330" w:type="dxa"/>
                  <w:tcBorders>
                    <w:tl2br w:val="nil"/>
                    <w:tr2bl w:val="nil"/>
                  </w:tcBorders>
                  <w:shd w:val="clear" w:color="auto" w:fill="auto"/>
                  <w:vAlign w:val="center"/>
                </w:tcPr>
                <w:p w14:paraId="50D3DA7B">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0.63</w:t>
                  </w:r>
                </w:p>
              </w:tc>
            </w:tr>
            <w:tr w14:paraId="3F11821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2C68A57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异丙醇</w:t>
                  </w:r>
                </w:p>
              </w:tc>
              <w:tc>
                <w:tcPr>
                  <w:tcW w:w="1062" w:type="dxa"/>
                  <w:tcBorders>
                    <w:tl2br w:val="nil"/>
                    <w:tr2bl w:val="nil"/>
                  </w:tcBorders>
                  <w:shd w:val="clear" w:color="auto" w:fill="auto"/>
                  <w:vAlign w:val="center"/>
                </w:tcPr>
                <w:p w14:paraId="43E521A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color w:val="auto"/>
                      <w:sz w:val="21"/>
                      <w:szCs w:val="21"/>
                      <w:highlight w:val="none"/>
                      <w:vertAlign w:val="baseline"/>
                      <w:lang w:val="en-US" w:eastAsia="zh-CN"/>
                    </w:rPr>
                    <w:t>10</w:t>
                  </w:r>
                  <w:r>
                    <w:rPr>
                      <w:rFonts w:hint="eastAsia" w:ascii="TimesNewRomanPSMT" w:hAnsi="TimesNewRomanPSMT" w:eastAsia="宋体"/>
                      <w:color w:val="auto"/>
                      <w:sz w:val="21"/>
                      <w:szCs w:val="21"/>
                      <w:highlight w:val="none"/>
                      <w:vertAlign w:val="baseline"/>
                      <w:lang w:val="en-US" w:eastAsia="zh-CN"/>
                    </w:rPr>
                    <w:t>0L</w:t>
                  </w:r>
                </w:p>
              </w:tc>
              <w:tc>
                <w:tcPr>
                  <w:tcW w:w="1218" w:type="dxa"/>
                  <w:tcBorders>
                    <w:tl2br w:val="nil"/>
                    <w:tr2bl w:val="nil"/>
                  </w:tcBorders>
                  <w:shd w:val="clear" w:color="auto" w:fill="auto"/>
                  <w:vAlign w:val="center"/>
                </w:tcPr>
                <w:p w14:paraId="1ACA5E2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0.785</w:t>
                  </w:r>
                </w:p>
              </w:tc>
              <w:tc>
                <w:tcPr>
                  <w:tcW w:w="1109" w:type="dxa"/>
                  <w:tcBorders>
                    <w:tl2br w:val="nil"/>
                    <w:tr2bl w:val="nil"/>
                  </w:tcBorders>
                  <w:shd w:val="clear" w:color="auto" w:fill="auto"/>
                  <w:vAlign w:val="center"/>
                </w:tcPr>
                <w:p w14:paraId="448C3CA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3243894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shd w:val="clear" w:color="auto" w:fill="auto"/>
                  <w:vAlign w:val="center"/>
                </w:tcPr>
                <w:p w14:paraId="06B96157">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3.14</w:t>
                  </w:r>
                </w:p>
              </w:tc>
            </w:tr>
            <w:tr w14:paraId="10A133E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vAlign w:val="center"/>
                </w:tcPr>
                <w:p w14:paraId="45357F4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default" w:ascii="Times New Roman" w:hAnsi="Times New Roman" w:cs="Times New Roman" w:eastAsiaTheme="minorEastAsia"/>
                      <w:bCs/>
                      <w:color w:val="auto"/>
                      <w:sz w:val="21"/>
                      <w:szCs w:val="21"/>
                      <w:highlight w:val="none"/>
                      <w:lang w:val="en-US" w:eastAsia="zh-CN"/>
                    </w:rPr>
                    <w:t>正戊烷</w:t>
                  </w:r>
                </w:p>
              </w:tc>
              <w:tc>
                <w:tcPr>
                  <w:tcW w:w="1062" w:type="dxa"/>
                  <w:tcBorders>
                    <w:tl2br w:val="nil"/>
                    <w:tr2bl w:val="nil"/>
                  </w:tcBorders>
                  <w:vAlign w:val="center"/>
                </w:tcPr>
                <w:p w14:paraId="1D9CA2F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100L</w:t>
                  </w:r>
                </w:p>
              </w:tc>
              <w:tc>
                <w:tcPr>
                  <w:tcW w:w="1218" w:type="dxa"/>
                  <w:tcBorders>
                    <w:tl2br w:val="nil"/>
                    <w:tr2bl w:val="nil"/>
                  </w:tcBorders>
                  <w:vAlign w:val="center"/>
                </w:tcPr>
                <w:p w14:paraId="7F59872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0.63</w:t>
                  </w:r>
                </w:p>
              </w:tc>
              <w:tc>
                <w:tcPr>
                  <w:tcW w:w="1109" w:type="dxa"/>
                  <w:tcBorders>
                    <w:tl2br w:val="nil"/>
                    <w:tr2bl w:val="nil"/>
                  </w:tcBorders>
                  <w:vAlign w:val="center"/>
                </w:tcPr>
                <w:p w14:paraId="6E02C0C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653A9DE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61FE0DA4">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2.52</w:t>
                  </w:r>
                </w:p>
              </w:tc>
            </w:tr>
            <w:tr w14:paraId="7D9FBE8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78160B29">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正丁醇</w:t>
                  </w:r>
                </w:p>
              </w:tc>
              <w:tc>
                <w:tcPr>
                  <w:tcW w:w="1062" w:type="dxa"/>
                  <w:tcBorders>
                    <w:tl2br w:val="nil"/>
                    <w:tr2bl w:val="nil"/>
                  </w:tcBorders>
                  <w:shd w:val="clear" w:color="auto" w:fill="auto"/>
                  <w:vAlign w:val="center"/>
                </w:tcPr>
                <w:p w14:paraId="0747A48D">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vAlign w:val="center"/>
                </w:tcPr>
                <w:p w14:paraId="1B299AF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0.81</w:t>
                  </w:r>
                </w:p>
              </w:tc>
              <w:tc>
                <w:tcPr>
                  <w:tcW w:w="1109" w:type="dxa"/>
                  <w:tcBorders>
                    <w:tl2br w:val="nil"/>
                    <w:tr2bl w:val="nil"/>
                  </w:tcBorders>
                  <w:vAlign w:val="center"/>
                </w:tcPr>
                <w:p w14:paraId="1F5B560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5FA3EFE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4103DEBF">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3.24</w:t>
                  </w:r>
                </w:p>
              </w:tc>
            </w:tr>
            <w:tr w14:paraId="2EDEB7B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5F25E642">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乙酸丁酯</w:t>
                  </w:r>
                </w:p>
              </w:tc>
              <w:tc>
                <w:tcPr>
                  <w:tcW w:w="1062" w:type="dxa"/>
                  <w:tcBorders>
                    <w:tl2br w:val="nil"/>
                    <w:tr2bl w:val="nil"/>
                  </w:tcBorders>
                  <w:shd w:val="clear" w:color="auto" w:fill="auto"/>
                  <w:vAlign w:val="center"/>
                </w:tcPr>
                <w:p w14:paraId="30B6CA10">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vAlign w:val="center"/>
                </w:tcPr>
                <w:p w14:paraId="0B0144F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0.883</w:t>
                  </w:r>
                </w:p>
              </w:tc>
              <w:tc>
                <w:tcPr>
                  <w:tcW w:w="1109" w:type="dxa"/>
                  <w:tcBorders>
                    <w:tl2br w:val="nil"/>
                    <w:tr2bl w:val="nil"/>
                  </w:tcBorders>
                  <w:vAlign w:val="center"/>
                </w:tcPr>
                <w:p w14:paraId="620693C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2DD46DA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7768C878">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3.53</w:t>
                  </w:r>
                </w:p>
              </w:tc>
            </w:tr>
            <w:tr w14:paraId="534AA75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9" w:type="dxa"/>
                  <w:tcBorders>
                    <w:tl2br w:val="nil"/>
                    <w:tr2bl w:val="nil"/>
                  </w:tcBorders>
                  <w:shd w:val="clear" w:color="auto" w:fill="auto"/>
                  <w:vAlign w:val="center"/>
                </w:tcPr>
                <w:p w14:paraId="54F76737">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三氯甲烷</w:t>
                  </w:r>
                </w:p>
              </w:tc>
              <w:tc>
                <w:tcPr>
                  <w:tcW w:w="1062" w:type="dxa"/>
                  <w:tcBorders>
                    <w:tl2br w:val="nil"/>
                    <w:tr2bl w:val="nil"/>
                  </w:tcBorders>
                  <w:shd w:val="clear" w:color="auto" w:fill="auto"/>
                  <w:vAlign w:val="center"/>
                </w:tcPr>
                <w:p w14:paraId="65C44881">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1</w:t>
                  </w:r>
                  <w:r>
                    <w:rPr>
                      <w:rFonts w:hint="default" w:ascii="Times New Roman" w:hAnsi="Times New Roman" w:cs="Times New Roman" w:eastAsiaTheme="minorEastAsia"/>
                      <w:bCs/>
                      <w:color w:val="auto"/>
                      <w:sz w:val="21"/>
                      <w:szCs w:val="21"/>
                      <w:highlight w:val="none"/>
                      <w:lang w:val="en-US" w:eastAsia="zh-CN"/>
                    </w:rPr>
                    <w:t>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vAlign w:val="center"/>
                </w:tcPr>
                <w:p w14:paraId="6F9491A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1.50</w:t>
                  </w:r>
                </w:p>
              </w:tc>
              <w:tc>
                <w:tcPr>
                  <w:tcW w:w="1109" w:type="dxa"/>
                  <w:tcBorders>
                    <w:tl2br w:val="nil"/>
                    <w:tr2bl w:val="nil"/>
                  </w:tcBorders>
                  <w:vAlign w:val="center"/>
                </w:tcPr>
                <w:p w14:paraId="6B24DF2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5FB0D98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 New Roman" w:hAnsi="Times New Roman" w:cs="Times New Roman" w:eastAsiaTheme="minorEastAsia"/>
                      <w:bCs/>
                      <w:color w:val="auto"/>
                      <w:sz w:val="21"/>
                      <w:szCs w:val="21"/>
                      <w:highlight w:val="none"/>
                      <w:lang w:val="en-US" w:eastAsia="zh-CN"/>
                    </w:rPr>
                    <w:t>三氯甲烷</w:t>
                  </w:r>
                </w:p>
              </w:tc>
              <w:tc>
                <w:tcPr>
                  <w:tcW w:w="1330" w:type="dxa"/>
                  <w:tcBorders>
                    <w:tl2br w:val="nil"/>
                    <w:tr2bl w:val="nil"/>
                  </w:tcBorders>
                  <w:vAlign w:val="center"/>
                </w:tcPr>
                <w:p w14:paraId="58D738B7">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0.60</w:t>
                  </w:r>
                </w:p>
              </w:tc>
            </w:tr>
            <w:tr w14:paraId="60B6588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66662530">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四氯化碳</w:t>
                  </w:r>
                </w:p>
              </w:tc>
              <w:tc>
                <w:tcPr>
                  <w:tcW w:w="1062" w:type="dxa"/>
                  <w:tcBorders>
                    <w:tl2br w:val="nil"/>
                    <w:tr2bl w:val="nil"/>
                  </w:tcBorders>
                  <w:shd w:val="clear" w:color="auto" w:fill="auto"/>
                  <w:vAlign w:val="center"/>
                </w:tcPr>
                <w:p w14:paraId="00A3FCA3">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100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shd w:val="clear" w:color="auto" w:fill="auto"/>
                  <w:vAlign w:val="center"/>
                </w:tcPr>
                <w:p w14:paraId="65EEF7E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1.594</w:t>
                  </w:r>
                </w:p>
              </w:tc>
              <w:tc>
                <w:tcPr>
                  <w:tcW w:w="1109" w:type="dxa"/>
                  <w:tcBorders>
                    <w:tl2br w:val="nil"/>
                    <w:tr2bl w:val="nil"/>
                  </w:tcBorders>
                  <w:shd w:val="clear" w:color="auto" w:fill="auto"/>
                  <w:vAlign w:val="center"/>
                </w:tcPr>
                <w:p w14:paraId="4D2BDCD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206DF04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shd w:val="clear" w:color="auto" w:fill="auto"/>
                  <w:vAlign w:val="center"/>
                </w:tcPr>
                <w:p w14:paraId="63156BB4">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6.38</w:t>
                  </w:r>
                </w:p>
              </w:tc>
            </w:tr>
            <w:tr w14:paraId="2F654D7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73126B53">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甲苯</w:t>
                  </w:r>
                </w:p>
              </w:tc>
              <w:tc>
                <w:tcPr>
                  <w:tcW w:w="1062" w:type="dxa"/>
                  <w:tcBorders>
                    <w:tl2br w:val="nil"/>
                    <w:tr2bl w:val="nil"/>
                  </w:tcBorders>
                  <w:shd w:val="clear" w:color="auto" w:fill="auto"/>
                  <w:vAlign w:val="center"/>
                </w:tcPr>
                <w:p w14:paraId="7811574D">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w:t>
                  </w:r>
                  <w:r>
                    <w:rPr>
                      <w:rFonts w:hint="eastAsia" w:cs="Times New Roman" w:eastAsiaTheme="minorEastAsia"/>
                      <w:bCs/>
                      <w:color w:val="auto"/>
                      <w:sz w:val="21"/>
                      <w:szCs w:val="21"/>
                      <w:highlight w:val="none"/>
                      <w:lang w:val="en-US" w:eastAsia="zh-CN"/>
                    </w:rPr>
                    <w:t>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shd w:val="clear" w:color="auto" w:fill="auto"/>
                  <w:vAlign w:val="center"/>
                </w:tcPr>
                <w:p w14:paraId="03FEDC9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0.872</w:t>
                  </w:r>
                </w:p>
              </w:tc>
              <w:tc>
                <w:tcPr>
                  <w:tcW w:w="1109" w:type="dxa"/>
                  <w:tcBorders>
                    <w:tl2br w:val="nil"/>
                    <w:tr2bl w:val="nil"/>
                  </w:tcBorders>
                  <w:shd w:val="clear" w:color="auto" w:fill="auto"/>
                  <w:vAlign w:val="center"/>
                </w:tcPr>
                <w:p w14:paraId="18C9219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46548FB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甲苯</w:t>
                  </w:r>
                </w:p>
              </w:tc>
              <w:tc>
                <w:tcPr>
                  <w:tcW w:w="1330" w:type="dxa"/>
                  <w:tcBorders>
                    <w:tl2br w:val="nil"/>
                    <w:tr2bl w:val="nil"/>
                  </w:tcBorders>
                  <w:shd w:val="clear" w:color="auto" w:fill="auto"/>
                  <w:vAlign w:val="center"/>
                </w:tcPr>
                <w:p w14:paraId="18A66510">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1.74</w:t>
                  </w:r>
                </w:p>
              </w:tc>
            </w:tr>
            <w:tr w14:paraId="13EFB89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695E526E">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异丙苯</w:t>
                  </w:r>
                </w:p>
              </w:tc>
              <w:tc>
                <w:tcPr>
                  <w:tcW w:w="1062" w:type="dxa"/>
                  <w:tcBorders>
                    <w:tl2br w:val="nil"/>
                    <w:tr2bl w:val="nil"/>
                  </w:tcBorders>
                  <w:shd w:val="clear" w:color="auto" w:fill="auto"/>
                  <w:vAlign w:val="center"/>
                </w:tcPr>
                <w:p w14:paraId="29A4609D">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50</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vAlign w:val="center"/>
                </w:tcPr>
                <w:p w14:paraId="69C0BC9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0.869</w:t>
                  </w:r>
                </w:p>
              </w:tc>
              <w:tc>
                <w:tcPr>
                  <w:tcW w:w="1109" w:type="dxa"/>
                  <w:tcBorders>
                    <w:tl2br w:val="nil"/>
                    <w:tr2bl w:val="nil"/>
                  </w:tcBorders>
                  <w:vAlign w:val="center"/>
                </w:tcPr>
                <w:p w14:paraId="41542AE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1C6A5AB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4ED11951">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1.74</w:t>
                  </w:r>
                </w:p>
              </w:tc>
            </w:tr>
            <w:tr w14:paraId="651872C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329" w:type="dxa"/>
                  <w:tcBorders>
                    <w:tl2br w:val="nil"/>
                    <w:tr2bl w:val="nil"/>
                  </w:tcBorders>
                  <w:shd w:val="clear" w:color="auto" w:fill="auto"/>
                  <w:vAlign w:val="center"/>
                </w:tcPr>
                <w:p w14:paraId="622BDA7D">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石油醚</w:t>
                  </w:r>
                </w:p>
              </w:tc>
              <w:tc>
                <w:tcPr>
                  <w:tcW w:w="1062" w:type="dxa"/>
                  <w:tcBorders>
                    <w:tl2br w:val="nil"/>
                    <w:tr2bl w:val="nil"/>
                  </w:tcBorders>
                  <w:shd w:val="clear" w:color="auto" w:fill="auto"/>
                  <w:vAlign w:val="center"/>
                </w:tcPr>
                <w:p w14:paraId="52DD7CF2">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35</w:t>
                  </w:r>
                  <w:r>
                    <w:rPr>
                      <w:rFonts w:hint="eastAsia" w:ascii="TimesNewRomanPSMT" w:hAnsi="TimesNewRomanPSMT"/>
                      <w:color w:val="auto"/>
                      <w:sz w:val="21"/>
                      <w:szCs w:val="21"/>
                      <w:highlight w:val="none"/>
                      <w:vertAlign w:val="baseline"/>
                      <w:lang w:val="en-US" w:eastAsia="zh-CN"/>
                    </w:rPr>
                    <w:t>L</w:t>
                  </w:r>
                </w:p>
              </w:tc>
              <w:tc>
                <w:tcPr>
                  <w:tcW w:w="1218" w:type="dxa"/>
                  <w:tcBorders>
                    <w:tl2br w:val="nil"/>
                    <w:tr2bl w:val="nil"/>
                  </w:tcBorders>
                  <w:vAlign w:val="center"/>
                </w:tcPr>
                <w:p w14:paraId="255ADD8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0.66</w:t>
                  </w:r>
                </w:p>
              </w:tc>
              <w:tc>
                <w:tcPr>
                  <w:tcW w:w="1109" w:type="dxa"/>
                  <w:tcBorders>
                    <w:tl2br w:val="nil"/>
                    <w:tr2bl w:val="nil"/>
                  </w:tcBorders>
                  <w:vAlign w:val="center"/>
                </w:tcPr>
                <w:p w14:paraId="722C475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66A30A3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1BAE34CD">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0.92</w:t>
                  </w:r>
                </w:p>
              </w:tc>
            </w:tr>
            <w:tr w14:paraId="255941F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6B6C7648">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二氯甲烷</w:t>
                  </w:r>
                </w:p>
              </w:tc>
              <w:tc>
                <w:tcPr>
                  <w:tcW w:w="1062" w:type="dxa"/>
                  <w:tcBorders>
                    <w:tl2br w:val="nil"/>
                    <w:tr2bl w:val="nil"/>
                  </w:tcBorders>
                  <w:vAlign w:val="center"/>
                </w:tcPr>
                <w:p w14:paraId="051A194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10L</w:t>
                  </w:r>
                </w:p>
              </w:tc>
              <w:tc>
                <w:tcPr>
                  <w:tcW w:w="1218" w:type="dxa"/>
                  <w:tcBorders>
                    <w:tl2br w:val="nil"/>
                    <w:tr2bl w:val="nil"/>
                  </w:tcBorders>
                  <w:vAlign w:val="center"/>
                </w:tcPr>
                <w:p w14:paraId="076E725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1.33</w:t>
                  </w:r>
                </w:p>
              </w:tc>
              <w:tc>
                <w:tcPr>
                  <w:tcW w:w="1109" w:type="dxa"/>
                  <w:tcBorders>
                    <w:tl2br w:val="nil"/>
                    <w:tr2bl w:val="nil"/>
                  </w:tcBorders>
                  <w:vAlign w:val="center"/>
                </w:tcPr>
                <w:p w14:paraId="707B482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0F8F57A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default" w:ascii="Times New Roman" w:hAnsi="Times New Roman" w:cs="Times New Roman" w:eastAsiaTheme="minorEastAsia"/>
                      <w:bCs/>
                      <w:color w:val="auto"/>
                      <w:sz w:val="21"/>
                      <w:szCs w:val="21"/>
                      <w:highlight w:val="none"/>
                      <w:lang w:val="en-US" w:eastAsia="zh-CN"/>
                    </w:rPr>
                    <w:t>二氯甲烷</w:t>
                  </w:r>
                </w:p>
              </w:tc>
              <w:tc>
                <w:tcPr>
                  <w:tcW w:w="1330" w:type="dxa"/>
                  <w:tcBorders>
                    <w:tl2br w:val="nil"/>
                    <w:tr2bl w:val="nil"/>
                  </w:tcBorders>
                  <w:vAlign w:val="center"/>
                </w:tcPr>
                <w:p w14:paraId="0F1AD2D0">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1.06</w:t>
                  </w:r>
                </w:p>
              </w:tc>
            </w:tr>
            <w:tr w14:paraId="5B165E4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0CA46B93">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正己烷</w:t>
                  </w:r>
                </w:p>
              </w:tc>
              <w:tc>
                <w:tcPr>
                  <w:tcW w:w="1062" w:type="dxa"/>
                  <w:tcBorders>
                    <w:tl2br w:val="nil"/>
                    <w:tr2bl w:val="nil"/>
                  </w:tcBorders>
                  <w:shd w:val="clear" w:color="auto" w:fill="auto"/>
                  <w:vAlign w:val="center"/>
                </w:tcPr>
                <w:p w14:paraId="33D7594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color w:val="auto"/>
                      <w:sz w:val="21"/>
                      <w:szCs w:val="21"/>
                      <w:highlight w:val="none"/>
                      <w:vertAlign w:val="baseline"/>
                      <w:lang w:val="en-US" w:eastAsia="zh-CN"/>
                    </w:rPr>
                    <w:t>4</w:t>
                  </w:r>
                  <w:r>
                    <w:rPr>
                      <w:rFonts w:hint="eastAsia" w:ascii="TimesNewRomanPSMT" w:hAnsi="TimesNewRomanPSMT" w:eastAsia="宋体"/>
                      <w:color w:val="auto"/>
                      <w:sz w:val="21"/>
                      <w:szCs w:val="21"/>
                      <w:highlight w:val="none"/>
                      <w:vertAlign w:val="baseline"/>
                      <w:lang w:val="en-US" w:eastAsia="zh-CN"/>
                    </w:rPr>
                    <w:t>0L</w:t>
                  </w:r>
                </w:p>
              </w:tc>
              <w:tc>
                <w:tcPr>
                  <w:tcW w:w="1218" w:type="dxa"/>
                  <w:tcBorders>
                    <w:tl2br w:val="nil"/>
                    <w:tr2bl w:val="nil"/>
                  </w:tcBorders>
                  <w:shd w:val="clear" w:color="auto" w:fill="auto"/>
                  <w:vAlign w:val="center"/>
                </w:tcPr>
                <w:p w14:paraId="3777B16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0.66</w:t>
                  </w:r>
                </w:p>
              </w:tc>
              <w:tc>
                <w:tcPr>
                  <w:tcW w:w="1109" w:type="dxa"/>
                  <w:tcBorders>
                    <w:tl2br w:val="nil"/>
                    <w:tr2bl w:val="nil"/>
                  </w:tcBorders>
                  <w:shd w:val="clear" w:color="auto" w:fill="auto"/>
                  <w:vAlign w:val="center"/>
                </w:tcPr>
                <w:p w14:paraId="6308230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7165318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shd w:val="clear" w:color="auto" w:fill="auto"/>
                  <w:vAlign w:val="center"/>
                </w:tcPr>
                <w:p w14:paraId="618BB8A0">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1.06</w:t>
                  </w:r>
                </w:p>
              </w:tc>
            </w:tr>
            <w:tr w14:paraId="3D8205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0FB13B74">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丙酮</w:t>
                  </w:r>
                </w:p>
              </w:tc>
              <w:tc>
                <w:tcPr>
                  <w:tcW w:w="1062" w:type="dxa"/>
                  <w:tcBorders>
                    <w:tl2br w:val="nil"/>
                    <w:tr2bl w:val="nil"/>
                  </w:tcBorders>
                  <w:shd w:val="clear" w:color="auto" w:fill="auto"/>
                  <w:vAlign w:val="center"/>
                </w:tcPr>
                <w:p w14:paraId="4DED13A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color w:val="auto"/>
                      <w:sz w:val="21"/>
                      <w:szCs w:val="21"/>
                      <w:highlight w:val="none"/>
                      <w:vertAlign w:val="baseline"/>
                      <w:lang w:val="en-US" w:eastAsia="zh-CN"/>
                    </w:rPr>
                    <w:t>2</w:t>
                  </w:r>
                  <w:r>
                    <w:rPr>
                      <w:rFonts w:hint="eastAsia" w:ascii="TimesNewRomanPSMT" w:hAnsi="TimesNewRomanPSMT" w:eastAsia="宋体"/>
                      <w:color w:val="auto"/>
                      <w:sz w:val="21"/>
                      <w:szCs w:val="21"/>
                      <w:highlight w:val="none"/>
                      <w:vertAlign w:val="baseline"/>
                      <w:lang w:val="en-US" w:eastAsia="zh-CN"/>
                    </w:rPr>
                    <w:t>0L</w:t>
                  </w:r>
                </w:p>
              </w:tc>
              <w:tc>
                <w:tcPr>
                  <w:tcW w:w="1218" w:type="dxa"/>
                  <w:tcBorders>
                    <w:tl2br w:val="nil"/>
                    <w:tr2bl w:val="nil"/>
                  </w:tcBorders>
                  <w:shd w:val="clear" w:color="auto" w:fill="auto"/>
                  <w:vAlign w:val="center"/>
                </w:tcPr>
                <w:p w14:paraId="5062DEB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0.79</w:t>
                  </w:r>
                </w:p>
              </w:tc>
              <w:tc>
                <w:tcPr>
                  <w:tcW w:w="1109" w:type="dxa"/>
                  <w:tcBorders>
                    <w:tl2br w:val="nil"/>
                    <w:tr2bl w:val="nil"/>
                  </w:tcBorders>
                  <w:shd w:val="clear" w:color="auto" w:fill="auto"/>
                  <w:vAlign w:val="center"/>
                </w:tcPr>
                <w:p w14:paraId="7FB1634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43A337A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shd w:val="clear" w:color="auto" w:fill="auto"/>
                  <w:vAlign w:val="center"/>
                </w:tcPr>
                <w:p w14:paraId="63E1A8FF">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0.63</w:t>
                  </w:r>
                </w:p>
              </w:tc>
            </w:tr>
            <w:tr w14:paraId="1798E40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1D0BE4C4">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环己烷</w:t>
                  </w:r>
                </w:p>
              </w:tc>
              <w:tc>
                <w:tcPr>
                  <w:tcW w:w="1062" w:type="dxa"/>
                  <w:tcBorders>
                    <w:tl2br w:val="nil"/>
                    <w:tr2bl w:val="nil"/>
                  </w:tcBorders>
                  <w:vAlign w:val="center"/>
                </w:tcPr>
                <w:p w14:paraId="74F8E8A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4L</w:t>
                  </w:r>
                </w:p>
              </w:tc>
              <w:tc>
                <w:tcPr>
                  <w:tcW w:w="1218" w:type="dxa"/>
                  <w:tcBorders>
                    <w:tl2br w:val="nil"/>
                    <w:tr2bl w:val="nil"/>
                  </w:tcBorders>
                  <w:vAlign w:val="center"/>
                </w:tcPr>
                <w:p w14:paraId="059B993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0.78</w:t>
                  </w:r>
                </w:p>
              </w:tc>
              <w:tc>
                <w:tcPr>
                  <w:tcW w:w="1109" w:type="dxa"/>
                  <w:tcBorders>
                    <w:tl2br w:val="nil"/>
                    <w:tr2bl w:val="nil"/>
                  </w:tcBorders>
                  <w:vAlign w:val="center"/>
                </w:tcPr>
                <w:p w14:paraId="76E8646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72E41F5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7ACFCA6B">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0.12</w:t>
                  </w:r>
                </w:p>
              </w:tc>
            </w:tr>
            <w:tr w14:paraId="5E9F71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shd w:val="clear" w:color="auto" w:fill="auto"/>
                  <w:vAlign w:val="center"/>
                </w:tcPr>
                <w:p w14:paraId="5BC3ADE3">
                  <w:pPr>
                    <w:jc w:val="center"/>
                    <w:rPr>
                      <w:rFonts w:hint="eastAsia"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Cs/>
                      <w:color w:val="auto"/>
                      <w:sz w:val="21"/>
                      <w:szCs w:val="21"/>
                      <w:highlight w:val="none"/>
                      <w:lang w:val="en-US" w:eastAsia="zh-CN"/>
                    </w:rPr>
                    <w:t>乙酸乙酯</w:t>
                  </w:r>
                </w:p>
              </w:tc>
              <w:tc>
                <w:tcPr>
                  <w:tcW w:w="1062" w:type="dxa"/>
                  <w:tcBorders>
                    <w:tl2br w:val="nil"/>
                    <w:tr2bl w:val="nil"/>
                  </w:tcBorders>
                  <w:vAlign w:val="center"/>
                </w:tcPr>
                <w:p w14:paraId="0721D30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16L</w:t>
                  </w:r>
                </w:p>
              </w:tc>
              <w:tc>
                <w:tcPr>
                  <w:tcW w:w="1218" w:type="dxa"/>
                  <w:tcBorders>
                    <w:tl2br w:val="nil"/>
                    <w:tr2bl w:val="nil"/>
                  </w:tcBorders>
                  <w:vAlign w:val="center"/>
                </w:tcPr>
                <w:p w14:paraId="76AE045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NewRomanPSMT" w:hAnsi="TimesNewRomanPSMT" w:eastAsia="宋体"/>
                      <w:color w:val="auto"/>
                      <w:sz w:val="21"/>
                      <w:szCs w:val="21"/>
                      <w:highlight w:val="none"/>
                      <w:vertAlign w:val="baseline"/>
                      <w:lang w:val="en-US" w:eastAsia="zh-CN"/>
                    </w:rPr>
                  </w:pPr>
                  <w:r>
                    <w:rPr>
                      <w:rFonts w:hint="eastAsia" w:ascii="TimesNewRomanPSMT" w:hAnsi="TimesNewRomanPSMT"/>
                      <w:color w:val="auto"/>
                      <w:sz w:val="21"/>
                      <w:szCs w:val="21"/>
                      <w:highlight w:val="none"/>
                      <w:vertAlign w:val="baseline"/>
                      <w:lang w:val="en-US" w:eastAsia="zh-CN"/>
                    </w:rPr>
                    <w:t>0.90</w:t>
                  </w:r>
                </w:p>
              </w:tc>
              <w:tc>
                <w:tcPr>
                  <w:tcW w:w="1109" w:type="dxa"/>
                  <w:tcBorders>
                    <w:tl2br w:val="nil"/>
                    <w:tr2bl w:val="nil"/>
                  </w:tcBorders>
                  <w:vAlign w:val="center"/>
                </w:tcPr>
                <w:p w14:paraId="7A2FC51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vAlign w:val="center"/>
                </w:tcPr>
                <w:p w14:paraId="72A21F1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vAlign w:val="center"/>
                </w:tcPr>
                <w:p w14:paraId="5FFC098E">
                  <w:pPr>
                    <w:keepNext w:val="0"/>
                    <w:keepLines w:val="0"/>
                    <w:widowControl/>
                    <w:suppressLineNumbers w:val="0"/>
                    <w:jc w:val="center"/>
                    <w:textAlignment w:val="center"/>
                    <w:rPr>
                      <w:rFonts w:hint="default" w:ascii="TimesNewRomanPSMT" w:hAnsi="TimesNewRomanPSMT" w:eastAsia="TimesNewRomanPSMT" w:cs="TimesNewRomanPSMT"/>
                      <w:i w:val="0"/>
                      <w:iCs w:val="0"/>
                      <w:snapToGrid w:val="0"/>
                      <w:color w:val="auto"/>
                      <w:kern w:val="0"/>
                      <w:sz w:val="21"/>
                      <w:szCs w:val="21"/>
                      <w:highlight w:val="none"/>
                      <w:u w:val="none"/>
                      <w:lang w:val="en-US" w:eastAsia="zh-CN" w:bidi="ar"/>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0.58</w:t>
                  </w:r>
                </w:p>
              </w:tc>
            </w:tr>
            <w:tr w14:paraId="37AAFA4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9" w:type="dxa"/>
                  <w:tcBorders>
                    <w:tl2br w:val="nil"/>
                    <w:tr2bl w:val="nil"/>
                  </w:tcBorders>
                  <w:vAlign w:val="center"/>
                </w:tcPr>
                <w:p w14:paraId="5361309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olor w:val="auto"/>
                      <w:sz w:val="21"/>
                      <w:szCs w:val="21"/>
                      <w:highlight w:val="none"/>
                      <w:vertAlign w:val="baseline"/>
                      <w:lang w:val="en-US" w:eastAsia="zh-CN"/>
                    </w:rPr>
                  </w:pPr>
                  <w:r>
                    <w:rPr>
                      <w:rFonts w:hint="default" w:ascii="Times New Roman" w:hAnsi="Times New Roman" w:cs="Times New Roman" w:eastAsiaTheme="minorEastAsia"/>
                      <w:bCs/>
                      <w:color w:val="auto"/>
                      <w:sz w:val="21"/>
                      <w:szCs w:val="21"/>
                      <w:highlight w:val="none"/>
                      <w:lang w:val="en-US" w:eastAsia="zh-CN"/>
                    </w:rPr>
                    <w:t>乙腈</w:t>
                  </w:r>
                </w:p>
              </w:tc>
              <w:tc>
                <w:tcPr>
                  <w:tcW w:w="1062" w:type="dxa"/>
                  <w:tcBorders>
                    <w:tl2br w:val="nil"/>
                    <w:tr2bl w:val="nil"/>
                  </w:tcBorders>
                  <w:shd w:val="clear" w:color="auto" w:fill="auto"/>
                  <w:vAlign w:val="center"/>
                </w:tcPr>
                <w:p w14:paraId="591C6DC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color w:val="auto"/>
                      <w:sz w:val="21"/>
                      <w:szCs w:val="21"/>
                      <w:highlight w:val="none"/>
                      <w:vertAlign w:val="baseline"/>
                      <w:lang w:val="en-US" w:eastAsia="zh-CN"/>
                    </w:rPr>
                    <w:t>12</w:t>
                  </w:r>
                  <w:r>
                    <w:rPr>
                      <w:rFonts w:hint="eastAsia" w:ascii="TimesNewRomanPSMT" w:hAnsi="TimesNewRomanPSMT" w:eastAsia="宋体"/>
                      <w:color w:val="auto"/>
                      <w:sz w:val="21"/>
                      <w:szCs w:val="21"/>
                      <w:highlight w:val="none"/>
                      <w:vertAlign w:val="baseline"/>
                      <w:lang w:val="en-US" w:eastAsia="zh-CN"/>
                    </w:rPr>
                    <w:t>L</w:t>
                  </w:r>
                </w:p>
              </w:tc>
              <w:tc>
                <w:tcPr>
                  <w:tcW w:w="1218" w:type="dxa"/>
                  <w:tcBorders>
                    <w:tl2br w:val="nil"/>
                    <w:tr2bl w:val="nil"/>
                  </w:tcBorders>
                  <w:shd w:val="clear" w:color="auto" w:fill="auto"/>
                  <w:vAlign w:val="center"/>
                </w:tcPr>
                <w:p w14:paraId="20DBFD7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0.786</w:t>
                  </w:r>
                </w:p>
              </w:tc>
              <w:tc>
                <w:tcPr>
                  <w:tcW w:w="1109" w:type="dxa"/>
                  <w:tcBorders>
                    <w:tl2br w:val="nil"/>
                    <w:tr2bl w:val="nil"/>
                  </w:tcBorders>
                  <w:shd w:val="clear" w:color="auto" w:fill="auto"/>
                  <w:vAlign w:val="center"/>
                </w:tcPr>
                <w:p w14:paraId="3F66949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4%</w:t>
                  </w:r>
                </w:p>
              </w:tc>
              <w:tc>
                <w:tcPr>
                  <w:tcW w:w="1929" w:type="dxa"/>
                  <w:tcBorders>
                    <w:tl2br w:val="nil"/>
                    <w:tr2bl w:val="nil"/>
                  </w:tcBorders>
                  <w:shd w:val="clear" w:color="auto" w:fill="auto"/>
                  <w:vAlign w:val="center"/>
                </w:tcPr>
                <w:p w14:paraId="53ABFCD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NewRomanPSMT" w:hAnsi="TimesNewRomanPSMT" w:eastAsia="宋体" w:cs="Times New Roman"/>
                      <w:color w:val="auto"/>
                      <w:kern w:val="2"/>
                      <w:sz w:val="21"/>
                      <w:szCs w:val="21"/>
                      <w:highlight w:val="none"/>
                      <w:vertAlign w:val="baseline"/>
                      <w:lang w:val="en-US" w:eastAsia="zh-CN" w:bidi="ar-SA"/>
                    </w:rPr>
                  </w:pPr>
                  <w:r>
                    <w:rPr>
                      <w:rFonts w:hint="eastAsia" w:ascii="TimesNewRomanPSMT" w:hAnsi="TimesNewRomanPSMT" w:eastAsia="宋体"/>
                      <w:color w:val="auto"/>
                      <w:sz w:val="21"/>
                      <w:szCs w:val="21"/>
                      <w:highlight w:val="none"/>
                      <w:vertAlign w:val="baseline"/>
                      <w:lang w:val="en-US" w:eastAsia="zh-CN"/>
                    </w:rPr>
                    <w:t>VOC</w:t>
                  </w:r>
                  <w:r>
                    <w:rPr>
                      <w:rFonts w:hint="eastAsia" w:ascii="TimesNewRomanPSMT" w:hAnsi="TimesNewRomanPSMT" w:eastAsia="宋体"/>
                      <w:color w:val="auto"/>
                      <w:sz w:val="21"/>
                      <w:szCs w:val="21"/>
                      <w:highlight w:val="none"/>
                      <w:vertAlign w:val="subscript"/>
                      <w:lang w:val="en-US" w:eastAsia="zh-CN"/>
                    </w:rPr>
                    <w:t>S</w:t>
                  </w:r>
                </w:p>
              </w:tc>
              <w:tc>
                <w:tcPr>
                  <w:tcW w:w="1330" w:type="dxa"/>
                  <w:tcBorders>
                    <w:tl2br w:val="nil"/>
                    <w:tr2bl w:val="nil"/>
                  </w:tcBorders>
                  <w:shd w:val="clear" w:color="auto" w:fill="auto"/>
                  <w:vAlign w:val="center"/>
                </w:tcPr>
                <w:p w14:paraId="6C172932">
                  <w:pPr>
                    <w:keepNext w:val="0"/>
                    <w:keepLines w:val="0"/>
                    <w:widowControl/>
                    <w:suppressLineNumbers w:val="0"/>
                    <w:jc w:val="center"/>
                    <w:textAlignment w:val="center"/>
                    <w:rPr>
                      <w:rFonts w:hint="default" w:ascii="TimesNewRomanPSMT" w:hAnsi="TimesNewRomanPSMT" w:eastAsia="宋体" w:cs="Times New Roman"/>
                      <w:color w:val="auto"/>
                      <w:kern w:val="2"/>
                      <w:sz w:val="21"/>
                      <w:szCs w:val="21"/>
                      <w:highlight w:val="none"/>
                      <w:vertAlign w:val="baseline"/>
                      <w:lang w:val="en-US" w:eastAsia="zh-CN" w:bidi="ar-SA"/>
                    </w:rPr>
                  </w:pPr>
                  <w:r>
                    <w:rPr>
                      <w:rFonts w:hint="default" w:ascii="TimesNewRomanPSMT" w:hAnsi="TimesNewRomanPSMT" w:eastAsia="TimesNewRomanPSMT" w:cs="TimesNewRomanPSMT"/>
                      <w:i w:val="0"/>
                      <w:iCs w:val="0"/>
                      <w:color w:val="auto"/>
                      <w:kern w:val="0"/>
                      <w:sz w:val="21"/>
                      <w:szCs w:val="21"/>
                      <w:highlight w:val="none"/>
                      <w:u w:val="none"/>
                      <w:lang w:val="en-US" w:eastAsia="zh-CN" w:bidi="ar"/>
                    </w:rPr>
                    <w:t>0.38</w:t>
                  </w:r>
                </w:p>
              </w:tc>
            </w:tr>
          </w:tbl>
          <w:p w14:paraId="275D7A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（4）含菌废气</w:t>
            </w:r>
          </w:p>
          <w:p w14:paraId="7EFF78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项目实验室包含微生物室，在微生物实验过程中，会产生少量含有微生物菌体的废气。为有效控制和减少废气排放对环境的影响，微生物室配备了专门的过滤回用系统，实现整个房间空气的循环利用，基本不外排，对大气环境影响较小，故本次仅做定性分析。</w:t>
            </w:r>
          </w:p>
          <w:p w14:paraId="7073650B">
            <w:pPr>
              <w:numPr>
                <w:ilvl w:val="0"/>
                <w:numId w:val="0"/>
              </w:num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（5）实验废气收集、治理情况</w:t>
            </w:r>
          </w:p>
          <w:p w14:paraId="75240BD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0"/>
              <w:rPr>
                <w:rFonts w:hint="eastAsia"/>
                <w:color w:val="auto"/>
                <w:sz w:val="24"/>
                <w:highlight w:val="none"/>
              </w:rPr>
            </w:pPr>
            <w:r>
              <w:rPr>
                <w:rFonts w:hint="eastAsia"/>
                <w:color w:val="auto"/>
                <w:sz w:val="24"/>
                <w:highlight w:val="none"/>
              </w:rPr>
              <w:t>本项目实验过程主要在通风柜中进行，部分实验工序在万向罩、原子吸收罩下方进行。万向罩为实验室常见集气设备，位于敞开实验操作平台上方，可360°旋转调整置口朝向，万向罩可移动，在实验过程中万向罩可移动到产气点较近距离的位置，对产气点形成包围的收集形式。参考《广东省工业源挥发性有机物减排量核算方法（试行）》中包围型集气设备废气收集集气效率参考值，本项目通风橱、万向排风罩、集气罩集气效率按80%计（未收集的20%为无组织排放）。</w:t>
            </w:r>
          </w:p>
          <w:p w14:paraId="3341BCCB">
            <w:pPr>
              <w:numPr>
                <w:ilvl w:val="0"/>
                <w:numId w:val="0"/>
              </w:numPr>
              <w:spacing w:line="360" w:lineRule="auto"/>
              <w:ind w:firstLine="480" w:firstLineChars="200"/>
              <w:rPr>
                <w:rFonts w:hint="eastAsia"/>
                <w:color w:val="auto"/>
                <w:sz w:val="24"/>
                <w:highlight w:val="none"/>
                <w:lang w:val="en-US" w:eastAsia="zh-CN"/>
              </w:rPr>
            </w:pPr>
            <w:r>
              <w:rPr>
                <w:rFonts w:hint="eastAsia"/>
                <w:color w:val="auto"/>
                <w:sz w:val="24"/>
                <w:highlight w:val="none"/>
              </w:rPr>
              <w:t>本项目</w:t>
            </w:r>
            <w:r>
              <w:rPr>
                <w:color w:val="auto"/>
                <w:sz w:val="24"/>
                <w:highlight w:val="none"/>
              </w:rPr>
              <w:t>实验室</w:t>
            </w:r>
            <w:r>
              <w:rPr>
                <w:rFonts w:hint="eastAsia"/>
                <w:color w:val="auto"/>
                <w:sz w:val="24"/>
                <w:highlight w:val="none"/>
                <w:lang w:val="en-US" w:eastAsia="zh-CN"/>
              </w:rPr>
              <w:t>酸性废气、有机废气</w:t>
            </w:r>
            <w:r>
              <w:rPr>
                <w:rFonts w:hint="default" w:ascii="Times New Roman" w:hAnsi="Times New Roman" w:eastAsia="宋体" w:cs="Times New Roman"/>
                <w:color w:val="auto"/>
                <w:sz w:val="24"/>
                <w:szCs w:val="24"/>
                <w:highlight w:val="none"/>
                <w:lang w:val="en-US" w:eastAsia="zh-CN"/>
              </w:rPr>
              <w:t>经通风柜、万向罩和原子吸收柜收集后</w:t>
            </w:r>
            <w:r>
              <w:rPr>
                <w:rFonts w:hint="eastAsia" w:cs="Times New Roman"/>
                <w:color w:val="auto"/>
                <w:sz w:val="24"/>
                <w:szCs w:val="24"/>
                <w:highlight w:val="none"/>
                <w:lang w:val="en-US" w:eastAsia="zh-CN"/>
              </w:rPr>
              <w:t>进入废气处理系统，其中酸性废气</w:t>
            </w:r>
            <w:r>
              <w:rPr>
                <w:rFonts w:hint="eastAsia"/>
                <w:color w:val="auto"/>
                <w:sz w:val="24"/>
                <w:highlight w:val="none"/>
              </w:rPr>
              <w:t>通过碱液</w:t>
            </w:r>
            <w:r>
              <w:rPr>
                <w:color w:val="auto"/>
                <w:sz w:val="24"/>
                <w:highlight w:val="none"/>
              </w:rPr>
              <w:t>洗涤塔处理</w:t>
            </w:r>
            <w:r>
              <w:rPr>
                <w:rFonts w:hint="eastAsia"/>
                <w:color w:val="auto"/>
                <w:sz w:val="24"/>
                <w:highlight w:val="none"/>
                <w:lang w:eastAsia="zh-CN"/>
              </w:rPr>
              <w:t>，</w:t>
            </w:r>
            <w:r>
              <w:rPr>
                <w:rFonts w:hint="eastAsia"/>
                <w:color w:val="auto"/>
                <w:sz w:val="24"/>
                <w:highlight w:val="none"/>
                <w:lang w:val="en-US" w:eastAsia="zh-CN"/>
              </w:rPr>
              <w:t>有机废气</w:t>
            </w:r>
            <w:r>
              <w:rPr>
                <w:rFonts w:hint="eastAsia"/>
                <w:color w:val="auto"/>
                <w:sz w:val="24"/>
                <w:highlight w:val="none"/>
              </w:rPr>
              <w:t>通过</w:t>
            </w:r>
            <w:r>
              <w:rPr>
                <w:rFonts w:hint="eastAsia"/>
                <w:color w:val="auto"/>
                <w:sz w:val="24"/>
                <w:highlight w:val="none"/>
                <w:lang w:val="en-US" w:eastAsia="zh-CN"/>
              </w:rPr>
              <w:t>二级活性炭</w:t>
            </w:r>
            <w:r>
              <w:rPr>
                <w:color w:val="auto"/>
                <w:sz w:val="24"/>
                <w:highlight w:val="none"/>
              </w:rPr>
              <w:t>处理</w:t>
            </w:r>
            <w:r>
              <w:rPr>
                <w:rFonts w:hint="eastAsia"/>
                <w:color w:val="auto"/>
                <w:sz w:val="24"/>
                <w:highlight w:val="none"/>
                <w:lang w:eastAsia="zh-CN"/>
              </w:rPr>
              <w:t>，</w:t>
            </w:r>
            <w:r>
              <w:rPr>
                <w:rFonts w:hint="eastAsia"/>
                <w:color w:val="auto"/>
                <w:sz w:val="24"/>
                <w:highlight w:val="none"/>
                <w:lang w:val="en-US" w:eastAsia="zh-CN"/>
              </w:rPr>
              <w:t>随后均引至楼顶</w:t>
            </w:r>
            <w:r>
              <w:rPr>
                <w:rFonts w:hint="eastAsia"/>
                <w:color w:val="auto"/>
                <w:sz w:val="24"/>
                <w:highlight w:val="none"/>
              </w:rPr>
              <w:t>排气筒排放</w:t>
            </w:r>
            <w:r>
              <w:rPr>
                <w:rFonts w:hint="eastAsia"/>
                <w:color w:val="auto"/>
                <w:sz w:val="24"/>
                <w:highlight w:val="none"/>
                <w:lang w:eastAsia="zh-CN"/>
              </w:rPr>
              <w:t>（</w:t>
            </w:r>
            <w:r>
              <w:rPr>
                <w:rFonts w:hint="eastAsia"/>
                <w:color w:val="auto"/>
                <w:sz w:val="24"/>
                <w:highlight w:val="none"/>
                <w:lang w:val="en-US" w:eastAsia="zh-CN"/>
              </w:rPr>
              <w:t>DA001~DA014</w:t>
            </w:r>
            <w:r>
              <w:rPr>
                <w:rFonts w:hint="eastAsia"/>
                <w:color w:val="auto"/>
                <w:sz w:val="24"/>
                <w:highlight w:val="none"/>
                <w:lang w:eastAsia="zh-CN"/>
              </w:rPr>
              <w:t>），</w:t>
            </w:r>
            <w:r>
              <w:rPr>
                <w:rFonts w:hint="eastAsia"/>
                <w:color w:val="auto"/>
                <w:sz w:val="24"/>
                <w:highlight w:val="none"/>
                <w:lang w:val="en-US" w:eastAsia="zh-CN"/>
              </w:rPr>
              <w:t>排气筒高度23</w:t>
            </w:r>
            <w:r>
              <w:rPr>
                <w:rFonts w:hint="eastAsia"/>
                <w:color w:val="auto"/>
                <w:sz w:val="24"/>
                <w:highlight w:val="none"/>
              </w:rPr>
              <w:t>m</w:t>
            </w:r>
            <w:r>
              <w:rPr>
                <w:rFonts w:hint="eastAsia"/>
                <w:color w:val="auto"/>
                <w:sz w:val="24"/>
                <w:highlight w:val="none"/>
                <w:lang w:eastAsia="zh-CN"/>
              </w:rPr>
              <w:t>。</w:t>
            </w:r>
            <w:r>
              <w:rPr>
                <w:rFonts w:hint="eastAsia"/>
                <w:color w:val="auto"/>
                <w:sz w:val="24"/>
                <w:highlight w:val="none"/>
                <w:lang w:val="en-US" w:eastAsia="zh-CN"/>
              </w:rPr>
              <w:t>企业设置有10套</w:t>
            </w:r>
            <w:r>
              <w:rPr>
                <w:rFonts w:hint="eastAsia"/>
                <w:color w:val="auto"/>
                <w:sz w:val="24"/>
                <w:highlight w:val="none"/>
              </w:rPr>
              <w:t>碱液</w:t>
            </w:r>
            <w:r>
              <w:rPr>
                <w:color w:val="auto"/>
                <w:sz w:val="24"/>
                <w:highlight w:val="none"/>
              </w:rPr>
              <w:t>洗涤塔</w:t>
            </w:r>
            <w:r>
              <w:rPr>
                <w:rFonts w:hint="eastAsia"/>
                <w:color w:val="auto"/>
                <w:sz w:val="24"/>
                <w:highlight w:val="none"/>
                <w:lang w:eastAsia="zh-CN"/>
              </w:rPr>
              <w:t>，</w:t>
            </w:r>
            <w:r>
              <w:rPr>
                <w:rFonts w:hint="eastAsia"/>
                <w:color w:val="auto"/>
                <w:sz w:val="24"/>
                <w:highlight w:val="none"/>
                <w:lang w:val="en-US" w:eastAsia="zh-CN"/>
              </w:rPr>
              <w:t>风量均为5000m</w:t>
            </w:r>
            <w:r>
              <w:rPr>
                <w:rFonts w:hint="eastAsia"/>
                <w:color w:val="auto"/>
                <w:sz w:val="24"/>
                <w:highlight w:val="none"/>
                <w:vertAlign w:val="superscript"/>
                <w:lang w:val="en-US" w:eastAsia="zh-CN"/>
              </w:rPr>
              <w:t>3</w:t>
            </w:r>
            <w:r>
              <w:rPr>
                <w:rFonts w:hint="eastAsia"/>
                <w:color w:val="auto"/>
                <w:sz w:val="24"/>
                <w:highlight w:val="none"/>
                <w:lang w:val="en-US" w:eastAsia="zh-CN"/>
              </w:rPr>
              <w:t>/h；4套二级活性炭</w:t>
            </w:r>
            <w:r>
              <w:rPr>
                <w:rFonts w:hint="eastAsia"/>
                <w:color w:val="auto"/>
                <w:sz w:val="24"/>
                <w:highlight w:val="none"/>
                <w:lang w:eastAsia="zh-CN"/>
              </w:rPr>
              <w:t>，</w:t>
            </w:r>
            <w:r>
              <w:rPr>
                <w:rFonts w:hint="eastAsia"/>
                <w:color w:val="auto"/>
                <w:sz w:val="24"/>
                <w:highlight w:val="none"/>
                <w:lang w:val="en-US" w:eastAsia="zh-CN"/>
              </w:rPr>
              <w:t>3套风量均为7000m</w:t>
            </w:r>
            <w:r>
              <w:rPr>
                <w:rFonts w:hint="eastAsia"/>
                <w:color w:val="auto"/>
                <w:sz w:val="24"/>
                <w:highlight w:val="none"/>
                <w:vertAlign w:val="superscript"/>
                <w:lang w:val="en-US" w:eastAsia="zh-CN"/>
              </w:rPr>
              <w:t>3</w:t>
            </w:r>
            <w:r>
              <w:rPr>
                <w:rFonts w:hint="eastAsia"/>
                <w:color w:val="auto"/>
                <w:sz w:val="24"/>
                <w:highlight w:val="none"/>
                <w:lang w:val="en-US" w:eastAsia="zh-CN"/>
              </w:rPr>
              <w:t>/h，1套风量9000m</w:t>
            </w:r>
            <w:r>
              <w:rPr>
                <w:rFonts w:hint="eastAsia"/>
                <w:color w:val="auto"/>
                <w:sz w:val="24"/>
                <w:highlight w:val="none"/>
                <w:vertAlign w:val="superscript"/>
                <w:lang w:val="en-US" w:eastAsia="zh-CN"/>
              </w:rPr>
              <w:t>3</w:t>
            </w:r>
            <w:r>
              <w:rPr>
                <w:rFonts w:hint="eastAsia"/>
                <w:color w:val="auto"/>
                <w:sz w:val="24"/>
                <w:highlight w:val="none"/>
                <w:lang w:val="en-US" w:eastAsia="zh-CN"/>
              </w:rPr>
              <w:t>/h。项目年工作260天，每天使用有机溶剂、无机酸的有效时间合计约为4h。</w:t>
            </w:r>
          </w:p>
          <w:p w14:paraId="082B4DDC">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olor w:val="auto"/>
                <w:sz w:val="24"/>
                <w:highlight w:val="none"/>
                <w:lang w:val="en-US" w:eastAsia="zh-CN"/>
              </w:rPr>
              <w:t>本项目碎样粉尘经收集后通过布袋除尘器处理，随后引至楼顶</w:t>
            </w:r>
            <w:r>
              <w:rPr>
                <w:rFonts w:hint="eastAsia"/>
                <w:color w:val="auto"/>
                <w:sz w:val="24"/>
                <w:highlight w:val="none"/>
              </w:rPr>
              <w:t>排气筒排放</w:t>
            </w:r>
            <w:r>
              <w:rPr>
                <w:rFonts w:hint="eastAsia"/>
                <w:color w:val="auto"/>
                <w:sz w:val="24"/>
                <w:highlight w:val="none"/>
                <w:lang w:eastAsia="zh-CN"/>
              </w:rPr>
              <w:t>（</w:t>
            </w:r>
            <w:r>
              <w:rPr>
                <w:rFonts w:hint="eastAsia"/>
                <w:color w:val="auto"/>
                <w:sz w:val="24"/>
                <w:highlight w:val="none"/>
                <w:lang w:val="en-US" w:eastAsia="zh-CN"/>
              </w:rPr>
              <w:t>DA015</w:t>
            </w:r>
            <w:r>
              <w:rPr>
                <w:rFonts w:hint="eastAsia"/>
                <w:color w:val="auto"/>
                <w:sz w:val="24"/>
                <w:highlight w:val="none"/>
                <w:lang w:eastAsia="zh-CN"/>
              </w:rPr>
              <w:t>），</w:t>
            </w:r>
            <w:r>
              <w:rPr>
                <w:rFonts w:hint="eastAsia"/>
                <w:color w:val="auto"/>
                <w:sz w:val="24"/>
                <w:highlight w:val="none"/>
                <w:lang w:val="en-US" w:eastAsia="zh-CN"/>
              </w:rPr>
              <w:t>排气筒高度23</w:t>
            </w:r>
            <w:r>
              <w:rPr>
                <w:rFonts w:hint="eastAsia"/>
                <w:color w:val="auto"/>
                <w:sz w:val="24"/>
                <w:highlight w:val="none"/>
              </w:rPr>
              <w:t>m</w:t>
            </w:r>
            <w:r>
              <w:rPr>
                <w:rFonts w:hint="eastAsia"/>
                <w:color w:val="auto"/>
                <w:sz w:val="24"/>
                <w:highlight w:val="none"/>
                <w:lang w:eastAsia="zh-CN"/>
              </w:rPr>
              <w:t>，</w:t>
            </w:r>
            <w:r>
              <w:rPr>
                <w:rFonts w:hint="eastAsia"/>
                <w:color w:val="auto"/>
                <w:sz w:val="24"/>
                <w:highlight w:val="none"/>
                <w:lang w:val="en-US" w:eastAsia="zh-CN"/>
              </w:rPr>
              <w:t>风量2000m</w:t>
            </w:r>
            <w:r>
              <w:rPr>
                <w:rFonts w:hint="eastAsia"/>
                <w:color w:val="auto"/>
                <w:sz w:val="24"/>
                <w:highlight w:val="none"/>
                <w:vertAlign w:val="superscript"/>
                <w:lang w:val="en-US" w:eastAsia="zh-CN"/>
              </w:rPr>
              <w:t>3</w:t>
            </w:r>
            <w:r>
              <w:rPr>
                <w:rFonts w:hint="eastAsia"/>
                <w:color w:val="auto"/>
                <w:sz w:val="24"/>
                <w:highlight w:val="none"/>
                <w:lang w:val="en-US" w:eastAsia="zh-CN"/>
              </w:rPr>
              <w:t>/h，年工作260天，每天8h。</w:t>
            </w:r>
          </w:p>
          <w:p w14:paraId="3D919E46">
            <w:pPr>
              <w:numPr>
                <w:ilvl w:val="0"/>
                <w:numId w:val="0"/>
              </w:num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废气收集系统设计如下表。</w:t>
            </w:r>
          </w:p>
          <w:p w14:paraId="7B8A5ACB">
            <w:pPr>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表4-</w:t>
            </w:r>
            <w:r>
              <w:rPr>
                <w:rFonts w:hint="eastAsia" w:cs="Times New Roman"/>
                <w:b/>
                <w:color w:val="auto"/>
                <w:szCs w:val="21"/>
                <w:highlight w:val="none"/>
                <w:lang w:val="en-US" w:eastAsia="zh-CN"/>
              </w:rPr>
              <w:t>3</w:t>
            </w:r>
            <w:r>
              <w:rPr>
                <w:rFonts w:hint="default" w:ascii="Times New Roman" w:hAnsi="Times New Roman" w:eastAsia="宋体" w:cs="Times New Roman"/>
                <w:b/>
                <w:color w:val="auto"/>
                <w:szCs w:val="21"/>
                <w:highlight w:val="none"/>
                <w:lang w:val="en-US" w:eastAsia="zh-CN"/>
              </w:rPr>
              <w:t xml:space="preserve">  本项目实验废气收集情况一览表</w:t>
            </w:r>
          </w:p>
          <w:tbl>
            <w:tblPr>
              <w:tblStyle w:val="28"/>
              <w:tblW w:w="8013"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554"/>
              <w:gridCol w:w="1012"/>
              <w:gridCol w:w="1169"/>
              <w:gridCol w:w="1194"/>
              <w:gridCol w:w="1484"/>
              <w:gridCol w:w="1120"/>
              <w:gridCol w:w="1480"/>
            </w:tblGrid>
            <w:tr w14:paraId="782FC26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tcBorders>
                    <w:tl2br w:val="nil"/>
                    <w:tr2bl w:val="nil"/>
                  </w:tcBorders>
                  <w:vAlign w:val="center"/>
                </w:tcPr>
                <w:p w14:paraId="43F5A9F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2181" w:type="dxa"/>
                  <w:gridSpan w:val="2"/>
                  <w:tcBorders>
                    <w:tl2br w:val="nil"/>
                    <w:tr2bl w:val="nil"/>
                  </w:tcBorders>
                  <w:vAlign w:val="center"/>
                </w:tcPr>
                <w:p w14:paraId="672588A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收集位置</w:t>
                  </w:r>
                </w:p>
              </w:tc>
              <w:tc>
                <w:tcPr>
                  <w:tcW w:w="1194" w:type="dxa"/>
                  <w:tcBorders>
                    <w:tl2br w:val="nil"/>
                    <w:tr2bl w:val="nil"/>
                  </w:tcBorders>
                  <w:vAlign w:val="center"/>
                </w:tcPr>
                <w:p w14:paraId="64AA111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排风量</w:t>
                  </w:r>
                  <w:r>
                    <w:rPr>
                      <w:rFonts w:hint="default" w:ascii="Times New Roman" w:hAnsi="Times New Roman" w:eastAsia="宋体" w:cs="Times New Roman"/>
                      <w:b/>
                      <w:bCs/>
                      <w:color w:val="auto"/>
                      <w:kern w:val="0"/>
                      <w:sz w:val="21"/>
                      <w:szCs w:val="21"/>
                      <w:highlight w:val="none"/>
                      <w:lang w:bidi="ar"/>
                    </w:rPr>
                    <w:t>m</w:t>
                  </w:r>
                  <w:r>
                    <w:rPr>
                      <w:rFonts w:hint="default" w:ascii="Times New Roman" w:hAnsi="Times New Roman" w:eastAsia="宋体" w:cs="Times New Roman"/>
                      <w:b/>
                      <w:bCs/>
                      <w:color w:val="auto"/>
                      <w:kern w:val="0"/>
                      <w:sz w:val="21"/>
                      <w:szCs w:val="21"/>
                      <w:highlight w:val="none"/>
                      <w:vertAlign w:val="superscript"/>
                      <w:lang w:bidi="ar"/>
                    </w:rPr>
                    <w:t>3</w:t>
                  </w:r>
                  <w:r>
                    <w:rPr>
                      <w:rFonts w:hint="default" w:ascii="Times New Roman" w:hAnsi="Times New Roman" w:eastAsia="宋体" w:cs="Times New Roman"/>
                      <w:b/>
                      <w:bCs/>
                      <w:color w:val="auto"/>
                      <w:kern w:val="0"/>
                      <w:sz w:val="21"/>
                      <w:szCs w:val="21"/>
                      <w:highlight w:val="none"/>
                      <w:lang w:bidi="ar"/>
                    </w:rPr>
                    <w:t>/h</w:t>
                  </w:r>
                </w:p>
              </w:tc>
              <w:tc>
                <w:tcPr>
                  <w:tcW w:w="1484" w:type="dxa"/>
                  <w:tcBorders>
                    <w:tl2br w:val="nil"/>
                    <w:tr2bl w:val="nil"/>
                  </w:tcBorders>
                  <w:vAlign w:val="center"/>
                </w:tcPr>
                <w:p w14:paraId="4461BF3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处理工艺</w:t>
                  </w:r>
                </w:p>
              </w:tc>
              <w:tc>
                <w:tcPr>
                  <w:tcW w:w="1120" w:type="dxa"/>
                  <w:tcBorders>
                    <w:tl2br w:val="nil"/>
                    <w:tr2bl w:val="nil"/>
                  </w:tcBorders>
                  <w:vAlign w:val="center"/>
                </w:tcPr>
                <w:p w14:paraId="3616ED9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排气筒</w:t>
                  </w:r>
                </w:p>
              </w:tc>
              <w:tc>
                <w:tcPr>
                  <w:tcW w:w="1480" w:type="dxa"/>
                  <w:tcBorders>
                    <w:tl2br w:val="nil"/>
                    <w:tr2bl w:val="nil"/>
                  </w:tcBorders>
                  <w:vAlign w:val="center"/>
                </w:tcPr>
                <w:p w14:paraId="0B645B0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备注</w:t>
                  </w:r>
                </w:p>
              </w:tc>
            </w:tr>
            <w:tr w14:paraId="267C511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3BA227F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012" w:type="dxa"/>
                  <w:vMerge w:val="restart"/>
                  <w:tcBorders>
                    <w:tl2br w:val="nil"/>
                    <w:tr2bl w:val="nil"/>
                  </w:tcBorders>
                  <w:vAlign w:val="center"/>
                </w:tcPr>
                <w:p w14:paraId="5691337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化学间1</w:t>
                  </w:r>
                </w:p>
              </w:tc>
              <w:tc>
                <w:tcPr>
                  <w:tcW w:w="1169" w:type="dxa"/>
                  <w:tcBorders>
                    <w:tl2br w:val="nil"/>
                    <w:tr2bl w:val="nil"/>
                  </w:tcBorders>
                  <w:vAlign w:val="center"/>
                </w:tcPr>
                <w:p w14:paraId="6F9EE35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vAlign w:val="center"/>
                </w:tcPr>
                <w:p w14:paraId="634FC4D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428FB72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color w:val="auto"/>
                      <w:highlight w:val="none"/>
                    </w:rPr>
                    <w:t>碱液洗涤塔</w:t>
                  </w:r>
                </w:p>
              </w:tc>
              <w:tc>
                <w:tcPr>
                  <w:tcW w:w="1120" w:type="dxa"/>
                  <w:tcBorders>
                    <w:tl2br w:val="nil"/>
                    <w:tr2bl w:val="nil"/>
                  </w:tcBorders>
                  <w:vAlign w:val="center"/>
                </w:tcPr>
                <w:p w14:paraId="0F04C9F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DA001</w:t>
                  </w:r>
                  <w:r>
                    <w:rPr>
                      <w:rFonts w:hint="default" w:ascii="Times New Roman" w:hAnsi="Times New Roman" w:eastAsia="宋体" w:cs="Times New Roman"/>
                      <w:color w:val="auto"/>
                      <w:sz w:val="21"/>
                      <w:szCs w:val="21"/>
                      <w:highlight w:val="none"/>
                      <w:vertAlign w:val="baseline"/>
                      <w:lang w:val="en-US" w:eastAsia="zh-CN"/>
                    </w:rPr>
                    <w:fldChar w:fldCharType="begin"/>
                  </w:r>
                  <w:r>
                    <w:rPr>
                      <w:rFonts w:hint="default" w:ascii="Times New Roman" w:hAnsi="Times New Roman" w:eastAsia="宋体" w:cs="Times New Roman"/>
                      <w:color w:val="auto"/>
                      <w:sz w:val="21"/>
                      <w:szCs w:val="21"/>
                      <w:highlight w:val="none"/>
                      <w:vertAlign w:val="baseline"/>
                      <w:lang w:val="en-US" w:eastAsia="zh-CN"/>
                    </w:rPr>
                    <w:instrText xml:space="preserve"> = sum(C2:C4) \* MERGEFORMAT </w:instrText>
                  </w:r>
                  <w:r>
                    <w:rPr>
                      <w:rFonts w:hint="default" w:ascii="Times New Roman" w:hAnsi="Times New Roman" w:eastAsia="宋体" w:cs="Times New Roman"/>
                      <w:color w:val="auto"/>
                      <w:sz w:val="21"/>
                      <w:szCs w:val="21"/>
                      <w:highlight w:val="none"/>
                      <w:vertAlign w:val="baseline"/>
                      <w:lang w:val="en-US" w:eastAsia="zh-CN"/>
                    </w:rPr>
                    <w:fldChar w:fldCharType="separate"/>
                  </w:r>
                  <w:r>
                    <w:rPr>
                      <w:rFonts w:hint="default" w:ascii="Times New Roman" w:hAnsi="Times New Roman" w:eastAsia="宋体" w:cs="Times New Roman"/>
                      <w:color w:val="auto"/>
                      <w:sz w:val="21"/>
                      <w:szCs w:val="21"/>
                      <w:highlight w:val="none"/>
                      <w:vertAlign w:val="baseline"/>
                      <w:lang w:val="en-US" w:eastAsia="zh-CN"/>
                    </w:rPr>
                    <w:fldChar w:fldCharType="end"/>
                  </w:r>
                </w:p>
              </w:tc>
              <w:tc>
                <w:tcPr>
                  <w:tcW w:w="1480" w:type="dxa"/>
                  <w:vMerge w:val="restart"/>
                  <w:tcBorders>
                    <w:tl2br w:val="nil"/>
                    <w:tr2bl w:val="nil"/>
                  </w:tcBorders>
                  <w:vAlign w:val="center"/>
                </w:tcPr>
                <w:p w14:paraId="5E96718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使用</w:t>
                  </w:r>
                  <w:r>
                    <w:rPr>
                      <w:rFonts w:hint="default" w:ascii="Times New Roman" w:hAnsi="Times New Roman" w:eastAsia="宋体" w:cs="Times New Roman"/>
                      <w:color w:val="auto"/>
                      <w:sz w:val="21"/>
                      <w:szCs w:val="21"/>
                      <w:highlight w:val="none"/>
                      <w:vertAlign w:val="baseline"/>
                      <w:lang w:val="en-US" w:eastAsia="zh-CN"/>
                    </w:rPr>
                    <w:t>盐酸、硫酸、硝酸、氢氟酸等</w:t>
                  </w:r>
                  <w:r>
                    <w:rPr>
                      <w:rFonts w:hint="eastAsia" w:ascii="Times New Roman" w:hAnsi="Times New Roman" w:eastAsia="宋体" w:cs="Times New Roman"/>
                      <w:color w:val="auto"/>
                      <w:sz w:val="21"/>
                      <w:szCs w:val="21"/>
                      <w:highlight w:val="none"/>
                      <w:vertAlign w:val="baseline"/>
                      <w:lang w:val="en-US" w:eastAsia="zh-CN"/>
                    </w:rPr>
                    <w:t>无机药剂</w:t>
                  </w:r>
                </w:p>
              </w:tc>
            </w:tr>
            <w:tr w14:paraId="0BF2BC8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2949D93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27A9666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vAlign w:val="center"/>
                </w:tcPr>
                <w:p w14:paraId="6E94073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vAlign w:val="center"/>
                </w:tcPr>
                <w:p w14:paraId="7457EE2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684AC8D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693DD3A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DA002</w:t>
                  </w:r>
                </w:p>
              </w:tc>
              <w:tc>
                <w:tcPr>
                  <w:tcW w:w="1480" w:type="dxa"/>
                  <w:vMerge w:val="continue"/>
                  <w:tcBorders>
                    <w:tl2br w:val="nil"/>
                    <w:tr2bl w:val="nil"/>
                  </w:tcBorders>
                  <w:vAlign w:val="center"/>
                </w:tcPr>
                <w:p w14:paraId="5B9BCE5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69B9EFB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1410E76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1012" w:type="dxa"/>
                  <w:vMerge w:val="restart"/>
                  <w:tcBorders>
                    <w:tl2br w:val="nil"/>
                    <w:tr2bl w:val="nil"/>
                  </w:tcBorders>
                  <w:vAlign w:val="center"/>
                </w:tcPr>
                <w:p w14:paraId="098A56F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化学间2</w:t>
                  </w:r>
                </w:p>
              </w:tc>
              <w:tc>
                <w:tcPr>
                  <w:tcW w:w="1169" w:type="dxa"/>
                  <w:tcBorders>
                    <w:tl2br w:val="nil"/>
                    <w:tr2bl w:val="nil"/>
                  </w:tcBorders>
                  <w:shd w:val="clear" w:color="auto" w:fill="auto"/>
                  <w:vAlign w:val="center"/>
                </w:tcPr>
                <w:p w14:paraId="28139DF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vAlign w:val="center"/>
                </w:tcPr>
                <w:p w14:paraId="2D17280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096D199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2B825DB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DA003</w:t>
                  </w:r>
                </w:p>
              </w:tc>
              <w:tc>
                <w:tcPr>
                  <w:tcW w:w="1480" w:type="dxa"/>
                  <w:vMerge w:val="continue"/>
                  <w:tcBorders>
                    <w:tl2br w:val="nil"/>
                    <w:tr2bl w:val="nil"/>
                  </w:tcBorders>
                  <w:vAlign w:val="center"/>
                </w:tcPr>
                <w:p w14:paraId="3CBC0F6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694130A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5606C37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7E6E1BF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shd w:val="clear" w:color="auto" w:fill="auto"/>
                  <w:vAlign w:val="center"/>
                </w:tcPr>
                <w:p w14:paraId="1506514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vAlign w:val="center"/>
                </w:tcPr>
                <w:p w14:paraId="7AF0A0B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64A4EF8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5BF3B6D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DA004</w:t>
                  </w:r>
                </w:p>
              </w:tc>
              <w:tc>
                <w:tcPr>
                  <w:tcW w:w="1480" w:type="dxa"/>
                  <w:vMerge w:val="continue"/>
                  <w:tcBorders>
                    <w:tl2br w:val="nil"/>
                    <w:tr2bl w:val="nil"/>
                  </w:tcBorders>
                  <w:vAlign w:val="center"/>
                </w:tcPr>
                <w:p w14:paraId="31D1EAF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0FB264F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04F6C1C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w:t>
                  </w:r>
                </w:p>
              </w:tc>
              <w:tc>
                <w:tcPr>
                  <w:tcW w:w="1012" w:type="dxa"/>
                  <w:vMerge w:val="restart"/>
                  <w:tcBorders>
                    <w:tl2br w:val="nil"/>
                    <w:tr2bl w:val="nil"/>
                  </w:tcBorders>
                  <w:vAlign w:val="center"/>
                </w:tcPr>
                <w:p w14:paraId="4FFCF26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lang w:val="en-US" w:eastAsia="zh-CN" w:bidi="ar"/>
                    </w:rPr>
                  </w:pPr>
                  <w:r>
                    <w:rPr>
                      <w:rFonts w:hint="eastAsia" w:ascii="Times New Roman" w:hAnsi="Times New Roman" w:eastAsia="宋体" w:cs="Times New Roman"/>
                      <w:color w:val="auto"/>
                      <w:sz w:val="21"/>
                      <w:szCs w:val="21"/>
                      <w:highlight w:val="none"/>
                      <w:vertAlign w:val="baseline"/>
                      <w:lang w:val="en-US" w:eastAsia="zh-CN"/>
                    </w:rPr>
                    <w:t>化学间3</w:t>
                  </w:r>
                </w:p>
              </w:tc>
              <w:tc>
                <w:tcPr>
                  <w:tcW w:w="1169" w:type="dxa"/>
                  <w:tcBorders>
                    <w:tl2br w:val="nil"/>
                    <w:tr2bl w:val="nil"/>
                  </w:tcBorders>
                  <w:shd w:val="clear" w:color="auto" w:fill="auto"/>
                  <w:vAlign w:val="center"/>
                </w:tcPr>
                <w:p w14:paraId="5215F5B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vAlign w:val="center"/>
                </w:tcPr>
                <w:p w14:paraId="5351727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6145259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5F05504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DA005</w:t>
                  </w:r>
                </w:p>
              </w:tc>
              <w:tc>
                <w:tcPr>
                  <w:tcW w:w="1480" w:type="dxa"/>
                  <w:vMerge w:val="continue"/>
                  <w:tcBorders>
                    <w:tl2br w:val="nil"/>
                    <w:tr2bl w:val="nil"/>
                  </w:tcBorders>
                  <w:vAlign w:val="center"/>
                </w:tcPr>
                <w:p w14:paraId="64687E1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41C089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7DFFD7F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1273648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shd w:val="clear" w:color="auto" w:fill="auto"/>
                  <w:vAlign w:val="center"/>
                </w:tcPr>
                <w:p w14:paraId="3351A3F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vAlign w:val="center"/>
                </w:tcPr>
                <w:p w14:paraId="4CFB810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45BC272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50C924F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DA006</w:t>
                  </w:r>
                </w:p>
              </w:tc>
              <w:tc>
                <w:tcPr>
                  <w:tcW w:w="1480" w:type="dxa"/>
                  <w:vMerge w:val="continue"/>
                  <w:tcBorders>
                    <w:tl2br w:val="nil"/>
                    <w:tr2bl w:val="nil"/>
                  </w:tcBorders>
                  <w:vAlign w:val="center"/>
                </w:tcPr>
                <w:p w14:paraId="0C62A86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21D42B0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5BEFC1E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w:t>
                  </w:r>
                </w:p>
              </w:tc>
              <w:tc>
                <w:tcPr>
                  <w:tcW w:w="1012" w:type="dxa"/>
                  <w:vMerge w:val="restart"/>
                  <w:tcBorders>
                    <w:tl2br w:val="nil"/>
                    <w:tr2bl w:val="nil"/>
                  </w:tcBorders>
                  <w:vAlign w:val="center"/>
                </w:tcPr>
                <w:p w14:paraId="2CA3044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化学间4</w:t>
                  </w:r>
                </w:p>
              </w:tc>
              <w:tc>
                <w:tcPr>
                  <w:tcW w:w="1169" w:type="dxa"/>
                  <w:tcBorders>
                    <w:tl2br w:val="nil"/>
                    <w:tr2bl w:val="nil"/>
                  </w:tcBorders>
                  <w:shd w:val="clear" w:color="auto" w:fill="auto"/>
                  <w:vAlign w:val="center"/>
                </w:tcPr>
                <w:p w14:paraId="1C0438E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vAlign w:val="center"/>
                </w:tcPr>
                <w:p w14:paraId="6BA876C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6D6191E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53A5F5F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DA007</w:t>
                  </w:r>
                </w:p>
              </w:tc>
              <w:tc>
                <w:tcPr>
                  <w:tcW w:w="1480" w:type="dxa"/>
                  <w:vMerge w:val="continue"/>
                  <w:tcBorders>
                    <w:tl2br w:val="nil"/>
                    <w:tr2bl w:val="nil"/>
                  </w:tcBorders>
                  <w:vAlign w:val="center"/>
                </w:tcPr>
                <w:p w14:paraId="4AB867B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246C95F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093CCB0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436780C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shd w:val="clear" w:color="auto" w:fill="auto"/>
                  <w:vAlign w:val="center"/>
                </w:tcPr>
                <w:p w14:paraId="2150FC0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vAlign w:val="center"/>
                </w:tcPr>
                <w:p w14:paraId="0660507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01CF576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0DC5BD3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DA008</w:t>
                  </w:r>
                </w:p>
              </w:tc>
              <w:tc>
                <w:tcPr>
                  <w:tcW w:w="1480" w:type="dxa"/>
                  <w:vMerge w:val="continue"/>
                  <w:tcBorders>
                    <w:tl2br w:val="nil"/>
                    <w:tr2bl w:val="nil"/>
                  </w:tcBorders>
                  <w:vAlign w:val="center"/>
                </w:tcPr>
                <w:p w14:paraId="08BE529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366C56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4A992F4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w:t>
                  </w:r>
                </w:p>
              </w:tc>
              <w:tc>
                <w:tcPr>
                  <w:tcW w:w="1012" w:type="dxa"/>
                  <w:vMerge w:val="restart"/>
                  <w:tcBorders>
                    <w:tl2br w:val="nil"/>
                    <w:tr2bl w:val="nil"/>
                  </w:tcBorders>
                  <w:vAlign w:val="center"/>
                </w:tcPr>
                <w:p w14:paraId="02BE469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化学间5</w:t>
                  </w:r>
                </w:p>
              </w:tc>
              <w:tc>
                <w:tcPr>
                  <w:tcW w:w="1169" w:type="dxa"/>
                  <w:tcBorders>
                    <w:tl2br w:val="nil"/>
                    <w:tr2bl w:val="nil"/>
                  </w:tcBorders>
                  <w:shd w:val="clear" w:color="auto" w:fill="auto"/>
                  <w:vAlign w:val="center"/>
                </w:tcPr>
                <w:p w14:paraId="223E209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vAlign w:val="center"/>
                </w:tcPr>
                <w:p w14:paraId="296AF02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53C169A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4132923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DA009</w:t>
                  </w:r>
                </w:p>
              </w:tc>
              <w:tc>
                <w:tcPr>
                  <w:tcW w:w="1480" w:type="dxa"/>
                  <w:vMerge w:val="continue"/>
                  <w:tcBorders>
                    <w:tl2br w:val="nil"/>
                    <w:tr2bl w:val="nil"/>
                  </w:tcBorders>
                  <w:vAlign w:val="center"/>
                </w:tcPr>
                <w:p w14:paraId="114F229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4BABF6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526E7C6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4D7C787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shd w:val="clear" w:color="auto" w:fill="auto"/>
                  <w:vAlign w:val="center"/>
                </w:tcPr>
                <w:p w14:paraId="72F3D37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vAlign w:val="center"/>
                </w:tcPr>
                <w:p w14:paraId="78443A9B">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5000</w:t>
                  </w:r>
                </w:p>
              </w:tc>
              <w:tc>
                <w:tcPr>
                  <w:tcW w:w="1484" w:type="dxa"/>
                  <w:tcBorders>
                    <w:tl2br w:val="nil"/>
                    <w:tr2bl w:val="nil"/>
                  </w:tcBorders>
                  <w:vAlign w:val="center"/>
                </w:tcPr>
                <w:p w14:paraId="713902C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color w:val="auto"/>
                      <w:highlight w:val="none"/>
                    </w:rPr>
                    <w:t>碱液洗涤塔</w:t>
                  </w:r>
                </w:p>
              </w:tc>
              <w:tc>
                <w:tcPr>
                  <w:tcW w:w="1120" w:type="dxa"/>
                  <w:tcBorders>
                    <w:tl2br w:val="nil"/>
                    <w:tr2bl w:val="nil"/>
                  </w:tcBorders>
                  <w:vAlign w:val="center"/>
                </w:tcPr>
                <w:p w14:paraId="443EB6B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DA010</w:t>
                  </w:r>
                </w:p>
              </w:tc>
              <w:tc>
                <w:tcPr>
                  <w:tcW w:w="1480" w:type="dxa"/>
                  <w:vMerge w:val="continue"/>
                  <w:tcBorders>
                    <w:tl2br w:val="nil"/>
                    <w:tr2bl w:val="nil"/>
                  </w:tcBorders>
                  <w:vAlign w:val="center"/>
                </w:tcPr>
                <w:p w14:paraId="6EA40B1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747F813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tcBorders>
                    <w:tl2br w:val="nil"/>
                    <w:tr2bl w:val="nil"/>
                  </w:tcBorders>
                  <w:vAlign w:val="center"/>
                </w:tcPr>
                <w:p w14:paraId="4B827B7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w:t>
                  </w:r>
                </w:p>
              </w:tc>
              <w:tc>
                <w:tcPr>
                  <w:tcW w:w="1012" w:type="dxa"/>
                  <w:tcBorders>
                    <w:tl2br w:val="nil"/>
                    <w:tr2bl w:val="nil"/>
                  </w:tcBorders>
                  <w:vAlign w:val="center"/>
                </w:tcPr>
                <w:p w14:paraId="082F82C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有机1</w:t>
                  </w:r>
                </w:p>
              </w:tc>
              <w:tc>
                <w:tcPr>
                  <w:tcW w:w="1169" w:type="dxa"/>
                  <w:tcBorders>
                    <w:tl2br w:val="nil"/>
                    <w:tr2bl w:val="nil"/>
                  </w:tcBorders>
                  <w:shd w:val="clear" w:color="auto" w:fill="auto"/>
                  <w:vAlign w:val="center"/>
                </w:tcPr>
                <w:p w14:paraId="761DA7C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w:t>
                  </w:r>
                </w:p>
              </w:tc>
              <w:tc>
                <w:tcPr>
                  <w:tcW w:w="1194" w:type="dxa"/>
                  <w:tcBorders>
                    <w:tl2br w:val="nil"/>
                    <w:tr2bl w:val="nil"/>
                  </w:tcBorders>
                  <w:vAlign w:val="center"/>
                </w:tcPr>
                <w:p w14:paraId="2453747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7000</w:t>
                  </w:r>
                </w:p>
              </w:tc>
              <w:tc>
                <w:tcPr>
                  <w:tcW w:w="1484" w:type="dxa"/>
                  <w:tcBorders>
                    <w:tl2br w:val="nil"/>
                    <w:tr2bl w:val="nil"/>
                  </w:tcBorders>
                  <w:vAlign w:val="center"/>
                </w:tcPr>
                <w:p w14:paraId="685E921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二级活性炭</w:t>
                  </w:r>
                </w:p>
              </w:tc>
              <w:tc>
                <w:tcPr>
                  <w:tcW w:w="1120" w:type="dxa"/>
                  <w:tcBorders>
                    <w:tl2br w:val="nil"/>
                    <w:tr2bl w:val="nil"/>
                  </w:tcBorders>
                  <w:vAlign w:val="center"/>
                </w:tcPr>
                <w:p w14:paraId="0D824CE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DA011</w:t>
                  </w:r>
                </w:p>
              </w:tc>
              <w:tc>
                <w:tcPr>
                  <w:tcW w:w="1480" w:type="dxa"/>
                  <w:tcBorders>
                    <w:tl2br w:val="nil"/>
                    <w:tr2bl w:val="nil"/>
                  </w:tcBorders>
                  <w:vAlign w:val="center"/>
                </w:tcPr>
                <w:p w14:paraId="6BB36CC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使用甲醇、甲苯、二氯甲烷、三氯甲烷等有机药剂</w:t>
                  </w:r>
                </w:p>
              </w:tc>
            </w:tr>
            <w:tr w14:paraId="3656D1B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restart"/>
                  <w:tcBorders>
                    <w:tl2br w:val="nil"/>
                    <w:tr2bl w:val="nil"/>
                  </w:tcBorders>
                  <w:vAlign w:val="center"/>
                </w:tcPr>
                <w:p w14:paraId="73413A8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7</w:t>
                  </w:r>
                </w:p>
              </w:tc>
              <w:tc>
                <w:tcPr>
                  <w:tcW w:w="1012" w:type="dxa"/>
                  <w:vMerge w:val="restart"/>
                  <w:tcBorders>
                    <w:tl2br w:val="nil"/>
                    <w:tr2bl w:val="nil"/>
                  </w:tcBorders>
                  <w:vAlign w:val="center"/>
                </w:tcPr>
                <w:p w14:paraId="24EDAB55">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有机2</w:t>
                  </w:r>
                </w:p>
              </w:tc>
              <w:tc>
                <w:tcPr>
                  <w:tcW w:w="1169" w:type="dxa"/>
                  <w:tcBorders>
                    <w:tl2br w:val="nil"/>
                    <w:tr2bl w:val="nil"/>
                  </w:tcBorders>
                  <w:shd w:val="clear" w:color="auto" w:fill="auto"/>
                  <w:vAlign w:val="center"/>
                </w:tcPr>
                <w:p w14:paraId="25F624B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通风橱1</w:t>
                  </w:r>
                </w:p>
              </w:tc>
              <w:tc>
                <w:tcPr>
                  <w:tcW w:w="1194" w:type="dxa"/>
                  <w:tcBorders>
                    <w:tl2br w:val="nil"/>
                    <w:tr2bl w:val="nil"/>
                  </w:tcBorders>
                  <w:shd w:val="clear" w:color="auto" w:fill="auto"/>
                  <w:vAlign w:val="center"/>
                </w:tcPr>
                <w:p w14:paraId="4EAB287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7000</w:t>
                  </w:r>
                </w:p>
              </w:tc>
              <w:tc>
                <w:tcPr>
                  <w:tcW w:w="1484" w:type="dxa"/>
                  <w:tcBorders>
                    <w:tl2br w:val="nil"/>
                    <w:tr2bl w:val="nil"/>
                  </w:tcBorders>
                  <w:shd w:val="clear" w:color="auto" w:fill="auto"/>
                  <w:vAlign w:val="center"/>
                </w:tcPr>
                <w:p w14:paraId="68951CE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二级活性炭</w:t>
                  </w:r>
                </w:p>
              </w:tc>
              <w:tc>
                <w:tcPr>
                  <w:tcW w:w="1120" w:type="dxa"/>
                  <w:tcBorders>
                    <w:tl2br w:val="nil"/>
                    <w:tr2bl w:val="nil"/>
                  </w:tcBorders>
                  <w:shd w:val="clear" w:color="auto" w:fill="auto"/>
                  <w:vAlign w:val="center"/>
                </w:tcPr>
                <w:p w14:paraId="524426B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DA012</w:t>
                  </w:r>
                </w:p>
              </w:tc>
              <w:tc>
                <w:tcPr>
                  <w:tcW w:w="1480" w:type="dxa"/>
                  <w:vMerge w:val="restart"/>
                  <w:tcBorders>
                    <w:tl2br w:val="nil"/>
                    <w:tr2bl w:val="nil"/>
                  </w:tcBorders>
                  <w:vAlign w:val="center"/>
                </w:tcPr>
                <w:p w14:paraId="30C773A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除甲醇、甲苯、二氯甲烷、三氯甲烷以外的有机药剂</w:t>
                  </w:r>
                </w:p>
              </w:tc>
            </w:tr>
            <w:tr w14:paraId="684B324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vMerge w:val="continue"/>
                  <w:tcBorders>
                    <w:tl2br w:val="nil"/>
                    <w:tr2bl w:val="nil"/>
                  </w:tcBorders>
                  <w:vAlign w:val="center"/>
                </w:tcPr>
                <w:p w14:paraId="7019EBB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012" w:type="dxa"/>
                  <w:vMerge w:val="continue"/>
                  <w:tcBorders>
                    <w:tl2br w:val="nil"/>
                    <w:tr2bl w:val="nil"/>
                  </w:tcBorders>
                  <w:vAlign w:val="center"/>
                </w:tcPr>
                <w:p w14:paraId="711DFFF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z w:val="21"/>
                      <w:szCs w:val="21"/>
                      <w:highlight w:val="none"/>
                      <w:vertAlign w:val="baseline"/>
                      <w:lang w:val="en-US" w:eastAsia="zh-CN"/>
                    </w:rPr>
                  </w:pPr>
                </w:p>
              </w:tc>
              <w:tc>
                <w:tcPr>
                  <w:tcW w:w="1169" w:type="dxa"/>
                  <w:tcBorders>
                    <w:tl2br w:val="nil"/>
                    <w:tr2bl w:val="nil"/>
                  </w:tcBorders>
                  <w:shd w:val="clear" w:color="auto" w:fill="auto"/>
                  <w:vAlign w:val="center"/>
                </w:tcPr>
                <w:p w14:paraId="721B6EE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通风橱2</w:t>
                  </w:r>
                </w:p>
              </w:tc>
              <w:tc>
                <w:tcPr>
                  <w:tcW w:w="1194" w:type="dxa"/>
                  <w:tcBorders>
                    <w:tl2br w:val="nil"/>
                    <w:tr2bl w:val="nil"/>
                  </w:tcBorders>
                  <w:shd w:val="clear" w:color="auto" w:fill="auto"/>
                  <w:vAlign w:val="center"/>
                </w:tcPr>
                <w:p w14:paraId="16DDD83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7000</w:t>
                  </w:r>
                </w:p>
              </w:tc>
              <w:tc>
                <w:tcPr>
                  <w:tcW w:w="1484" w:type="dxa"/>
                  <w:tcBorders>
                    <w:tl2br w:val="nil"/>
                    <w:tr2bl w:val="nil"/>
                  </w:tcBorders>
                  <w:shd w:val="clear" w:color="auto" w:fill="auto"/>
                  <w:vAlign w:val="center"/>
                </w:tcPr>
                <w:p w14:paraId="5932847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二级活性炭</w:t>
                  </w:r>
                </w:p>
              </w:tc>
              <w:tc>
                <w:tcPr>
                  <w:tcW w:w="1120" w:type="dxa"/>
                  <w:tcBorders>
                    <w:tl2br w:val="nil"/>
                    <w:tr2bl w:val="nil"/>
                  </w:tcBorders>
                  <w:shd w:val="clear" w:color="auto" w:fill="auto"/>
                  <w:vAlign w:val="center"/>
                </w:tcPr>
                <w:p w14:paraId="22CE6C11">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DA013</w:t>
                  </w:r>
                </w:p>
              </w:tc>
              <w:tc>
                <w:tcPr>
                  <w:tcW w:w="1480" w:type="dxa"/>
                  <w:vMerge w:val="continue"/>
                  <w:tcBorders>
                    <w:tl2br w:val="nil"/>
                    <w:tr2bl w:val="nil"/>
                  </w:tcBorders>
                  <w:vAlign w:val="center"/>
                </w:tcPr>
                <w:p w14:paraId="0224C75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592B22D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tcBorders>
                    <w:tl2br w:val="nil"/>
                    <w:tr2bl w:val="nil"/>
                  </w:tcBorders>
                  <w:vAlign w:val="center"/>
                </w:tcPr>
                <w:p w14:paraId="41D1B57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8</w:t>
                  </w:r>
                </w:p>
              </w:tc>
              <w:tc>
                <w:tcPr>
                  <w:tcW w:w="1012" w:type="dxa"/>
                  <w:tcBorders>
                    <w:tl2br w:val="nil"/>
                    <w:tr2bl w:val="nil"/>
                  </w:tcBorders>
                  <w:vAlign w:val="center"/>
                </w:tcPr>
                <w:p w14:paraId="23CE375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马弗炉间</w:t>
                  </w:r>
                </w:p>
              </w:tc>
              <w:tc>
                <w:tcPr>
                  <w:tcW w:w="1169" w:type="dxa"/>
                  <w:tcBorders>
                    <w:tl2br w:val="nil"/>
                    <w:tr2bl w:val="nil"/>
                  </w:tcBorders>
                  <w:shd w:val="clear" w:color="auto" w:fill="auto"/>
                  <w:vAlign w:val="center"/>
                </w:tcPr>
                <w:p w14:paraId="5E28FC1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通风橱</w:t>
                  </w:r>
                </w:p>
              </w:tc>
              <w:tc>
                <w:tcPr>
                  <w:tcW w:w="1194" w:type="dxa"/>
                  <w:tcBorders>
                    <w:tl2br w:val="nil"/>
                    <w:tr2bl w:val="nil"/>
                  </w:tcBorders>
                  <w:vAlign w:val="center"/>
                </w:tcPr>
                <w:p w14:paraId="0953778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9000</w:t>
                  </w:r>
                </w:p>
              </w:tc>
              <w:tc>
                <w:tcPr>
                  <w:tcW w:w="1484" w:type="dxa"/>
                  <w:tcBorders>
                    <w:tl2br w:val="nil"/>
                    <w:tr2bl w:val="nil"/>
                  </w:tcBorders>
                  <w:vAlign w:val="center"/>
                </w:tcPr>
                <w:p w14:paraId="2E06C78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二级活性炭</w:t>
                  </w:r>
                </w:p>
              </w:tc>
              <w:tc>
                <w:tcPr>
                  <w:tcW w:w="1120" w:type="dxa"/>
                  <w:tcBorders>
                    <w:tl2br w:val="nil"/>
                    <w:tr2bl w:val="nil"/>
                  </w:tcBorders>
                  <w:vAlign w:val="center"/>
                </w:tcPr>
                <w:p w14:paraId="47B673C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DA014</w:t>
                  </w:r>
                </w:p>
              </w:tc>
              <w:tc>
                <w:tcPr>
                  <w:tcW w:w="1480" w:type="dxa"/>
                  <w:vMerge w:val="continue"/>
                  <w:tcBorders>
                    <w:tl2br w:val="nil"/>
                    <w:tr2bl w:val="nil"/>
                  </w:tcBorders>
                  <w:vAlign w:val="center"/>
                </w:tcPr>
                <w:p w14:paraId="2C56497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p>
              </w:tc>
            </w:tr>
            <w:tr w14:paraId="3F4F147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3" w:hRule="atLeast"/>
                <w:jc w:val="center"/>
              </w:trPr>
              <w:tc>
                <w:tcPr>
                  <w:tcW w:w="554" w:type="dxa"/>
                  <w:tcBorders>
                    <w:tl2br w:val="nil"/>
                    <w:tr2bl w:val="nil"/>
                  </w:tcBorders>
                  <w:vAlign w:val="center"/>
                </w:tcPr>
                <w:p w14:paraId="394C576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9</w:t>
                  </w:r>
                </w:p>
              </w:tc>
              <w:tc>
                <w:tcPr>
                  <w:tcW w:w="2181" w:type="dxa"/>
                  <w:gridSpan w:val="2"/>
                  <w:tcBorders>
                    <w:tl2br w:val="nil"/>
                    <w:tr2bl w:val="nil"/>
                  </w:tcBorders>
                  <w:vAlign w:val="center"/>
                </w:tcPr>
                <w:p w14:paraId="70E745A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碎样间</w:t>
                  </w:r>
                </w:p>
              </w:tc>
              <w:tc>
                <w:tcPr>
                  <w:tcW w:w="1194" w:type="dxa"/>
                  <w:tcBorders>
                    <w:tl2br w:val="nil"/>
                    <w:tr2bl w:val="nil"/>
                  </w:tcBorders>
                  <w:vAlign w:val="center"/>
                </w:tcPr>
                <w:p w14:paraId="54526E4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2000</w:t>
                  </w:r>
                </w:p>
              </w:tc>
              <w:tc>
                <w:tcPr>
                  <w:tcW w:w="1484" w:type="dxa"/>
                  <w:tcBorders>
                    <w:tl2br w:val="nil"/>
                    <w:tr2bl w:val="nil"/>
                  </w:tcBorders>
                  <w:vAlign w:val="center"/>
                </w:tcPr>
                <w:p w14:paraId="0EF8831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布袋除尘器</w:t>
                  </w:r>
                </w:p>
              </w:tc>
              <w:tc>
                <w:tcPr>
                  <w:tcW w:w="1120" w:type="dxa"/>
                  <w:tcBorders>
                    <w:tl2br w:val="nil"/>
                    <w:tr2bl w:val="nil"/>
                  </w:tcBorders>
                  <w:vAlign w:val="center"/>
                </w:tcPr>
                <w:p w14:paraId="2F44494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DA015</w:t>
                  </w:r>
                </w:p>
              </w:tc>
              <w:tc>
                <w:tcPr>
                  <w:tcW w:w="1480" w:type="dxa"/>
                  <w:tcBorders>
                    <w:tl2br w:val="nil"/>
                    <w:tr2bl w:val="nil"/>
                  </w:tcBorders>
                  <w:vAlign w:val="center"/>
                </w:tcPr>
                <w:p w14:paraId="520B71A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w:t>
                  </w:r>
                </w:p>
              </w:tc>
            </w:tr>
          </w:tbl>
          <w:p w14:paraId="71EB9AE3">
            <w:pPr>
              <w:numPr>
                <w:ilvl w:val="0"/>
                <w:numId w:val="0"/>
              </w:num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参照《排放源统计调查产排污核算方法和系数手册》，喷淋法对酸</w:t>
            </w:r>
            <w:r>
              <w:rPr>
                <w:rFonts w:hint="eastAsia" w:cs="Times New Roman"/>
                <w:color w:val="auto"/>
                <w:sz w:val="24"/>
                <w:szCs w:val="24"/>
                <w:highlight w:val="none"/>
                <w:lang w:val="en-US" w:eastAsia="zh-CN"/>
              </w:rPr>
              <w:t>性</w:t>
            </w:r>
            <w:r>
              <w:rPr>
                <w:rFonts w:hint="eastAsia" w:ascii="Times New Roman" w:hAnsi="Times New Roman" w:eastAsia="宋体" w:cs="Times New Roman"/>
                <w:color w:val="auto"/>
                <w:sz w:val="24"/>
                <w:szCs w:val="24"/>
                <w:highlight w:val="none"/>
                <w:lang w:val="en-US" w:eastAsia="zh-CN"/>
              </w:rPr>
              <w:t>废气的去除效率为83%～89%，吸附法对挥发性有机物去除效率18%～21%。本项目采用碱液洗涤塔去除酸</w:t>
            </w:r>
            <w:r>
              <w:rPr>
                <w:rFonts w:hint="eastAsia" w:cs="Times New Roman"/>
                <w:color w:val="auto"/>
                <w:sz w:val="24"/>
                <w:szCs w:val="24"/>
                <w:highlight w:val="none"/>
                <w:lang w:val="en-US" w:eastAsia="zh-CN"/>
              </w:rPr>
              <w:t>性</w:t>
            </w:r>
            <w:r>
              <w:rPr>
                <w:rFonts w:hint="eastAsia" w:ascii="Times New Roman" w:hAnsi="Times New Roman" w:eastAsia="宋体" w:cs="Times New Roman"/>
                <w:color w:val="auto"/>
                <w:sz w:val="24"/>
                <w:szCs w:val="24"/>
                <w:highlight w:val="none"/>
                <w:lang w:val="en-US" w:eastAsia="zh-CN"/>
              </w:rPr>
              <w:t>无机废气，去除效率保守取83%；采用</w:t>
            </w:r>
            <w:r>
              <w:rPr>
                <w:rFonts w:hint="eastAsia" w:cs="Times New Roman"/>
                <w:color w:val="auto"/>
                <w:sz w:val="24"/>
                <w:szCs w:val="24"/>
                <w:highlight w:val="none"/>
                <w:lang w:val="en-US" w:eastAsia="zh-CN"/>
              </w:rPr>
              <w:t>二级活性炭吸附法</w:t>
            </w:r>
            <w:r>
              <w:rPr>
                <w:rFonts w:hint="eastAsia" w:ascii="Times New Roman" w:hAnsi="Times New Roman" w:eastAsia="宋体" w:cs="Times New Roman"/>
                <w:color w:val="auto"/>
                <w:sz w:val="24"/>
                <w:szCs w:val="24"/>
                <w:highlight w:val="none"/>
                <w:lang w:val="en-US" w:eastAsia="zh-CN"/>
              </w:rPr>
              <w:t>去除有机废气，去除效率保守取18%。</w:t>
            </w:r>
          </w:p>
          <w:p w14:paraId="232F890C">
            <w:pPr>
              <w:numPr>
                <w:ilvl w:val="0"/>
                <w:numId w:val="0"/>
              </w:num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本项目废气污染物产生排放基本情况见表</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val="en-US" w:eastAsia="zh-CN"/>
              </w:rPr>
              <w:t>。</w:t>
            </w:r>
          </w:p>
          <w:p w14:paraId="6E689085">
            <w:pPr>
              <w:adjustRightInd w:val="0"/>
              <w:snapToGrid w:val="0"/>
              <w:spacing w:line="360" w:lineRule="auto"/>
              <w:ind w:firstLine="482" w:firstLineChars="200"/>
              <w:rPr>
                <w:rFonts w:hAnsi="宋体"/>
                <w:bCs/>
                <w:color w:val="auto"/>
                <w:sz w:val="24"/>
                <w:highlight w:val="none"/>
              </w:rPr>
            </w:pPr>
            <w:r>
              <w:rPr>
                <w:b/>
                <w:color w:val="auto"/>
                <w:sz w:val="24"/>
                <w:highlight w:val="none"/>
              </w:rPr>
              <w:t>4.</w:t>
            </w:r>
            <w:r>
              <w:rPr>
                <w:rFonts w:hint="eastAsia"/>
                <w:b/>
                <w:color w:val="auto"/>
                <w:sz w:val="24"/>
                <w:highlight w:val="none"/>
              </w:rPr>
              <w:t>1.2废气防治措施可行性及达标分析</w:t>
            </w:r>
          </w:p>
          <w:p w14:paraId="1DAA436F">
            <w:pPr>
              <w:spacing w:line="360" w:lineRule="auto"/>
              <w:ind w:firstLine="480"/>
              <w:rPr>
                <w:rFonts w:hint="eastAsia"/>
                <w:color w:val="auto"/>
                <w:sz w:val="24"/>
                <w:highlight w:val="none"/>
                <w:lang w:val="en-US" w:eastAsia="zh-CN"/>
              </w:rPr>
            </w:pPr>
            <w:r>
              <w:rPr>
                <w:rFonts w:hint="eastAsia"/>
                <w:color w:val="auto"/>
                <w:sz w:val="24"/>
                <w:highlight w:val="none"/>
                <w:lang w:val="en-US" w:eastAsia="zh-CN"/>
              </w:rPr>
              <w:t>根据现场勘查情况分析，实验室整体布局合理，各检测室均处于封闭状态，可有效防止废气无组织外逸。同时，项目实验区功能作明确划分，实验室采用的集气设施依据实验仪器所承担的检测项目进行针对性配置，故项目有机废气、无机废气、颗粒物实现分区收集、独立处理并排放。</w:t>
            </w:r>
          </w:p>
          <w:p w14:paraId="1E8E902F">
            <w:pPr>
              <w:spacing w:line="360" w:lineRule="auto"/>
              <w:ind w:firstLine="480"/>
              <w:rPr>
                <w:color w:val="auto"/>
                <w:sz w:val="24"/>
                <w:highlight w:val="none"/>
              </w:rPr>
            </w:pPr>
            <w:r>
              <w:rPr>
                <w:rFonts w:hint="eastAsia"/>
                <w:color w:val="auto"/>
                <w:sz w:val="24"/>
                <w:highlight w:val="none"/>
                <w:lang w:val="en-US" w:eastAsia="zh-CN"/>
              </w:rPr>
              <w:t>①</w:t>
            </w:r>
            <w:r>
              <w:rPr>
                <w:rFonts w:hint="eastAsia"/>
                <w:color w:val="auto"/>
                <w:sz w:val="24"/>
                <w:highlight w:val="none"/>
              </w:rPr>
              <w:t>颗粒物处理</w:t>
            </w:r>
          </w:p>
          <w:p w14:paraId="109C3057">
            <w:pPr>
              <w:spacing w:line="360" w:lineRule="auto"/>
              <w:ind w:firstLine="480"/>
              <w:rPr>
                <w:rFonts w:hint="eastAsia"/>
                <w:color w:val="auto"/>
                <w:sz w:val="24"/>
                <w:highlight w:val="none"/>
              </w:rPr>
            </w:pPr>
            <w:r>
              <w:rPr>
                <w:rFonts w:hint="eastAsia"/>
                <w:color w:val="auto"/>
                <w:sz w:val="24"/>
                <w:highlight w:val="none"/>
              </w:rPr>
              <w:t>布袋除尘器是通过滤袋滤除含尘气体中粉尘粒子的分离净化装置，是一种干式高效过滤除尘器。其工作原理是通过过滤而阻挡粉尘，当滤袋上的粉尘沉积到一定程度时给以一定外力使滤袋抖动并变形，沉积的粉尘落入集灰斗。本项目粉尘经布袋除尘器处理后经</w:t>
            </w:r>
            <w:r>
              <w:rPr>
                <w:rFonts w:hint="eastAsia"/>
                <w:color w:val="auto"/>
                <w:sz w:val="24"/>
                <w:highlight w:val="none"/>
                <w:lang w:val="en-US" w:eastAsia="zh-CN"/>
              </w:rPr>
              <w:t>23m高</w:t>
            </w:r>
            <w:r>
              <w:rPr>
                <w:rFonts w:hint="eastAsia"/>
                <w:color w:val="auto"/>
                <w:sz w:val="24"/>
                <w:highlight w:val="none"/>
              </w:rPr>
              <w:t>排气筒排放，处理高效，可有效去除项目产生的粉尘，采取的防治措施可行。</w:t>
            </w:r>
          </w:p>
          <w:p w14:paraId="072FD60B">
            <w:pPr>
              <w:spacing w:line="360" w:lineRule="auto"/>
              <w:ind w:firstLine="480"/>
              <w:rPr>
                <w:rFonts w:hint="eastAsia"/>
                <w:color w:val="auto"/>
                <w:sz w:val="24"/>
                <w:highlight w:val="none"/>
              </w:rPr>
            </w:pPr>
            <w:r>
              <w:rPr>
                <w:rFonts w:hint="eastAsia"/>
                <w:color w:val="auto"/>
                <w:sz w:val="24"/>
                <w:highlight w:val="none"/>
                <w:lang w:val="en-US" w:eastAsia="zh-CN"/>
              </w:rPr>
              <w:t>②有机废气</w:t>
            </w:r>
            <w:r>
              <w:rPr>
                <w:rFonts w:hint="eastAsia"/>
                <w:color w:val="auto"/>
                <w:sz w:val="24"/>
                <w:highlight w:val="none"/>
              </w:rPr>
              <w:t>处理</w:t>
            </w:r>
          </w:p>
          <w:p w14:paraId="629EEC9B">
            <w:pPr>
              <w:spacing w:line="360" w:lineRule="auto"/>
              <w:ind w:firstLine="480"/>
              <w:rPr>
                <w:rFonts w:hint="eastAsia"/>
                <w:color w:val="auto"/>
                <w:sz w:val="24"/>
                <w:highlight w:val="none"/>
              </w:rPr>
            </w:pPr>
            <w:r>
              <w:rPr>
                <w:rFonts w:hint="eastAsia"/>
                <w:color w:val="auto"/>
                <w:sz w:val="24"/>
                <w:highlight w:val="none"/>
              </w:rPr>
              <w:t>实验过程中产生的挥发性有机废气经通风橱收集后通过</w:t>
            </w:r>
            <w:r>
              <w:rPr>
                <w:rFonts w:hint="eastAsia"/>
                <w:color w:val="auto"/>
                <w:sz w:val="24"/>
                <w:highlight w:val="none"/>
                <w:lang w:val="en-US" w:eastAsia="zh-CN"/>
              </w:rPr>
              <w:t>二级</w:t>
            </w:r>
            <w:r>
              <w:rPr>
                <w:rFonts w:hint="eastAsia"/>
                <w:color w:val="auto"/>
                <w:sz w:val="24"/>
                <w:highlight w:val="none"/>
              </w:rPr>
              <w:t>活性炭吸附</w:t>
            </w:r>
            <w:r>
              <w:rPr>
                <w:rFonts w:hint="eastAsia"/>
                <w:color w:val="auto"/>
                <w:sz w:val="24"/>
                <w:highlight w:val="none"/>
                <w:lang w:val="en-US" w:eastAsia="zh-CN"/>
              </w:rPr>
              <w:t>装置</w:t>
            </w:r>
            <w:r>
              <w:rPr>
                <w:rFonts w:hint="eastAsia"/>
                <w:color w:val="auto"/>
                <w:sz w:val="24"/>
                <w:highlight w:val="none"/>
              </w:rPr>
              <w:t>后</w:t>
            </w:r>
            <w:r>
              <w:rPr>
                <w:rFonts w:hint="eastAsia"/>
                <w:color w:val="auto"/>
                <w:sz w:val="24"/>
                <w:highlight w:val="none"/>
                <w:lang w:val="en-US" w:eastAsia="zh-CN"/>
              </w:rPr>
              <w:t>经23m高</w:t>
            </w:r>
            <w:r>
              <w:rPr>
                <w:rFonts w:hint="eastAsia"/>
                <w:color w:val="auto"/>
                <w:sz w:val="24"/>
                <w:highlight w:val="none"/>
              </w:rPr>
              <w:t>排气筒排放</w:t>
            </w:r>
            <w:r>
              <w:rPr>
                <w:rFonts w:hint="eastAsia"/>
                <w:color w:val="auto"/>
                <w:sz w:val="24"/>
                <w:highlight w:val="none"/>
                <w:lang w:eastAsia="zh-CN"/>
              </w:rPr>
              <w:t>，满足《大气污染物综合排放标准》（GB16297-1996）表2中限值要求</w:t>
            </w:r>
            <w:r>
              <w:rPr>
                <w:rFonts w:hint="eastAsia"/>
                <w:color w:val="auto"/>
                <w:sz w:val="24"/>
                <w:highlight w:val="none"/>
              </w:rPr>
              <w:t>。根据《排污许可申请与核发技术规范 总则》（HJ942-2018）中4.5.2.1章节“废气污染治理设施工艺包括...有机废气收集治理设施</w:t>
            </w:r>
            <w:r>
              <w:rPr>
                <w:rFonts w:hint="eastAsia"/>
                <w:color w:val="auto"/>
                <w:sz w:val="24"/>
                <w:highlight w:val="none"/>
                <w:lang w:eastAsia="zh-CN"/>
              </w:rPr>
              <w:t>（</w:t>
            </w:r>
            <w:r>
              <w:rPr>
                <w:rFonts w:hint="eastAsia"/>
                <w:color w:val="auto"/>
                <w:sz w:val="24"/>
                <w:highlight w:val="none"/>
              </w:rPr>
              <w:t>焚烧、吸附、催化分解、其他</w:t>
            </w:r>
            <w:r>
              <w:rPr>
                <w:rFonts w:hint="eastAsia"/>
                <w:color w:val="auto"/>
                <w:sz w:val="24"/>
                <w:highlight w:val="none"/>
                <w:lang w:eastAsia="zh-CN"/>
              </w:rPr>
              <w:t>）</w:t>
            </w:r>
            <w:r>
              <w:rPr>
                <w:rFonts w:hint="eastAsia"/>
                <w:color w:val="auto"/>
                <w:sz w:val="24"/>
                <w:highlight w:val="none"/>
              </w:rPr>
              <w:t>...。”，本项目有机废气产生浓度较低，产生量较小，</w:t>
            </w:r>
            <w:r>
              <w:rPr>
                <w:rFonts w:hint="eastAsia"/>
                <w:color w:val="auto"/>
                <w:sz w:val="24"/>
                <w:highlight w:val="none"/>
                <w:lang w:val="en-US" w:eastAsia="zh-CN"/>
              </w:rPr>
              <w:t>同时企业已</w:t>
            </w:r>
            <w:r>
              <w:rPr>
                <w:rFonts w:hint="eastAsia"/>
                <w:color w:val="auto"/>
                <w:sz w:val="24"/>
                <w:highlight w:val="none"/>
              </w:rPr>
              <w:t>选用《排污许可申请与核发技术规范 总则》（HJ942-2018）中推荐的吸附处理措施，采用二级活性炭吸附装置，吸附介质选择粒径为10mm的颗粒活性炭，其碘值≥800mg/g，从技术层面、选材标准以及实际应用效果等多方面综合考量，该处理措施可行。</w:t>
            </w:r>
          </w:p>
          <w:p w14:paraId="0B6FB6AC">
            <w:pPr>
              <w:spacing w:line="360" w:lineRule="auto"/>
              <w:ind w:firstLine="480"/>
              <w:rPr>
                <w:rFonts w:hint="eastAsia"/>
                <w:color w:val="auto"/>
                <w:sz w:val="24"/>
                <w:highlight w:val="none"/>
              </w:rPr>
            </w:pPr>
            <w:r>
              <w:rPr>
                <w:rFonts w:hint="eastAsia"/>
                <w:color w:val="auto"/>
                <w:sz w:val="24"/>
                <w:highlight w:val="none"/>
                <w:lang w:val="en-US" w:eastAsia="zh-CN"/>
              </w:rPr>
              <w:t>此外，企业已设置有4套二级</w:t>
            </w:r>
            <w:r>
              <w:rPr>
                <w:rFonts w:hint="eastAsia"/>
                <w:color w:val="auto"/>
                <w:sz w:val="24"/>
                <w:highlight w:val="none"/>
              </w:rPr>
              <w:t>活性炭吸附</w:t>
            </w:r>
            <w:r>
              <w:rPr>
                <w:rFonts w:hint="eastAsia"/>
                <w:color w:val="auto"/>
                <w:sz w:val="24"/>
                <w:highlight w:val="none"/>
                <w:lang w:val="en-US" w:eastAsia="zh-CN"/>
              </w:rPr>
              <w:t>装置，其中3套风量为7000m</w:t>
            </w:r>
            <w:r>
              <w:rPr>
                <w:rFonts w:hint="eastAsia"/>
                <w:color w:val="auto"/>
                <w:sz w:val="24"/>
                <w:highlight w:val="none"/>
                <w:vertAlign w:val="superscript"/>
                <w:lang w:val="en-US" w:eastAsia="zh-CN"/>
              </w:rPr>
              <w:t>3</w:t>
            </w:r>
            <w:r>
              <w:rPr>
                <w:rFonts w:hint="eastAsia"/>
                <w:color w:val="auto"/>
                <w:sz w:val="24"/>
                <w:highlight w:val="none"/>
                <w:lang w:val="en-US" w:eastAsia="zh-CN"/>
              </w:rPr>
              <w:t>/h，1套9000m</w:t>
            </w:r>
            <w:r>
              <w:rPr>
                <w:rFonts w:hint="eastAsia"/>
                <w:color w:val="auto"/>
                <w:sz w:val="24"/>
                <w:highlight w:val="none"/>
                <w:vertAlign w:val="superscript"/>
                <w:lang w:val="en-US" w:eastAsia="zh-CN"/>
              </w:rPr>
              <w:t>3</w:t>
            </w:r>
            <w:r>
              <w:rPr>
                <w:rFonts w:hint="eastAsia"/>
                <w:color w:val="auto"/>
                <w:sz w:val="24"/>
                <w:highlight w:val="none"/>
                <w:lang w:val="en-US" w:eastAsia="zh-CN"/>
              </w:rPr>
              <w:t>/h，而现有工程有机药剂仅有石油醚、甲醇，且使用量很少。本项目建成后，有机药剂的使用量有所增加，但未超出现有废气处理措施的处理能力，依托现有4套二级</w:t>
            </w:r>
            <w:r>
              <w:rPr>
                <w:rFonts w:hint="eastAsia"/>
                <w:color w:val="auto"/>
                <w:sz w:val="24"/>
                <w:highlight w:val="none"/>
              </w:rPr>
              <w:t>活性炭吸附</w:t>
            </w:r>
            <w:r>
              <w:rPr>
                <w:rFonts w:hint="eastAsia"/>
                <w:color w:val="auto"/>
                <w:sz w:val="24"/>
                <w:highlight w:val="none"/>
                <w:lang w:val="en-US" w:eastAsia="zh-CN"/>
              </w:rPr>
              <w:t>装置处理后，有机废气浓度可</w:t>
            </w:r>
            <w:r>
              <w:rPr>
                <w:rFonts w:hint="eastAsia"/>
                <w:color w:val="auto"/>
                <w:sz w:val="24"/>
                <w:highlight w:val="none"/>
                <w:lang w:eastAsia="zh-CN"/>
              </w:rPr>
              <w:t>满足《大气污染物综合排放标准》（GB16297-1996）表2中限值要求</w:t>
            </w:r>
            <w:r>
              <w:rPr>
                <w:rFonts w:hint="eastAsia"/>
                <w:color w:val="auto"/>
                <w:sz w:val="24"/>
                <w:highlight w:val="none"/>
              </w:rPr>
              <w:t>。因此废气处理措施</w:t>
            </w:r>
            <w:r>
              <w:rPr>
                <w:rFonts w:hint="eastAsia"/>
                <w:color w:val="auto"/>
                <w:sz w:val="24"/>
                <w:highlight w:val="none"/>
                <w:lang w:val="en-US" w:eastAsia="zh-CN"/>
              </w:rPr>
              <w:t>依托</w:t>
            </w:r>
            <w:r>
              <w:rPr>
                <w:rFonts w:hint="eastAsia"/>
                <w:color w:val="auto"/>
                <w:sz w:val="24"/>
                <w:highlight w:val="none"/>
              </w:rPr>
              <w:t>可行。</w:t>
            </w:r>
          </w:p>
          <w:p w14:paraId="7242BDBD">
            <w:pPr>
              <w:spacing w:line="360" w:lineRule="auto"/>
              <w:ind w:firstLine="480"/>
              <w:rPr>
                <w:rFonts w:hint="eastAsia"/>
                <w:color w:val="auto"/>
                <w:sz w:val="24"/>
                <w:highlight w:val="none"/>
              </w:rPr>
            </w:pPr>
            <w:r>
              <w:rPr>
                <w:rFonts w:hint="eastAsia"/>
                <w:color w:val="auto"/>
                <w:sz w:val="24"/>
                <w:highlight w:val="none"/>
                <w:lang w:val="en-US" w:eastAsia="zh-CN"/>
              </w:rPr>
              <w:t>③酸性废气</w:t>
            </w:r>
            <w:r>
              <w:rPr>
                <w:rFonts w:hint="eastAsia"/>
                <w:color w:val="auto"/>
                <w:sz w:val="24"/>
                <w:highlight w:val="none"/>
              </w:rPr>
              <w:t>处理</w:t>
            </w:r>
          </w:p>
          <w:p w14:paraId="7640CE6A">
            <w:pPr>
              <w:spacing w:line="360" w:lineRule="auto"/>
              <w:ind w:firstLine="480"/>
              <w:rPr>
                <w:rFonts w:hint="default"/>
                <w:b w:val="0"/>
                <w:bCs w:val="0"/>
                <w:color w:val="auto"/>
                <w:sz w:val="24"/>
                <w:highlight w:val="none"/>
                <w:lang w:val="en-US" w:eastAsia="zh-CN"/>
              </w:rPr>
            </w:pPr>
            <w:r>
              <w:rPr>
                <w:rFonts w:hint="eastAsia"/>
                <w:color w:val="auto"/>
                <w:sz w:val="24"/>
                <w:highlight w:val="none"/>
              </w:rPr>
              <w:t>本项目实验过程中产生的</w:t>
            </w:r>
            <w:r>
              <w:rPr>
                <w:rFonts w:hint="eastAsia"/>
                <w:color w:val="auto"/>
                <w:sz w:val="24"/>
                <w:highlight w:val="none"/>
                <w:lang w:val="en-US" w:eastAsia="zh-CN"/>
              </w:rPr>
              <w:t>酸性废气</w:t>
            </w:r>
            <w:r>
              <w:rPr>
                <w:rFonts w:hint="eastAsia"/>
                <w:color w:val="auto"/>
                <w:sz w:val="24"/>
                <w:highlight w:val="none"/>
              </w:rPr>
              <w:t>经通风橱收集后通过碱液</w:t>
            </w:r>
            <w:r>
              <w:rPr>
                <w:color w:val="auto"/>
                <w:sz w:val="24"/>
                <w:highlight w:val="none"/>
              </w:rPr>
              <w:t>洗涤塔处理后</w:t>
            </w:r>
            <w:r>
              <w:rPr>
                <w:rFonts w:hint="eastAsia"/>
                <w:color w:val="auto"/>
                <w:sz w:val="24"/>
                <w:highlight w:val="none"/>
              </w:rPr>
              <w:t>通过</w:t>
            </w:r>
            <w:r>
              <w:rPr>
                <w:rFonts w:hint="eastAsia"/>
                <w:color w:val="auto"/>
                <w:sz w:val="24"/>
                <w:highlight w:val="none"/>
                <w:lang w:val="en-US" w:eastAsia="zh-CN"/>
              </w:rPr>
              <w:t>23</w:t>
            </w:r>
            <w:r>
              <w:rPr>
                <w:rFonts w:hint="eastAsia"/>
                <w:color w:val="auto"/>
                <w:sz w:val="24"/>
                <w:highlight w:val="none"/>
              </w:rPr>
              <w:t>m高排气筒排放</w:t>
            </w:r>
            <w:r>
              <w:rPr>
                <w:rFonts w:hint="eastAsia"/>
                <w:color w:val="auto"/>
                <w:sz w:val="24"/>
                <w:highlight w:val="none"/>
                <w:lang w:eastAsia="zh-CN"/>
              </w:rPr>
              <w:t>，</w:t>
            </w:r>
            <w:r>
              <w:rPr>
                <w:rFonts w:hint="eastAsia"/>
                <w:color w:val="auto"/>
                <w:sz w:val="24"/>
                <w:highlight w:val="none"/>
              </w:rPr>
              <w:t>碱液</w:t>
            </w:r>
            <w:r>
              <w:rPr>
                <w:rFonts w:hint="eastAsia"/>
                <w:color w:val="auto"/>
                <w:sz w:val="24"/>
                <w:highlight w:val="none"/>
                <w:lang w:val="en-US" w:eastAsia="zh-CN"/>
              </w:rPr>
              <w:t>采用氢氧化钠等。</w:t>
            </w:r>
            <w:r>
              <w:rPr>
                <w:rFonts w:hint="default"/>
                <w:b w:val="0"/>
                <w:bCs w:val="0"/>
                <w:color w:val="auto"/>
                <w:sz w:val="24"/>
                <w:highlight w:val="none"/>
                <w:lang w:val="en-US" w:eastAsia="zh-CN"/>
              </w:rPr>
              <w:t>根据《</w:t>
            </w:r>
            <w:r>
              <w:rPr>
                <w:rFonts w:hint="eastAsia"/>
                <w:b w:val="0"/>
                <w:bCs w:val="0"/>
                <w:color w:val="auto"/>
                <w:sz w:val="24"/>
                <w:highlight w:val="none"/>
                <w:lang w:val="en-US" w:eastAsia="zh-CN"/>
              </w:rPr>
              <w:t>排污许可申请与核发技术规范 总则</w:t>
            </w:r>
            <w:r>
              <w:rPr>
                <w:rFonts w:hint="default"/>
                <w:b w:val="0"/>
                <w:bCs w:val="0"/>
                <w:color w:val="auto"/>
                <w:sz w:val="24"/>
                <w:highlight w:val="none"/>
                <w:lang w:val="en-US" w:eastAsia="zh-CN"/>
              </w:rPr>
              <w:t>》</w:t>
            </w:r>
            <w:r>
              <w:rPr>
                <w:rFonts w:hint="eastAsia"/>
                <w:b w:val="0"/>
                <w:bCs w:val="0"/>
                <w:color w:val="auto"/>
                <w:sz w:val="24"/>
                <w:highlight w:val="none"/>
                <w:lang w:val="en-US" w:eastAsia="zh-CN"/>
              </w:rPr>
              <w:t>（HJ942-2018）中4.5.2.1章节“废气污染治理设施工艺包括....其他废气收集处理设施（活性炭吸附、生物滤塔、洗涤、吸收、燃烧、氧化、过滤、其他）等。”项目无机废气配备了</w:t>
            </w:r>
            <w:r>
              <w:rPr>
                <w:rFonts w:hint="eastAsia"/>
                <w:color w:val="auto"/>
                <w:sz w:val="24"/>
                <w:highlight w:val="none"/>
                <w:lang w:val="en-US" w:eastAsia="zh-CN"/>
              </w:rPr>
              <w:t>碱液洗涤塔</w:t>
            </w:r>
            <w:r>
              <w:rPr>
                <w:rFonts w:hint="eastAsia"/>
                <w:b w:val="0"/>
                <w:bCs w:val="0"/>
                <w:color w:val="auto"/>
                <w:sz w:val="24"/>
                <w:highlight w:val="none"/>
                <w:lang w:val="en-US" w:eastAsia="zh-CN"/>
              </w:rPr>
              <w:t>作为处理设施。</w:t>
            </w:r>
            <w:r>
              <w:rPr>
                <w:rFonts w:hint="default"/>
                <w:b w:val="0"/>
                <w:bCs w:val="0"/>
                <w:color w:val="auto"/>
                <w:sz w:val="24"/>
                <w:highlight w:val="none"/>
                <w:lang w:val="en-US" w:eastAsia="zh-CN"/>
              </w:rPr>
              <w:t>其工作原理是借助抽风机的吸力，将产生的废气持续不断地输送至</w:t>
            </w:r>
            <w:r>
              <w:rPr>
                <w:rFonts w:hint="eastAsia"/>
                <w:color w:val="auto"/>
                <w:sz w:val="24"/>
                <w:highlight w:val="none"/>
                <w:lang w:val="en-US" w:eastAsia="zh-CN"/>
              </w:rPr>
              <w:t>洗涤</w:t>
            </w:r>
            <w:r>
              <w:rPr>
                <w:rFonts w:hint="default"/>
                <w:b w:val="0"/>
                <w:bCs w:val="0"/>
                <w:color w:val="auto"/>
                <w:sz w:val="24"/>
                <w:highlight w:val="none"/>
                <w:lang w:val="en-US" w:eastAsia="zh-CN"/>
              </w:rPr>
              <w:t>塔内部。在</w:t>
            </w:r>
            <w:r>
              <w:rPr>
                <w:rFonts w:hint="eastAsia"/>
                <w:color w:val="auto"/>
                <w:sz w:val="24"/>
                <w:highlight w:val="none"/>
                <w:lang w:val="en-US" w:eastAsia="zh-CN"/>
              </w:rPr>
              <w:t>洗涤塔</w:t>
            </w:r>
            <w:r>
              <w:rPr>
                <w:rFonts w:hint="default"/>
                <w:b w:val="0"/>
                <w:bCs w:val="0"/>
                <w:color w:val="auto"/>
                <w:sz w:val="24"/>
                <w:highlight w:val="none"/>
                <w:lang w:val="en-US" w:eastAsia="zh-CN"/>
              </w:rPr>
              <w:t>内，废气经</w:t>
            </w:r>
            <w:r>
              <w:rPr>
                <w:rFonts w:hint="eastAsia"/>
                <w:b w:val="0"/>
                <w:bCs w:val="0"/>
                <w:color w:val="auto"/>
                <w:sz w:val="24"/>
                <w:highlight w:val="none"/>
                <w:lang w:val="en-US" w:eastAsia="zh-CN"/>
              </w:rPr>
              <w:t>碱液的</w:t>
            </w:r>
            <w:r>
              <w:rPr>
                <w:rFonts w:hint="default"/>
                <w:b w:val="0"/>
                <w:bCs w:val="0"/>
                <w:color w:val="auto"/>
                <w:sz w:val="24"/>
                <w:highlight w:val="none"/>
                <w:lang w:val="en-US" w:eastAsia="zh-CN"/>
              </w:rPr>
              <w:t>洗涤，废气中所含的氟化氢、二氧化硫、氯化氢、硫化氢、氮氧化物以及各种酸雾等污染物，与</w:t>
            </w:r>
            <w:r>
              <w:rPr>
                <w:rFonts w:hint="eastAsia"/>
                <w:b w:val="0"/>
                <w:bCs w:val="0"/>
                <w:color w:val="auto"/>
                <w:sz w:val="24"/>
                <w:highlight w:val="none"/>
                <w:lang w:val="en-US" w:eastAsia="zh-CN"/>
              </w:rPr>
              <w:t>碱</w:t>
            </w:r>
            <w:r>
              <w:rPr>
                <w:rFonts w:hint="default"/>
                <w:b w:val="0"/>
                <w:bCs w:val="0"/>
                <w:color w:val="auto"/>
                <w:sz w:val="24"/>
                <w:highlight w:val="none"/>
                <w:lang w:val="en-US" w:eastAsia="zh-CN"/>
              </w:rPr>
              <w:t>液水雾充分接触混合并发生中和反应，实现了有效的气液两相交和。气体先通过喷淋系统进行化学洗涤</w:t>
            </w:r>
            <w:r>
              <w:rPr>
                <w:rFonts w:hint="eastAsia"/>
                <w:b w:val="0"/>
                <w:bCs w:val="0"/>
                <w:color w:val="auto"/>
                <w:sz w:val="24"/>
                <w:highlight w:val="none"/>
                <w:lang w:val="en-US" w:eastAsia="zh-CN"/>
              </w:rPr>
              <w:t>，</w:t>
            </w:r>
            <w:r>
              <w:rPr>
                <w:rFonts w:hint="default"/>
                <w:b w:val="0"/>
                <w:bCs w:val="0"/>
                <w:color w:val="auto"/>
                <w:sz w:val="24"/>
                <w:highlight w:val="none"/>
                <w:lang w:val="en-US" w:eastAsia="zh-CN"/>
              </w:rPr>
              <w:t>然后进入一种新型网状丝网雾除器，当气体完成洗涤和除雾后，再通过这种高效覆膜除雾器进一步除雾后，最终完全满足《大气污染物综合排放标准》</w:t>
            </w:r>
            <w:r>
              <w:rPr>
                <w:rFonts w:hint="eastAsia"/>
                <w:b w:val="0"/>
                <w:bCs w:val="0"/>
                <w:color w:val="auto"/>
                <w:sz w:val="24"/>
                <w:highlight w:val="none"/>
                <w:lang w:val="en-US" w:eastAsia="zh-CN"/>
              </w:rPr>
              <w:t>（</w:t>
            </w:r>
            <w:r>
              <w:rPr>
                <w:rFonts w:hint="default"/>
                <w:b w:val="0"/>
                <w:bCs w:val="0"/>
                <w:color w:val="auto"/>
                <w:sz w:val="24"/>
                <w:highlight w:val="none"/>
                <w:lang w:val="en-US" w:eastAsia="zh-CN"/>
              </w:rPr>
              <w:t>GB1629</w:t>
            </w:r>
            <w:r>
              <w:rPr>
                <w:rFonts w:hint="eastAsia"/>
                <w:b w:val="0"/>
                <w:bCs w:val="0"/>
                <w:color w:val="auto"/>
                <w:sz w:val="24"/>
                <w:highlight w:val="none"/>
                <w:lang w:val="en-US" w:eastAsia="zh-CN"/>
              </w:rPr>
              <w:t>7</w:t>
            </w:r>
            <w:r>
              <w:rPr>
                <w:rFonts w:hint="default"/>
                <w:b w:val="0"/>
                <w:bCs w:val="0"/>
                <w:color w:val="auto"/>
                <w:sz w:val="24"/>
                <w:highlight w:val="none"/>
                <w:lang w:val="en-US" w:eastAsia="zh-CN"/>
              </w:rPr>
              <w:t>-1996</w:t>
            </w:r>
            <w:r>
              <w:rPr>
                <w:rFonts w:hint="eastAsia"/>
                <w:b w:val="0"/>
                <w:bCs w:val="0"/>
                <w:color w:val="auto"/>
                <w:sz w:val="24"/>
                <w:highlight w:val="none"/>
                <w:lang w:val="en-US" w:eastAsia="zh-CN"/>
              </w:rPr>
              <w:t>）</w:t>
            </w:r>
            <w:r>
              <w:rPr>
                <w:rFonts w:hint="default"/>
                <w:b w:val="0"/>
                <w:bCs w:val="0"/>
                <w:color w:val="auto"/>
                <w:sz w:val="24"/>
                <w:highlight w:val="none"/>
                <w:lang w:val="en-US" w:eastAsia="zh-CN"/>
              </w:rPr>
              <w:t>的相关要求达标排放。</w:t>
            </w:r>
            <w:r>
              <w:rPr>
                <w:rFonts w:hint="eastAsia"/>
                <w:b w:val="0"/>
                <w:bCs w:val="0"/>
                <w:color w:val="auto"/>
                <w:sz w:val="24"/>
                <w:highlight w:val="none"/>
                <w:lang w:val="en-US" w:eastAsia="zh-CN"/>
              </w:rPr>
              <w:t>该设备</w:t>
            </w:r>
            <w:r>
              <w:rPr>
                <w:rFonts w:hint="default"/>
                <w:b w:val="0"/>
                <w:bCs w:val="0"/>
                <w:color w:val="auto"/>
                <w:sz w:val="24"/>
                <w:highlight w:val="none"/>
                <w:lang w:val="en-US" w:eastAsia="zh-CN"/>
              </w:rPr>
              <w:t>具有除酸雾效率高、耐高温、不易堵塞和工作寿命长等优点。</w:t>
            </w:r>
          </w:p>
          <w:p w14:paraId="07813304">
            <w:pPr>
              <w:spacing w:line="360" w:lineRule="auto"/>
              <w:ind w:firstLine="480"/>
              <w:rPr>
                <w:rFonts w:hint="eastAsia"/>
                <w:color w:val="auto"/>
                <w:sz w:val="24"/>
                <w:highlight w:val="none"/>
              </w:rPr>
            </w:pPr>
            <w:r>
              <w:rPr>
                <w:rFonts w:hint="eastAsia"/>
                <w:color w:val="auto"/>
                <w:sz w:val="24"/>
                <w:highlight w:val="none"/>
                <w:lang w:val="en-US" w:eastAsia="zh-CN"/>
              </w:rPr>
              <w:t>此外，企业已设置有10套碱液洗涤塔装置，风量均为5000m</w:t>
            </w:r>
            <w:r>
              <w:rPr>
                <w:rFonts w:hint="eastAsia"/>
                <w:color w:val="auto"/>
                <w:sz w:val="24"/>
                <w:highlight w:val="none"/>
                <w:vertAlign w:val="superscript"/>
                <w:lang w:val="en-US" w:eastAsia="zh-CN"/>
              </w:rPr>
              <w:t>3</w:t>
            </w:r>
            <w:r>
              <w:rPr>
                <w:rFonts w:hint="eastAsia"/>
                <w:color w:val="auto"/>
                <w:sz w:val="24"/>
                <w:highlight w:val="none"/>
                <w:lang w:val="en-US" w:eastAsia="zh-CN"/>
              </w:rPr>
              <w:t>/h，而现有工程药剂仅有盐酸，且使用量很少。本项目建成后，药剂的种类、使用量均有所增加，但未超出现有废气处理措施的处理能力，依托现有10套碱液洗涤塔装置处理后，废气浓度可</w:t>
            </w:r>
            <w:r>
              <w:rPr>
                <w:rFonts w:hint="eastAsia"/>
                <w:color w:val="auto"/>
                <w:sz w:val="24"/>
                <w:highlight w:val="none"/>
                <w:lang w:eastAsia="zh-CN"/>
              </w:rPr>
              <w:t>满足《大气污染物综合排放标准》（GB16297-1996）表2中限值要求</w:t>
            </w:r>
            <w:r>
              <w:rPr>
                <w:rFonts w:hint="eastAsia"/>
                <w:color w:val="auto"/>
                <w:sz w:val="24"/>
                <w:highlight w:val="none"/>
              </w:rPr>
              <w:t>。因此废气处理措施</w:t>
            </w:r>
            <w:r>
              <w:rPr>
                <w:rFonts w:hint="eastAsia"/>
                <w:color w:val="auto"/>
                <w:sz w:val="24"/>
                <w:highlight w:val="none"/>
                <w:lang w:val="en-US" w:eastAsia="zh-CN"/>
              </w:rPr>
              <w:t>依托</w:t>
            </w:r>
            <w:r>
              <w:rPr>
                <w:rFonts w:hint="eastAsia"/>
                <w:color w:val="auto"/>
                <w:sz w:val="24"/>
                <w:highlight w:val="none"/>
              </w:rPr>
              <w:t>可行。</w:t>
            </w:r>
          </w:p>
          <w:p w14:paraId="4C4DB7E2">
            <w:pPr>
              <w:adjustRightInd w:val="0"/>
              <w:snapToGrid w:val="0"/>
              <w:spacing w:line="360" w:lineRule="auto"/>
              <w:ind w:firstLine="482" w:firstLineChars="200"/>
              <w:rPr>
                <w:rFonts w:hint="default" w:hAnsi="宋体"/>
                <w:bCs/>
                <w:color w:val="auto"/>
                <w:sz w:val="24"/>
                <w:highlight w:val="none"/>
                <w:lang w:val="en-US"/>
              </w:rPr>
            </w:pPr>
            <w:r>
              <w:rPr>
                <w:b/>
                <w:color w:val="auto"/>
                <w:sz w:val="24"/>
                <w:highlight w:val="none"/>
              </w:rPr>
              <w:t>4.</w:t>
            </w:r>
            <w:r>
              <w:rPr>
                <w:rFonts w:hint="eastAsia"/>
                <w:b/>
                <w:color w:val="auto"/>
                <w:sz w:val="24"/>
                <w:highlight w:val="none"/>
              </w:rPr>
              <w:t>1.</w:t>
            </w:r>
            <w:r>
              <w:rPr>
                <w:rFonts w:hint="eastAsia"/>
                <w:b/>
                <w:color w:val="auto"/>
                <w:sz w:val="24"/>
                <w:highlight w:val="none"/>
                <w:lang w:val="en-US" w:eastAsia="zh-CN"/>
              </w:rPr>
              <w:t>3废气排放口设置情况</w:t>
            </w:r>
          </w:p>
          <w:p w14:paraId="701537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highlight w:val="none"/>
                <w:lang w:val="en-US" w:eastAsia="zh-CN"/>
              </w:rPr>
            </w:pPr>
            <w:r>
              <w:rPr>
                <w:color w:val="auto"/>
                <w:sz w:val="24"/>
                <w:highlight w:val="none"/>
              </w:rPr>
              <w:t>本项目共设置</w:t>
            </w:r>
            <w:r>
              <w:rPr>
                <w:rFonts w:hint="eastAsia"/>
                <w:color w:val="auto"/>
                <w:sz w:val="24"/>
                <w:highlight w:val="none"/>
                <w:lang w:val="en-US" w:eastAsia="zh-CN"/>
              </w:rPr>
              <w:t>15</w:t>
            </w:r>
            <w:r>
              <w:rPr>
                <w:color w:val="auto"/>
                <w:sz w:val="24"/>
                <w:highlight w:val="none"/>
              </w:rPr>
              <w:t>个排放口</w:t>
            </w:r>
            <w:r>
              <w:rPr>
                <w:rFonts w:hint="eastAsia"/>
                <w:color w:val="auto"/>
                <w:sz w:val="24"/>
                <w:highlight w:val="none"/>
              </w:rPr>
              <w:t>，</w:t>
            </w:r>
            <w:r>
              <w:rPr>
                <w:rFonts w:hint="eastAsia"/>
                <w:color w:val="auto"/>
                <w:sz w:val="24"/>
                <w:highlight w:val="none"/>
                <w:lang w:val="en-US" w:eastAsia="zh-CN"/>
              </w:rPr>
              <w:t>其中无机废气排放口有10个（DA001~DA010），有机废气排放口有4个（DA011~DA014），颗粒物排放口1个（DA015）。排放口具体情况见表4-5。</w:t>
            </w:r>
          </w:p>
          <w:p w14:paraId="0DF90CF6">
            <w:pPr>
              <w:adjustRightInd w:val="0"/>
              <w:snapToGrid w:val="0"/>
              <w:spacing w:line="360" w:lineRule="auto"/>
              <w:ind w:firstLine="482" w:firstLineChars="200"/>
              <w:rPr>
                <w:rFonts w:hint="default" w:hAnsi="宋体"/>
                <w:bCs/>
                <w:color w:val="auto"/>
                <w:sz w:val="24"/>
                <w:highlight w:val="none"/>
                <w:lang w:val="en-US"/>
              </w:rPr>
            </w:pPr>
            <w:r>
              <w:rPr>
                <w:b/>
                <w:color w:val="auto"/>
                <w:sz w:val="24"/>
                <w:highlight w:val="none"/>
              </w:rPr>
              <w:t>4.</w:t>
            </w:r>
            <w:r>
              <w:rPr>
                <w:rFonts w:hint="eastAsia"/>
                <w:b/>
                <w:color w:val="auto"/>
                <w:sz w:val="24"/>
                <w:highlight w:val="none"/>
              </w:rPr>
              <w:t>1.</w:t>
            </w:r>
            <w:r>
              <w:rPr>
                <w:rFonts w:hint="eastAsia"/>
                <w:b/>
                <w:color w:val="auto"/>
                <w:sz w:val="24"/>
                <w:highlight w:val="none"/>
                <w:lang w:val="en-US" w:eastAsia="zh-CN"/>
              </w:rPr>
              <w:t>4排气筒设置合理性分析</w:t>
            </w:r>
          </w:p>
          <w:p w14:paraId="49D2B35D">
            <w:pPr>
              <w:adjustRightInd w:val="0"/>
              <w:snapToGrid w:val="0"/>
              <w:spacing w:line="360" w:lineRule="auto"/>
              <w:ind w:firstLine="480" w:firstLineChars="200"/>
              <w:rPr>
                <w:rFonts w:hint="default" w:ascii="Times New Roman" w:hAnsi="Times New Roman" w:cs="Times New Roman"/>
                <w:color w:val="auto"/>
                <w:sz w:val="24"/>
                <w:highlight w:val="none"/>
                <w:lang w:val="en-US"/>
              </w:rPr>
            </w:pPr>
            <w:r>
              <w:rPr>
                <w:rFonts w:hint="default" w:ascii="Times New Roman" w:hAnsi="Times New Roman" w:cs="Times New Roman"/>
                <w:color w:val="auto"/>
                <w:sz w:val="24"/>
                <w:highlight w:val="none"/>
              </w:rPr>
              <w:t>项目采用封闭</w:t>
            </w:r>
            <w:r>
              <w:rPr>
                <w:rFonts w:hint="default" w:ascii="Times New Roman" w:hAnsi="Times New Roman" w:cs="Times New Roman"/>
                <w:color w:val="auto"/>
                <w:sz w:val="24"/>
                <w:highlight w:val="none"/>
                <w:lang w:val="en-US" w:eastAsia="zh-CN"/>
              </w:rPr>
              <w:t>实验</w:t>
            </w:r>
            <w:r>
              <w:rPr>
                <w:rFonts w:hint="default" w:ascii="Times New Roman" w:hAnsi="Times New Roman" w:cs="Times New Roman"/>
                <w:color w:val="auto"/>
                <w:sz w:val="24"/>
                <w:highlight w:val="none"/>
              </w:rPr>
              <w:t>室，</w:t>
            </w:r>
            <w:r>
              <w:rPr>
                <w:rFonts w:hint="default" w:ascii="Times New Roman" w:hAnsi="Times New Roman" w:cs="Times New Roman"/>
                <w:color w:val="auto"/>
                <w:sz w:val="24"/>
                <w:highlight w:val="none"/>
                <w:lang w:val="en-US" w:eastAsia="zh-CN"/>
              </w:rPr>
              <w:t>无机废气由</w:t>
            </w:r>
            <w:r>
              <w:rPr>
                <w:rFonts w:hint="default" w:ascii="Times New Roman" w:hAnsi="Times New Roman" w:cs="Times New Roman"/>
                <w:color w:val="auto"/>
                <w:sz w:val="24"/>
                <w:highlight w:val="none"/>
              </w:rPr>
              <w:t>通风橱收集</w:t>
            </w:r>
            <w:r>
              <w:rPr>
                <w:rFonts w:hint="default" w:ascii="Times New Roman" w:hAnsi="Times New Roman" w:cs="Times New Roman"/>
                <w:color w:val="auto"/>
                <w:sz w:val="24"/>
                <w:highlight w:val="none"/>
                <w:lang w:val="en-US" w:eastAsia="zh-CN"/>
              </w:rPr>
              <w:t>并通过10套碱液洗涤塔</w:t>
            </w:r>
            <w:r>
              <w:rPr>
                <w:rFonts w:hint="default" w:ascii="Times New Roman" w:hAnsi="Times New Roman" w:cs="Times New Roman"/>
                <w:color w:val="auto"/>
                <w:sz w:val="24"/>
                <w:highlight w:val="none"/>
              </w:rPr>
              <w:t>处理后</w:t>
            </w:r>
            <w:r>
              <w:rPr>
                <w:rFonts w:hint="default" w:ascii="Times New Roman" w:hAnsi="Times New Roman" w:cs="Times New Roman"/>
                <w:color w:val="auto"/>
                <w:sz w:val="24"/>
                <w:highlight w:val="none"/>
                <w:lang w:val="en-US" w:eastAsia="zh-CN"/>
              </w:rPr>
              <w:t>经10根（DA001~DA010）排气筒</w:t>
            </w:r>
            <w:r>
              <w:rPr>
                <w:rFonts w:hint="default" w:ascii="Times New Roman" w:hAnsi="Times New Roman" w:cs="Times New Roman"/>
                <w:color w:val="auto"/>
                <w:sz w:val="24"/>
                <w:highlight w:val="none"/>
              </w:rPr>
              <w:t>排放，排气筒高</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3m</w:t>
            </w:r>
            <w:r>
              <w:rPr>
                <w:rFonts w:hint="default" w:ascii="Times New Roman" w:hAnsi="Times New Roman" w:cs="Times New Roman"/>
                <w:color w:val="auto"/>
                <w:sz w:val="24"/>
                <w:highlight w:val="none"/>
                <w:lang w:val="en-US" w:eastAsia="zh-CN"/>
              </w:rPr>
              <w:t>；有机</w:t>
            </w:r>
            <w:r>
              <w:rPr>
                <w:rFonts w:hint="default" w:ascii="Times New Roman" w:hAnsi="Times New Roman" w:cs="Times New Roman"/>
                <w:color w:val="auto"/>
                <w:sz w:val="24"/>
                <w:highlight w:val="none"/>
              </w:rPr>
              <w:t>废气通过</w:t>
            </w:r>
            <w:r>
              <w:rPr>
                <w:rFonts w:hint="default" w:ascii="Times New Roman" w:hAnsi="Times New Roman" w:cs="Times New Roman"/>
                <w:color w:val="auto"/>
                <w:sz w:val="24"/>
                <w:highlight w:val="none"/>
                <w:lang w:eastAsia="zh-CN"/>
              </w:rPr>
              <w:t>通风橱</w:t>
            </w:r>
            <w:r>
              <w:rPr>
                <w:rFonts w:hint="default" w:ascii="Times New Roman" w:hAnsi="Times New Roman" w:cs="Times New Roman"/>
                <w:color w:val="auto"/>
                <w:sz w:val="24"/>
                <w:highlight w:val="none"/>
              </w:rPr>
              <w:t>收集</w:t>
            </w:r>
            <w:r>
              <w:rPr>
                <w:rFonts w:hint="default" w:ascii="Times New Roman" w:hAnsi="Times New Roman" w:cs="Times New Roman"/>
                <w:color w:val="auto"/>
                <w:sz w:val="24"/>
                <w:highlight w:val="none"/>
                <w:lang w:val="en-US" w:eastAsia="zh-CN"/>
              </w:rPr>
              <w:t>并</w:t>
            </w:r>
            <w:r>
              <w:rPr>
                <w:rFonts w:hint="default" w:ascii="Times New Roman" w:hAnsi="Times New Roman" w:cs="Times New Roman"/>
                <w:color w:val="auto"/>
                <w:sz w:val="24"/>
                <w:highlight w:val="none"/>
              </w:rPr>
              <w:t>通过</w:t>
            </w:r>
            <w:r>
              <w:rPr>
                <w:rFonts w:hint="default" w:ascii="Times New Roman" w:hAnsi="Times New Roman" w:cs="Times New Roman"/>
                <w:color w:val="auto"/>
                <w:sz w:val="24"/>
                <w:highlight w:val="none"/>
                <w:lang w:val="en-US" w:eastAsia="zh-CN"/>
              </w:rPr>
              <w:t>4套二级</w:t>
            </w:r>
            <w:r>
              <w:rPr>
                <w:rFonts w:hint="default" w:ascii="Times New Roman" w:hAnsi="Times New Roman" w:cs="Times New Roman"/>
                <w:color w:val="auto"/>
                <w:sz w:val="24"/>
                <w:highlight w:val="none"/>
              </w:rPr>
              <w:t>活性炭吸附箱吸收</w:t>
            </w:r>
            <w:r>
              <w:rPr>
                <w:rFonts w:hint="default" w:ascii="Times New Roman" w:hAnsi="Times New Roman" w:cs="Times New Roman"/>
                <w:color w:val="auto"/>
                <w:sz w:val="24"/>
                <w:highlight w:val="none"/>
                <w:lang w:val="en-US" w:eastAsia="zh-CN"/>
              </w:rPr>
              <w:t>处理后经4根（DA011~DA014）排气筒</w:t>
            </w:r>
            <w:r>
              <w:rPr>
                <w:rFonts w:hint="default" w:ascii="Times New Roman" w:hAnsi="Times New Roman" w:cs="Times New Roman"/>
                <w:color w:val="auto"/>
                <w:sz w:val="24"/>
                <w:highlight w:val="none"/>
              </w:rPr>
              <w:t>排放</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排气筒高</w:t>
            </w:r>
            <w:r>
              <w:rPr>
                <w:rFonts w:hint="default" w:ascii="Times New Roman" w:hAnsi="Times New Roman" w:cs="Times New Roman"/>
                <w:color w:val="auto"/>
                <w:sz w:val="24"/>
                <w:highlight w:val="none"/>
                <w:lang w:val="en-US" w:eastAsia="zh-CN"/>
              </w:rPr>
              <w:t>23</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碎样间产生的颗粒物经1套布袋除尘器处理后，通过1根（DA015）高23m的排气筒排放。</w:t>
            </w:r>
          </w:p>
          <w:p w14:paraId="7E6B02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highlight w:val="none"/>
              </w:rPr>
            </w:pPr>
            <w:r>
              <w:rPr>
                <w:rFonts w:hint="default" w:ascii="Times New Roman" w:hAnsi="Times New Roman" w:cs="Times New Roman"/>
                <w:color w:val="auto"/>
                <w:sz w:val="24"/>
                <w:highlight w:val="none"/>
              </w:rPr>
              <w:t>本项目设置</w:t>
            </w:r>
            <w:r>
              <w:rPr>
                <w:rFonts w:hint="default" w:ascii="Times New Roman" w:hAnsi="Times New Roman" w:cs="Times New Roman"/>
                <w:color w:val="auto"/>
                <w:sz w:val="24"/>
                <w:highlight w:val="none"/>
                <w:lang w:val="en-US" w:eastAsia="zh-CN"/>
              </w:rPr>
              <w:t>15</w:t>
            </w:r>
            <w:r>
              <w:rPr>
                <w:rFonts w:hint="default" w:ascii="Times New Roman" w:hAnsi="Times New Roman" w:cs="Times New Roman"/>
                <w:color w:val="auto"/>
                <w:sz w:val="24"/>
                <w:highlight w:val="none"/>
              </w:rPr>
              <w:t>根排气筒，根据《大气污染物综合排放标准》(GB16297-1996)表2中的要求，排气筒高度（一般不低于15m）除须遵守表列排放速率标准值外，还应高出周围200m半径范围的建筑5m以上，不能达到该要求的排气筒，应按其高度对应的表列排放速率标准值严格50%执行。本项目排气筒高度为</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3m，</w:t>
            </w:r>
            <w:r>
              <w:rPr>
                <w:rFonts w:hint="default" w:ascii="Times New Roman" w:hAnsi="Times New Roman" w:cs="Times New Roman"/>
                <w:color w:val="auto"/>
                <w:sz w:val="24"/>
                <w:highlight w:val="none"/>
                <w:lang w:val="en-US" w:eastAsia="zh-CN"/>
              </w:rPr>
              <w:t>周围200米半径范围内有高于排气筒的建筑（研究所科技综合楼A座）</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因此项目排气筒排放速率应严格50%执行</w:t>
            </w:r>
            <w:r>
              <w:rPr>
                <w:rFonts w:hint="default" w:ascii="Times New Roman" w:hAnsi="Times New Roman" w:cs="Times New Roman"/>
                <w:color w:val="auto"/>
                <w:sz w:val="24"/>
                <w:highlight w:val="none"/>
              </w:rPr>
              <w:t>。</w:t>
            </w:r>
          </w:p>
          <w:p w14:paraId="2AB78BC6">
            <w:pPr>
              <w:adjustRightInd w:val="0"/>
              <w:snapToGrid w:val="0"/>
              <w:spacing w:line="360" w:lineRule="auto"/>
              <w:ind w:firstLine="482" w:firstLineChars="200"/>
              <w:rPr>
                <w:rFonts w:hint="default" w:hAnsi="宋体"/>
                <w:bCs/>
                <w:color w:val="auto"/>
                <w:sz w:val="24"/>
                <w:highlight w:val="none"/>
                <w:lang w:val="en-US"/>
              </w:rPr>
            </w:pPr>
            <w:r>
              <w:rPr>
                <w:b/>
                <w:color w:val="auto"/>
                <w:sz w:val="24"/>
                <w:highlight w:val="none"/>
              </w:rPr>
              <w:t>4.</w:t>
            </w:r>
            <w:r>
              <w:rPr>
                <w:rFonts w:hint="eastAsia"/>
                <w:b/>
                <w:color w:val="auto"/>
                <w:sz w:val="24"/>
                <w:highlight w:val="none"/>
              </w:rPr>
              <w:t>1.</w:t>
            </w:r>
            <w:r>
              <w:rPr>
                <w:rFonts w:hint="eastAsia"/>
                <w:b/>
                <w:color w:val="auto"/>
                <w:sz w:val="24"/>
                <w:highlight w:val="none"/>
                <w:lang w:val="en-US" w:eastAsia="zh-CN"/>
              </w:rPr>
              <w:t>5非正常工况</w:t>
            </w:r>
          </w:p>
          <w:p w14:paraId="1D8834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szCs w:val="32"/>
                <w:highlight w:val="none"/>
              </w:rPr>
            </w:pPr>
            <w:r>
              <w:rPr>
                <w:rFonts w:hint="default" w:ascii="Times New Roman" w:hAnsi="Times New Roman" w:eastAsia="宋体" w:cs="Times New Roman"/>
                <w:color w:val="auto"/>
                <w:spacing w:val="0"/>
                <w:sz w:val="24"/>
                <w:szCs w:val="32"/>
                <w:highlight w:val="none"/>
              </w:rPr>
              <w:t>非正常工况排污主要指停电和设备故障时发生的污染事故。</w:t>
            </w:r>
          </w:p>
          <w:p w14:paraId="07D97E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szCs w:val="32"/>
                <w:highlight w:val="none"/>
              </w:rPr>
            </w:pPr>
            <w:r>
              <w:rPr>
                <w:rFonts w:hint="default" w:ascii="Times New Roman" w:hAnsi="Times New Roman" w:eastAsia="宋体" w:cs="Times New Roman"/>
                <w:color w:val="auto"/>
                <w:spacing w:val="0"/>
                <w:sz w:val="24"/>
                <w:szCs w:val="32"/>
                <w:highlight w:val="none"/>
              </w:rPr>
              <w:t>（</w:t>
            </w:r>
            <w:r>
              <w:rPr>
                <w:rFonts w:hint="eastAsia" w:ascii="Times New Roman" w:hAnsi="Times New Roman" w:eastAsia="宋体" w:cs="Times New Roman"/>
                <w:color w:val="auto"/>
                <w:spacing w:val="0"/>
                <w:sz w:val="24"/>
                <w:szCs w:val="32"/>
                <w:highlight w:val="none"/>
                <w:lang w:val="en-US" w:eastAsia="zh-CN"/>
              </w:rPr>
              <w:t>1</w:t>
            </w:r>
            <w:r>
              <w:rPr>
                <w:rFonts w:hint="default" w:ascii="Times New Roman" w:hAnsi="Times New Roman" w:eastAsia="宋体" w:cs="Times New Roman"/>
                <w:color w:val="auto"/>
                <w:spacing w:val="0"/>
                <w:sz w:val="24"/>
                <w:szCs w:val="32"/>
                <w:highlight w:val="none"/>
              </w:rPr>
              <w:t>）非正常排放停电包括计划性停电和突发性停电两种情况，计划性停电，可通过事先计划备电切换，避免事故性非正常排放。突发性停电，可能造成设备突然</w:t>
            </w:r>
            <w:r>
              <w:rPr>
                <w:rFonts w:hint="eastAsia" w:ascii="Times New Roman" w:hAnsi="Times New Roman" w:eastAsia="宋体" w:cs="Times New Roman"/>
                <w:color w:val="auto"/>
                <w:spacing w:val="0"/>
                <w:sz w:val="24"/>
                <w:szCs w:val="32"/>
                <w:highlight w:val="none"/>
                <w:lang w:val="en-US" w:eastAsia="zh-CN"/>
              </w:rPr>
              <w:t>停止运行</w:t>
            </w:r>
            <w:r>
              <w:rPr>
                <w:rFonts w:hint="default" w:ascii="Times New Roman" w:hAnsi="Times New Roman" w:eastAsia="宋体" w:cs="Times New Roman"/>
                <w:color w:val="auto"/>
                <w:spacing w:val="0"/>
                <w:sz w:val="24"/>
                <w:szCs w:val="32"/>
                <w:highlight w:val="none"/>
              </w:rPr>
              <w:t>。</w:t>
            </w:r>
          </w:p>
          <w:p w14:paraId="7195DA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szCs w:val="32"/>
                <w:highlight w:val="none"/>
              </w:rPr>
            </w:pPr>
            <w:r>
              <w:rPr>
                <w:rFonts w:hint="default" w:ascii="Times New Roman" w:hAnsi="Times New Roman" w:eastAsia="宋体" w:cs="Times New Roman"/>
                <w:color w:val="auto"/>
                <w:spacing w:val="0"/>
                <w:sz w:val="24"/>
                <w:szCs w:val="32"/>
                <w:highlight w:val="none"/>
              </w:rPr>
              <w:t>（</w:t>
            </w:r>
            <w:r>
              <w:rPr>
                <w:rFonts w:hint="eastAsia" w:cs="Times New Roman"/>
                <w:color w:val="auto"/>
                <w:spacing w:val="0"/>
                <w:sz w:val="24"/>
                <w:szCs w:val="32"/>
                <w:highlight w:val="none"/>
                <w:lang w:val="en-US" w:eastAsia="zh-CN"/>
              </w:rPr>
              <w:t>2</w:t>
            </w:r>
            <w:r>
              <w:rPr>
                <w:rFonts w:hint="default" w:ascii="Times New Roman" w:hAnsi="Times New Roman" w:eastAsia="宋体" w:cs="Times New Roman"/>
                <w:color w:val="auto"/>
                <w:spacing w:val="0"/>
                <w:sz w:val="24"/>
                <w:szCs w:val="32"/>
                <w:highlight w:val="none"/>
              </w:rPr>
              <w:t>）环保设施故障</w:t>
            </w:r>
          </w:p>
          <w:p w14:paraId="26C184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default" w:ascii="Times New Roman" w:hAnsi="Times New Roman" w:eastAsia="宋体" w:cs="Times New Roman"/>
                <w:color w:val="auto"/>
                <w:spacing w:val="0"/>
                <w:sz w:val="24"/>
                <w:szCs w:val="32"/>
                <w:highlight w:val="none"/>
              </w:rPr>
              <w:t>项目污染物</w:t>
            </w:r>
            <w:r>
              <w:rPr>
                <w:rFonts w:hint="eastAsia" w:cs="Times New Roman"/>
                <w:color w:val="auto"/>
                <w:spacing w:val="0"/>
                <w:sz w:val="24"/>
                <w:szCs w:val="32"/>
                <w:highlight w:val="none"/>
                <w:lang w:val="en-US" w:eastAsia="zh-CN"/>
              </w:rPr>
              <w:t>有颗粒物、挥发性有机废气、酸性气体，其中</w:t>
            </w:r>
            <w:r>
              <w:rPr>
                <w:rFonts w:hint="eastAsia" w:ascii="Times New Roman" w:hAnsi="Times New Roman" w:eastAsia="宋体" w:cs="Times New Roman"/>
                <w:color w:val="auto"/>
                <w:spacing w:val="0"/>
                <w:sz w:val="24"/>
                <w:szCs w:val="32"/>
                <w:highlight w:val="none"/>
                <w:lang w:val="en-US" w:eastAsia="zh-CN"/>
              </w:rPr>
              <w:t>颗粒物</w:t>
            </w:r>
            <w:r>
              <w:rPr>
                <w:rFonts w:hint="default" w:ascii="Times New Roman" w:hAnsi="Times New Roman" w:eastAsia="宋体" w:cs="Times New Roman"/>
                <w:color w:val="auto"/>
                <w:spacing w:val="0"/>
                <w:sz w:val="24"/>
                <w:szCs w:val="32"/>
                <w:highlight w:val="none"/>
              </w:rPr>
              <w:t>采用三面围挡集气罩+布袋除尘器</w:t>
            </w:r>
            <w:r>
              <w:rPr>
                <w:rFonts w:hint="eastAsia" w:cs="Times New Roman"/>
                <w:color w:val="auto"/>
                <w:spacing w:val="0"/>
                <w:sz w:val="24"/>
                <w:szCs w:val="32"/>
                <w:highlight w:val="none"/>
                <w:lang w:eastAsia="zh-CN"/>
              </w:rPr>
              <w:t>，</w:t>
            </w:r>
            <w:r>
              <w:rPr>
                <w:rFonts w:hint="default" w:ascii="Times New Roman" w:hAnsi="Times New Roman" w:eastAsia="宋体" w:cs="Times New Roman"/>
                <w:color w:val="auto"/>
                <w:spacing w:val="0"/>
                <w:sz w:val="24"/>
                <w:szCs w:val="32"/>
                <w:highlight w:val="none"/>
              </w:rPr>
              <w:t>挥发性有机废气采用通风橱+</w:t>
            </w:r>
            <w:r>
              <w:rPr>
                <w:rFonts w:hint="eastAsia" w:cs="Times New Roman"/>
                <w:color w:val="auto"/>
                <w:spacing w:val="0"/>
                <w:sz w:val="24"/>
                <w:szCs w:val="32"/>
                <w:highlight w:val="none"/>
                <w:lang w:val="en-US" w:eastAsia="zh-CN"/>
              </w:rPr>
              <w:t>二级</w:t>
            </w:r>
            <w:r>
              <w:rPr>
                <w:rFonts w:hint="default" w:ascii="Times New Roman" w:hAnsi="Times New Roman" w:eastAsia="宋体" w:cs="Times New Roman"/>
                <w:color w:val="auto"/>
                <w:spacing w:val="0"/>
                <w:sz w:val="24"/>
                <w:szCs w:val="32"/>
                <w:highlight w:val="none"/>
              </w:rPr>
              <w:t>活性炭吸附装置</w:t>
            </w:r>
            <w:r>
              <w:rPr>
                <w:rFonts w:hint="eastAsia" w:cs="Times New Roman"/>
                <w:color w:val="auto"/>
                <w:spacing w:val="0"/>
                <w:sz w:val="24"/>
                <w:szCs w:val="32"/>
                <w:highlight w:val="none"/>
                <w:lang w:eastAsia="zh-CN"/>
              </w:rPr>
              <w:t>，</w:t>
            </w:r>
            <w:r>
              <w:rPr>
                <w:rFonts w:hint="eastAsia" w:ascii="Times New Roman" w:hAnsi="Times New Roman" w:eastAsia="宋体" w:cs="Times New Roman"/>
                <w:color w:val="auto"/>
                <w:spacing w:val="0"/>
                <w:sz w:val="24"/>
                <w:szCs w:val="32"/>
                <w:highlight w:val="none"/>
                <w:lang w:val="en-US" w:eastAsia="zh-CN"/>
              </w:rPr>
              <w:t>酸性废气采用通风橱+碱液洗涤塔。</w:t>
            </w:r>
            <w:r>
              <w:rPr>
                <w:rFonts w:hint="default" w:ascii="Times New Roman" w:hAnsi="Times New Roman" w:eastAsia="宋体" w:cs="Times New Roman"/>
                <w:color w:val="auto"/>
                <w:spacing w:val="0"/>
                <w:sz w:val="24"/>
                <w:szCs w:val="32"/>
                <w:highlight w:val="none"/>
              </w:rPr>
              <w:t>本项目考虑</w:t>
            </w:r>
            <w:r>
              <w:rPr>
                <w:rFonts w:hint="eastAsia" w:ascii="Times New Roman" w:hAnsi="Times New Roman" w:eastAsia="宋体" w:cs="Times New Roman"/>
                <w:color w:val="auto"/>
                <w:spacing w:val="0"/>
                <w:sz w:val="24"/>
                <w:szCs w:val="32"/>
                <w:highlight w:val="none"/>
                <w:lang w:val="en-US" w:eastAsia="zh-CN"/>
              </w:rPr>
              <w:t>碱液</w:t>
            </w:r>
            <w:r>
              <w:rPr>
                <w:rFonts w:hint="default" w:ascii="Times New Roman" w:hAnsi="Times New Roman" w:eastAsia="宋体" w:cs="Times New Roman"/>
                <w:color w:val="auto"/>
                <w:spacing w:val="0"/>
                <w:sz w:val="24"/>
                <w:szCs w:val="32"/>
                <w:highlight w:val="none"/>
              </w:rPr>
              <w:t>未及时补充，活性炭</w:t>
            </w:r>
            <w:r>
              <w:rPr>
                <w:rFonts w:hint="eastAsia" w:cs="Times New Roman"/>
                <w:color w:val="auto"/>
                <w:spacing w:val="0"/>
                <w:sz w:val="24"/>
                <w:szCs w:val="32"/>
                <w:highlight w:val="none"/>
                <w:lang w:eastAsia="zh-CN"/>
              </w:rPr>
              <w:t>、</w:t>
            </w:r>
            <w:r>
              <w:rPr>
                <w:rFonts w:hint="eastAsia" w:cs="Times New Roman"/>
                <w:color w:val="auto"/>
                <w:spacing w:val="0"/>
                <w:sz w:val="24"/>
                <w:szCs w:val="32"/>
                <w:highlight w:val="none"/>
                <w:lang w:val="en-US" w:eastAsia="zh-CN"/>
              </w:rPr>
              <w:t>布袋</w:t>
            </w:r>
            <w:r>
              <w:rPr>
                <w:rFonts w:hint="default" w:ascii="Times New Roman" w:hAnsi="Times New Roman" w:eastAsia="宋体" w:cs="Times New Roman"/>
                <w:color w:val="auto"/>
                <w:spacing w:val="0"/>
                <w:sz w:val="24"/>
                <w:szCs w:val="32"/>
                <w:highlight w:val="none"/>
              </w:rPr>
              <w:t>未及时更换，此时</w:t>
            </w:r>
            <w:r>
              <w:rPr>
                <w:rFonts w:hint="eastAsia" w:cs="Times New Roman"/>
                <w:color w:val="auto"/>
                <w:spacing w:val="0"/>
                <w:sz w:val="24"/>
                <w:szCs w:val="32"/>
                <w:highlight w:val="none"/>
                <w:lang w:val="en-US" w:eastAsia="zh-CN"/>
              </w:rPr>
              <w:t>废气</w:t>
            </w:r>
            <w:r>
              <w:rPr>
                <w:rFonts w:hint="default" w:ascii="Times New Roman" w:hAnsi="Times New Roman" w:eastAsia="宋体" w:cs="Times New Roman"/>
                <w:color w:val="auto"/>
                <w:spacing w:val="0"/>
                <w:sz w:val="24"/>
                <w:szCs w:val="32"/>
                <w:highlight w:val="none"/>
              </w:rPr>
              <w:t>处理效率按</w:t>
            </w:r>
            <w:r>
              <w:rPr>
                <w:rFonts w:hint="eastAsia" w:cs="Times New Roman"/>
                <w:color w:val="auto"/>
                <w:spacing w:val="0"/>
                <w:sz w:val="24"/>
                <w:szCs w:val="32"/>
                <w:highlight w:val="none"/>
                <w:lang w:val="en-US" w:eastAsia="zh-CN"/>
              </w:rPr>
              <w:t>0</w:t>
            </w:r>
            <w:r>
              <w:rPr>
                <w:rFonts w:hint="default" w:ascii="Times New Roman" w:hAnsi="Times New Roman" w:eastAsia="宋体" w:cs="Times New Roman"/>
                <w:color w:val="auto"/>
                <w:spacing w:val="0"/>
                <w:sz w:val="24"/>
                <w:szCs w:val="32"/>
                <w:highlight w:val="none"/>
              </w:rPr>
              <w:t>%考虑，一般在30min左右，最长不超过1h。此种情况一年最多1～2次，事故状态下污染物排放情况见表</w:t>
            </w:r>
            <w:r>
              <w:rPr>
                <w:rFonts w:hint="eastAsia" w:cs="Times New Roman"/>
                <w:color w:val="auto"/>
                <w:spacing w:val="0"/>
                <w:sz w:val="24"/>
                <w:szCs w:val="32"/>
                <w:highlight w:val="none"/>
                <w:lang w:val="en-US" w:eastAsia="zh-CN"/>
              </w:rPr>
              <w:t>4-6</w:t>
            </w:r>
            <w:r>
              <w:rPr>
                <w:rFonts w:hint="default" w:ascii="Times New Roman" w:hAnsi="Times New Roman" w:eastAsia="宋体" w:cs="Times New Roman"/>
                <w:color w:val="auto"/>
                <w:spacing w:val="0"/>
                <w:sz w:val="24"/>
                <w:szCs w:val="32"/>
                <w:highlight w:val="none"/>
              </w:rPr>
              <w:t>所示</w:t>
            </w:r>
            <w:r>
              <w:rPr>
                <w:rFonts w:hint="eastAsia" w:cs="Times New Roman"/>
                <w:color w:val="auto"/>
                <w:spacing w:val="0"/>
                <w:sz w:val="24"/>
                <w:szCs w:val="32"/>
                <w:highlight w:val="none"/>
                <w:lang w:eastAsia="zh-CN"/>
              </w:rPr>
              <w:t>。</w:t>
            </w:r>
          </w:p>
        </w:tc>
      </w:tr>
    </w:tbl>
    <w:p w14:paraId="259C78F5">
      <w:pPr>
        <w:widowControl/>
        <w:spacing w:line="360" w:lineRule="auto"/>
        <w:ind w:firstLine="480" w:firstLineChars="200"/>
        <w:rPr>
          <w:rFonts w:hint="eastAsia"/>
          <w:color w:val="auto"/>
          <w:kern w:val="0"/>
          <w:sz w:val="24"/>
          <w:highlight w:val="none"/>
          <w:lang w:val="en-US" w:eastAsia="zh-CN"/>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529"/>
      </w:tblGrid>
      <w:tr w14:paraId="6ECF32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33" w:hRule="atLeast"/>
        </w:trPr>
        <w:tc>
          <w:tcPr>
            <w:tcW w:w="699" w:type="dxa"/>
            <w:vAlign w:val="center"/>
          </w:tcPr>
          <w:p w14:paraId="11D30B62">
            <w:pPr>
              <w:adjustRightInd w:val="0"/>
              <w:snapToGrid w:val="0"/>
              <w:jc w:val="center"/>
              <w:rPr>
                <w:rFonts w:hint="eastAsia" w:ascii="宋体" w:hAnsi="宋体" w:cs="宋体"/>
                <w:bCs/>
                <w:color w:val="auto"/>
                <w:szCs w:val="21"/>
                <w:highlight w:val="none"/>
              </w:rPr>
            </w:pPr>
            <w:r>
              <w:rPr>
                <w:rFonts w:hint="eastAsia" w:ascii="宋体" w:hAnsi="宋体" w:cs="宋体"/>
                <w:bCs/>
                <w:color w:val="auto"/>
                <w:szCs w:val="21"/>
                <w:highlight w:val="none"/>
              </w:rPr>
              <w:t>运营</w:t>
            </w:r>
          </w:p>
          <w:p w14:paraId="0F1FE7CC">
            <w:pPr>
              <w:adjustRightInd w:val="0"/>
              <w:snapToGrid w:val="0"/>
              <w:jc w:val="center"/>
              <w:rPr>
                <w:rFonts w:hint="eastAsia" w:ascii="宋体" w:hAnsi="宋体" w:cs="宋体"/>
                <w:bCs/>
                <w:color w:val="auto"/>
                <w:szCs w:val="21"/>
                <w:highlight w:val="none"/>
              </w:rPr>
            </w:pPr>
            <w:r>
              <w:rPr>
                <w:rFonts w:hint="eastAsia" w:ascii="宋体" w:hAnsi="宋体" w:cs="宋体"/>
                <w:bCs/>
                <w:color w:val="auto"/>
                <w:szCs w:val="21"/>
                <w:highlight w:val="none"/>
              </w:rPr>
              <w:t>期环</w:t>
            </w:r>
          </w:p>
          <w:p w14:paraId="3C017834">
            <w:pPr>
              <w:adjustRightInd w:val="0"/>
              <w:snapToGrid w:val="0"/>
              <w:jc w:val="center"/>
              <w:rPr>
                <w:rFonts w:hint="eastAsia" w:ascii="宋体" w:hAnsi="宋体" w:cs="宋体"/>
                <w:bCs/>
                <w:color w:val="auto"/>
                <w:szCs w:val="21"/>
                <w:highlight w:val="none"/>
              </w:rPr>
            </w:pPr>
            <w:r>
              <w:rPr>
                <w:rFonts w:hint="eastAsia" w:ascii="宋体" w:hAnsi="宋体" w:cs="宋体"/>
                <w:bCs/>
                <w:color w:val="auto"/>
                <w:szCs w:val="21"/>
                <w:highlight w:val="none"/>
              </w:rPr>
              <w:t>境影</w:t>
            </w:r>
          </w:p>
          <w:p w14:paraId="6A87C8D9">
            <w:pPr>
              <w:adjustRightInd w:val="0"/>
              <w:snapToGrid w:val="0"/>
              <w:jc w:val="center"/>
              <w:rPr>
                <w:rFonts w:hint="eastAsia" w:ascii="宋体" w:hAnsi="宋体" w:cs="宋体"/>
                <w:bCs/>
                <w:color w:val="auto"/>
                <w:szCs w:val="21"/>
                <w:highlight w:val="none"/>
              </w:rPr>
            </w:pPr>
            <w:r>
              <w:rPr>
                <w:rFonts w:hint="eastAsia" w:ascii="宋体" w:hAnsi="宋体" w:cs="宋体"/>
                <w:bCs/>
                <w:color w:val="auto"/>
                <w:szCs w:val="21"/>
                <w:highlight w:val="none"/>
              </w:rPr>
              <w:t>响和</w:t>
            </w:r>
          </w:p>
          <w:p w14:paraId="74571C82">
            <w:pPr>
              <w:adjustRightInd w:val="0"/>
              <w:snapToGrid w:val="0"/>
              <w:jc w:val="center"/>
              <w:rPr>
                <w:rFonts w:hint="eastAsia" w:ascii="宋体" w:hAnsi="宋体" w:cs="宋体"/>
                <w:bCs/>
                <w:color w:val="auto"/>
                <w:szCs w:val="21"/>
                <w:highlight w:val="none"/>
              </w:rPr>
            </w:pPr>
            <w:r>
              <w:rPr>
                <w:rFonts w:hint="eastAsia" w:ascii="宋体" w:hAnsi="宋体" w:cs="宋体"/>
                <w:bCs/>
                <w:color w:val="auto"/>
                <w:szCs w:val="21"/>
                <w:highlight w:val="none"/>
              </w:rPr>
              <w:t>保护</w:t>
            </w:r>
          </w:p>
          <w:p w14:paraId="6AAE30EF">
            <w:pPr>
              <w:adjustRightInd w:val="0"/>
              <w:snapToGrid w:val="0"/>
              <w:jc w:val="center"/>
              <w:rPr>
                <w:rFonts w:hint="eastAsia"/>
                <w:color w:val="auto"/>
                <w:kern w:val="0"/>
                <w:sz w:val="24"/>
                <w:highlight w:val="none"/>
                <w:vertAlign w:val="baseline"/>
                <w:lang w:val="en-US" w:eastAsia="zh-CN"/>
              </w:rPr>
            </w:pPr>
            <w:r>
              <w:rPr>
                <w:rFonts w:hint="eastAsia" w:ascii="宋体" w:hAnsi="宋体" w:cs="宋体"/>
                <w:bCs/>
                <w:color w:val="auto"/>
                <w:szCs w:val="21"/>
                <w:highlight w:val="none"/>
              </w:rPr>
              <w:t>措施</w:t>
            </w:r>
          </w:p>
        </w:tc>
        <w:tc>
          <w:tcPr>
            <w:tcW w:w="12529" w:type="dxa"/>
          </w:tcPr>
          <w:p w14:paraId="5B41E02E">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4</w:t>
            </w:r>
            <w:r>
              <w:rPr>
                <w:rFonts w:hint="eastAsia" w:ascii="Times New Roman" w:hAnsi="Times New Roman" w:eastAsia="宋体" w:cs="Times New Roman"/>
                <w:b/>
                <w:bCs/>
                <w:color w:val="auto"/>
                <w:kern w:val="2"/>
                <w:sz w:val="21"/>
                <w:szCs w:val="21"/>
                <w:highlight w:val="none"/>
                <w:lang w:val="en-US" w:eastAsia="zh-CN" w:bidi="ar-SA"/>
              </w:rPr>
              <w:t xml:space="preserve">  废气污染源源强核算结果及相关参数一览表</w:t>
            </w:r>
          </w:p>
          <w:tbl>
            <w:tblPr>
              <w:tblStyle w:val="27"/>
              <w:tblW w:w="124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06"/>
              <w:gridCol w:w="878"/>
              <w:gridCol w:w="698"/>
              <w:gridCol w:w="1058"/>
              <w:gridCol w:w="1058"/>
              <w:gridCol w:w="1064"/>
              <w:gridCol w:w="1114"/>
              <w:gridCol w:w="734"/>
              <w:gridCol w:w="1121"/>
              <w:gridCol w:w="1129"/>
              <w:gridCol w:w="1112"/>
              <w:gridCol w:w="686"/>
              <w:gridCol w:w="693"/>
              <w:gridCol w:w="506"/>
            </w:tblGrid>
            <w:tr w14:paraId="6E914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5A1387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污染源</w:t>
                  </w:r>
                </w:p>
              </w:tc>
              <w:tc>
                <w:tcPr>
                  <w:tcW w:w="878" w:type="dxa"/>
                  <w:vMerge w:val="restart"/>
                  <w:shd w:val="clear" w:color="auto" w:fill="auto"/>
                  <w:vAlign w:val="center"/>
                </w:tcPr>
                <w:p w14:paraId="19CD43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污染物</w:t>
                  </w:r>
                </w:p>
              </w:tc>
              <w:tc>
                <w:tcPr>
                  <w:tcW w:w="698" w:type="dxa"/>
                  <w:vMerge w:val="restart"/>
                  <w:shd w:val="clear" w:color="auto" w:fill="auto"/>
                  <w:vAlign w:val="center"/>
                </w:tcPr>
                <w:p w14:paraId="3B2A6C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kern w:val="0"/>
                      <w:sz w:val="21"/>
                      <w:szCs w:val="21"/>
                      <w:highlight w:val="none"/>
                      <w:u w:val="none"/>
                      <w:lang w:val="en-US" w:eastAsia="zh-CN" w:bidi="ar"/>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收集</w:t>
                  </w:r>
                </w:p>
                <w:p w14:paraId="477980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效率</w:t>
                  </w:r>
                </w:p>
              </w:tc>
              <w:tc>
                <w:tcPr>
                  <w:tcW w:w="3180" w:type="dxa"/>
                  <w:gridSpan w:val="3"/>
                  <w:shd w:val="clear" w:color="auto" w:fill="auto"/>
                  <w:vAlign w:val="center"/>
                </w:tcPr>
                <w:p w14:paraId="25750E9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sz w:val="21"/>
                      <w:szCs w:val="21"/>
                      <w:highlight w:val="none"/>
                      <w:u w:val="none"/>
                    </w:rPr>
                    <w:t>污染物产生</w:t>
                  </w:r>
                </w:p>
              </w:tc>
              <w:tc>
                <w:tcPr>
                  <w:tcW w:w="1848" w:type="dxa"/>
                  <w:gridSpan w:val="2"/>
                  <w:shd w:val="clear" w:color="auto" w:fill="auto"/>
                  <w:vAlign w:val="center"/>
                </w:tcPr>
                <w:p w14:paraId="21CAF9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治理措施</w:t>
                  </w:r>
                </w:p>
              </w:tc>
              <w:tc>
                <w:tcPr>
                  <w:tcW w:w="3362" w:type="dxa"/>
                  <w:gridSpan w:val="3"/>
                  <w:shd w:val="clear" w:color="auto" w:fill="auto"/>
                  <w:vAlign w:val="center"/>
                </w:tcPr>
                <w:p w14:paraId="268B483A">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cs="Times New Roman" w:eastAsiaTheme="minorEastAsia"/>
                      <w:b/>
                      <w:bCs/>
                      <w:i w:val="0"/>
                      <w:iCs w:val="0"/>
                      <w:color w:val="auto"/>
                      <w:sz w:val="21"/>
                      <w:szCs w:val="21"/>
                      <w:highlight w:val="none"/>
                      <w:u w:val="none"/>
                      <w:lang w:eastAsia="zh-CN"/>
                    </w:rPr>
                  </w:pPr>
                  <w:r>
                    <w:rPr>
                      <w:rFonts w:hint="default" w:ascii="Times New Roman" w:hAnsi="Times New Roman" w:cs="Times New Roman" w:eastAsiaTheme="minorEastAsia"/>
                      <w:b/>
                      <w:bCs/>
                      <w:i w:val="0"/>
                      <w:iCs w:val="0"/>
                      <w:color w:val="auto"/>
                      <w:sz w:val="21"/>
                      <w:szCs w:val="21"/>
                      <w:highlight w:val="none"/>
                      <w:u w:val="none"/>
                    </w:rPr>
                    <w:t>污染物</w:t>
                  </w:r>
                  <w:r>
                    <w:rPr>
                      <w:rFonts w:hint="eastAsia" w:ascii="Times New Roman" w:hAnsi="Times New Roman" w:cs="Times New Roman" w:eastAsiaTheme="minorEastAsia"/>
                      <w:b/>
                      <w:bCs/>
                      <w:i w:val="0"/>
                      <w:iCs w:val="0"/>
                      <w:color w:val="auto"/>
                      <w:sz w:val="21"/>
                      <w:szCs w:val="21"/>
                      <w:highlight w:val="none"/>
                      <w:u w:val="none"/>
                      <w:lang w:val="en-US" w:eastAsia="zh-CN"/>
                    </w:rPr>
                    <w:t>排放</w:t>
                  </w:r>
                </w:p>
              </w:tc>
              <w:tc>
                <w:tcPr>
                  <w:tcW w:w="686" w:type="dxa"/>
                  <w:vMerge w:val="restart"/>
                  <w:shd w:val="clear" w:color="auto" w:fill="auto"/>
                  <w:vAlign w:val="center"/>
                </w:tcPr>
                <w:p w14:paraId="4F674B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排放时间(h)</w:t>
                  </w:r>
                </w:p>
              </w:tc>
              <w:tc>
                <w:tcPr>
                  <w:tcW w:w="693" w:type="dxa"/>
                  <w:vMerge w:val="restart"/>
                  <w:shd w:val="clear" w:color="auto" w:fill="auto"/>
                  <w:noWrap/>
                  <w:vAlign w:val="center"/>
                </w:tcPr>
                <w:p w14:paraId="13AF46F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b/>
                      <w:bCs/>
                      <w:i w:val="0"/>
                      <w:iCs w:val="0"/>
                      <w:color w:val="auto"/>
                      <w:sz w:val="21"/>
                      <w:szCs w:val="21"/>
                      <w:highlight w:val="none"/>
                      <w:u w:val="none"/>
                      <w:lang w:val="en-US" w:eastAsia="zh-CN"/>
                    </w:rPr>
                  </w:pPr>
                  <w:r>
                    <w:rPr>
                      <w:rFonts w:hint="eastAsia" w:ascii="Times New Roman" w:hAnsi="Times New Roman" w:cs="Times New Roman" w:eastAsiaTheme="minorEastAsia"/>
                      <w:b/>
                      <w:bCs/>
                      <w:i w:val="0"/>
                      <w:iCs w:val="0"/>
                      <w:color w:val="auto"/>
                      <w:sz w:val="21"/>
                      <w:szCs w:val="21"/>
                      <w:highlight w:val="none"/>
                      <w:u w:val="none"/>
                      <w:lang w:val="en-US" w:eastAsia="zh-CN"/>
                    </w:rPr>
                    <w:t>风量m</w:t>
                  </w:r>
                  <w:r>
                    <w:rPr>
                      <w:rFonts w:hint="eastAsia" w:ascii="Times New Roman" w:hAnsi="Times New Roman" w:cs="Times New Roman" w:eastAsiaTheme="minorEastAsia"/>
                      <w:b/>
                      <w:bCs/>
                      <w:i w:val="0"/>
                      <w:iCs w:val="0"/>
                      <w:color w:val="auto"/>
                      <w:sz w:val="21"/>
                      <w:szCs w:val="21"/>
                      <w:highlight w:val="none"/>
                      <w:u w:val="none"/>
                      <w:vertAlign w:val="superscript"/>
                      <w:lang w:val="en-US" w:eastAsia="zh-CN"/>
                    </w:rPr>
                    <w:t>3</w:t>
                  </w:r>
                  <w:r>
                    <w:rPr>
                      <w:rFonts w:hint="eastAsia" w:ascii="Times New Roman" w:hAnsi="Times New Roman" w:cs="Times New Roman" w:eastAsiaTheme="minorEastAsia"/>
                      <w:b/>
                      <w:bCs/>
                      <w:i w:val="0"/>
                      <w:iCs w:val="0"/>
                      <w:color w:val="auto"/>
                      <w:sz w:val="21"/>
                      <w:szCs w:val="21"/>
                      <w:highlight w:val="none"/>
                      <w:u w:val="none"/>
                      <w:lang w:val="en-US" w:eastAsia="zh-CN"/>
                    </w:rPr>
                    <w:t>/h</w:t>
                  </w:r>
                </w:p>
              </w:tc>
              <w:tc>
                <w:tcPr>
                  <w:tcW w:w="506" w:type="dxa"/>
                  <w:vMerge w:val="restart"/>
                  <w:shd w:val="clear" w:color="auto" w:fill="auto"/>
                  <w:noWrap/>
                  <w:vAlign w:val="center"/>
                </w:tcPr>
                <w:p w14:paraId="3B3B1F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b/>
                      <w:bCs/>
                      <w:i w:val="0"/>
                      <w:iCs w:val="0"/>
                      <w:color w:val="auto"/>
                      <w:sz w:val="21"/>
                      <w:szCs w:val="21"/>
                      <w:highlight w:val="none"/>
                      <w:u w:val="none"/>
                      <w:lang w:val="en-US" w:eastAsia="zh-CN"/>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备注</w:t>
                  </w:r>
                </w:p>
              </w:tc>
            </w:tr>
            <w:tr w14:paraId="23DED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691A96B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vMerge w:val="continue"/>
                  <w:shd w:val="clear" w:color="auto" w:fill="auto"/>
                  <w:vAlign w:val="center"/>
                </w:tcPr>
                <w:p w14:paraId="438F774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8" w:type="dxa"/>
                  <w:vMerge w:val="continue"/>
                  <w:shd w:val="clear" w:color="auto" w:fill="auto"/>
                  <w:vAlign w:val="center"/>
                </w:tcPr>
                <w:p w14:paraId="66C3D0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31BC8E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产生量(t/a)</w:t>
                  </w:r>
                </w:p>
              </w:tc>
              <w:tc>
                <w:tcPr>
                  <w:tcW w:w="1058" w:type="dxa"/>
                  <w:shd w:val="clear" w:color="auto" w:fill="auto"/>
                  <w:vAlign w:val="center"/>
                </w:tcPr>
                <w:p w14:paraId="3DCEDD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产生速率(kg/h)</w:t>
                  </w:r>
                </w:p>
              </w:tc>
              <w:tc>
                <w:tcPr>
                  <w:tcW w:w="1064" w:type="dxa"/>
                  <w:shd w:val="clear" w:color="auto" w:fill="auto"/>
                  <w:vAlign w:val="center"/>
                </w:tcPr>
                <w:p w14:paraId="58C592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产生浓度(mg/m</w:t>
                  </w:r>
                  <w:r>
                    <w:rPr>
                      <w:rFonts w:hint="default" w:ascii="Times New Roman" w:hAnsi="Times New Roman" w:cs="Times New Roman" w:eastAsiaTheme="minorEastAsia"/>
                      <w:b/>
                      <w:bCs/>
                      <w:i w:val="0"/>
                      <w:iCs w:val="0"/>
                      <w:color w:val="auto"/>
                      <w:kern w:val="0"/>
                      <w:sz w:val="21"/>
                      <w:szCs w:val="21"/>
                      <w:highlight w:val="none"/>
                      <w:u w:val="none"/>
                      <w:vertAlign w:val="superscript"/>
                      <w:lang w:val="en-US" w:eastAsia="zh-CN" w:bidi="ar"/>
                    </w:rPr>
                    <w:t>3</w:t>
                  </w:r>
                  <w:r>
                    <w:rPr>
                      <w:rFonts w:hint="default" w:ascii="Times New Roman" w:hAnsi="Times New Roman" w:cs="Times New Roman" w:eastAsiaTheme="minorEastAsia"/>
                      <w:b/>
                      <w:bCs/>
                      <w:i w:val="0"/>
                      <w:iCs w:val="0"/>
                      <w:color w:val="auto"/>
                      <w:kern w:val="0"/>
                      <w:sz w:val="21"/>
                      <w:szCs w:val="21"/>
                      <w:highlight w:val="none"/>
                      <w:u w:val="none"/>
                      <w:lang w:val="en-US" w:eastAsia="zh-CN" w:bidi="ar"/>
                    </w:rPr>
                    <w:t>)</w:t>
                  </w:r>
                </w:p>
              </w:tc>
              <w:tc>
                <w:tcPr>
                  <w:tcW w:w="1114" w:type="dxa"/>
                  <w:shd w:val="clear" w:color="auto" w:fill="auto"/>
                  <w:vAlign w:val="center"/>
                </w:tcPr>
                <w:p w14:paraId="58B84C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工艺</w:t>
                  </w:r>
                </w:p>
              </w:tc>
              <w:tc>
                <w:tcPr>
                  <w:tcW w:w="734" w:type="dxa"/>
                  <w:shd w:val="clear" w:color="auto" w:fill="auto"/>
                  <w:vAlign w:val="center"/>
                </w:tcPr>
                <w:p w14:paraId="0B9338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效率</w:t>
                  </w:r>
                </w:p>
              </w:tc>
              <w:tc>
                <w:tcPr>
                  <w:tcW w:w="1121" w:type="dxa"/>
                  <w:shd w:val="clear" w:color="auto" w:fill="auto"/>
                  <w:vAlign w:val="center"/>
                </w:tcPr>
                <w:p w14:paraId="127EA1B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排放量(t/a)</w:t>
                  </w:r>
                </w:p>
              </w:tc>
              <w:tc>
                <w:tcPr>
                  <w:tcW w:w="1129" w:type="dxa"/>
                  <w:shd w:val="clear" w:color="auto" w:fill="auto"/>
                  <w:vAlign w:val="center"/>
                </w:tcPr>
                <w:p w14:paraId="6FE2E1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排放速率(kg/h)</w:t>
                  </w:r>
                </w:p>
              </w:tc>
              <w:tc>
                <w:tcPr>
                  <w:tcW w:w="1112" w:type="dxa"/>
                  <w:shd w:val="clear" w:color="auto" w:fill="auto"/>
                  <w:vAlign w:val="center"/>
                </w:tcPr>
                <w:p w14:paraId="1919B2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排放浓度(mg/m</w:t>
                  </w:r>
                  <w:r>
                    <w:rPr>
                      <w:rFonts w:hint="default" w:ascii="Times New Roman" w:hAnsi="Times New Roman" w:cs="Times New Roman" w:eastAsiaTheme="minorEastAsia"/>
                      <w:b/>
                      <w:bCs/>
                      <w:i w:val="0"/>
                      <w:iCs w:val="0"/>
                      <w:color w:val="auto"/>
                      <w:kern w:val="0"/>
                      <w:sz w:val="21"/>
                      <w:szCs w:val="21"/>
                      <w:highlight w:val="none"/>
                      <w:u w:val="none"/>
                      <w:vertAlign w:val="superscript"/>
                      <w:lang w:val="en-US" w:eastAsia="zh-CN" w:bidi="ar"/>
                    </w:rPr>
                    <w:t>3</w:t>
                  </w:r>
                  <w:r>
                    <w:rPr>
                      <w:rFonts w:hint="default" w:ascii="Times New Roman" w:hAnsi="Times New Roman" w:cs="Times New Roman" w:eastAsiaTheme="minorEastAsia"/>
                      <w:b/>
                      <w:bCs/>
                      <w:i w:val="0"/>
                      <w:iCs w:val="0"/>
                      <w:color w:val="auto"/>
                      <w:kern w:val="0"/>
                      <w:sz w:val="21"/>
                      <w:szCs w:val="21"/>
                      <w:highlight w:val="none"/>
                      <w:u w:val="none"/>
                      <w:lang w:val="en-US" w:eastAsia="zh-CN" w:bidi="ar"/>
                    </w:rPr>
                    <w:t>)</w:t>
                  </w:r>
                </w:p>
              </w:tc>
              <w:tc>
                <w:tcPr>
                  <w:tcW w:w="686" w:type="dxa"/>
                  <w:vMerge w:val="continue"/>
                  <w:shd w:val="clear" w:color="auto" w:fill="auto"/>
                  <w:vAlign w:val="center"/>
                </w:tcPr>
                <w:p w14:paraId="7B1F630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03B5451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F3C6C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r>
            <w:tr w14:paraId="55E66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731BCFF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DA001</w:t>
                  </w:r>
                </w:p>
              </w:tc>
              <w:tc>
                <w:tcPr>
                  <w:tcW w:w="878" w:type="dxa"/>
                  <w:shd w:val="clear" w:color="auto" w:fill="auto"/>
                  <w:vAlign w:val="center"/>
                </w:tcPr>
                <w:p w14:paraId="247344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7521B3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013C369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57CA2FC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350DB0E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73A58F5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71550D2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44990A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0CE012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490C92A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481D0D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3527A4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7A3311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16CE3B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2AC5BC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714627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543AD97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0C7893B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246F0C8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59CEC5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7BCAD9A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7A66B22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2CA39F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2CF7E9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54E20A5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0010FF7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5E534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9EA05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450B6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6923C5E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6F45F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72C6E26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66EA9FE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0967C11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72B2DBE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611A92F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CC9C1E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4CE0F4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7AE6E89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088876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6245CEE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372275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482AE8F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1434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6C4133A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111E4C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4C5AC3F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208043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322FE58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5331149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20FA3FA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4370D78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7A40581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233813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1DE0382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72471E2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64F330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2BDF29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6097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38EFBE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DA002</w:t>
                  </w:r>
                </w:p>
              </w:tc>
              <w:tc>
                <w:tcPr>
                  <w:tcW w:w="878" w:type="dxa"/>
                  <w:shd w:val="clear" w:color="auto" w:fill="auto"/>
                  <w:vAlign w:val="center"/>
                </w:tcPr>
                <w:p w14:paraId="27F78CE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4D2C9F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70990C1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60D027D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089776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4B9E3E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53AA6F0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DFA273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11953CC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17E4DB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564BBF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6952A4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0EDDB8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1C902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45BECF7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3DABD76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7472F14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4C07E04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7D6962E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2C6EFDA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6030050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55AB841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AFD84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0085329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0A6F5D1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6424265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2A44DA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8F6FF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4A17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1F0BDC8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12ED1D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47358E3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71ED494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0EBB2ED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28CD5F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09AEDA3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26791A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0CEAD4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3001A6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04B82EC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13ECA90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4B932E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4F4E33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B3D24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044CB62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47642D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2B20A05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35889D5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753E66E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5A630E0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27F4503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5F9459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046EACE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1F8D274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5D068A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2B9C68E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69CF44D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2A4043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4B00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1E3BD28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DA003</w:t>
                  </w:r>
                </w:p>
              </w:tc>
              <w:tc>
                <w:tcPr>
                  <w:tcW w:w="878" w:type="dxa"/>
                  <w:shd w:val="clear" w:color="auto" w:fill="auto"/>
                  <w:vAlign w:val="center"/>
                </w:tcPr>
                <w:p w14:paraId="7AA76C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734A44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058" w:type="dxa"/>
                  <w:shd w:val="clear" w:color="auto" w:fill="auto"/>
                  <w:vAlign w:val="center"/>
                </w:tcPr>
                <w:p w14:paraId="196EA6E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06CF419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1994881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4BC332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2C3D499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117249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4AB0B37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52F2956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57785A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40360A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0C2F08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37083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080BFC5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0B1B2A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61A39E1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70E53B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0B4F386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2679F1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54108EA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EC6057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7B692A3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0B0EF38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31D946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5C41384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0C8E3B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C55B1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67B9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06571CC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AA626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4A1284B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6A4226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2629303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0984B16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59271EC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010654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74789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3B7A9C1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18BA4B5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32DDF59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09877C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5C726C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8E68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06BDB0D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4F96F3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04D6F9A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42F612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66C830C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333C6FC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649E68F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597B15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047839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0D936CA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5895B5D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3B477BA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31417E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A8AED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AF62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1E66DC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DA004</w:t>
                  </w:r>
                </w:p>
              </w:tc>
              <w:tc>
                <w:tcPr>
                  <w:tcW w:w="878" w:type="dxa"/>
                  <w:shd w:val="clear" w:color="auto" w:fill="auto"/>
                  <w:vAlign w:val="center"/>
                </w:tcPr>
                <w:p w14:paraId="376503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23CF02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38A3D02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311B66E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064D583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214E1D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5B42C89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837DA2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39DDB81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32FC9B5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190FC1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1E51A9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52E78B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068EB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76CBD8B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7BA491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17AF9DC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48B27DB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5C8BF0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35ED81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07C8C98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599C5CA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C0F4E4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10D198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7D64BC6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17292A6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6B29C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60D9496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AFD8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70DCF0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11BB8C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2B17FEC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1E8857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61CC569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784C5A0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348BA84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2E5FF1D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9D46BE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7D58F28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30DE29B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31BE84A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522BA2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78F6DC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12CC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152884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24834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142D49D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197FC07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3FB77B7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5B3CE0C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678316E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1374A8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4040A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1FD517D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2DF743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4A3E3EC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01EEB5B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4FBAD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F3C3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253EAF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DA005</w:t>
                  </w:r>
                </w:p>
              </w:tc>
              <w:tc>
                <w:tcPr>
                  <w:tcW w:w="878" w:type="dxa"/>
                  <w:shd w:val="clear" w:color="auto" w:fill="auto"/>
                  <w:vAlign w:val="center"/>
                </w:tcPr>
                <w:p w14:paraId="73E66E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39C7526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3F3B35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7A3BF98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40FF486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3F8600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68B51EC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25809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2551819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494ABEE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7477A6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3F0165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04534D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1D2B19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3FA3D5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36D304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3AB011B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54A764C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29278FF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534A3E4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6A64BDA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113D47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4EB5B68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515ACC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4705F2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6B34AEE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2DB1F2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6A5C30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2AA30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270A72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73D789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72D1E29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7AB04D3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6611A32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60CCA39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1DED018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5EFE61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11E36A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698C28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7CF4ED1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1855E13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51AD85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583967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8C20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77B62C0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79823C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5AE23C1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66B9117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1DC772E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732D29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02352E0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1769929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CA9589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254D56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383D745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6860860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CE60E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EA538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46DC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5DA0DF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DA006</w:t>
                  </w:r>
                </w:p>
              </w:tc>
              <w:tc>
                <w:tcPr>
                  <w:tcW w:w="878" w:type="dxa"/>
                  <w:shd w:val="clear" w:color="auto" w:fill="auto"/>
                  <w:vAlign w:val="center"/>
                </w:tcPr>
                <w:p w14:paraId="59B8B1F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69ADFE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13A4DBC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02A7037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0331B01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74ED82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693A2A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26F841F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18A8B51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14B1111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6B7411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29D129D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714245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2C9CC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1035B45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5062F3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546C3E2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43DE06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5AA7B13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0CFFD45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31274F4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44185D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FC6D08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2E6D1D5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235B25E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494C004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40496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69C3D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E0CA8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1BF4E3D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BF62A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487C84E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11C47F0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6093F43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103933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120200B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48A2320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12E05F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6F9705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3A9291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1DFCEE1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4F3BA9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7206D6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AAF57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2FF1E3F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19DD00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1AA158E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04C88F3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3890341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36F930B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2D5A28A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B58E99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4AF6B6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2E28D7A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7ED1CF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3CA15EF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2EF1B7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DB59D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137C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41D541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DA007</w:t>
                  </w:r>
                </w:p>
              </w:tc>
              <w:tc>
                <w:tcPr>
                  <w:tcW w:w="878" w:type="dxa"/>
                  <w:shd w:val="clear" w:color="auto" w:fill="auto"/>
                  <w:vAlign w:val="center"/>
                </w:tcPr>
                <w:p w14:paraId="70C2A8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6EA8C2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058" w:type="dxa"/>
                  <w:shd w:val="clear" w:color="auto" w:fill="auto"/>
                  <w:vAlign w:val="center"/>
                </w:tcPr>
                <w:p w14:paraId="4D8BD4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4EB8AB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51AC69B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705147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0F1189B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76840E2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0DAEB76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19497A6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6C1FCD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004991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29A09A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24016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34ACC8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168CCC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450541A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670055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05366E7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7331D5B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6DF3FFC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42CCFF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070FC9C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5A575D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6E5DBCC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21E7BC7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582AC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5B4DA8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DEF1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2B0037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5CF9FB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12C92D0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5D980C5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78465E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187E9C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1A2B513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2FF7026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6F0C6F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1A58BA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2EAE9DD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7E997C2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232497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838A1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FE83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15F0D5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61CF32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6EAAEE2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32E267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01AD99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0C69F19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7AC2828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1C4D2BD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42BC879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718A61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14D5C08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50D07AE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382C3B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A5074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ACC2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7DF0B7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DA008</w:t>
                  </w:r>
                </w:p>
              </w:tc>
              <w:tc>
                <w:tcPr>
                  <w:tcW w:w="878" w:type="dxa"/>
                  <w:shd w:val="clear" w:color="auto" w:fill="auto"/>
                  <w:vAlign w:val="center"/>
                </w:tcPr>
                <w:p w14:paraId="3D6ED6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528C70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058" w:type="dxa"/>
                  <w:shd w:val="clear" w:color="auto" w:fill="auto"/>
                  <w:vAlign w:val="center"/>
                </w:tcPr>
                <w:p w14:paraId="3CB5867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095561A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03B0559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7EC713E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2678502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44A511F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42567D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455BDE9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3E7BC3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5F4A0D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171A33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735406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039B89F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39B0F4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2D77435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029EBCF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2AD8CF0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0F94D99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2A72374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2E7B43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413590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7F3B42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2537D96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3D9B69B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1C6318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21F57B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7EFB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6658C11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48814B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444FBDC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5C045C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772514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30DC058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1DFEE54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A6CA01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32A372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7A76937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0B280B5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736C0F8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5282AE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6919A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B422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10493E2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5111F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62B65EA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18BE750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0563902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37D8913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1AEA4EA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325ED5D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12FEB64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1B39865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4D093B6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50DFF53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D60CE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13D6079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EB8BF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5474E0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DA009</w:t>
                  </w:r>
                </w:p>
              </w:tc>
              <w:tc>
                <w:tcPr>
                  <w:tcW w:w="878" w:type="dxa"/>
                  <w:shd w:val="clear" w:color="auto" w:fill="auto"/>
                  <w:vAlign w:val="center"/>
                </w:tcPr>
                <w:p w14:paraId="691978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4EDA1C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0BD2E10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2CF4DF4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267638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039DAA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32A37A8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036EDCA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2AA7B38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7FF19AA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0BF28B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24C1B0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5D4EA1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7E577D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67746D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3A2DF9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353DFF8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0161EB9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03FAA84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06CE3DC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76AFF54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24926EA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44FFFDC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7876865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033E3C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35812C0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332D94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6BD8C8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3662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24F6689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6F5B26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7BE4F6A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055CA4F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4B3EA31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4B10362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3B7CE6D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0E25F32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C99EBA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79033E8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7614360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2F8F23D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7633C5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2170443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69E11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447879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51DB27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23B0704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2BD28BA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2641AA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0419403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140CF67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0E1CE3D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5B84B3E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446906C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0BE3367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336E33B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126D4B3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4D218C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0AEF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44E43F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DA010</w:t>
                  </w:r>
                </w:p>
              </w:tc>
              <w:tc>
                <w:tcPr>
                  <w:tcW w:w="878" w:type="dxa"/>
                  <w:shd w:val="clear" w:color="auto" w:fill="auto"/>
                  <w:vAlign w:val="center"/>
                </w:tcPr>
                <w:p w14:paraId="3FAD4B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vMerge w:val="restart"/>
                  <w:shd w:val="clear" w:color="auto" w:fill="auto"/>
                  <w:vAlign w:val="center"/>
                </w:tcPr>
                <w:p w14:paraId="664A54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60617E9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058" w:type="dxa"/>
                  <w:shd w:val="clear" w:color="auto" w:fill="auto"/>
                  <w:vAlign w:val="center"/>
                </w:tcPr>
                <w:p w14:paraId="02CCFA3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064" w:type="dxa"/>
                  <w:shd w:val="clear" w:color="auto" w:fill="auto"/>
                  <w:vAlign w:val="center"/>
                </w:tcPr>
                <w:p w14:paraId="2CC88C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114" w:type="dxa"/>
                  <w:vMerge w:val="restart"/>
                  <w:shd w:val="clear" w:color="auto" w:fill="auto"/>
                  <w:vAlign w:val="center"/>
                </w:tcPr>
                <w:p w14:paraId="3C4AEF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34" w:type="dxa"/>
                  <w:shd w:val="clear" w:color="auto" w:fill="auto"/>
                  <w:vAlign w:val="center"/>
                </w:tcPr>
                <w:p w14:paraId="7BE2F4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7C7214C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0.00492</w:t>
                  </w:r>
                </w:p>
              </w:tc>
              <w:tc>
                <w:tcPr>
                  <w:tcW w:w="1129" w:type="dxa"/>
                  <w:shd w:val="clear" w:color="auto" w:fill="auto"/>
                  <w:vAlign w:val="center"/>
                </w:tcPr>
                <w:p w14:paraId="5D0A29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0.00473</w:t>
                  </w:r>
                </w:p>
              </w:tc>
              <w:tc>
                <w:tcPr>
                  <w:tcW w:w="1112" w:type="dxa"/>
                  <w:shd w:val="clear" w:color="auto" w:fill="auto"/>
                  <w:vAlign w:val="center"/>
                </w:tcPr>
                <w:p w14:paraId="644409D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0.946</w:t>
                  </w:r>
                </w:p>
              </w:tc>
              <w:tc>
                <w:tcPr>
                  <w:tcW w:w="686" w:type="dxa"/>
                  <w:vMerge w:val="restart"/>
                  <w:shd w:val="clear" w:color="auto" w:fill="auto"/>
                  <w:vAlign w:val="center"/>
                </w:tcPr>
                <w:p w14:paraId="1E0CDB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407EDD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5000</w:t>
                  </w:r>
                </w:p>
              </w:tc>
              <w:tc>
                <w:tcPr>
                  <w:tcW w:w="506" w:type="dxa"/>
                  <w:vMerge w:val="restart"/>
                  <w:shd w:val="clear" w:color="auto" w:fill="auto"/>
                  <w:noWrap/>
                  <w:vAlign w:val="center"/>
                </w:tcPr>
                <w:p w14:paraId="17F4EC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2E13A5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5DA63E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3E0B09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vMerge w:val="continue"/>
                  <w:shd w:val="clear" w:color="auto" w:fill="auto"/>
                  <w:vAlign w:val="center"/>
                </w:tcPr>
                <w:p w14:paraId="04CFC28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5BF20FC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058" w:type="dxa"/>
                  <w:shd w:val="clear" w:color="auto" w:fill="auto"/>
                  <w:vAlign w:val="center"/>
                </w:tcPr>
                <w:p w14:paraId="4EB74FA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064" w:type="dxa"/>
                  <w:shd w:val="clear" w:color="auto" w:fill="auto"/>
                  <w:vAlign w:val="center"/>
                </w:tcPr>
                <w:p w14:paraId="7953C13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114" w:type="dxa"/>
                  <w:vMerge w:val="continue"/>
                  <w:shd w:val="clear" w:color="auto" w:fill="auto"/>
                  <w:vAlign w:val="center"/>
                </w:tcPr>
                <w:p w14:paraId="2F61263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5403FDE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08E7FC0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0.0000976</w:t>
                  </w:r>
                </w:p>
              </w:tc>
              <w:tc>
                <w:tcPr>
                  <w:tcW w:w="1129" w:type="dxa"/>
                  <w:shd w:val="clear" w:color="auto" w:fill="auto"/>
                  <w:vAlign w:val="center"/>
                </w:tcPr>
                <w:p w14:paraId="061DB2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0.0000938</w:t>
                  </w:r>
                </w:p>
              </w:tc>
              <w:tc>
                <w:tcPr>
                  <w:tcW w:w="1112" w:type="dxa"/>
                  <w:shd w:val="clear" w:color="auto" w:fill="auto"/>
                  <w:vAlign w:val="center"/>
                </w:tcPr>
                <w:p w14:paraId="4F11B55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0.0188</w:t>
                  </w:r>
                </w:p>
              </w:tc>
              <w:tc>
                <w:tcPr>
                  <w:tcW w:w="686" w:type="dxa"/>
                  <w:vMerge w:val="continue"/>
                  <w:shd w:val="clear" w:color="auto" w:fill="auto"/>
                  <w:vAlign w:val="center"/>
                </w:tcPr>
                <w:p w14:paraId="5D4BD18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47A684D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792656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791E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E29724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6F4684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vMerge w:val="continue"/>
                  <w:shd w:val="clear" w:color="auto" w:fill="auto"/>
                  <w:vAlign w:val="center"/>
                </w:tcPr>
                <w:p w14:paraId="07D230E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3C95860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058" w:type="dxa"/>
                  <w:shd w:val="clear" w:color="auto" w:fill="auto"/>
                  <w:vAlign w:val="center"/>
                </w:tcPr>
                <w:p w14:paraId="3611EA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064" w:type="dxa"/>
                  <w:shd w:val="clear" w:color="auto" w:fill="auto"/>
                  <w:vAlign w:val="center"/>
                </w:tcPr>
                <w:p w14:paraId="4BE1E16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114" w:type="dxa"/>
                  <w:vMerge w:val="continue"/>
                  <w:shd w:val="clear" w:color="auto" w:fill="auto"/>
                  <w:vAlign w:val="center"/>
                </w:tcPr>
                <w:p w14:paraId="6BA461C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1581A64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343DC4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0.00518</w:t>
                  </w:r>
                </w:p>
              </w:tc>
              <w:tc>
                <w:tcPr>
                  <w:tcW w:w="1129" w:type="dxa"/>
                  <w:shd w:val="clear" w:color="auto" w:fill="auto"/>
                  <w:vAlign w:val="center"/>
                </w:tcPr>
                <w:p w14:paraId="7F427C4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0.00498</w:t>
                  </w:r>
                </w:p>
              </w:tc>
              <w:tc>
                <w:tcPr>
                  <w:tcW w:w="1112" w:type="dxa"/>
                  <w:shd w:val="clear" w:color="auto" w:fill="auto"/>
                  <w:vAlign w:val="center"/>
                </w:tcPr>
                <w:p w14:paraId="53A3EDD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0.996</w:t>
                  </w:r>
                </w:p>
              </w:tc>
              <w:tc>
                <w:tcPr>
                  <w:tcW w:w="686" w:type="dxa"/>
                  <w:vMerge w:val="continue"/>
                  <w:shd w:val="clear" w:color="auto" w:fill="auto"/>
                  <w:vAlign w:val="center"/>
                </w:tcPr>
                <w:p w14:paraId="3A50B5C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6168F0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20A296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E099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6CC59F2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878" w:type="dxa"/>
                  <w:shd w:val="clear" w:color="auto" w:fill="auto"/>
                  <w:vAlign w:val="center"/>
                </w:tcPr>
                <w:p w14:paraId="2404AD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vMerge w:val="continue"/>
                  <w:shd w:val="clear" w:color="auto" w:fill="auto"/>
                  <w:vAlign w:val="center"/>
                </w:tcPr>
                <w:p w14:paraId="7FC0CE1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058" w:type="dxa"/>
                  <w:shd w:val="clear" w:color="auto" w:fill="auto"/>
                  <w:vAlign w:val="center"/>
                </w:tcPr>
                <w:p w14:paraId="758515E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058" w:type="dxa"/>
                  <w:shd w:val="clear" w:color="auto" w:fill="auto"/>
                  <w:vAlign w:val="center"/>
                </w:tcPr>
                <w:p w14:paraId="45F33FE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064" w:type="dxa"/>
                  <w:shd w:val="clear" w:color="auto" w:fill="auto"/>
                  <w:vAlign w:val="center"/>
                </w:tcPr>
                <w:p w14:paraId="335D1B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114" w:type="dxa"/>
                  <w:vMerge w:val="continue"/>
                  <w:shd w:val="clear" w:color="auto" w:fill="auto"/>
                  <w:vAlign w:val="center"/>
                </w:tcPr>
                <w:p w14:paraId="4B49903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34" w:type="dxa"/>
                  <w:shd w:val="clear" w:color="auto" w:fill="auto"/>
                  <w:vAlign w:val="center"/>
                </w:tcPr>
                <w:p w14:paraId="4427E47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w:t>
                  </w:r>
                </w:p>
              </w:tc>
              <w:tc>
                <w:tcPr>
                  <w:tcW w:w="1121" w:type="dxa"/>
                  <w:shd w:val="clear" w:color="auto" w:fill="auto"/>
                  <w:vAlign w:val="center"/>
                </w:tcPr>
                <w:p w14:paraId="668E372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0.000823</w:t>
                  </w:r>
                </w:p>
              </w:tc>
              <w:tc>
                <w:tcPr>
                  <w:tcW w:w="1129" w:type="dxa"/>
                  <w:shd w:val="clear" w:color="auto" w:fill="auto"/>
                  <w:vAlign w:val="center"/>
                </w:tcPr>
                <w:p w14:paraId="6289882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112" w:type="dxa"/>
                  <w:shd w:val="clear" w:color="auto" w:fill="auto"/>
                  <w:vAlign w:val="center"/>
                </w:tcPr>
                <w:p w14:paraId="6B684DA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0.158</w:t>
                  </w:r>
                </w:p>
              </w:tc>
              <w:tc>
                <w:tcPr>
                  <w:tcW w:w="686" w:type="dxa"/>
                  <w:vMerge w:val="continue"/>
                  <w:shd w:val="clear" w:color="auto" w:fill="auto"/>
                  <w:vAlign w:val="center"/>
                </w:tcPr>
                <w:p w14:paraId="15B2A7F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693" w:type="dxa"/>
                  <w:vMerge w:val="continue"/>
                  <w:shd w:val="clear" w:color="auto" w:fill="auto"/>
                  <w:noWrap/>
                  <w:vAlign w:val="center"/>
                </w:tcPr>
                <w:p w14:paraId="5E9142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506" w:type="dxa"/>
                  <w:vMerge w:val="continue"/>
                  <w:shd w:val="clear" w:color="auto" w:fill="auto"/>
                  <w:noWrap/>
                  <w:vAlign w:val="center"/>
                </w:tcPr>
                <w:p w14:paraId="07A9DF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24350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529CA4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DA011</w:t>
                  </w:r>
                </w:p>
              </w:tc>
              <w:tc>
                <w:tcPr>
                  <w:tcW w:w="878" w:type="dxa"/>
                  <w:shd w:val="clear" w:color="auto" w:fill="auto"/>
                  <w:vAlign w:val="center"/>
                </w:tcPr>
                <w:p w14:paraId="5FD9AB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698" w:type="dxa"/>
                  <w:shd w:val="clear" w:color="auto" w:fill="auto"/>
                  <w:vAlign w:val="center"/>
                </w:tcPr>
                <w:p w14:paraId="45ED9A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7F2AE2C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058" w:type="dxa"/>
                  <w:shd w:val="clear" w:color="auto" w:fill="auto"/>
                  <w:vAlign w:val="center"/>
                </w:tcPr>
                <w:p w14:paraId="7937F8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064" w:type="dxa"/>
                  <w:shd w:val="clear" w:color="auto" w:fill="auto"/>
                  <w:vAlign w:val="center"/>
                </w:tcPr>
                <w:p w14:paraId="56C3F47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114" w:type="dxa"/>
                  <w:vMerge w:val="restart"/>
                  <w:shd w:val="clear" w:color="auto" w:fill="auto"/>
                  <w:vAlign w:val="center"/>
                </w:tcPr>
                <w:p w14:paraId="7FD482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34" w:type="dxa"/>
                  <w:shd w:val="clear" w:color="auto" w:fill="auto"/>
                  <w:vAlign w:val="center"/>
                </w:tcPr>
                <w:p w14:paraId="2374ED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01FA26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0.00397</w:t>
                  </w:r>
                </w:p>
              </w:tc>
              <w:tc>
                <w:tcPr>
                  <w:tcW w:w="1129" w:type="dxa"/>
                  <w:shd w:val="clear" w:color="auto" w:fill="auto"/>
                  <w:vAlign w:val="center"/>
                </w:tcPr>
                <w:p w14:paraId="3CC670D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0.00382</w:t>
                  </w:r>
                </w:p>
              </w:tc>
              <w:tc>
                <w:tcPr>
                  <w:tcW w:w="1112" w:type="dxa"/>
                  <w:shd w:val="clear" w:color="auto" w:fill="auto"/>
                  <w:vAlign w:val="center"/>
                </w:tcPr>
                <w:p w14:paraId="2B63FF9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0.546</w:t>
                  </w:r>
                </w:p>
              </w:tc>
              <w:tc>
                <w:tcPr>
                  <w:tcW w:w="686" w:type="dxa"/>
                  <w:vMerge w:val="restart"/>
                  <w:shd w:val="clear" w:color="auto" w:fill="auto"/>
                  <w:vAlign w:val="center"/>
                </w:tcPr>
                <w:p w14:paraId="01A38C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vMerge w:val="restart"/>
                  <w:shd w:val="clear" w:color="auto" w:fill="auto"/>
                  <w:noWrap/>
                  <w:vAlign w:val="center"/>
                </w:tcPr>
                <w:p w14:paraId="5AA350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7</w:t>
                  </w:r>
                  <w:r>
                    <w:rPr>
                      <w:rFonts w:hint="default" w:ascii="Times New Roman" w:hAnsi="Times New Roman" w:cs="Times New Roman" w:eastAsiaTheme="minorEastAsia"/>
                      <w:i w:val="0"/>
                      <w:iCs w:val="0"/>
                      <w:color w:val="auto"/>
                      <w:kern w:val="0"/>
                      <w:sz w:val="21"/>
                      <w:szCs w:val="21"/>
                      <w:highlight w:val="none"/>
                      <w:u w:val="none"/>
                      <w:lang w:val="en-US" w:eastAsia="zh-CN" w:bidi="ar"/>
                    </w:rPr>
                    <w:t>000</w:t>
                  </w:r>
                </w:p>
              </w:tc>
              <w:tc>
                <w:tcPr>
                  <w:tcW w:w="506" w:type="dxa"/>
                  <w:vMerge w:val="restart"/>
                  <w:shd w:val="clear" w:color="auto" w:fill="auto"/>
                  <w:noWrap/>
                  <w:vAlign w:val="center"/>
                </w:tcPr>
                <w:p w14:paraId="5F5EAF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49A725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712E43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2D2B161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甲醇</w:t>
                  </w:r>
                </w:p>
              </w:tc>
              <w:tc>
                <w:tcPr>
                  <w:tcW w:w="698" w:type="dxa"/>
                  <w:shd w:val="clear" w:color="auto" w:fill="auto"/>
                  <w:vAlign w:val="center"/>
                </w:tcPr>
                <w:p w14:paraId="19531B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4E4F63B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0.000506</w:t>
                  </w:r>
                </w:p>
              </w:tc>
              <w:tc>
                <w:tcPr>
                  <w:tcW w:w="1058" w:type="dxa"/>
                  <w:shd w:val="clear" w:color="auto" w:fill="auto"/>
                  <w:vAlign w:val="center"/>
                </w:tcPr>
                <w:p w14:paraId="7E46888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0.000487</w:t>
                  </w:r>
                </w:p>
              </w:tc>
              <w:tc>
                <w:tcPr>
                  <w:tcW w:w="1064" w:type="dxa"/>
                  <w:shd w:val="clear" w:color="auto" w:fill="auto"/>
                  <w:vAlign w:val="center"/>
                </w:tcPr>
                <w:p w14:paraId="36E807B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0.0695</w:t>
                  </w:r>
                </w:p>
              </w:tc>
              <w:tc>
                <w:tcPr>
                  <w:tcW w:w="1114" w:type="dxa"/>
                  <w:vMerge w:val="continue"/>
                  <w:shd w:val="clear" w:color="auto" w:fill="auto"/>
                  <w:vAlign w:val="center"/>
                </w:tcPr>
                <w:p w14:paraId="112944D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0E7694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1249A5A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0.000415</w:t>
                  </w:r>
                </w:p>
              </w:tc>
              <w:tc>
                <w:tcPr>
                  <w:tcW w:w="1129" w:type="dxa"/>
                  <w:shd w:val="clear" w:color="auto" w:fill="auto"/>
                  <w:vAlign w:val="center"/>
                </w:tcPr>
                <w:p w14:paraId="40BE37F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0.000399</w:t>
                  </w:r>
                </w:p>
              </w:tc>
              <w:tc>
                <w:tcPr>
                  <w:tcW w:w="1112" w:type="dxa"/>
                  <w:shd w:val="clear" w:color="auto" w:fill="auto"/>
                  <w:vAlign w:val="center"/>
                </w:tcPr>
                <w:p w14:paraId="5E296C1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0.0570</w:t>
                  </w:r>
                </w:p>
              </w:tc>
              <w:tc>
                <w:tcPr>
                  <w:tcW w:w="686" w:type="dxa"/>
                  <w:vMerge w:val="continue"/>
                  <w:shd w:val="clear" w:color="auto" w:fill="auto"/>
                  <w:vAlign w:val="center"/>
                </w:tcPr>
                <w:p w14:paraId="08BF0A2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693" w:type="dxa"/>
                  <w:vMerge w:val="continue"/>
                  <w:shd w:val="clear" w:color="auto" w:fill="auto"/>
                  <w:noWrap/>
                  <w:vAlign w:val="center"/>
                </w:tcPr>
                <w:p w14:paraId="2C22A8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506" w:type="dxa"/>
                  <w:vMerge w:val="continue"/>
                  <w:shd w:val="clear" w:color="auto" w:fill="auto"/>
                  <w:noWrap/>
                  <w:vAlign w:val="center"/>
                </w:tcPr>
                <w:p w14:paraId="6706A4B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F469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28101A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7F531F2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甲苯</w:t>
                  </w:r>
                </w:p>
              </w:tc>
              <w:tc>
                <w:tcPr>
                  <w:tcW w:w="698" w:type="dxa"/>
                  <w:shd w:val="clear" w:color="auto" w:fill="auto"/>
                  <w:vAlign w:val="center"/>
                </w:tcPr>
                <w:p w14:paraId="18FF38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18D8516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0.00140</w:t>
                  </w:r>
                </w:p>
              </w:tc>
              <w:tc>
                <w:tcPr>
                  <w:tcW w:w="1058" w:type="dxa"/>
                  <w:shd w:val="clear" w:color="auto" w:fill="auto"/>
                  <w:vAlign w:val="center"/>
                </w:tcPr>
                <w:p w14:paraId="5FB28BE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0.00134</w:t>
                  </w:r>
                </w:p>
              </w:tc>
              <w:tc>
                <w:tcPr>
                  <w:tcW w:w="1064" w:type="dxa"/>
                  <w:shd w:val="clear" w:color="auto" w:fill="auto"/>
                  <w:vAlign w:val="center"/>
                </w:tcPr>
                <w:p w14:paraId="6D33BC5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0.192</w:t>
                  </w:r>
                </w:p>
              </w:tc>
              <w:tc>
                <w:tcPr>
                  <w:tcW w:w="1114" w:type="dxa"/>
                  <w:vMerge w:val="continue"/>
                  <w:shd w:val="clear" w:color="auto" w:fill="auto"/>
                  <w:vAlign w:val="center"/>
                </w:tcPr>
                <w:p w14:paraId="5AA27C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585915D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1A03723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0.00114</w:t>
                  </w:r>
                </w:p>
              </w:tc>
              <w:tc>
                <w:tcPr>
                  <w:tcW w:w="1129" w:type="dxa"/>
                  <w:shd w:val="clear" w:color="auto" w:fill="auto"/>
                  <w:vAlign w:val="center"/>
                </w:tcPr>
                <w:p w14:paraId="5B3E2FA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0.001100</w:t>
                  </w:r>
                </w:p>
              </w:tc>
              <w:tc>
                <w:tcPr>
                  <w:tcW w:w="1112" w:type="dxa"/>
                  <w:shd w:val="clear" w:color="auto" w:fill="auto"/>
                  <w:vAlign w:val="center"/>
                </w:tcPr>
                <w:p w14:paraId="310E994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0.157</w:t>
                  </w:r>
                </w:p>
              </w:tc>
              <w:tc>
                <w:tcPr>
                  <w:tcW w:w="686" w:type="dxa"/>
                  <w:vMerge w:val="continue"/>
                  <w:shd w:val="clear" w:color="auto" w:fill="auto"/>
                  <w:vAlign w:val="center"/>
                </w:tcPr>
                <w:p w14:paraId="553F66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693" w:type="dxa"/>
                  <w:vMerge w:val="continue"/>
                  <w:shd w:val="clear" w:color="auto" w:fill="auto"/>
                  <w:noWrap/>
                  <w:vAlign w:val="center"/>
                </w:tcPr>
                <w:p w14:paraId="2EB76B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506" w:type="dxa"/>
                  <w:vMerge w:val="continue"/>
                  <w:shd w:val="clear" w:color="auto" w:fill="auto"/>
                  <w:noWrap/>
                  <w:vAlign w:val="center"/>
                </w:tcPr>
                <w:p w14:paraId="690376B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AEAAD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799007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4456301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三氯甲烷</w:t>
                  </w:r>
                </w:p>
              </w:tc>
              <w:tc>
                <w:tcPr>
                  <w:tcW w:w="698" w:type="dxa"/>
                  <w:shd w:val="clear" w:color="auto" w:fill="auto"/>
                  <w:vAlign w:val="center"/>
                </w:tcPr>
                <w:p w14:paraId="1306FD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55EB380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w:t>
                  </w:r>
                </w:p>
              </w:tc>
              <w:tc>
                <w:tcPr>
                  <w:tcW w:w="1058" w:type="dxa"/>
                  <w:shd w:val="clear" w:color="auto" w:fill="auto"/>
                  <w:vAlign w:val="center"/>
                </w:tcPr>
                <w:p w14:paraId="6FC7894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0.000462</w:t>
                  </w:r>
                </w:p>
              </w:tc>
              <w:tc>
                <w:tcPr>
                  <w:tcW w:w="1064" w:type="dxa"/>
                  <w:shd w:val="clear" w:color="auto" w:fill="auto"/>
                  <w:vAlign w:val="center"/>
                </w:tcPr>
                <w:p w14:paraId="15192E2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0.0659</w:t>
                  </w:r>
                </w:p>
              </w:tc>
              <w:tc>
                <w:tcPr>
                  <w:tcW w:w="1114" w:type="dxa"/>
                  <w:vMerge w:val="continue"/>
                  <w:shd w:val="clear" w:color="auto" w:fill="auto"/>
                  <w:vAlign w:val="center"/>
                </w:tcPr>
                <w:p w14:paraId="194C4B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236FD0B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0E96F06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0.000394</w:t>
                  </w:r>
                </w:p>
              </w:tc>
              <w:tc>
                <w:tcPr>
                  <w:tcW w:w="1129" w:type="dxa"/>
                  <w:shd w:val="clear" w:color="auto" w:fill="auto"/>
                  <w:vAlign w:val="center"/>
                </w:tcPr>
                <w:p w14:paraId="0057664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0.000378</w:t>
                  </w:r>
                </w:p>
              </w:tc>
              <w:tc>
                <w:tcPr>
                  <w:tcW w:w="1112" w:type="dxa"/>
                  <w:shd w:val="clear" w:color="auto" w:fill="auto"/>
                  <w:vAlign w:val="center"/>
                </w:tcPr>
                <w:p w14:paraId="6D1668E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0.0541</w:t>
                  </w:r>
                </w:p>
              </w:tc>
              <w:tc>
                <w:tcPr>
                  <w:tcW w:w="686" w:type="dxa"/>
                  <w:vMerge w:val="continue"/>
                  <w:shd w:val="clear" w:color="auto" w:fill="auto"/>
                  <w:vAlign w:val="center"/>
                </w:tcPr>
                <w:p w14:paraId="07B631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693" w:type="dxa"/>
                  <w:vMerge w:val="continue"/>
                  <w:shd w:val="clear" w:color="auto" w:fill="auto"/>
                  <w:noWrap/>
                  <w:vAlign w:val="center"/>
                </w:tcPr>
                <w:p w14:paraId="7C0265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506" w:type="dxa"/>
                  <w:vMerge w:val="continue"/>
                  <w:shd w:val="clear" w:color="auto" w:fill="auto"/>
                  <w:noWrap/>
                  <w:vAlign w:val="center"/>
                </w:tcPr>
                <w:p w14:paraId="3D1BEB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1DB5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4DFC32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0F43BF3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二氯甲烷</w:t>
                  </w:r>
                </w:p>
              </w:tc>
              <w:tc>
                <w:tcPr>
                  <w:tcW w:w="698" w:type="dxa"/>
                  <w:shd w:val="clear" w:color="auto" w:fill="auto"/>
                  <w:vAlign w:val="center"/>
                </w:tcPr>
                <w:p w14:paraId="57F63A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1468FF9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0.000426</w:t>
                  </w:r>
                </w:p>
              </w:tc>
              <w:tc>
                <w:tcPr>
                  <w:tcW w:w="1058" w:type="dxa"/>
                  <w:shd w:val="clear" w:color="auto" w:fill="auto"/>
                  <w:vAlign w:val="center"/>
                </w:tcPr>
                <w:p w14:paraId="01CBE99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0.000409</w:t>
                  </w:r>
                </w:p>
              </w:tc>
              <w:tc>
                <w:tcPr>
                  <w:tcW w:w="1064" w:type="dxa"/>
                  <w:shd w:val="clear" w:color="auto" w:fill="auto"/>
                  <w:vAlign w:val="center"/>
                </w:tcPr>
                <w:p w14:paraId="5CDA601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0.0585</w:t>
                  </w:r>
                </w:p>
              </w:tc>
              <w:tc>
                <w:tcPr>
                  <w:tcW w:w="1114" w:type="dxa"/>
                  <w:vMerge w:val="continue"/>
                  <w:shd w:val="clear" w:color="auto" w:fill="auto"/>
                  <w:vAlign w:val="center"/>
                </w:tcPr>
                <w:p w14:paraId="385FD30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21CF93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65995F4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0.000349</w:t>
                  </w:r>
                </w:p>
              </w:tc>
              <w:tc>
                <w:tcPr>
                  <w:tcW w:w="1129" w:type="dxa"/>
                  <w:shd w:val="clear" w:color="auto" w:fill="auto"/>
                  <w:vAlign w:val="center"/>
                </w:tcPr>
                <w:p w14:paraId="12AAD28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0.000336</w:t>
                  </w:r>
                </w:p>
              </w:tc>
              <w:tc>
                <w:tcPr>
                  <w:tcW w:w="1112" w:type="dxa"/>
                  <w:shd w:val="clear" w:color="auto" w:fill="auto"/>
                  <w:vAlign w:val="center"/>
                </w:tcPr>
                <w:p w14:paraId="79A8E81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0.0479</w:t>
                  </w:r>
                </w:p>
              </w:tc>
              <w:tc>
                <w:tcPr>
                  <w:tcW w:w="686" w:type="dxa"/>
                  <w:vMerge w:val="continue"/>
                  <w:shd w:val="clear" w:color="auto" w:fill="auto"/>
                  <w:vAlign w:val="center"/>
                </w:tcPr>
                <w:p w14:paraId="719F82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693" w:type="dxa"/>
                  <w:vMerge w:val="continue"/>
                  <w:shd w:val="clear" w:color="auto" w:fill="auto"/>
                  <w:noWrap/>
                  <w:vAlign w:val="center"/>
                </w:tcPr>
                <w:p w14:paraId="39B9B7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506" w:type="dxa"/>
                  <w:vMerge w:val="continue"/>
                  <w:shd w:val="clear" w:color="auto" w:fill="auto"/>
                  <w:noWrap/>
                  <w:vAlign w:val="center"/>
                </w:tcPr>
                <w:p w14:paraId="58EC1A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3099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shd w:val="clear" w:color="auto" w:fill="auto"/>
                  <w:vAlign w:val="center"/>
                </w:tcPr>
                <w:p w14:paraId="3FB929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DA012</w:t>
                  </w:r>
                </w:p>
              </w:tc>
              <w:tc>
                <w:tcPr>
                  <w:tcW w:w="878" w:type="dxa"/>
                  <w:shd w:val="clear" w:color="auto" w:fill="auto"/>
                  <w:vAlign w:val="center"/>
                </w:tcPr>
                <w:p w14:paraId="65C45B9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698" w:type="dxa"/>
                  <w:shd w:val="clear" w:color="auto" w:fill="auto"/>
                  <w:vAlign w:val="center"/>
                </w:tcPr>
                <w:p w14:paraId="084D52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422B341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058" w:type="dxa"/>
                  <w:shd w:val="clear" w:color="auto" w:fill="auto"/>
                  <w:vAlign w:val="center"/>
                </w:tcPr>
                <w:p w14:paraId="22EE0F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064" w:type="dxa"/>
                  <w:shd w:val="clear" w:color="auto" w:fill="auto"/>
                  <w:vAlign w:val="center"/>
                </w:tcPr>
                <w:p w14:paraId="5A9ADD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114" w:type="dxa"/>
                  <w:shd w:val="clear" w:color="auto" w:fill="auto"/>
                  <w:vAlign w:val="center"/>
                </w:tcPr>
                <w:p w14:paraId="41E211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34" w:type="dxa"/>
                  <w:shd w:val="clear" w:color="auto" w:fill="auto"/>
                  <w:vAlign w:val="center"/>
                </w:tcPr>
                <w:p w14:paraId="4F203A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0D26BA8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0.00397</w:t>
                  </w:r>
                </w:p>
              </w:tc>
              <w:tc>
                <w:tcPr>
                  <w:tcW w:w="1129" w:type="dxa"/>
                  <w:shd w:val="clear" w:color="auto" w:fill="auto"/>
                  <w:vAlign w:val="center"/>
                </w:tcPr>
                <w:p w14:paraId="08A560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0.00382</w:t>
                  </w:r>
                </w:p>
              </w:tc>
              <w:tc>
                <w:tcPr>
                  <w:tcW w:w="1112" w:type="dxa"/>
                  <w:shd w:val="clear" w:color="auto" w:fill="auto"/>
                  <w:vAlign w:val="center"/>
                </w:tcPr>
                <w:p w14:paraId="0FF931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0.546</w:t>
                  </w:r>
                </w:p>
              </w:tc>
              <w:tc>
                <w:tcPr>
                  <w:tcW w:w="686" w:type="dxa"/>
                  <w:shd w:val="clear" w:color="auto" w:fill="auto"/>
                  <w:vAlign w:val="center"/>
                </w:tcPr>
                <w:p w14:paraId="104CFB9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02BA9E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7000</w:t>
                  </w:r>
                </w:p>
              </w:tc>
              <w:tc>
                <w:tcPr>
                  <w:tcW w:w="506" w:type="dxa"/>
                  <w:shd w:val="clear" w:color="auto" w:fill="auto"/>
                  <w:noWrap/>
                  <w:vAlign w:val="center"/>
                </w:tcPr>
                <w:p w14:paraId="02A6BD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42732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shd w:val="clear" w:color="auto" w:fill="auto"/>
                  <w:vAlign w:val="center"/>
                </w:tcPr>
                <w:p w14:paraId="0C45B0F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DA013</w:t>
                  </w:r>
                </w:p>
              </w:tc>
              <w:tc>
                <w:tcPr>
                  <w:tcW w:w="878" w:type="dxa"/>
                  <w:shd w:val="clear" w:color="auto" w:fill="auto"/>
                  <w:vAlign w:val="center"/>
                </w:tcPr>
                <w:p w14:paraId="5AF8EC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698" w:type="dxa"/>
                  <w:shd w:val="clear" w:color="auto" w:fill="auto"/>
                  <w:vAlign w:val="center"/>
                </w:tcPr>
                <w:p w14:paraId="547B57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4E8F406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058" w:type="dxa"/>
                  <w:shd w:val="clear" w:color="auto" w:fill="auto"/>
                  <w:vAlign w:val="center"/>
                </w:tcPr>
                <w:p w14:paraId="6D1F7F6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064" w:type="dxa"/>
                  <w:shd w:val="clear" w:color="auto" w:fill="auto"/>
                  <w:vAlign w:val="center"/>
                </w:tcPr>
                <w:p w14:paraId="4960EB3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114" w:type="dxa"/>
                  <w:shd w:val="clear" w:color="auto" w:fill="auto"/>
                  <w:vAlign w:val="center"/>
                </w:tcPr>
                <w:p w14:paraId="425CE50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34" w:type="dxa"/>
                  <w:shd w:val="clear" w:color="auto" w:fill="auto"/>
                  <w:vAlign w:val="center"/>
                </w:tcPr>
                <w:p w14:paraId="487450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632C02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0.00397</w:t>
                  </w:r>
                </w:p>
              </w:tc>
              <w:tc>
                <w:tcPr>
                  <w:tcW w:w="1129" w:type="dxa"/>
                  <w:shd w:val="clear" w:color="auto" w:fill="auto"/>
                  <w:vAlign w:val="center"/>
                </w:tcPr>
                <w:p w14:paraId="1E3EFB5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0.00382</w:t>
                  </w:r>
                </w:p>
              </w:tc>
              <w:tc>
                <w:tcPr>
                  <w:tcW w:w="1112" w:type="dxa"/>
                  <w:shd w:val="clear" w:color="auto" w:fill="auto"/>
                  <w:vAlign w:val="center"/>
                </w:tcPr>
                <w:p w14:paraId="5070A53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0.546</w:t>
                  </w:r>
                </w:p>
              </w:tc>
              <w:tc>
                <w:tcPr>
                  <w:tcW w:w="686" w:type="dxa"/>
                  <w:shd w:val="clear" w:color="auto" w:fill="auto"/>
                  <w:vAlign w:val="center"/>
                </w:tcPr>
                <w:p w14:paraId="193E78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4FFE67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7000</w:t>
                  </w:r>
                </w:p>
              </w:tc>
              <w:tc>
                <w:tcPr>
                  <w:tcW w:w="506" w:type="dxa"/>
                  <w:shd w:val="clear" w:color="auto" w:fill="auto"/>
                  <w:noWrap/>
                  <w:vAlign w:val="center"/>
                </w:tcPr>
                <w:p w14:paraId="146D87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2E752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shd w:val="clear" w:color="auto" w:fill="auto"/>
                  <w:vAlign w:val="center"/>
                </w:tcPr>
                <w:p w14:paraId="5CEE5C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DA014</w:t>
                  </w:r>
                </w:p>
              </w:tc>
              <w:tc>
                <w:tcPr>
                  <w:tcW w:w="878" w:type="dxa"/>
                  <w:shd w:val="clear" w:color="auto" w:fill="auto"/>
                  <w:vAlign w:val="center"/>
                </w:tcPr>
                <w:p w14:paraId="6B38AD3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698" w:type="dxa"/>
                  <w:shd w:val="clear" w:color="auto" w:fill="auto"/>
                  <w:vAlign w:val="center"/>
                </w:tcPr>
                <w:p w14:paraId="200809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4391C1D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058" w:type="dxa"/>
                  <w:shd w:val="clear" w:color="auto" w:fill="auto"/>
                  <w:vAlign w:val="center"/>
                </w:tcPr>
                <w:p w14:paraId="6AC68BD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064" w:type="dxa"/>
                  <w:shd w:val="clear" w:color="auto" w:fill="auto"/>
                  <w:vAlign w:val="center"/>
                </w:tcPr>
                <w:p w14:paraId="33172AD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0.518</w:t>
                  </w:r>
                </w:p>
              </w:tc>
              <w:tc>
                <w:tcPr>
                  <w:tcW w:w="1114" w:type="dxa"/>
                  <w:shd w:val="clear" w:color="auto" w:fill="auto"/>
                  <w:vAlign w:val="center"/>
                </w:tcPr>
                <w:p w14:paraId="2B46B2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34" w:type="dxa"/>
                  <w:shd w:val="clear" w:color="auto" w:fill="auto"/>
                  <w:vAlign w:val="center"/>
                </w:tcPr>
                <w:p w14:paraId="5B2B28F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18</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2F0222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0.00397</w:t>
                  </w:r>
                </w:p>
              </w:tc>
              <w:tc>
                <w:tcPr>
                  <w:tcW w:w="1129" w:type="dxa"/>
                  <w:shd w:val="clear" w:color="auto" w:fill="auto"/>
                  <w:vAlign w:val="center"/>
                </w:tcPr>
                <w:p w14:paraId="0ECE13C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0.00382</w:t>
                  </w:r>
                </w:p>
              </w:tc>
              <w:tc>
                <w:tcPr>
                  <w:tcW w:w="1112" w:type="dxa"/>
                  <w:shd w:val="clear" w:color="auto" w:fill="auto"/>
                  <w:vAlign w:val="center"/>
                </w:tcPr>
                <w:p w14:paraId="58E46D8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0.425</w:t>
                  </w:r>
                </w:p>
              </w:tc>
              <w:tc>
                <w:tcPr>
                  <w:tcW w:w="686" w:type="dxa"/>
                  <w:shd w:val="clear" w:color="auto" w:fill="auto"/>
                  <w:vAlign w:val="center"/>
                </w:tcPr>
                <w:p w14:paraId="7FB6CE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1DDFAC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9</w:t>
                  </w:r>
                  <w:r>
                    <w:rPr>
                      <w:rFonts w:hint="default" w:ascii="Times New Roman" w:hAnsi="Times New Roman" w:cs="Times New Roman" w:eastAsiaTheme="minorEastAsia"/>
                      <w:i w:val="0"/>
                      <w:iCs w:val="0"/>
                      <w:color w:val="auto"/>
                      <w:kern w:val="0"/>
                      <w:sz w:val="21"/>
                      <w:szCs w:val="21"/>
                      <w:highlight w:val="none"/>
                      <w:u w:val="none"/>
                      <w:lang w:val="en-US" w:eastAsia="zh-CN" w:bidi="ar"/>
                    </w:rPr>
                    <w:t>000</w:t>
                  </w:r>
                </w:p>
              </w:tc>
              <w:tc>
                <w:tcPr>
                  <w:tcW w:w="506" w:type="dxa"/>
                  <w:shd w:val="clear" w:color="auto" w:fill="auto"/>
                  <w:noWrap/>
                  <w:vAlign w:val="center"/>
                </w:tcPr>
                <w:p w14:paraId="0C2F65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依托</w:t>
                  </w:r>
                </w:p>
              </w:tc>
            </w:tr>
            <w:tr w14:paraId="2DA0D1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shd w:val="clear" w:color="auto" w:fill="auto"/>
                  <w:vAlign w:val="center"/>
                </w:tcPr>
                <w:p w14:paraId="4143B9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DA015</w:t>
                  </w:r>
                </w:p>
              </w:tc>
              <w:tc>
                <w:tcPr>
                  <w:tcW w:w="878" w:type="dxa"/>
                  <w:shd w:val="clear" w:color="auto" w:fill="auto"/>
                  <w:vAlign w:val="center"/>
                </w:tcPr>
                <w:p w14:paraId="0C2523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颗粒物</w:t>
                  </w:r>
                </w:p>
              </w:tc>
              <w:tc>
                <w:tcPr>
                  <w:tcW w:w="698" w:type="dxa"/>
                  <w:shd w:val="clear" w:color="auto" w:fill="auto"/>
                  <w:vAlign w:val="center"/>
                </w:tcPr>
                <w:p w14:paraId="23477C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058" w:type="dxa"/>
                  <w:shd w:val="clear" w:color="auto" w:fill="auto"/>
                  <w:vAlign w:val="center"/>
                </w:tcPr>
                <w:p w14:paraId="7FB07D0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0.056</w:t>
                  </w:r>
                </w:p>
              </w:tc>
              <w:tc>
                <w:tcPr>
                  <w:tcW w:w="1058" w:type="dxa"/>
                  <w:shd w:val="clear" w:color="auto" w:fill="auto"/>
                  <w:vAlign w:val="center"/>
                </w:tcPr>
                <w:p w14:paraId="1F81C8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4" w:type="dxa"/>
                  <w:shd w:val="clear" w:color="auto" w:fill="auto"/>
                  <w:vAlign w:val="center"/>
                </w:tcPr>
                <w:p w14:paraId="11E1100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13.46</w:t>
                  </w:r>
                </w:p>
              </w:tc>
              <w:tc>
                <w:tcPr>
                  <w:tcW w:w="1114" w:type="dxa"/>
                  <w:shd w:val="clear" w:color="auto" w:fill="auto"/>
                  <w:vAlign w:val="center"/>
                </w:tcPr>
                <w:p w14:paraId="444212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ascii="Times New Roman" w:hAnsi="Times New Roman" w:cs="Times New Roman" w:eastAsiaTheme="minorEastAsia"/>
                      <w:i w:val="0"/>
                      <w:iCs w:val="0"/>
                      <w:color w:val="auto"/>
                      <w:kern w:val="0"/>
                      <w:sz w:val="21"/>
                      <w:szCs w:val="21"/>
                      <w:highlight w:val="none"/>
                      <w:u w:val="none"/>
                      <w:lang w:val="en-US" w:eastAsia="zh-CN" w:bidi="ar"/>
                    </w:rPr>
                    <w:t>三面围挡</w:t>
                  </w:r>
                  <w:r>
                    <w:rPr>
                      <w:rFonts w:hint="default" w:ascii="Times New Roman" w:hAnsi="Times New Roman" w:cs="Times New Roman" w:eastAsiaTheme="minorEastAsia"/>
                      <w:i w:val="0"/>
                      <w:iCs w:val="0"/>
                      <w:color w:val="auto"/>
                      <w:kern w:val="0"/>
                      <w:sz w:val="21"/>
                      <w:szCs w:val="21"/>
                      <w:highlight w:val="none"/>
                      <w:u w:val="none"/>
                      <w:lang w:val="en-US" w:eastAsia="zh-CN" w:bidi="ar"/>
                    </w:rPr>
                    <w:t>集气罩+布袋除尘器</w:t>
                  </w:r>
                </w:p>
              </w:tc>
              <w:tc>
                <w:tcPr>
                  <w:tcW w:w="734" w:type="dxa"/>
                  <w:shd w:val="clear" w:color="auto" w:fill="auto"/>
                  <w:vAlign w:val="center"/>
                </w:tcPr>
                <w:p w14:paraId="40F1DD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85%</w:t>
                  </w:r>
                </w:p>
              </w:tc>
              <w:tc>
                <w:tcPr>
                  <w:tcW w:w="1121" w:type="dxa"/>
                  <w:shd w:val="clear" w:color="auto" w:fill="auto"/>
                  <w:vAlign w:val="center"/>
                </w:tcPr>
                <w:p w14:paraId="5C867C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0.0084</w:t>
                  </w:r>
                </w:p>
              </w:tc>
              <w:tc>
                <w:tcPr>
                  <w:tcW w:w="1129" w:type="dxa"/>
                  <w:shd w:val="clear" w:color="auto" w:fill="auto"/>
                  <w:vAlign w:val="center"/>
                </w:tcPr>
                <w:p w14:paraId="23D0B73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w:t>
                  </w:r>
                </w:p>
              </w:tc>
              <w:tc>
                <w:tcPr>
                  <w:tcW w:w="1112" w:type="dxa"/>
                  <w:shd w:val="clear" w:color="auto" w:fill="auto"/>
                  <w:vAlign w:val="center"/>
                </w:tcPr>
                <w:p w14:paraId="0BB0CB0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2.02</w:t>
                  </w:r>
                </w:p>
              </w:tc>
              <w:tc>
                <w:tcPr>
                  <w:tcW w:w="686" w:type="dxa"/>
                  <w:shd w:val="clear" w:color="auto" w:fill="auto"/>
                  <w:vAlign w:val="center"/>
                </w:tcPr>
                <w:p w14:paraId="0033A1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2080</w:t>
                  </w:r>
                </w:p>
              </w:tc>
              <w:tc>
                <w:tcPr>
                  <w:tcW w:w="693" w:type="dxa"/>
                  <w:shd w:val="clear" w:color="auto" w:fill="auto"/>
                  <w:noWrap/>
                  <w:vAlign w:val="center"/>
                </w:tcPr>
                <w:p w14:paraId="2B0EB8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lang w:val="en-US"/>
                    </w:rPr>
                  </w:pPr>
                  <w:r>
                    <w:rPr>
                      <w:rFonts w:hint="eastAsia" w:cs="Times New Roman" w:eastAsiaTheme="minorEastAsia"/>
                      <w:i w:val="0"/>
                      <w:iCs w:val="0"/>
                      <w:color w:val="auto"/>
                      <w:kern w:val="0"/>
                      <w:sz w:val="21"/>
                      <w:szCs w:val="21"/>
                      <w:highlight w:val="none"/>
                      <w:u w:val="none"/>
                      <w:lang w:val="en-US" w:eastAsia="zh-CN" w:bidi="ar"/>
                    </w:rPr>
                    <w:t>2000</w:t>
                  </w:r>
                </w:p>
              </w:tc>
              <w:tc>
                <w:tcPr>
                  <w:tcW w:w="506" w:type="dxa"/>
                  <w:shd w:val="clear" w:color="auto" w:fill="auto"/>
                  <w:noWrap/>
                  <w:vAlign w:val="center"/>
                </w:tcPr>
                <w:p w14:paraId="1A4E28F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cs="Times New Roman" w:eastAsiaTheme="minorEastAsia"/>
                      <w:i w:val="0"/>
                      <w:iCs w:val="0"/>
                      <w:color w:val="auto"/>
                      <w:kern w:val="0"/>
                      <w:sz w:val="21"/>
                      <w:szCs w:val="21"/>
                      <w:highlight w:val="none"/>
                      <w:u w:val="none"/>
                      <w:lang w:val="en-US" w:eastAsia="zh-CN" w:bidi="ar"/>
                    </w:rPr>
                    <w:t>新建</w:t>
                  </w:r>
                </w:p>
              </w:tc>
            </w:tr>
            <w:tr w14:paraId="20C27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restart"/>
                  <w:shd w:val="clear" w:color="auto" w:fill="auto"/>
                  <w:vAlign w:val="center"/>
                </w:tcPr>
                <w:p w14:paraId="14D326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无组织</w:t>
                  </w:r>
                </w:p>
              </w:tc>
              <w:tc>
                <w:tcPr>
                  <w:tcW w:w="878" w:type="dxa"/>
                  <w:shd w:val="clear" w:color="auto" w:fill="auto"/>
                  <w:vAlign w:val="center"/>
                </w:tcPr>
                <w:p w14:paraId="1626FB7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698" w:type="dxa"/>
                  <w:shd w:val="clear" w:color="auto" w:fill="auto"/>
                  <w:vAlign w:val="center"/>
                </w:tcPr>
                <w:p w14:paraId="361DB7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39961B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0.0724</w:t>
                  </w:r>
                </w:p>
              </w:tc>
              <w:tc>
                <w:tcPr>
                  <w:tcW w:w="1058" w:type="dxa"/>
                  <w:shd w:val="clear" w:color="auto" w:fill="auto"/>
                  <w:vAlign w:val="center"/>
                </w:tcPr>
                <w:p w14:paraId="1C1C4C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0.0696</w:t>
                  </w:r>
                </w:p>
              </w:tc>
              <w:tc>
                <w:tcPr>
                  <w:tcW w:w="1064" w:type="dxa"/>
                  <w:shd w:val="clear" w:color="auto" w:fill="auto"/>
                  <w:vAlign w:val="center"/>
                </w:tcPr>
                <w:p w14:paraId="425C6F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541FBBE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2D0ACF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70D4813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0.0724</w:t>
                  </w:r>
                </w:p>
              </w:tc>
              <w:tc>
                <w:tcPr>
                  <w:tcW w:w="1129" w:type="dxa"/>
                  <w:shd w:val="clear" w:color="auto" w:fill="auto"/>
                  <w:vAlign w:val="center"/>
                </w:tcPr>
                <w:p w14:paraId="2A6D7EB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0.0696</w:t>
                  </w:r>
                </w:p>
              </w:tc>
              <w:tc>
                <w:tcPr>
                  <w:tcW w:w="1112" w:type="dxa"/>
                  <w:shd w:val="clear" w:color="auto" w:fill="auto"/>
                  <w:vAlign w:val="center"/>
                </w:tcPr>
                <w:p w14:paraId="3BF4A9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0C362E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0F2576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4890C6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5CD45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36167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73A9E3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698" w:type="dxa"/>
                  <w:shd w:val="clear" w:color="auto" w:fill="auto"/>
                  <w:vAlign w:val="center"/>
                </w:tcPr>
                <w:p w14:paraId="0F1739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4E7C67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0.00143</w:t>
                  </w:r>
                </w:p>
              </w:tc>
              <w:tc>
                <w:tcPr>
                  <w:tcW w:w="1058" w:type="dxa"/>
                  <w:shd w:val="clear" w:color="auto" w:fill="auto"/>
                  <w:vAlign w:val="center"/>
                </w:tcPr>
                <w:p w14:paraId="2F81EB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0.00138</w:t>
                  </w:r>
                </w:p>
              </w:tc>
              <w:tc>
                <w:tcPr>
                  <w:tcW w:w="1064" w:type="dxa"/>
                  <w:shd w:val="clear" w:color="auto" w:fill="auto"/>
                  <w:vAlign w:val="center"/>
                </w:tcPr>
                <w:p w14:paraId="336624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2A219B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2120BD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74D4E91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0.00143</w:t>
                  </w:r>
                </w:p>
              </w:tc>
              <w:tc>
                <w:tcPr>
                  <w:tcW w:w="1129" w:type="dxa"/>
                  <w:shd w:val="clear" w:color="auto" w:fill="auto"/>
                  <w:vAlign w:val="center"/>
                </w:tcPr>
                <w:p w14:paraId="3BECC4E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0.00138</w:t>
                  </w:r>
                </w:p>
              </w:tc>
              <w:tc>
                <w:tcPr>
                  <w:tcW w:w="1112" w:type="dxa"/>
                  <w:shd w:val="clear" w:color="auto" w:fill="auto"/>
                  <w:vAlign w:val="center"/>
                </w:tcPr>
                <w:p w14:paraId="715BC7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3A26CE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3B1016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6F90AE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20223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B622A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53DA77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698" w:type="dxa"/>
                  <w:shd w:val="clear" w:color="auto" w:fill="auto"/>
                  <w:vAlign w:val="center"/>
                </w:tcPr>
                <w:p w14:paraId="70D759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2A3E7E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0.0762</w:t>
                  </w:r>
                </w:p>
              </w:tc>
              <w:tc>
                <w:tcPr>
                  <w:tcW w:w="1058" w:type="dxa"/>
                  <w:shd w:val="clear" w:color="auto" w:fill="auto"/>
                  <w:vAlign w:val="center"/>
                </w:tcPr>
                <w:p w14:paraId="78CFC6A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0.0732</w:t>
                  </w:r>
                </w:p>
              </w:tc>
              <w:tc>
                <w:tcPr>
                  <w:tcW w:w="1064" w:type="dxa"/>
                  <w:shd w:val="clear" w:color="auto" w:fill="auto"/>
                  <w:vAlign w:val="center"/>
                </w:tcPr>
                <w:p w14:paraId="1BFC1C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4D2ECD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0C27D78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56A3791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0.0762</w:t>
                  </w:r>
                </w:p>
              </w:tc>
              <w:tc>
                <w:tcPr>
                  <w:tcW w:w="1129" w:type="dxa"/>
                  <w:shd w:val="clear" w:color="auto" w:fill="auto"/>
                  <w:vAlign w:val="center"/>
                </w:tcPr>
                <w:p w14:paraId="4B66C62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0.0732</w:t>
                  </w:r>
                </w:p>
              </w:tc>
              <w:tc>
                <w:tcPr>
                  <w:tcW w:w="1112" w:type="dxa"/>
                  <w:shd w:val="clear" w:color="auto" w:fill="auto"/>
                  <w:vAlign w:val="center"/>
                </w:tcPr>
                <w:p w14:paraId="22D1ED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026830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137337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09C8F5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750F3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2F345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1F89A0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698" w:type="dxa"/>
                  <w:shd w:val="clear" w:color="auto" w:fill="auto"/>
                  <w:vAlign w:val="center"/>
                </w:tcPr>
                <w:p w14:paraId="410975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4D9247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0.0121</w:t>
                  </w:r>
                </w:p>
              </w:tc>
              <w:tc>
                <w:tcPr>
                  <w:tcW w:w="1058" w:type="dxa"/>
                  <w:shd w:val="clear" w:color="auto" w:fill="auto"/>
                  <w:vAlign w:val="center"/>
                </w:tcPr>
                <w:p w14:paraId="785282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0.0116</w:t>
                  </w:r>
                </w:p>
              </w:tc>
              <w:tc>
                <w:tcPr>
                  <w:tcW w:w="1064" w:type="dxa"/>
                  <w:shd w:val="clear" w:color="auto" w:fill="auto"/>
                  <w:vAlign w:val="center"/>
                </w:tcPr>
                <w:p w14:paraId="4F3F95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1066AA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5B64C2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31126CA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0.0121</w:t>
                  </w:r>
                </w:p>
              </w:tc>
              <w:tc>
                <w:tcPr>
                  <w:tcW w:w="1129" w:type="dxa"/>
                  <w:shd w:val="clear" w:color="auto" w:fill="auto"/>
                  <w:vAlign w:val="center"/>
                </w:tcPr>
                <w:p w14:paraId="23A2489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0.0116</w:t>
                  </w:r>
                </w:p>
              </w:tc>
              <w:tc>
                <w:tcPr>
                  <w:tcW w:w="1112" w:type="dxa"/>
                  <w:shd w:val="clear" w:color="auto" w:fill="auto"/>
                  <w:vAlign w:val="center"/>
                </w:tcPr>
                <w:p w14:paraId="4446B2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7FE187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3528C5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79A05AF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0109F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00307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2EE340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698" w:type="dxa"/>
                  <w:shd w:val="clear" w:color="auto" w:fill="auto"/>
                  <w:vAlign w:val="center"/>
                </w:tcPr>
                <w:p w14:paraId="768C21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26916B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0.00485</w:t>
                  </w:r>
                </w:p>
              </w:tc>
              <w:tc>
                <w:tcPr>
                  <w:tcW w:w="1058" w:type="dxa"/>
                  <w:shd w:val="clear" w:color="auto" w:fill="auto"/>
                  <w:vAlign w:val="center"/>
                </w:tcPr>
                <w:p w14:paraId="2CC2A3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0.00466</w:t>
                  </w:r>
                </w:p>
              </w:tc>
              <w:tc>
                <w:tcPr>
                  <w:tcW w:w="1064" w:type="dxa"/>
                  <w:shd w:val="clear" w:color="auto" w:fill="auto"/>
                  <w:vAlign w:val="center"/>
                </w:tcPr>
                <w:p w14:paraId="59A3E6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4FF55B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5D59A69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2F05EA3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0.00485</w:t>
                  </w:r>
                </w:p>
              </w:tc>
              <w:tc>
                <w:tcPr>
                  <w:tcW w:w="1129" w:type="dxa"/>
                  <w:shd w:val="clear" w:color="auto" w:fill="auto"/>
                  <w:vAlign w:val="center"/>
                </w:tcPr>
                <w:p w14:paraId="15061A3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0.00466</w:t>
                  </w:r>
                </w:p>
              </w:tc>
              <w:tc>
                <w:tcPr>
                  <w:tcW w:w="1112" w:type="dxa"/>
                  <w:shd w:val="clear" w:color="auto" w:fill="auto"/>
                  <w:vAlign w:val="center"/>
                </w:tcPr>
                <w:p w14:paraId="1A2CDC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18487C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2E346F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2500699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5B6936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3332D85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59AA495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甲醇</w:t>
                  </w:r>
                </w:p>
              </w:tc>
              <w:tc>
                <w:tcPr>
                  <w:tcW w:w="698" w:type="dxa"/>
                  <w:shd w:val="clear" w:color="auto" w:fill="auto"/>
                  <w:vAlign w:val="center"/>
                </w:tcPr>
                <w:p w14:paraId="255964F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7E3C4D0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0.000127</w:t>
                  </w:r>
                </w:p>
              </w:tc>
              <w:tc>
                <w:tcPr>
                  <w:tcW w:w="1058" w:type="dxa"/>
                  <w:shd w:val="clear" w:color="auto" w:fill="auto"/>
                  <w:vAlign w:val="center"/>
                </w:tcPr>
                <w:p w14:paraId="0D10792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0.000122</w:t>
                  </w:r>
                </w:p>
              </w:tc>
              <w:tc>
                <w:tcPr>
                  <w:tcW w:w="1064" w:type="dxa"/>
                  <w:shd w:val="clear" w:color="auto" w:fill="auto"/>
                  <w:vAlign w:val="center"/>
                </w:tcPr>
                <w:p w14:paraId="2971E3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14" w:type="dxa"/>
                  <w:shd w:val="clear" w:color="auto" w:fill="auto"/>
                  <w:vAlign w:val="center"/>
                </w:tcPr>
                <w:p w14:paraId="327C0D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457BB7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21" w:type="dxa"/>
                  <w:shd w:val="clear" w:color="auto" w:fill="auto"/>
                  <w:vAlign w:val="center"/>
                </w:tcPr>
                <w:p w14:paraId="6EBD6A80">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0.000127</w:t>
                  </w:r>
                </w:p>
              </w:tc>
              <w:tc>
                <w:tcPr>
                  <w:tcW w:w="1129" w:type="dxa"/>
                  <w:shd w:val="clear" w:color="auto" w:fill="auto"/>
                  <w:vAlign w:val="center"/>
                </w:tcPr>
                <w:p w14:paraId="6B4605EC">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0.000122</w:t>
                  </w:r>
                </w:p>
              </w:tc>
              <w:tc>
                <w:tcPr>
                  <w:tcW w:w="1112" w:type="dxa"/>
                  <w:shd w:val="clear" w:color="auto" w:fill="auto"/>
                  <w:vAlign w:val="center"/>
                </w:tcPr>
                <w:p w14:paraId="3A1CDD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5A6E92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0592F0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0A2C3C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308040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76B0E0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7221A3F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甲苯</w:t>
                  </w:r>
                </w:p>
              </w:tc>
              <w:tc>
                <w:tcPr>
                  <w:tcW w:w="698" w:type="dxa"/>
                  <w:shd w:val="clear" w:color="auto" w:fill="auto"/>
                  <w:vAlign w:val="center"/>
                </w:tcPr>
                <w:p w14:paraId="4C0EA5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42796C5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0.000349</w:t>
                  </w:r>
                </w:p>
              </w:tc>
              <w:tc>
                <w:tcPr>
                  <w:tcW w:w="1058" w:type="dxa"/>
                  <w:shd w:val="clear" w:color="auto" w:fill="auto"/>
                  <w:vAlign w:val="center"/>
                </w:tcPr>
                <w:p w14:paraId="74C189B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0.000335</w:t>
                  </w:r>
                </w:p>
              </w:tc>
              <w:tc>
                <w:tcPr>
                  <w:tcW w:w="1064" w:type="dxa"/>
                  <w:shd w:val="clear" w:color="auto" w:fill="auto"/>
                  <w:vAlign w:val="center"/>
                </w:tcPr>
                <w:p w14:paraId="5027A7A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14" w:type="dxa"/>
                  <w:shd w:val="clear" w:color="auto" w:fill="auto"/>
                  <w:vAlign w:val="center"/>
                </w:tcPr>
                <w:p w14:paraId="6651553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19D4E5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21" w:type="dxa"/>
                  <w:shd w:val="clear" w:color="auto" w:fill="auto"/>
                  <w:vAlign w:val="center"/>
                </w:tcPr>
                <w:p w14:paraId="487530BF">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0.000349</w:t>
                  </w:r>
                </w:p>
              </w:tc>
              <w:tc>
                <w:tcPr>
                  <w:tcW w:w="1129" w:type="dxa"/>
                  <w:shd w:val="clear" w:color="auto" w:fill="auto"/>
                  <w:vAlign w:val="center"/>
                </w:tcPr>
                <w:p w14:paraId="4C4C0637">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0.000335</w:t>
                  </w:r>
                </w:p>
              </w:tc>
              <w:tc>
                <w:tcPr>
                  <w:tcW w:w="1112" w:type="dxa"/>
                  <w:shd w:val="clear" w:color="auto" w:fill="auto"/>
                  <w:vAlign w:val="center"/>
                </w:tcPr>
                <w:p w14:paraId="328009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60C30D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361582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124410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1CFDE2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5A5629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703E666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三氯甲烷</w:t>
                  </w:r>
                </w:p>
              </w:tc>
              <w:tc>
                <w:tcPr>
                  <w:tcW w:w="698" w:type="dxa"/>
                  <w:shd w:val="clear" w:color="auto" w:fill="auto"/>
                  <w:vAlign w:val="center"/>
                </w:tcPr>
                <w:p w14:paraId="0AE3E3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1594851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0.000120</w:t>
                  </w:r>
                </w:p>
              </w:tc>
              <w:tc>
                <w:tcPr>
                  <w:tcW w:w="1058" w:type="dxa"/>
                  <w:shd w:val="clear" w:color="auto" w:fill="auto"/>
                  <w:vAlign w:val="center"/>
                </w:tcPr>
                <w:p w14:paraId="0013A1D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0.000115</w:t>
                  </w:r>
                </w:p>
              </w:tc>
              <w:tc>
                <w:tcPr>
                  <w:tcW w:w="1064" w:type="dxa"/>
                  <w:shd w:val="clear" w:color="auto" w:fill="auto"/>
                  <w:vAlign w:val="center"/>
                </w:tcPr>
                <w:p w14:paraId="7EC076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14" w:type="dxa"/>
                  <w:shd w:val="clear" w:color="auto" w:fill="auto"/>
                  <w:vAlign w:val="center"/>
                </w:tcPr>
                <w:p w14:paraId="02E5AD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1757D9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21" w:type="dxa"/>
                  <w:shd w:val="clear" w:color="auto" w:fill="auto"/>
                  <w:vAlign w:val="center"/>
                </w:tcPr>
                <w:p w14:paraId="05E33336">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0.000120</w:t>
                  </w:r>
                </w:p>
              </w:tc>
              <w:tc>
                <w:tcPr>
                  <w:tcW w:w="1129" w:type="dxa"/>
                  <w:shd w:val="clear" w:color="auto" w:fill="auto"/>
                  <w:vAlign w:val="center"/>
                </w:tcPr>
                <w:p w14:paraId="4F0932B1">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0.000115</w:t>
                  </w:r>
                </w:p>
              </w:tc>
              <w:tc>
                <w:tcPr>
                  <w:tcW w:w="1112" w:type="dxa"/>
                  <w:shd w:val="clear" w:color="auto" w:fill="auto"/>
                  <w:vAlign w:val="center"/>
                </w:tcPr>
                <w:p w14:paraId="42A70B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02765D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2A1292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1268C6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2661BD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22CBB3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78E1B8E2">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二氯甲烷</w:t>
                  </w:r>
                </w:p>
              </w:tc>
              <w:tc>
                <w:tcPr>
                  <w:tcW w:w="698" w:type="dxa"/>
                  <w:shd w:val="clear" w:color="auto" w:fill="auto"/>
                  <w:vAlign w:val="center"/>
                </w:tcPr>
                <w:p w14:paraId="7BB3E8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324232A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0.000106</w:t>
                  </w:r>
                </w:p>
              </w:tc>
              <w:tc>
                <w:tcPr>
                  <w:tcW w:w="1058" w:type="dxa"/>
                  <w:shd w:val="clear" w:color="auto" w:fill="auto"/>
                  <w:vAlign w:val="center"/>
                </w:tcPr>
                <w:p w14:paraId="221E4AE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0.000102</w:t>
                  </w:r>
                </w:p>
              </w:tc>
              <w:tc>
                <w:tcPr>
                  <w:tcW w:w="1064" w:type="dxa"/>
                  <w:shd w:val="clear" w:color="auto" w:fill="auto"/>
                  <w:vAlign w:val="center"/>
                </w:tcPr>
                <w:p w14:paraId="55BDB3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14" w:type="dxa"/>
                  <w:shd w:val="clear" w:color="auto" w:fill="auto"/>
                  <w:vAlign w:val="center"/>
                </w:tcPr>
                <w:p w14:paraId="750DD53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734" w:type="dxa"/>
                  <w:shd w:val="clear" w:color="auto" w:fill="auto"/>
                  <w:vAlign w:val="center"/>
                </w:tcPr>
                <w:p w14:paraId="414BB5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p>
              </w:tc>
              <w:tc>
                <w:tcPr>
                  <w:tcW w:w="1121" w:type="dxa"/>
                  <w:shd w:val="clear" w:color="auto" w:fill="auto"/>
                  <w:vAlign w:val="center"/>
                </w:tcPr>
                <w:p w14:paraId="54B94445">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0.000106</w:t>
                  </w:r>
                </w:p>
              </w:tc>
              <w:tc>
                <w:tcPr>
                  <w:tcW w:w="1129" w:type="dxa"/>
                  <w:shd w:val="clear" w:color="auto" w:fill="auto"/>
                  <w:vAlign w:val="center"/>
                </w:tcPr>
                <w:p w14:paraId="200A1584">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0.000102</w:t>
                  </w:r>
                </w:p>
              </w:tc>
              <w:tc>
                <w:tcPr>
                  <w:tcW w:w="1112" w:type="dxa"/>
                  <w:shd w:val="clear" w:color="auto" w:fill="auto"/>
                  <w:vAlign w:val="center"/>
                </w:tcPr>
                <w:p w14:paraId="6B3DBD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64F6A6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1040</w:t>
                  </w:r>
                </w:p>
              </w:tc>
              <w:tc>
                <w:tcPr>
                  <w:tcW w:w="693" w:type="dxa"/>
                  <w:shd w:val="clear" w:color="auto" w:fill="auto"/>
                  <w:noWrap/>
                  <w:vAlign w:val="center"/>
                </w:tcPr>
                <w:p w14:paraId="6DDE2F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58A3AD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580FC6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06" w:type="dxa"/>
                  <w:vMerge w:val="continue"/>
                  <w:shd w:val="clear" w:color="auto" w:fill="auto"/>
                  <w:vAlign w:val="center"/>
                </w:tcPr>
                <w:p w14:paraId="4FB4D7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878" w:type="dxa"/>
                  <w:shd w:val="clear" w:color="auto" w:fill="auto"/>
                  <w:vAlign w:val="center"/>
                </w:tcPr>
                <w:p w14:paraId="2D5583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cs="Times New Roman" w:eastAsiaTheme="minorEastAsia"/>
                      <w:i w:val="0"/>
                      <w:iCs w:val="0"/>
                      <w:color w:val="auto"/>
                      <w:kern w:val="0"/>
                      <w:sz w:val="21"/>
                      <w:szCs w:val="21"/>
                      <w:highlight w:val="none"/>
                      <w:u w:val="none"/>
                      <w:lang w:val="en-US" w:eastAsia="zh-CN" w:bidi="ar"/>
                    </w:rPr>
                    <w:t>颗粒物</w:t>
                  </w:r>
                </w:p>
              </w:tc>
              <w:tc>
                <w:tcPr>
                  <w:tcW w:w="698" w:type="dxa"/>
                  <w:shd w:val="clear" w:color="auto" w:fill="auto"/>
                  <w:vAlign w:val="center"/>
                </w:tcPr>
                <w:p w14:paraId="471C2E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058" w:type="dxa"/>
                  <w:shd w:val="clear" w:color="auto" w:fill="auto"/>
                  <w:vAlign w:val="center"/>
                </w:tcPr>
                <w:p w14:paraId="717632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0.014</w:t>
                  </w:r>
                </w:p>
              </w:tc>
              <w:tc>
                <w:tcPr>
                  <w:tcW w:w="1058" w:type="dxa"/>
                  <w:shd w:val="clear" w:color="auto" w:fill="auto"/>
                  <w:vAlign w:val="center"/>
                </w:tcPr>
                <w:p w14:paraId="31D0FC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0.00673</w:t>
                  </w:r>
                </w:p>
              </w:tc>
              <w:tc>
                <w:tcPr>
                  <w:tcW w:w="1064" w:type="dxa"/>
                  <w:shd w:val="clear" w:color="auto" w:fill="auto"/>
                  <w:vAlign w:val="center"/>
                </w:tcPr>
                <w:p w14:paraId="3E7F2A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14" w:type="dxa"/>
                  <w:shd w:val="clear" w:color="auto" w:fill="auto"/>
                  <w:vAlign w:val="center"/>
                </w:tcPr>
                <w:p w14:paraId="3B0A5C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734" w:type="dxa"/>
                  <w:shd w:val="clear" w:color="auto" w:fill="auto"/>
                  <w:vAlign w:val="center"/>
                </w:tcPr>
                <w:p w14:paraId="3E905E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1121" w:type="dxa"/>
                  <w:shd w:val="clear" w:color="auto" w:fill="auto"/>
                  <w:vAlign w:val="center"/>
                </w:tcPr>
                <w:p w14:paraId="2A8144C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0.014</w:t>
                  </w:r>
                </w:p>
              </w:tc>
              <w:tc>
                <w:tcPr>
                  <w:tcW w:w="1129" w:type="dxa"/>
                  <w:shd w:val="clear" w:color="auto" w:fill="auto"/>
                  <w:vAlign w:val="center"/>
                </w:tcPr>
                <w:p w14:paraId="747B8C2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0.00673</w:t>
                  </w:r>
                </w:p>
              </w:tc>
              <w:tc>
                <w:tcPr>
                  <w:tcW w:w="1112" w:type="dxa"/>
                  <w:shd w:val="clear" w:color="auto" w:fill="auto"/>
                  <w:vAlign w:val="center"/>
                </w:tcPr>
                <w:p w14:paraId="231647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686" w:type="dxa"/>
                  <w:shd w:val="clear" w:color="auto" w:fill="auto"/>
                  <w:vAlign w:val="center"/>
                </w:tcPr>
                <w:p w14:paraId="311ED8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2"/>
                      <w:sz w:val="21"/>
                      <w:szCs w:val="21"/>
                      <w:highlight w:val="none"/>
                      <w:u w:val="none"/>
                      <w:lang w:val="en-US" w:eastAsia="zh-CN" w:bidi="ar-SA"/>
                    </w:rPr>
                  </w:pPr>
                  <w:r>
                    <w:rPr>
                      <w:rFonts w:hint="default" w:ascii="Times New Roman" w:hAnsi="Times New Roman" w:cs="Times New Roman" w:eastAsiaTheme="minorEastAsia"/>
                      <w:i w:val="0"/>
                      <w:iCs w:val="0"/>
                      <w:color w:val="auto"/>
                      <w:kern w:val="0"/>
                      <w:sz w:val="21"/>
                      <w:szCs w:val="21"/>
                      <w:highlight w:val="none"/>
                      <w:u w:val="none"/>
                      <w:lang w:val="en-US" w:eastAsia="zh-CN" w:bidi="ar"/>
                    </w:rPr>
                    <w:t>2080</w:t>
                  </w:r>
                </w:p>
              </w:tc>
              <w:tc>
                <w:tcPr>
                  <w:tcW w:w="693" w:type="dxa"/>
                  <w:shd w:val="clear" w:color="auto" w:fill="auto"/>
                  <w:noWrap/>
                  <w:vAlign w:val="center"/>
                </w:tcPr>
                <w:p w14:paraId="74CCAF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c>
                <w:tcPr>
                  <w:tcW w:w="506" w:type="dxa"/>
                  <w:shd w:val="clear" w:color="auto" w:fill="auto"/>
                  <w:noWrap/>
                  <w:vAlign w:val="center"/>
                </w:tcPr>
                <w:p w14:paraId="1C32B8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w:t>
                  </w:r>
                </w:p>
              </w:tc>
            </w:tr>
            <w:tr w14:paraId="50C60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457" w:type="dxa"/>
                  <w:gridSpan w:val="14"/>
                  <w:shd w:val="clear" w:color="auto" w:fill="auto"/>
                  <w:vAlign w:val="center"/>
                </w:tcPr>
                <w:p w14:paraId="7D606E6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注：</w:t>
                  </w:r>
                  <w:r>
                    <w:rPr>
                      <w:rFonts w:hint="eastAsia" w:ascii="Times New Roman" w:hAnsi="Times New Roman" w:eastAsia="宋体" w:cs="Times New Roman"/>
                      <w:b w:val="0"/>
                      <w:bCs/>
                      <w:color w:val="auto"/>
                      <w:sz w:val="18"/>
                      <w:szCs w:val="18"/>
                      <w:highlight w:val="none"/>
                      <w:lang w:val="en-US" w:eastAsia="zh-CN"/>
                    </w:rPr>
                    <w:t>1.根据《挥发性有机物无组织排放控制标准》术语及定义，“3.1在表征</w:t>
                  </w:r>
                  <w:r>
                    <w:rPr>
                      <w:rFonts w:hint="default" w:ascii="Times New Roman" w:hAnsi="Times New Roman" w:eastAsia="宋体" w:cs="Times New Roman"/>
                      <w:b w:val="0"/>
                      <w:bCs/>
                      <w:color w:val="auto"/>
                      <w:sz w:val="18"/>
                      <w:szCs w:val="18"/>
                      <w:highlight w:val="none"/>
                      <w:lang w:val="en-US" w:eastAsia="zh-CN"/>
                    </w:rPr>
                    <w:t>VOC</w:t>
                  </w:r>
                  <w:r>
                    <w:rPr>
                      <w:rFonts w:hint="default" w:ascii="Times New Roman" w:hAnsi="Times New Roman" w:eastAsia="宋体" w:cs="Times New Roman"/>
                      <w:b w:val="0"/>
                      <w:bCs/>
                      <w:color w:val="auto"/>
                      <w:sz w:val="18"/>
                      <w:szCs w:val="18"/>
                      <w:highlight w:val="none"/>
                      <w:vertAlign w:val="subscript"/>
                      <w:lang w:val="en-US" w:eastAsia="zh-CN"/>
                    </w:rPr>
                    <w:t>S</w:t>
                  </w:r>
                  <w:r>
                    <w:rPr>
                      <w:rFonts w:hint="eastAsia" w:ascii="Times New Roman" w:hAnsi="Times New Roman" w:eastAsia="宋体" w:cs="Times New Roman"/>
                      <w:b w:val="0"/>
                      <w:bCs/>
                      <w:color w:val="auto"/>
                      <w:sz w:val="18"/>
                      <w:szCs w:val="18"/>
                      <w:highlight w:val="none"/>
                      <w:vertAlign w:val="baseline"/>
                      <w:lang w:val="en-US" w:eastAsia="zh-CN"/>
                    </w:rPr>
                    <w:t>总体排放情况时，可采用</w:t>
                  </w:r>
                  <w:r>
                    <w:rPr>
                      <w:rFonts w:hint="default" w:ascii="Times New Roman" w:hAnsi="Times New Roman" w:eastAsia="宋体" w:cs="Times New Roman"/>
                      <w:b w:val="0"/>
                      <w:bCs/>
                      <w:color w:val="auto"/>
                      <w:sz w:val="18"/>
                      <w:szCs w:val="18"/>
                      <w:highlight w:val="none"/>
                      <w:lang w:val="en-US" w:eastAsia="zh-CN"/>
                    </w:rPr>
                    <w:t>非甲烷总烃</w:t>
                  </w:r>
                  <w:r>
                    <w:rPr>
                      <w:rFonts w:hint="eastAsia" w:ascii="Times New Roman" w:hAnsi="Times New Roman" w:eastAsia="宋体" w:cs="Times New Roman"/>
                      <w:b w:val="0"/>
                      <w:bCs/>
                      <w:color w:val="auto"/>
                      <w:sz w:val="18"/>
                      <w:szCs w:val="18"/>
                      <w:highlight w:val="none"/>
                      <w:lang w:val="en-US" w:eastAsia="zh-CN"/>
                    </w:rPr>
                    <w:t>作为污染物控制项目”</w:t>
                  </w:r>
                  <w:r>
                    <w:rPr>
                      <w:rFonts w:hint="default" w:ascii="Times New Roman" w:hAnsi="Times New Roman" w:eastAsia="宋体" w:cs="Times New Roman"/>
                      <w:b w:val="0"/>
                      <w:bCs/>
                      <w:color w:val="auto"/>
                      <w:sz w:val="18"/>
                      <w:szCs w:val="18"/>
                      <w:highlight w:val="none"/>
                      <w:lang w:val="en-US" w:eastAsia="zh-CN"/>
                    </w:rPr>
                    <w:t>，</w:t>
                  </w:r>
                  <w:r>
                    <w:rPr>
                      <w:rFonts w:hint="eastAsia" w:ascii="Times New Roman" w:hAnsi="Times New Roman" w:eastAsia="宋体" w:cs="Times New Roman"/>
                      <w:b w:val="0"/>
                      <w:bCs/>
                      <w:color w:val="auto"/>
                      <w:sz w:val="18"/>
                      <w:szCs w:val="18"/>
                      <w:highlight w:val="none"/>
                      <w:lang w:val="en-US" w:eastAsia="zh-CN"/>
                    </w:rPr>
                    <w:t>因此以非甲烷总烃作为有组织排放和无组织排放的挥发性有机物的综合性控制指标；</w:t>
                  </w:r>
                </w:p>
                <w:p w14:paraId="141C9AD7">
                  <w:pPr>
                    <w:keepNext w:val="0"/>
                    <w:keepLines w:val="0"/>
                    <w:pageBreakBefore w:val="0"/>
                    <w:widowControl/>
                    <w:suppressLineNumbers w:val="0"/>
                    <w:kinsoku/>
                    <w:wordWrap/>
                    <w:overflowPunct/>
                    <w:topLinePunct w:val="0"/>
                    <w:autoSpaceDE/>
                    <w:autoSpaceDN/>
                    <w:bidi w:val="0"/>
                    <w:adjustRightInd/>
                    <w:snapToGrid/>
                    <w:ind w:firstLine="360" w:firstLineChars="200"/>
                    <w:jc w:val="left"/>
                    <w:textAlignment w:val="center"/>
                    <w:rPr>
                      <w:rFonts w:hint="default" w:ascii="Times New Roman" w:hAnsi="Times New Roman" w:eastAsia="宋体" w:cs="Times New Roman"/>
                      <w:b w:val="0"/>
                      <w:bCs/>
                      <w:color w:val="auto"/>
                      <w:sz w:val="18"/>
                      <w:szCs w:val="18"/>
                      <w:highlight w:val="none"/>
                      <w:lang w:val="en-US" w:eastAsia="zh-CN"/>
                    </w:rPr>
                  </w:pPr>
                  <w:r>
                    <w:rPr>
                      <w:rFonts w:hint="eastAsia" w:ascii="Times New Roman" w:hAnsi="Times New Roman" w:eastAsia="宋体" w:cs="Times New Roman"/>
                      <w:b w:val="0"/>
                      <w:bCs/>
                      <w:color w:val="auto"/>
                      <w:sz w:val="18"/>
                      <w:szCs w:val="18"/>
                      <w:highlight w:val="none"/>
                      <w:lang w:val="en-US" w:eastAsia="zh-CN"/>
                    </w:rPr>
                    <w:t>2.本项目涉及盐酸、硫酸、硝酸、氢氟酸等无机药剂均是在5间化学间实验室中进行，因此10套无机废气处理系统均有酸性废气，每套废气系统的排放量是根据总排放量平均计算所确定，对本项目运营期单套系统排放量略有变化，但总的排放量不变。</w:t>
                  </w:r>
                </w:p>
                <w:p w14:paraId="40DD2FCF">
                  <w:pPr>
                    <w:keepNext w:val="0"/>
                    <w:keepLines w:val="0"/>
                    <w:pageBreakBefore w:val="0"/>
                    <w:widowControl/>
                    <w:suppressLineNumbers w:val="0"/>
                    <w:kinsoku/>
                    <w:wordWrap/>
                    <w:overflowPunct/>
                    <w:topLinePunct w:val="0"/>
                    <w:autoSpaceDE/>
                    <w:autoSpaceDN/>
                    <w:bidi w:val="0"/>
                    <w:adjustRightInd/>
                    <w:snapToGrid/>
                    <w:ind w:firstLine="360" w:firstLineChars="200"/>
                    <w:jc w:val="left"/>
                    <w:textAlignment w:val="center"/>
                    <w:rPr>
                      <w:rFonts w:hint="eastAsia" w:cs="Times New Roman" w:eastAsiaTheme="minorEastAsia"/>
                      <w:i w:val="0"/>
                      <w:iCs w:val="0"/>
                      <w:color w:val="auto"/>
                      <w:kern w:val="0"/>
                      <w:sz w:val="21"/>
                      <w:szCs w:val="21"/>
                      <w:highlight w:val="none"/>
                      <w:u w:val="none"/>
                      <w:lang w:val="en-US" w:eastAsia="zh-CN" w:bidi="ar"/>
                    </w:rPr>
                  </w:pPr>
                  <w:r>
                    <w:rPr>
                      <w:rFonts w:hint="eastAsia" w:ascii="Times New Roman" w:hAnsi="Times New Roman" w:eastAsia="宋体" w:cs="Times New Roman"/>
                      <w:b w:val="0"/>
                      <w:bCs/>
                      <w:color w:val="auto"/>
                      <w:sz w:val="18"/>
                      <w:szCs w:val="18"/>
                      <w:highlight w:val="none"/>
                      <w:lang w:val="en-US" w:eastAsia="zh-CN"/>
                    </w:rPr>
                    <w:t>3.本项目有机实验室1使用甲醇、甲苯、二氯甲烷、三氯甲烷等有机药剂，其余实验室使用除甲醇、甲苯、二氯甲烷、三氯甲烷以外的有机药剂，因此，DA011废气中有甲醇、甲苯、二氯甲烷、三氯甲烷等污染物，对于非甲烷总烃每套废气系统的排放量则是根据总排放量平均计算所确定。</w:t>
                  </w:r>
                </w:p>
              </w:tc>
            </w:tr>
          </w:tbl>
          <w:p w14:paraId="05200F48">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5</w:t>
            </w:r>
            <w:r>
              <w:rPr>
                <w:rFonts w:hint="eastAsia" w:ascii="Times New Roman" w:hAnsi="Times New Roman" w:eastAsia="宋体" w:cs="Times New Roman"/>
                <w:b/>
                <w:bCs/>
                <w:color w:val="auto"/>
                <w:kern w:val="2"/>
                <w:sz w:val="21"/>
                <w:szCs w:val="21"/>
                <w:highlight w:val="none"/>
                <w:lang w:val="en-US" w:eastAsia="zh-CN" w:bidi="ar-SA"/>
              </w:rPr>
              <w:t xml:space="preserve">  项目废气排放口设置情况</w:t>
            </w:r>
          </w:p>
          <w:tbl>
            <w:tblPr>
              <w:tblStyle w:val="27"/>
              <w:tblW w:w="12276" w:type="dxa"/>
              <w:tblInd w:w="17" w:type="dxa"/>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1250"/>
              <w:gridCol w:w="1719"/>
              <w:gridCol w:w="756"/>
              <w:gridCol w:w="1823"/>
              <w:gridCol w:w="852"/>
              <w:gridCol w:w="1995"/>
              <w:gridCol w:w="2628"/>
            </w:tblGrid>
            <w:tr w14:paraId="46D0C17B">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253" w:type="dxa"/>
                  <w:tcBorders>
                    <w:top w:val="single" w:color="auto" w:sz="12" w:space="0"/>
                  </w:tcBorders>
                  <w:shd w:val="clear" w:color="auto" w:fill="auto"/>
                  <w:vAlign w:val="center"/>
                </w:tcPr>
                <w:p w14:paraId="2E742DD8">
                  <w:pPr>
                    <w:adjustRightInd w:val="0"/>
                    <w:snapToGrid w:val="0"/>
                    <w:jc w:val="center"/>
                    <w:rPr>
                      <w:b/>
                      <w:bCs/>
                      <w:color w:val="auto"/>
                      <w:highlight w:val="none"/>
                    </w:rPr>
                  </w:pPr>
                  <w:r>
                    <w:rPr>
                      <w:b/>
                      <w:bCs/>
                      <w:color w:val="auto"/>
                      <w:highlight w:val="none"/>
                    </w:rPr>
                    <w:t>排放口名称</w:t>
                  </w:r>
                </w:p>
              </w:tc>
              <w:tc>
                <w:tcPr>
                  <w:tcW w:w="1250" w:type="dxa"/>
                  <w:tcBorders>
                    <w:top w:val="single" w:color="auto" w:sz="12" w:space="0"/>
                  </w:tcBorders>
                  <w:shd w:val="clear" w:color="auto" w:fill="auto"/>
                  <w:vAlign w:val="center"/>
                </w:tcPr>
                <w:p w14:paraId="647029DD">
                  <w:pPr>
                    <w:adjustRightInd w:val="0"/>
                    <w:snapToGrid w:val="0"/>
                    <w:jc w:val="center"/>
                    <w:rPr>
                      <w:b/>
                      <w:bCs/>
                      <w:color w:val="auto"/>
                      <w:highlight w:val="none"/>
                    </w:rPr>
                  </w:pPr>
                  <w:r>
                    <w:rPr>
                      <w:b/>
                      <w:bCs/>
                      <w:color w:val="auto"/>
                      <w:highlight w:val="none"/>
                    </w:rPr>
                    <w:t>排放口编号</w:t>
                  </w:r>
                </w:p>
              </w:tc>
              <w:tc>
                <w:tcPr>
                  <w:tcW w:w="1719" w:type="dxa"/>
                  <w:tcBorders>
                    <w:top w:val="single" w:color="auto" w:sz="12" w:space="0"/>
                  </w:tcBorders>
                  <w:shd w:val="clear" w:color="auto" w:fill="auto"/>
                  <w:vAlign w:val="center"/>
                </w:tcPr>
                <w:p w14:paraId="3F35C7DE">
                  <w:pPr>
                    <w:adjustRightInd w:val="0"/>
                    <w:snapToGrid w:val="0"/>
                    <w:jc w:val="center"/>
                    <w:rPr>
                      <w:b/>
                      <w:bCs/>
                      <w:color w:val="auto"/>
                      <w:highlight w:val="none"/>
                    </w:rPr>
                  </w:pPr>
                  <w:r>
                    <w:rPr>
                      <w:b/>
                      <w:bCs/>
                      <w:color w:val="auto"/>
                      <w:highlight w:val="none"/>
                    </w:rPr>
                    <w:t>污染物</w:t>
                  </w:r>
                </w:p>
              </w:tc>
              <w:tc>
                <w:tcPr>
                  <w:tcW w:w="756" w:type="dxa"/>
                  <w:tcBorders>
                    <w:top w:val="single" w:color="auto" w:sz="12" w:space="0"/>
                  </w:tcBorders>
                  <w:shd w:val="clear" w:color="auto" w:fill="auto"/>
                  <w:vAlign w:val="center"/>
                </w:tcPr>
                <w:p w14:paraId="41752433">
                  <w:pPr>
                    <w:adjustRightInd w:val="0"/>
                    <w:snapToGrid w:val="0"/>
                    <w:jc w:val="center"/>
                    <w:rPr>
                      <w:b/>
                      <w:bCs/>
                      <w:color w:val="auto"/>
                      <w:highlight w:val="none"/>
                    </w:rPr>
                  </w:pPr>
                  <w:r>
                    <w:rPr>
                      <w:b/>
                      <w:bCs/>
                      <w:color w:val="auto"/>
                      <w:highlight w:val="none"/>
                    </w:rPr>
                    <w:t>高度/m</w:t>
                  </w:r>
                </w:p>
              </w:tc>
              <w:tc>
                <w:tcPr>
                  <w:tcW w:w="1823" w:type="dxa"/>
                  <w:tcBorders>
                    <w:top w:val="single" w:color="auto" w:sz="12" w:space="0"/>
                  </w:tcBorders>
                  <w:shd w:val="clear" w:color="auto" w:fill="auto"/>
                  <w:vAlign w:val="center"/>
                </w:tcPr>
                <w:p w14:paraId="5CBBAACB">
                  <w:pPr>
                    <w:adjustRightInd w:val="0"/>
                    <w:snapToGrid w:val="0"/>
                    <w:jc w:val="center"/>
                    <w:rPr>
                      <w:b/>
                      <w:bCs/>
                      <w:color w:val="auto"/>
                      <w:highlight w:val="none"/>
                    </w:rPr>
                  </w:pPr>
                  <w:r>
                    <w:rPr>
                      <w:b/>
                      <w:bCs/>
                      <w:color w:val="auto"/>
                      <w:highlight w:val="none"/>
                    </w:rPr>
                    <w:t>内径/m</w:t>
                  </w:r>
                </w:p>
              </w:tc>
              <w:tc>
                <w:tcPr>
                  <w:tcW w:w="852" w:type="dxa"/>
                  <w:tcBorders>
                    <w:top w:val="single" w:color="auto" w:sz="12" w:space="0"/>
                  </w:tcBorders>
                  <w:shd w:val="clear" w:color="auto" w:fill="auto"/>
                  <w:vAlign w:val="center"/>
                </w:tcPr>
                <w:p w14:paraId="711C65EC">
                  <w:pPr>
                    <w:adjustRightInd w:val="0"/>
                    <w:snapToGrid w:val="0"/>
                    <w:jc w:val="center"/>
                    <w:rPr>
                      <w:b/>
                      <w:bCs/>
                      <w:color w:val="auto"/>
                      <w:highlight w:val="none"/>
                    </w:rPr>
                  </w:pPr>
                  <w:r>
                    <w:rPr>
                      <w:b/>
                      <w:bCs/>
                      <w:color w:val="auto"/>
                      <w:highlight w:val="none"/>
                    </w:rPr>
                    <w:t>温度/℃</w:t>
                  </w:r>
                </w:p>
              </w:tc>
              <w:tc>
                <w:tcPr>
                  <w:tcW w:w="1995" w:type="dxa"/>
                  <w:tcBorders>
                    <w:top w:val="single" w:color="auto" w:sz="12" w:space="0"/>
                  </w:tcBorders>
                  <w:shd w:val="clear" w:color="auto" w:fill="auto"/>
                  <w:vAlign w:val="center"/>
                </w:tcPr>
                <w:p w14:paraId="19217883">
                  <w:pPr>
                    <w:adjustRightInd w:val="0"/>
                    <w:snapToGrid w:val="0"/>
                    <w:jc w:val="center"/>
                    <w:rPr>
                      <w:b/>
                      <w:bCs/>
                      <w:color w:val="auto"/>
                      <w:highlight w:val="none"/>
                    </w:rPr>
                  </w:pPr>
                  <w:r>
                    <w:rPr>
                      <w:b/>
                      <w:bCs/>
                      <w:color w:val="auto"/>
                      <w:highlight w:val="none"/>
                    </w:rPr>
                    <w:t>类型</w:t>
                  </w:r>
                </w:p>
              </w:tc>
              <w:tc>
                <w:tcPr>
                  <w:tcW w:w="2628" w:type="dxa"/>
                  <w:tcBorders>
                    <w:top w:val="single" w:color="auto" w:sz="12" w:space="0"/>
                  </w:tcBorders>
                  <w:shd w:val="clear" w:color="auto" w:fill="auto"/>
                  <w:vAlign w:val="center"/>
                </w:tcPr>
                <w:p w14:paraId="7CD5646B">
                  <w:pPr>
                    <w:adjustRightInd w:val="0"/>
                    <w:snapToGrid w:val="0"/>
                    <w:jc w:val="center"/>
                    <w:rPr>
                      <w:b/>
                      <w:bCs/>
                      <w:color w:val="auto"/>
                      <w:highlight w:val="none"/>
                    </w:rPr>
                  </w:pPr>
                  <w:r>
                    <w:rPr>
                      <w:b/>
                      <w:bCs/>
                      <w:color w:val="auto"/>
                      <w:highlight w:val="none"/>
                    </w:rPr>
                    <w:t>排放标准</w:t>
                  </w:r>
                </w:p>
              </w:tc>
            </w:tr>
            <w:tr w14:paraId="09748C78">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253" w:type="dxa"/>
                  <w:shd w:val="clear" w:color="auto" w:fill="auto"/>
                  <w:vAlign w:val="center"/>
                </w:tcPr>
                <w:p w14:paraId="2BA65D68">
                  <w:pPr>
                    <w:adjustRightInd w:val="0"/>
                    <w:snapToGrid w:val="0"/>
                    <w:jc w:val="center"/>
                    <w:rPr>
                      <w:color w:val="auto"/>
                      <w:highlight w:val="none"/>
                    </w:rPr>
                  </w:pPr>
                  <w:r>
                    <w:rPr>
                      <w:rFonts w:hint="eastAsia"/>
                      <w:color w:val="auto"/>
                      <w:highlight w:val="none"/>
                      <w:lang w:val="en-US" w:eastAsia="zh-CN"/>
                    </w:rPr>
                    <w:t>无机</w:t>
                  </w:r>
                  <w:r>
                    <w:rPr>
                      <w:color w:val="auto"/>
                      <w:highlight w:val="none"/>
                    </w:rPr>
                    <w:t>废气排放口</w:t>
                  </w:r>
                </w:p>
              </w:tc>
              <w:tc>
                <w:tcPr>
                  <w:tcW w:w="1250" w:type="dxa"/>
                  <w:shd w:val="clear" w:color="auto" w:fill="auto"/>
                  <w:vAlign w:val="center"/>
                </w:tcPr>
                <w:p w14:paraId="259462DD">
                  <w:pPr>
                    <w:adjustRightInd w:val="0"/>
                    <w:snapToGrid w:val="0"/>
                    <w:jc w:val="center"/>
                    <w:rPr>
                      <w:rFonts w:hint="default" w:eastAsia="宋体"/>
                      <w:color w:val="auto"/>
                      <w:highlight w:val="none"/>
                      <w:lang w:val="en-US" w:eastAsia="zh-CN"/>
                    </w:rPr>
                  </w:pPr>
                  <w:r>
                    <w:rPr>
                      <w:color w:val="auto"/>
                      <w:highlight w:val="none"/>
                    </w:rPr>
                    <w:t>DA001</w:t>
                  </w:r>
                  <w:r>
                    <w:rPr>
                      <w:rFonts w:hint="eastAsia"/>
                      <w:color w:val="auto"/>
                      <w:highlight w:val="none"/>
                      <w:lang w:val="en-US" w:eastAsia="zh-CN"/>
                    </w:rPr>
                    <w:t>~DA010</w:t>
                  </w:r>
                </w:p>
              </w:tc>
              <w:tc>
                <w:tcPr>
                  <w:tcW w:w="1719" w:type="dxa"/>
                  <w:shd w:val="clear" w:color="auto" w:fill="auto"/>
                  <w:vAlign w:val="center"/>
                </w:tcPr>
                <w:p w14:paraId="28D03C47">
                  <w:pPr>
                    <w:adjustRightInd w:val="0"/>
                    <w:snapToGrid w:val="0"/>
                    <w:jc w:val="center"/>
                    <w:rPr>
                      <w:color w:val="auto"/>
                      <w:highlight w:val="none"/>
                    </w:rPr>
                  </w:pPr>
                  <w:r>
                    <w:rPr>
                      <w:rFonts w:hint="eastAsia"/>
                      <w:color w:val="auto"/>
                      <w:position w:val="2"/>
                      <w:sz w:val="21"/>
                      <w:szCs w:val="24"/>
                      <w:highlight w:val="none"/>
                    </w:rPr>
                    <w:t>硫酸雾、氯化氢、</w:t>
                  </w:r>
                  <w:r>
                    <w:rPr>
                      <w:rFonts w:hint="default" w:ascii="Times New Roman" w:hAnsi="Times New Roman" w:eastAsia="Times New Roman"/>
                      <w:color w:val="auto"/>
                      <w:position w:val="2"/>
                      <w:sz w:val="21"/>
                      <w:szCs w:val="24"/>
                      <w:highlight w:val="none"/>
                    </w:rPr>
                    <w:t>NO</w:t>
                  </w:r>
                  <w:r>
                    <w:rPr>
                      <w:rFonts w:hint="default" w:ascii="Times New Roman" w:hAnsi="Times New Roman" w:eastAsia="Times New Roman"/>
                      <w:color w:val="auto"/>
                      <w:position w:val="2"/>
                      <w:sz w:val="21"/>
                      <w:szCs w:val="24"/>
                      <w:highlight w:val="none"/>
                      <w:vertAlign w:val="subscript"/>
                    </w:rPr>
                    <w:t>X</w:t>
                  </w:r>
                  <w:r>
                    <w:rPr>
                      <w:rFonts w:hint="eastAsia" w:ascii="Times New Roman" w:hAnsi="Times New Roman" w:eastAsia="宋体"/>
                      <w:color w:val="auto"/>
                      <w:position w:val="2"/>
                      <w:sz w:val="21"/>
                      <w:szCs w:val="24"/>
                      <w:highlight w:val="none"/>
                      <w:vertAlign w:val="baseline"/>
                      <w:lang w:eastAsia="zh-CN"/>
                    </w:rPr>
                    <w:t>、</w:t>
                  </w:r>
                  <w:r>
                    <w:rPr>
                      <w:rFonts w:hint="eastAsia" w:ascii="Times New Roman" w:hAnsi="Times New Roman" w:eastAsia="宋体"/>
                      <w:color w:val="auto"/>
                      <w:position w:val="2"/>
                      <w:sz w:val="21"/>
                      <w:szCs w:val="24"/>
                      <w:highlight w:val="none"/>
                      <w:vertAlign w:val="baseline"/>
                      <w:lang w:val="en-US" w:eastAsia="zh-CN"/>
                    </w:rPr>
                    <w:t>氟化物</w:t>
                  </w:r>
                </w:p>
              </w:tc>
              <w:tc>
                <w:tcPr>
                  <w:tcW w:w="756" w:type="dxa"/>
                  <w:shd w:val="clear" w:color="auto" w:fill="auto"/>
                  <w:vAlign w:val="center"/>
                </w:tcPr>
                <w:p w14:paraId="705D4760">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1823" w:type="dxa"/>
                  <w:shd w:val="clear" w:color="auto" w:fill="auto"/>
                  <w:vAlign w:val="center"/>
                </w:tcPr>
                <w:p w14:paraId="50BFBFF7">
                  <w:pPr>
                    <w:adjustRightInd w:val="0"/>
                    <w:snapToGrid w:val="0"/>
                    <w:jc w:val="center"/>
                    <w:rPr>
                      <w:rFonts w:hint="eastAsia" w:eastAsia="宋体"/>
                      <w:color w:val="auto"/>
                      <w:highlight w:val="none"/>
                      <w:lang w:eastAsia="zh-CN"/>
                    </w:rPr>
                  </w:pPr>
                  <w:r>
                    <w:rPr>
                      <w:rFonts w:hint="eastAsia"/>
                      <w:color w:val="auto"/>
                      <w:highlight w:val="none"/>
                    </w:rPr>
                    <w:t>0.4</w:t>
                  </w:r>
                  <w:r>
                    <w:rPr>
                      <w:rFonts w:hint="eastAsia"/>
                      <w:color w:val="auto"/>
                      <w:highlight w:val="none"/>
                      <w:lang w:val="en-US" w:eastAsia="zh-CN"/>
                    </w:rPr>
                    <w:t>9</w:t>
                  </w:r>
                </w:p>
              </w:tc>
              <w:tc>
                <w:tcPr>
                  <w:tcW w:w="852" w:type="dxa"/>
                  <w:shd w:val="clear" w:color="auto" w:fill="auto"/>
                  <w:vAlign w:val="center"/>
                </w:tcPr>
                <w:p w14:paraId="2A570C42">
                  <w:pPr>
                    <w:adjustRightInd w:val="0"/>
                    <w:snapToGrid w:val="0"/>
                    <w:jc w:val="center"/>
                    <w:rPr>
                      <w:color w:val="auto"/>
                      <w:highlight w:val="none"/>
                    </w:rPr>
                  </w:pPr>
                  <w:r>
                    <w:rPr>
                      <w:color w:val="auto"/>
                      <w:highlight w:val="none"/>
                    </w:rPr>
                    <w:t>25</w:t>
                  </w:r>
                </w:p>
              </w:tc>
              <w:tc>
                <w:tcPr>
                  <w:tcW w:w="1995" w:type="dxa"/>
                  <w:shd w:val="clear" w:color="auto" w:fill="auto"/>
                  <w:vAlign w:val="center"/>
                </w:tcPr>
                <w:p w14:paraId="487A7D7E">
                  <w:pPr>
                    <w:adjustRightInd w:val="0"/>
                    <w:snapToGrid w:val="0"/>
                    <w:jc w:val="center"/>
                    <w:rPr>
                      <w:color w:val="auto"/>
                      <w:highlight w:val="none"/>
                    </w:rPr>
                  </w:pPr>
                  <w:r>
                    <w:rPr>
                      <w:color w:val="auto"/>
                      <w:highlight w:val="none"/>
                    </w:rPr>
                    <w:t>一般排放口</w:t>
                  </w:r>
                </w:p>
              </w:tc>
              <w:tc>
                <w:tcPr>
                  <w:tcW w:w="2628" w:type="dxa"/>
                  <w:vMerge w:val="restart"/>
                  <w:shd w:val="clear" w:color="auto" w:fill="auto"/>
                  <w:vAlign w:val="center"/>
                </w:tcPr>
                <w:p w14:paraId="20E8DE7F">
                  <w:pPr>
                    <w:adjustRightInd w:val="0"/>
                    <w:snapToGrid w:val="0"/>
                    <w:jc w:val="center"/>
                    <w:rPr>
                      <w:rFonts w:hint="eastAsia" w:eastAsia="宋体"/>
                      <w:color w:val="auto"/>
                      <w:highlight w:val="none"/>
                      <w:lang w:eastAsia="zh-CN"/>
                    </w:rPr>
                  </w:pPr>
                  <w:r>
                    <w:rPr>
                      <w:color w:val="auto"/>
                      <w:highlight w:val="none"/>
                    </w:rPr>
                    <w:t>执行《大气污染物综</w:t>
                  </w:r>
                  <w:r>
                    <w:rPr>
                      <w:rFonts w:hint="eastAsia"/>
                      <w:color w:val="auto"/>
                      <w:highlight w:val="none"/>
                      <w:lang w:val="en-US" w:eastAsia="zh-CN"/>
                    </w:rPr>
                    <w:t>合</w:t>
                  </w:r>
                  <w:r>
                    <w:rPr>
                      <w:color w:val="auto"/>
                      <w:highlight w:val="none"/>
                    </w:rPr>
                    <w:t>排放标准</w:t>
                  </w:r>
                  <w:r>
                    <w:rPr>
                      <w:color w:val="auto"/>
                      <w:kern w:val="0"/>
                      <w:szCs w:val="21"/>
                      <w:highlight w:val="none"/>
                    </w:rPr>
                    <w:t>GB16297-1996</w:t>
                  </w:r>
                  <w:r>
                    <w:rPr>
                      <w:color w:val="auto"/>
                      <w:highlight w:val="none"/>
                    </w:rPr>
                    <w:t>》表2排放标准限值要求</w:t>
                  </w:r>
                  <w:r>
                    <w:rPr>
                      <w:rFonts w:hint="eastAsia"/>
                      <w:color w:val="auto"/>
                      <w:highlight w:val="none"/>
                      <w:lang w:eastAsia="zh-CN"/>
                    </w:rPr>
                    <w:t>，</w:t>
                  </w:r>
                  <w:r>
                    <w:rPr>
                      <w:rFonts w:hint="eastAsia"/>
                      <w:color w:val="auto"/>
                      <w:sz w:val="21"/>
                      <w:szCs w:val="21"/>
                      <w:highlight w:val="none"/>
                    </w:rPr>
                    <w:t>排放速率严于标准值50%</w:t>
                  </w:r>
                </w:p>
              </w:tc>
            </w:tr>
            <w:tr w14:paraId="327291DF">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1253" w:type="dxa"/>
                  <w:vMerge w:val="restart"/>
                  <w:shd w:val="clear" w:color="auto" w:fill="auto"/>
                  <w:vAlign w:val="center"/>
                </w:tcPr>
                <w:p w14:paraId="4E7E2821">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有机废气排放口</w:t>
                  </w:r>
                </w:p>
              </w:tc>
              <w:tc>
                <w:tcPr>
                  <w:tcW w:w="1250" w:type="dxa"/>
                  <w:shd w:val="clear" w:color="auto" w:fill="auto"/>
                  <w:vAlign w:val="center"/>
                </w:tcPr>
                <w:p w14:paraId="4E508FE5">
                  <w:pPr>
                    <w:adjustRightInd w:val="0"/>
                    <w:snapToGrid w:val="0"/>
                    <w:jc w:val="center"/>
                    <w:rPr>
                      <w:rFonts w:hint="default" w:eastAsia="宋体"/>
                      <w:color w:val="auto"/>
                      <w:highlight w:val="none"/>
                      <w:lang w:val="en-US" w:eastAsia="zh-CN"/>
                    </w:rPr>
                  </w:pPr>
                  <w:r>
                    <w:rPr>
                      <w:color w:val="auto"/>
                      <w:highlight w:val="none"/>
                    </w:rPr>
                    <w:t>DA0</w:t>
                  </w:r>
                  <w:r>
                    <w:rPr>
                      <w:rFonts w:hint="eastAsia"/>
                      <w:color w:val="auto"/>
                      <w:highlight w:val="none"/>
                      <w:lang w:val="en-US" w:eastAsia="zh-CN"/>
                    </w:rPr>
                    <w:t>11</w:t>
                  </w:r>
                </w:p>
              </w:tc>
              <w:tc>
                <w:tcPr>
                  <w:tcW w:w="1719" w:type="dxa"/>
                  <w:shd w:val="clear" w:color="auto" w:fill="auto"/>
                  <w:vAlign w:val="center"/>
                </w:tcPr>
                <w:p w14:paraId="043E4D0A">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非甲烷总烃、甲醇、甲苯、三氯甲烷、二氯甲烷</w:t>
                  </w:r>
                </w:p>
              </w:tc>
              <w:tc>
                <w:tcPr>
                  <w:tcW w:w="756" w:type="dxa"/>
                  <w:shd w:val="clear" w:color="auto" w:fill="auto"/>
                  <w:vAlign w:val="center"/>
                </w:tcPr>
                <w:p w14:paraId="31789F19">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1823" w:type="dxa"/>
                  <w:shd w:val="clear" w:color="auto" w:fill="auto"/>
                  <w:vAlign w:val="center"/>
                </w:tcPr>
                <w:p w14:paraId="74C0F2CD">
                  <w:pPr>
                    <w:adjustRightInd w:val="0"/>
                    <w:snapToGrid w:val="0"/>
                    <w:jc w:val="center"/>
                    <w:rPr>
                      <w:rFonts w:hint="eastAsia" w:eastAsia="宋体"/>
                      <w:color w:val="auto"/>
                      <w:highlight w:val="none"/>
                      <w:lang w:eastAsia="zh-CN"/>
                    </w:rPr>
                  </w:pPr>
                  <w:r>
                    <w:rPr>
                      <w:rFonts w:hint="eastAsia"/>
                      <w:color w:val="auto"/>
                      <w:highlight w:val="none"/>
                    </w:rPr>
                    <w:t>0.4</w:t>
                  </w:r>
                  <w:r>
                    <w:rPr>
                      <w:rFonts w:hint="eastAsia"/>
                      <w:color w:val="auto"/>
                      <w:highlight w:val="none"/>
                      <w:lang w:val="en-US" w:eastAsia="zh-CN"/>
                    </w:rPr>
                    <w:t>9</w:t>
                  </w:r>
                </w:p>
              </w:tc>
              <w:tc>
                <w:tcPr>
                  <w:tcW w:w="852" w:type="dxa"/>
                  <w:shd w:val="clear" w:color="auto" w:fill="auto"/>
                  <w:vAlign w:val="center"/>
                </w:tcPr>
                <w:p w14:paraId="52E96E9D">
                  <w:pPr>
                    <w:adjustRightInd w:val="0"/>
                    <w:snapToGrid w:val="0"/>
                    <w:jc w:val="center"/>
                    <w:rPr>
                      <w:color w:val="auto"/>
                      <w:highlight w:val="none"/>
                    </w:rPr>
                  </w:pPr>
                  <w:r>
                    <w:rPr>
                      <w:color w:val="auto"/>
                      <w:highlight w:val="none"/>
                    </w:rPr>
                    <w:t>25</w:t>
                  </w:r>
                </w:p>
              </w:tc>
              <w:tc>
                <w:tcPr>
                  <w:tcW w:w="1995" w:type="dxa"/>
                  <w:shd w:val="clear" w:color="auto" w:fill="auto"/>
                  <w:vAlign w:val="center"/>
                </w:tcPr>
                <w:p w14:paraId="093EE291">
                  <w:pPr>
                    <w:adjustRightInd w:val="0"/>
                    <w:snapToGrid w:val="0"/>
                    <w:jc w:val="center"/>
                    <w:rPr>
                      <w:color w:val="auto"/>
                      <w:highlight w:val="none"/>
                    </w:rPr>
                  </w:pPr>
                  <w:r>
                    <w:rPr>
                      <w:color w:val="auto"/>
                      <w:highlight w:val="none"/>
                    </w:rPr>
                    <w:t>一般排放口</w:t>
                  </w:r>
                </w:p>
              </w:tc>
              <w:tc>
                <w:tcPr>
                  <w:tcW w:w="2628" w:type="dxa"/>
                  <w:vMerge w:val="continue"/>
                  <w:shd w:val="clear" w:color="auto" w:fill="auto"/>
                  <w:vAlign w:val="center"/>
                </w:tcPr>
                <w:p w14:paraId="5881CE54">
                  <w:pPr>
                    <w:adjustRightInd w:val="0"/>
                    <w:snapToGrid w:val="0"/>
                    <w:jc w:val="center"/>
                    <w:rPr>
                      <w:color w:val="auto"/>
                      <w:highlight w:val="none"/>
                    </w:rPr>
                  </w:pPr>
                </w:p>
              </w:tc>
            </w:tr>
            <w:tr w14:paraId="2230BDAB">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253" w:type="dxa"/>
                  <w:vMerge w:val="continue"/>
                  <w:shd w:val="clear" w:color="auto" w:fill="auto"/>
                  <w:vAlign w:val="center"/>
                </w:tcPr>
                <w:p w14:paraId="569BF470">
                  <w:pPr>
                    <w:adjustRightInd w:val="0"/>
                    <w:snapToGrid w:val="0"/>
                    <w:jc w:val="center"/>
                    <w:rPr>
                      <w:rFonts w:hint="eastAsia"/>
                      <w:color w:val="auto"/>
                      <w:highlight w:val="none"/>
                      <w:lang w:val="en-US" w:eastAsia="zh-CN"/>
                    </w:rPr>
                  </w:pPr>
                </w:p>
              </w:tc>
              <w:tc>
                <w:tcPr>
                  <w:tcW w:w="1250" w:type="dxa"/>
                  <w:shd w:val="clear" w:color="auto" w:fill="auto"/>
                  <w:vAlign w:val="center"/>
                </w:tcPr>
                <w:p w14:paraId="628C04DA">
                  <w:pPr>
                    <w:adjustRightInd w:val="0"/>
                    <w:snapToGrid w:val="0"/>
                    <w:jc w:val="center"/>
                    <w:rPr>
                      <w:color w:val="auto"/>
                      <w:highlight w:val="none"/>
                    </w:rPr>
                  </w:pPr>
                  <w:r>
                    <w:rPr>
                      <w:color w:val="auto"/>
                      <w:highlight w:val="none"/>
                    </w:rPr>
                    <w:t>DA0</w:t>
                  </w:r>
                  <w:r>
                    <w:rPr>
                      <w:rFonts w:hint="eastAsia"/>
                      <w:color w:val="auto"/>
                      <w:highlight w:val="none"/>
                      <w:lang w:val="en-US" w:eastAsia="zh-CN"/>
                    </w:rPr>
                    <w:t>12~DA014</w:t>
                  </w:r>
                </w:p>
              </w:tc>
              <w:tc>
                <w:tcPr>
                  <w:tcW w:w="1719" w:type="dxa"/>
                  <w:shd w:val="clear" w:color="auto" w:fill="auto"/>
                  <w:vAlign w:val="center"/>
                </w:tcPr>
                <w:p w14:paraId="57D0A282">
                  <w:pPr>
                    <w:adjustRightInd w:val="0"/>
                    <w:snapToGrid w:val="0"/>
                    <w:jc w:val="center"/>
                    <w:rPr>
                      <w:rFonts w:hint="default"/>
                      <w:color w:val="auto"/>
                      <w:highlight w:val="none"/>
                      <w:lang w:val="en-US" w:eastAsia="zh-CN"/>
                    </w:rPr>
                  </w:pPr>
                  <w:r>
                    <w:rPr>
                      <w:rFonts w:hint="eastAsia"/>
                      <w:color w:val="auto"/>
                      <w:highlight w:val="none"/>
                      <w:lang w:val="en-US" w:eastAsia="zh-CN"/>
                    </w:rPr>
                    <w:t>非甲烷总烃</w:t>
                  </w:r>
                </w:p>
              </w:tc>
              <w:tc>
                <w:tcPr>
                  <w:tcW w:w="756" w:type="dxa"/>
                  <w:shd w:val="clear" w:color="auto" w:fill="auto"/>
                  <w:vAlign w:val="center"/>
                </w:tcPr>
                <w:p w14:paraId="382D7DBC">
                  <w:pPr>
                    <w:adjustRightInd w:val="0"/>
                    <w:snapToGrid w:val="0"/>
                    <w:jc w:val="center"/>
                    <w:rPr>
                      <w:rFonts w:hint="eastAsia"/>
                      <w:color w:val="auto"/>
                      <w:highlight w:val="none"/>
                      <w:lang w:val="en-US" w:eastAsia="zh-CN"/>
                    </w:rPr>
                  </w:pPr>
                  <w:r>
                    <w:rPr>
                      <w:rFonts w:hint="eastAsia"/>
                      <w:color w:val="auto"/>
                      <w:highlight w:val="none"/>
                      <w:lang w:val="en-US" w:eastAsia="zh-CN"/>
                    </w:rPr>
                    <w:t>23</w:t>
                  </w:r>
                </w:p>
              </w:tc>
              <w:tc>
                <w:tcPr>
                  <w:tcW w:w="1823" w:type="dxa"/>
                  <w:shd w:val="clear" w:color="auto" w:fill="auto"/>
                  <w:vAlign w:val="center"/>
                </w:tcPr>
                <w:p w14:paraId="2716FA43">
                  <w:pPr>
                    <w:adjustRightInd w:val="0"/>
                    <w:snapToGrid w:val="0"/>
                    <w:jc w:val="center"/>
                    <w:rPr>
                      <w:rFonts w:hint="eastAsia"/>
                      <w:color w:val="auto"/>
                      <w:highlight w:val="none"/>
                    </w:rPr>
                  </w:pPr>
                  <w:r>
                    <w:rPr>
                      <w:rFonts w:hint="eastAsia"/>
                      <w:color w:val="auto"/>
                      <w:highlight w:val="none"/>
                    </w:rPr>
                    <w:t>0.4</w:t>
                  </w:r>
                  <w:r>
                    <w:rPr>
                      <w:rFonts w:hint="eastAsia"/>
                      <w:color w:val="auto"/>
                      <w:highlight w:val="none"/>
                      <w:lang w:val="en-US" w:eastAsia="zh-CN"/>
                    </w:rPr>
                    <w:t>9</w:t>
                  </w:r>
                </w:p>
              </w:tc>
              <w:tc>
                <w:tcPr>
                  <w:tcW w:w="852" w:type="dxa"/>
                  <w:shd w:val="clear" w:color="auto" w:fill="auto"/>
                  <w:vAlign w:val="center"/>
                </w:tcPr>
                <w:p w14:paraId="5CA1BB3C">
                  <w:pPr>
                    <w:adjustRightInd w:val="0"/>
                    <w:snapToGrid w:val="0"/>
                    <w:jc w:val="center"/>
                    <w:rPr>
                      <w:color w:val="auto"/>
                      <w:highlight w:val="none"/>
                    </w:rPr>
                  </w:pPr>
                  <w:r>
                    <w:rPr>
                      <w:color w:val="auto"/>
                      <w:highlight w:val="none"/>
                    </w:rPr>
                    <w:t>25</w:t>
                  </w:r>
                </w:p>
              </w:tc>
              <w:tc>
                <w:tcPr>
                  <w:tcW w:w="1995" w:type="dxa"/>
                  <w:shd w:val="clear" w:color="auto" w:fill="auto"/>
                  <w:vAlign w:val="center"/>
                </w:tcPr>
                <w:p w14:paraId="40CC7869">
                  <w:pPr>
                    <w:adjustRightInd w:val="0"/>
                    <w:snapToGrid w:val="0"/>
                    <w:jc w:val="center"/>
                    <w:rPr>
                      <w:color w:val="auto"/>
                      <w:highlight w:val="none"/>
                    </w:rPr>
                  </w:pPr>
                  <w:r>
                    <w:rPr>
                      <w:color w:val="auto"/>
                      <w:highlight w:val="none"/>
                    </w:rPr>
                    <w:t>一般排放口</w:t>
                  </w:r>
                </w:p>
              </w:tc>
              <w:tc>
                <w:tcPr>
                  <w:tcW w:w="2628" w:type="dxa"/>
                  <w:vMerge w:val="continue"/>
                  <w:shd w:val="clear" w:color="auto" w:fill="auto"/>
                  <w:vAlign w:val="center"/>
                </w:tcPr>
                <w:p w14:paraId="0D4F06C9">
                  <w:pPr>
                    <w:adjustRightInd w:val="0"/>
                    <w:snapToGrid w:val="0"/>
                    <w:jc w:val="center"/>
                    <w:rPr>
                      <w:color w:val="auto"/>
                      <w:highlight w:val="none"/>
                    </w:rPr>
                  </w:pPr>
                </w:p>
              </w:tc>
            </w:tr>
            <w:tr w14:paraId="1D39DF1B">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253" w:type="dxa"/>
                  <w:shd w:val="clear" w:color="auto" w:fill="auto"/>
                  <w:vAlign w:val="center"/>
                </w:tcPr>
                <w:p w14:paraId="422BF1CC">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碎样废气排放口</w:t>
                  </w:r>
                </w:p>
              </w:tc>
              <w:tc>
                <w:tcPr>
                  <w:tcW w:w="1250" w:type="dxa"/>
                  <w:shd w:val="clear" w:color="auto" w:fill="auto"/>
                  <w:vAlign w:val="center"/>
                </w:tcPr>
                <w:p w14:paraId="117437AB">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DA015</w:t>
                  </w:r>
                </w:p>
              </w:tc>
              <w:tc>
                <w:tcPr>
                  <w:tcW w:w="1719" w:type="dxa"/>
                  <w:shd w:val="clear" w:color="auto" w:fill="auto"/>
                  <w:vAlign w:val="center"/>
                </w:tcPr>
                <w:p w14:paraId="236798B7">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颗粒物</w:t>
                  </w:r>
                </w:p>
              </w:tc>
              <w:tc>
                <w:tcPr>
                  <w:tcW w:w="756" w:type="dxa"/>
                  <w:shd w:val="clear" w:color="auto" w:fill="auto"/>
                  <w:vAlign w:val="center"/>
                </w:tcPr>
                <w:p w14:paraId="7A441307">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1823" w:type="dxa"/>
                  <w:shd w:val="clear" w:color="auto" w:fill="auto"/>
                  <w:vAlign w:val="center"/>
                </w:tcPr>
                <w:p w14:paraId="6EC48623">
                  <w:pPr>
                    <w:adjustRightInd w:val="0"/>
                    <w:snapToGrid w:val="0"/>
                    <w:jc w:val="center"/>
                    <w:rPr>
                      <w:rFonts w:hint="eastAsia" w:eastAsia="宋体"/>
                      <w:color w:val="auto"/>
                      <w:highlight w:val="none"/>
                      <w:lang w:eastAsia="zh-CN"/>
                    </w:rPr>
                  </w:pPr>
                  <w:r>
                    <w:rPr>
                      <w:rFonts w:hint="eastAsia"/>
                      <w:color w:val="auto"/>
                      <w:highlight w:val="none"/>
                    </w:rPr>
                    <w:t>0.4</w:t>
                  </w:r>
                  <w:r>
                    <w:rPr>
                      <w:rFonts w:hint="eastAsia"/>
                      <w:color w:val="auto"/>
                      <w:highlight w:val="none"/>
                      <w:lang w:val="en-US" w:eastAsia="zh-CN"/>
                    </w:rPr>
                    <w:t>9</w:t>
                  </w:r>
                </w:p>
              </w:tc>
              <w:tc>
                <w:tcPr>
                  <w:tcW w:w="852" w:type="dxa"/>
                  <w:shd w:val="clear" w:color="auto" w:fill="auto"/>
                  <w:vAlign w:val="center"/>
                </w:tcPr>
                <w:p w14:paraId="2CB76E8A">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25</w:t>
                  </w:r>
                </w:p>
              </w:tc>
              <w:tc>
                <w:tcPr>
                  <w:tcW w:w="1995" w:type="dxa"/>
                  <w:shd w:val="clear" w:color="auto" w:fill="auto"/>
                  <w:vAlign w:val="center"/>
                </w:tcPr>
                <w:p w14:paraId="6D7CF40F">
                  <w:pPr>
                    <w:adjustRightInd w:val="0"/>
                    <w:snapToGrid w:val="0"/>
                    <w:jc w:val="center"/>
                    <w:rPr>
                      <w:color w:val="auto"/>
                      <w:highlight w:val="none"/>
                    </w:rPr>
                  </w:pPr>
                  <w:r>
                    <w:rPr>
                      <w:color w:val="auto"/>
                      <w:highlight w:val="none"/>
                    </w:rPr>
                    <w:t>一般排放口</w:t>
                  </w:r>
                </w:p>
              </w:tc>
              <w:tc>
                <w:tcPr>
                  <w:tcW w:w="2628" w:type="dxa"/>
                  <w:vMerge w:val="continue"/>
                  <w:shd w:val="clear" w:color="auto" w:fill="auto"/>
                  <w:vAlign w:val="center"/>
                </w:tcPr>
                <w:p w14:paraId="658A5E66">
                  <w:pPr>
                    <w:adjustRightInd w:val="0"/>
                    <w:snapToGrid w:val="0"/>
                    <w:jc w:val="center"/>
                    <w:rPr>
                      <w:color w:val="auto"/>
                      <w:highlight w:val="none"/>
                    </w:rPr>
                  </w:pPr>
                </w:p>
              </w:tc>
            </w:tr>
          </w:tbl>
          <w:p w14:paraId="57A3DE59">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6</w:t>
            </w:r>
            <w:r>
              <w:rPr>
                <w:rFonts w:hint="eastAsia" w:ascii="Times New Roman" w:hAnsi="Times New Roman" w:eastAsia="宋体" w:cs="Times New Roman"/>
                <w:b/>
                <w:bCs/>
                <w:color w:val="auto"/>
                <w:kern w:val="2"/>
                <w:sz w:val="21"/>
                <w:szCs w:val="21"/>
                <w:highlight w:val="none"/>
                <w:lang w:val="en-US" w:eastAsia="zh-CN" w:bidi="ar-SA"/>
              </w:rPr>
              <w:t xml:space="preserve">  非正常工况下废气污染物排放情况</w:t>
            </w:r>
          </w:p>
          <w:tbl>
            <w:tblPr>
              <w:tblStyle w:val="27"/>
              <w:tblW w:w="123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87"/>
              <w:gridCol w:w="1105"/>
              <w:gridCol w:w="742"/>
              <w:gridCol w:w="1204"/>
              <w:gridCol w:w="1347"/>
              <w:gridCol w:w="1145"/>
              <w:gridCol w:w="1395"/>
              <w:gridCol w:w="774"/>
              <w:gridCol w:w="1274"/>
              <w:gridCol w:w="1283"/>
              <w:gridCol w:w="1150"/>
            </w:tblGrid>
            <w:tr w14:paraId="42529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87" w:type="dxa"/>
                  <w:vMerge w:val="restart"/>
                  <w:shd w:val="clear" w:color="auto" w:fill="auto"/>
                  <w:vAlign w:val="center"/>
                </w:tcPr>
                <w:p w14:paraId="30934DB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污染源</w:t>
                  </w:r>
                </w:p>
              </w:tc>
              <w:tc>
                <w:tcPr>
                  <w:tcW w:w="1105" w:type="dxa"/>
                  <w:vMerge w:val="restart"/>
                  <w:shd w:val="clear" w:color="auto" w:fill="auto"/>
                  <w:vAlign w:val="center"/>
                </w:tcPr>
                <w:p w14:paraId="1AC0EB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污染物</w:t>
                  </w:r>
                </w:p>
              </w:tc>
              <w:tc>
                <w:tcPr>
                  <w:tcW w:w="742" w:type="dxa"/>
                  <w:vMerge w:val="restart"/>
                  <w:shd w:val="clear" w:color="auto" w:fill="auto"/>
                  <w:vAlign w:val="center"/>
                </w:tcPr>
                <w:p w14:paraId="4E34D0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kern w:val="0"/>
                      <w:sz w:val="21"/>
                      <w:szCs w:val="21"/>
                      <w:highlight w:val="none"/>
                      <w:u w:val="none"/>
                      <w:lang w:val="en-US" w:eastAsia="zh-CN" w:bidi="ar"/>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收集</w:t>
                  </w:r>
                </w:p>
                <w:p w14:paraId="537AF4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效率</w:t>
                  </w:r>
                </w:p>
              </w:tc>
              <w:tc>
                <w:tcPr>
                  <w:tcW w:w="3696" w:type="dxa"/>
                  <w:gridSpan w:val="3"/>
                  <w:shd w:val="clear" w:color="auto" w:fill="auto"/>
                  <w:vAlign w:val="center"/>
                </w:tcPr>
                <w:p w14:paraId="5733907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sz w:val="21"/>
                      <w:szCs w:val="21"/>
                      <w:highlight w:val="none"/>
                      <w:u w:val="none"/>
                    </w:rPr>
                    <w:t>污染物产生</w:t>
                  </w:r>
                </w:p>
              </w:tc>
              <w:tc>
                <w:tcPr>
                  <w:tcW w:w="2169" w:type="dxa"/>
                  <w:gridSpan w:val="2"/>
                  <w:shd w:val="clear" w:color="auto" w:fill="auto"/>
                  <w:vAlign w:val="center"/>
                </w:tcPr>
                <w:p w14:paraId="56C9F76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治理措施</w:t>
                  </w:r>
                </w:p>
              </w:tc>
              <w:tc>
                <w:tcPr>
                  <w:tcW w:w="3707" w:type="dxa"/>
                  <w:gridSpan w:val="3"/>
                  <w:shd w:val="clear" w:color="auto" w:fill="auto"/>
                  <w:vAlign w:val="center"/>
                </w:tcPr>
                <w:p w14:paraId="06227ADC">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cs="Times New Roman" w:eastAsiaTheme="minorEastAsia"/>
                      <w:b/>
                      <w:bCs/>
                      <w:i w:val="0"/>
                      <w:iCs w:val="0"/>
                      <w:color w:val="auto"/>
                      <w:sz w:val="21"/>
                      <w:szCs w:val="21"/>
                      <w:highlight w:val="none"/>
                      <w:u w:val="none"/>
                      <w:lang w:eastAsia="zh-CN"/>
                    </w:rPr>
                  </w:pPr>
                  <w:r>
                    <w:rPr>
                      <w:rFonts w:hint="default" w:ascii="Times New Roman" w:hAnsi="Times New Roman" w:cs="Times New Roman" w:eastAsiaTheme="minorEastAsia"/>
                      <w:b/>
                      <w:bCs/>
                      <w:i w:val="0"/>
                      <w:iCs w:val="0"/>
                      <w:color w:val="auto"/>
                      <w:sz w:val="21"/>
                      <w:szCs w:val="21"/>
                      <w:highlight w:val="none"/>
                      <w:u w:val="none"/>
                    </w:rPr>
                    <w:t>污染物</w:t>
                  </w:r>
                  <w:r>
                    <w:rPr>
                      <w:rFonts w:hint="eastAsia" w:ascii="Times New Roman" w:hAnsi="Times New Roman" w:cs="Times New Roman" w:eastAsiaTheme="minorEastAsia"/>
                      <w:b/>
                      <w:bCs/>
                      <w:i w:val="0"/>
                      <w:iCs w:val="0"/>
                      <w:color w:val="auto"/>
                      <w:sz w:val="21"/>
                      <w:szCs w:val="21"/>
                      <w:highlight w:val="none"/>
                      <w:u w:val="none"/>
                      <w:lang w:val="en-US" w:eastAsia="zh-CN"/>
                    </w:rPr>
                    <w:t>排放</w:t>
                  </w:r>
                </w:p>
              </w:tc>
            </w:tr>
            <w:tr w14:paraId="29988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887" w:type="dxa"/>
                  <w:vMerge w:val="continue"/>
                  <w:shd w:val="clear" w:color="auto" w:fill="auto"/>
                  <w:vAlign w:val="center"/>
                </w:tcPr>
                <w:p w14:paraId="1641F1F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vMerge w:val="continue"/>
                  <w:shd w:val="clear" w:color="auto" w:fill="auto"/>
                  <w:vAlign w:val="center"/>
                </w:tcPr>
                <w:p w14:paraId="1951AF6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42" w:type="dxa"/>
                  <w:vMerge w:val="continue"/>
                  <w:shd w:val="clear" w:color="auto" w:fill="auto"/>
                  <w:vAlign w:val="center"/>
                </w:tcPr>
                <w:p w14:paraId="62D22D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28425A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产生量(t/a)</w:t>
                  </w:r>
                </w:p>
              </w:tc>
              <w:tc>
                <w:tcPr>
                  <w:tcW w:w="1347" w:type="dxa"/>
                  <w:shd w:val="clear" w:color="auto" w:fill="auto"/>
                  <w:vAlign w:val="center"/>
                </w:tcPr>
                <w:p w14:paraId="686FE2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产生速率(kg/h)</w:t>
                  </w:r>
                </w:p>
              </w:tc>
              <w:tc>
                <w:tcPr>
                  <w:tcW w:w="1145" w:type="dxa"/>
                  <w:shd w:val="clear" w:color="auto" w:fill="auto"/>
                  <w:vAlign w:val="center"/>
                </w:tcPr>
                <w:p w14:paraId="08031D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产生浓度(mg/m</w:t>
                  </w:r>
                  <w:r>
                    <w:rPr>
                      <w:rFonts w:hint="default" w:ascii="Times New Roman" w:hAnsi="Times New Roman" w:cs="Times New Roman" w:eastAsiaTheme="minorEastAsia"/>
                      <w:b/>
                      <w:bCs/>
                      <w:i w:val="0"/>
                      <w:iCs w:val="0"/>
                      <w:color w:val="auto"/>
                      <w:kern w:val="0"/>
                      <w:sz w:val="21"/>
                      <w:szCs w:val="21"/>
                      <w:highlight w:val="none"/>
                      <w:u w:val="none"/>
                      <w:vertAlign w:val="superscript"/>
                      <w:lang w:val="en-US" w:eastAsia="zh-CN" w:bidi="ar"/>
                    </w:rPr>
                    <w:t>3</w:t>
                  </w:r>
                  <w:r>
                    <w:rPr>
                      <w:rFonts w:hint="default" w:ascii="Times New Roman" w:hAnsi="Times New Roman" w:cs="Times New Roman" w:eastAsiaTheme="minorEastAsia"/>
                      <w:b/>
                      <w:bCs/>
                      <w:i w:val="0"/>
                      <w:iCs w:val="0"/>
                      <w:color w:val="auto"/>
                      <w:kern w:val="0"/>
                      <w:sz w:val="21"/>
                      <w:szCs w:val="21"/>
                      <w:highlight w:val="none"/>
                      <w:u w:val="none"/>
                      <w:lang w:val="en-US" w:eastAsia="zh-CN" w:bidi="ar"/>
                    </w:rPr>
                    <w:t>)</w:t>
                  </w:r>
                </w:p>
              </w:tc>
              <w:tc>
                <w:tcPr>
                  <w:tcW w:w="1395" w:type="dxa"/>
                  <w:shd w:val="clear" w:color="auto" w:fill="auto"/>
                  <w:vAlign w:val="center"/>
                </w:tcPr>
                <w:p w14:paraId="0B0DCAA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工艺</w:t>
                  </w:r>
                </w:p>
              </w:tc>
              <w:tc>
                <w:tcPr>
                  <w:tcW w:w="774" w:type="dxa"/>
                  <w:shd w:val="clear" w:color="auto" w:fill="auto"/>
                  <w:vAlign w:val="center"/>
                </w:tcPr>
                <w:p w14:paraId="5A0CDB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效率</w:t>
                  </w:r>
                </w:p>
              </w:tc>
              <w:tc>
                <w:tcPr>
                  <w:tcW w:w="1274" w:type="dxa"/>
                  <w:shd w:val="clear" w:color="auto" w:fill="auto"/>
                  <w:vAlign w:val="center"/>
                </w:tcPr>
                <w:p w14:paraId="3AAEE0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排放量(t/a)</w:t>
                  </w:r>
                </w:p>
              </w:tc>
              <w:tc>
                <w:tcPr>
                  <w:tcW w:w="1283" w:type="dxa"/>
                  <w:shd w:val="clear" w:color="auto" w:fill="auto"/>
                  <w:vAlign w:val="center"/>
                </w:tcPr>
                <w:p w14:paraId="4851B1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排放速率(kg/h)</w:t>
                  </w:r>
                </w:p>
              </w:tc>
              <w:tc>
                <w:tcPr>
                  <w:tcW w:w="1150" w:type="dxa"/>
                  <w:shd w:val="clear" w:color="auto" w:fill="auto"/>
                  <w:vAlign w:val="center"/>
                </w:tcPr>
                <w:p w14:paraId="58E382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i w:val="0"/>
                      <w:iCs w:val="0"/>
                      <w:color w:val="auto"/>
                      <w:sz w:val="21"/>
                      <w:szCs w:val="21"/>
                      <w:highlight w:val="none"/>
                      <w:u w:val="none"/>
                    </w:rPr>
                  </w:pPr>
                  <w:r>
                    <w:rPr>
                      <w:rFonts w:hint="default" w:ascii="Times New Roman" w:hAnsi="Times New Roman" w:cs="Times New Roman" w:eastAsiaTheme="minorEastAsia"/>
                      <w:b/>
                      <w:bCs/>
                      <w:i w:val="0"/>
                      <w:iCs w:val="0"/>
                      <w:color w:val="auto"/>
                      <w:kern w:val="0"/>
                      <w:sz w:val="21"/>
                      <w:szCs w:val="21"/>
                      <w:highlight w:val="none"/>
                      <w:u w:val="none"/>
                      <w:lang w:val="en-US" w:eastAsia="zh-CN" w:bidi="ar"/>
                    </w:rPr>
                    <w:t>排放浓度(mg/m</w:t>
                  </w:r>
                  <w:r>
                    <w:rPr>
                      <w:rFonts w:hint="default" w:ascii="Times New Roman" w:hAnsi="Times New Roman" w:cs="Times New Roman" w:eastAsiaTheme="minorEastAsia"/>
                      <w:b/>
                      <w:bCs/>
                      <w:i w:val="0"/>
                      <w:iCs w:val="0"/>
                      <w:color w:val="auto"/>
                      <w:kern w:val="0"/>
                      <w:sz w:val="21"/>
                      <w:szCs w:val="21"/>
                      <w:highlight w:val="none"/>
                      <w:u w:val="none"/>
                      <w:vertAlign w:val="superscript"/>
                      <w:lang w:val="en-US" w:eastAsia="zh-CN" w:bidi="ar"/>
                    </w:rPr>
                    <w:t>3</w:t>
                  </w:r>
                  <w:r>
                    <w:rPr>
                      <w:rFonts w:hint="default" w:ascii="Times New Roman" w:hAnsi="Times New Roman" w:cs="Times New Roman" w:eastAsiaTheme="minorEastAsia"/>
                      <w:b/>
                      <w:bCs/>
                      <w:i w:val="0"/>
                      <w:iCs w:val="0"/>
                      <w:color w:val="auto"/>
                      <w:kern w:val="0"/>
                      <w:sz w:val="21"/>
                      <w:szCs w:val="21"/>
                      <w:highlight w:val="none"/>
                      <w:u w:val="none"/>
                      <w:lang w:val="en-US" w:eastAsia="zh-CN" w:bidi="ar"/>
                    </w:rPr>
                    <w:t>)</w:t>
                  </w:r>
                </w:p>
              </w:tc>
            </w:tr>
            <w:tr w14:paraId="46619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29E5F1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DA001</w:t>
                  </w:r>
                </w:p>
              </w:tc>
              <w:tc>
                <w:tcPr>
                  <w:tcW w:w="1105" w:type="dxa"/>
                  <w:shd w:val="clear" w:color="auto" w:fill="auto"/>
                  <w:vAlign w:val="center"/>
                </w:tcPr>
                <w:p w14:paraId="2D639D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131073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1AC5148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4B0A63F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5F1766E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047648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542473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1A30D29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102488D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74E36AB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7EF4F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6BE9D73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4187C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32FE20F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06CF8BE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4A795A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3F1EE7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00A92C1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B9A15F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734AC1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436479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2B77214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75918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CDE7AB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65CA3D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43A36EC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7C56F08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369E0EE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35364A5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2EA70B3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3353F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293043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53114E3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34C399D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38708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ABB791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35A609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68D7FF0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3B7B9D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177CE9D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4B176E6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08C9E25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26A725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6517D1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425031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66B2CF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437F5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55CEE4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DA002</w:t>
                  </w:r>
                </w:p>
              </w:tc>
              <w:tc>
                <w:tcPr>
                  <w:tcW w:w="1105" w:type="dxa"/>
                  <w:shd w:val="clear" w:color="auto" w:fill="auto"/>
                  <w:vAlign w:val="center"/>
                </w:tcPr>
                <w:p w14:paraId="7E93D4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082068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6CAED84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3263C0D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5945253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424976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3BCCA0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1E2ECF6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03EEC85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04E422B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0CE3D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C043CF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71D43D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2F30D83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574CDE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13A15AE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7697681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533B2B8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197D4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A1AF8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55E02B8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6CF7FE6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69211F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509859B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6E31F2E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1305EFF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D2143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1621A5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36B93AA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727CDDC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7E0A10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11F152F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0529538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76A411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04FFB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F315F6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2701A2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6569C24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27F615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0DF2ABE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673F03C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59063E7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3E43DF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751A68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51803CF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083242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75F0A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591668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DA003</w:t>
                  </w:r>
                </w:p>
              </w:tc>
              <w:tc>
                <w:tcPr>
                  <w:tcW w:w="1105" w:type="dxa"/>
                  <w:shd w:val="clear" w:color="auto" w:fill="auto"/>
                  <w:vAlign w:val="center"/>
                </w:tcPr>
                <w:p w14:paraId="26912B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1EE5C7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204" w:type="dxa"/>
                  <w:shd w:val="clear" w:color="auto" w:fill="auto"/>
                  <w:vAlign w:val="center"/>
                </w:tcPr>
                <w:p w14:paraId="1F1F810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1F6E462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536357B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7E20E3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37B259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596F85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0B470B6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7C63282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39E52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1791B86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44C004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5D94922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5DF0135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27CF422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7E1C9B3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7015E2C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2FDF51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23165FE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21ABA1F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4885929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0D2FC6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3DD32A9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009FA2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73358E7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F448D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1E30055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6BB98C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60C73E2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26FDBA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707C51E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059B68F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4CFF5E0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457DB7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47EAF4D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1E9C3E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44B1A0F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0EFBE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30EF77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324D4E8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22A9334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745400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14E50F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4CA86FF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0E392EB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6E13D7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1208EEB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DA004</w:t>
                  </w:r>
                </w:p>
              </w:tc>
              <w:tc>
                <w:tcPr>
                  <w:tcW w:w="1105" w:type="dxa"/>
                  <w:shd w:val="clear" w:color="auto" w:fill="auto"/>
                  <w:vAlign w:val="center"/>
                </w:tcPr>
                <w:p w14:paraId="25BB33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08F8B4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4BD6BF1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5979A3B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3A0FF38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555AA1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0CFD69B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80930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0C7EFA6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66B9B6D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4438E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01B58AD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25EC1B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54382F9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51083C6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1CFE2FE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220200C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17DE2F3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659248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5F8D56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5CC81A9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356A27B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3B6B4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5D8DB66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53B57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6AD44E4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190308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6700418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47A1B9C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0BEEE9E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D3F69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74C5E34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3F45350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58B8CC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12851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3B6A46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5DAE97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64AB71D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6F0FE5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5DF242C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6FB42BA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4B46EFB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75B182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FBDA6C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5D59145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0D04CBA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7B2D73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17EB99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DA005</w:t>
                  </w:r>
                </w:p>
              </w:tc>
              <w:tc>
                <w:tcPr>
                  <w:tcW w:w="1105" w:type="dxa"/>
                  <w:shd w:val="clear" w:color="auto" w:fill="auto"/>
                  <w:vAlign w:val="center"/>
                </w:tcPr>
                <w:p w14:paraId="677FF3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326972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4549F0C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11AAF19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7F0DD35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373359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4CF07A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0BF238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7CE7657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0DC558B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75E7BF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3C95BB7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5429E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4D5D862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3139ED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764DFAC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602DA86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72CC123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6E76A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E7BC8C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3CFF4F1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76B940B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475E5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0EBCC1D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36D25B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0C32F7E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7D5850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7B1E591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3A84A5D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2C49E64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49EE1F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9856C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3EFC16D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301EFBB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35E83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3189C84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034178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3C9DEAF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75ED97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6F24E7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45F4521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06DBC4E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2B27A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C4A6DA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42A6045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0BE81C7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2A8852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49C488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DA006</w:t>
                  </w:r>
                </w:p>
              </w:tc>
              <w:tc>
                <w:tcPr>
                  <w:tcW w:w="1105" w:type="dxa"/>
                  <w:shd w:val="clear" w:color="auto" w:fill="auto"/>
                  <w:vAlign w:val="center"/>
                </w:tcPr>
                <w:p w14:paraId="7DF3AC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65A8D1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53BE9C0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301F2D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2DE1EE3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16D7EE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6FB06D3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07BE2CD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32A312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2E5EDD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7B5CA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1F06683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67A839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6C6E6FC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5EF834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7DFDD2F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4117645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595D2F0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6081E8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79045DE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0FFD126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43BE460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68F26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74C9473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1FA244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64E82F9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6B765A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77D37C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37A7690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262BD83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5D8794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2B51686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5BC439F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349C3DB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3AC616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62873B6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81B9A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202F4FA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54B2AB7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2C96859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4C80A2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6BF1D90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39492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F21844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1050E1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4959933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510F6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6A95008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DA007</w:t>
                  </w:r>
                </w:p>
              </w:tc>
              <w:tc>
                <w:tcPr>
                  <w:tcW w:w="1105" w:type="dxa"/>
                  <w:shd w:val="clear" w:color="auto" w:fill="auto"/>
                  <w:vAlign w:val="center"/>
                </w:tcPr>
                <w:p w14:paraId="51B94C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0850FD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204" w:type="dxa"/>
                  <w:shd w:val="clear" w:color="auto" w:fill="auto"/>
                  <w:vAlign w:val="center"/>
                </w:tcPr>
                <w:p w14:paraId="522EFF6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56E4E99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698AC0F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68F496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1D9F6E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273E595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3D2BBD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592DF4D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3DFB41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44F7F9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57B0AF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3EF7F88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0BE6DF7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43DBBC7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43A435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5820090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376863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ED1F0C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2AC3559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7E21593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44042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0CEF74E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4D7205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275F1E3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33C32D3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634431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6A2FC7E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426641B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B7189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D660A0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3306B6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1146E0F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6236A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87" w:type="dxa"/>
                  <w:vMerge w:val="continue"/>
                  <w:shd w:val="clear" w:color="auto" w:fill="auto"/>
                  <w:vAlign w:val="center"/>
                </w:tcPr>
                <w:p w14:paraId="01593A5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32E8DD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06363E6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628B9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27242A9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7C3C5E3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32D76A0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5CE58A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1D15667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25E1CA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703EC1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58B3A6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4945AF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DA008</w:t>
                  </w:r>
                </w:p>
              </w:tc>
              <w:tc>
                <w:tcPr>
                  <w:tcW w:w="1105" w:type="dxa"/>
                  <w:shd w:val="clear" w:color="auto" w:fill="auto"/>
                  <w:vAlign w:val="center"/>
                </w:tcPr>
                <w:p w14:paraId="137435D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0A6CC8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90%</w:t>
                  </w:r>
                </w:p>
              </w:tc>
              <w:tc>
                <w:tcPr>
                  <w:tcW w:w="1204" w:type="dxa"/>
                  <w:shd w:val="clear" w:color="auto" w:fill="auto"/>
                  <w:vAlign w:val="center"/>
                </w:tcPr>
                <w:p w14:paraId="4D55AB5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45688F1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4B7EDCD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3D8938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320C10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DDCCD0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426579A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73C2AD3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40F8A2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25058B2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47708A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22B763E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60E724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6D498EB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5B52580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6B4CCF8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05756E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094C838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4750DDD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563CC1F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0E923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2412B93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12B14A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1BE792D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2E683F0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73CB35C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184AD74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37EB593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6CEC0EA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B98D70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6401C9B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29D9A47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68F5C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3A2B13B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41297E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1745068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DC5354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36D425A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2C4840E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76D5CE3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4ED1ED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0539E7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1A4768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44E6F94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00971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3FBF3A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DA009</w:t>
                  </w:r>
                </w:p>
              </w:tc>
              <w:tc>
                <w:tcPr>
                  <w:tcW w:w="1105" w:type="dxa"/>
                  <w:shd w:val="clear" w:color="auto" w:fill="auto"/>
                  <w:vAlign w:val="center"/>
                </w:tcPr>
                <w:p w14:paraId="46919E9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31274FD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0A334D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21C397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2247686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56DC01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0936ED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EEA5A0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47AD1B4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4C071F8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57134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5E1D98B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661A89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0F5999B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2166A84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1905C9A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38EB4DA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1FD60EC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3893D0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890CBF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615086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560673C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52239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151B5F7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01C273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66917C8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676F380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4BB7554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3571636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23181DD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6AB20B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0D5E1A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3064265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6FA9B38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76B0F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6D8F9CA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7AF98A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782D042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1196CF5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52C015C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4681B58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1954166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7EC1AE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6C12484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2323BB8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07AEAC9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14A08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restart"/>
                  <w:shd w:val="clear" w:color="auto" w:fill="auto"/>
                  <w:vAlign w:val="center"/>
                </w:tcPr>
                <w:p w14:paraId="368F5F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DA010</w:t>
                  </w:r>
                </w:p>
              </w:tc>
              <w:tc>
                <w:tcPr>
                  <w:tcW w:w="1105" w:type="dxa"/>
                  <w:shd w:val="clear" w:color="auto" w:fill="auto"/>
                  <w:vAlign w:val="center"/>
                </w:tcPr>
                <w:p w14:paraId="46F204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氯化氢</w:t>
                  </w:r>
                </w:p>
              </w:tc>
              <w:tc>
                <w:tcPr>
                  <w:tcW w:w="742" w:type="dxa"/>
                  <w:vMerge w:val="restart"/>
                  <w:shd w:val="clear" w:color="auto" w:fill="auto"/>
                  <w:vAlign w:val="center"/>
                </w:tcPr>
                <w:p w14:paraId="1A5E49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29A8D23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347" w:type="dxa"/>
                  <w:shd w:val="clear" w:color="auto" w:fill="auto"/>
                  <w:vAlign w:val="center"/>
                </w:tcPr>
                <w:p w14:paraId="49E099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45" w:type="dxa"/>
                  <w:shd w:val="clear" w:color="auto" w:fill="auto"/>
                  <w:vAlign w:val="center"/>
                </w:tcPr>
                <w:p w14:paraId="7B6C73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c>
                <w:tcPr>
                  <w:tcW w:w="1395" w:type="dxa"/>
                  <w:vMerge w:val="restart"/>
                  <w:shd w:val="clear" w:color="auto" w:fill="auto"/>
                  <w:vAlign w:val="center"/>
                </w:tcPr>
                <w:p w14:paraId="3DD942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通风橱+碱液洗涤塔</w:t>
                  </w:r>
                </w:p>
              </w:tc>
              <w:tc>
                <w:tcPr>
                  <w:tcW w:w="774" w:type="dxa"/>
                  <w:shd w:val="clear" w:color="auto" w:fill="auto"/>
                  <w:vAlign w:val="center"/>
                </w:tcPr>
                <w:p w14:paraId="7DC909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7B91D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0.0289</w:t>
                  </w:r>
                </w:p>
              </w:tc>
              <w:tc>
                <w:tcPr>
                  <w:tcW w:w="1283" w:type="dxa"/>
                  <w:shd w:val="clear" w:color="auto" w:fill="auto"/>
                  <w:vAlign w:val="center"/>
                </w:tcPr>
                <w:p w14:paraId="289AC1E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0.0278</w:t>
                  </w:r>
                </w:p>
              </w:tc>
              <w:tc>
                <w:tcPr>
                  <w:tcW w:w="1150" w:type="dxa"/>
                  <w:shd w:val="clear" w:color="auto" w:fill="auto"/>
                  <w:vAlign w:val="center"/>
                </w:tcPr>
                <w:p w14:paraId="5EBB23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5.566</w:t>
                  </w:r>
                </w:p>
              </w:tc>
            </w:tr>
            <w:tr w14:paraId="3EFF7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747FDE1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0EA4FB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硫酸雾</w:t>
                  </w:r>
                </w:p>
              </w:tc>
              <w:tc>
                <w:tcPr>
                  <w:tcW w:w="742" w:type="dxa"/>
                  <w:vMerge w:val="continue"/>
                  <w:shd w:val="clear" w:color="auto" w:fill="auto"/>
                  <w:vAlign w:val="center"/>
                </w:tcPr>
                <w:p w14:paraId="6B295E2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AEC91F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347" w:type="dxa"/>
                  <w:shd w:val="clear" w:color="auto" w:fill="auto"/>
                  <w:vAlign w:val="center"/>
                </w:tcPr>
                <w:p w14:paraId="58AD0BB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45" w:type="dxa"/>
                  <w:shd w:val="clear" w:color="auto" w:fill="auto"/>
                  <w:vAlign w:val="center"/>
                </w:tcPr>
                <w:p w14:paraId="5CF791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c>
                <w:tcPr>
                  <w:tcW w:w="1395" w:type="dxa"/>
                  <w:vMerge w:val="continue"/>
                  <w:shd w:val="clear" w:color="auto" w:fill="auto"/>
                  <w:vAlign w:val="center"/>
                </w:tcPr>
                <w:p w14:paraId="0EB074B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15BE8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7C167FC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0.000574</w:t>
                  </w:r>
                </w:p>
              </w:tc>
              <w:tc>
                <w:tcPr>
                  <w:tcW w:w="1283" w:type="dxa"/>
                  <w:shd w:val="clear" w:color="auto" w:fill="auto"/>
                  <w:vAlign w:val="center"/>
                </w:tcPr>
                <w:p w14:paraId="61C239F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0.000552</w:t>
                  </w:r>
                </w:p>
              </w:tc>
              <w:tc>
                <w:tcPr>
                  <w:tcW w:w="1150" w:type="dxa"/>
                  <w:shd w:val="clear" w:color="auto" w:fill="auto"/>
                  <w:vAlign w:val="center"/>
                </w:tcPr>
                <w:p w14:paraId="6E8E165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0.110</w:t>
                  </w:r>
                </w:p>
              </w:tc>
            </w:tr>
            <w:tr w14:paraId="7C9B84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0EDB60F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148EFD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氮氧化物</w:t>
                  </w:r>
                </w:p>
              </w:tc>
              <w:tc>
                <w:tcPr>
                  <w:tcW w:w="742" w:type="dxa"/>
                  <w:vMerge w:val="continue"/>
                  <w:shd w:val="clear" w:color="auto" w:fill="auto"/>
                  <w:vAlign w:val="center"/>
                </w:tcPr>
                <w:p w14:paraId="5879FF7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4D4BDE4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347" w:type="dxa"/>
                  <w:shd w:val="clear" w:color="auto" w:fill="auto"/>
                  <w:vAlign w:val="center"/>
                </w:tcPr>
                <w:p w14:paraId="0F70E93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45" w:type="dxa"/>
                  <w:shd w:val="clear" w:color="auto" w:fill="auto"/>
                  <w:vAlign w:val="center"/>
                </w:tcPr>
                <w:p w14:paraId="4BE509D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c>
                <w:tcPr>
                  <w:tcW w:w="1395" w:type="dxa"/>
                  <w:vMerge w:val="continue"/>
                  <w:shd w:val="clear" w:color="auto" w:fill="auto"/>
                  <w:vAlign w:val="center"/>
                </w:tcPr>
                <w:p w14:paraId="3D5F5CB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18115C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2AAA084">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0.0305</w:t>
                  </w:r>
                </w:p>
              </w:tc>
              <w:tc>
                <w:tcPr>
                  <w:tcW w:w="1283" w:type="dxa"/>
                  <w:shd w:val="clear" w:color="auto" w:fill="auto"/>
                  <w:vAlign w:val="center"/>
                </w:tcPr>
                <w:p w14:paraId="4EA43B1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0.0293</w:t>
                  </w:r>
                </w:p>
              </w:tc>
              <w:tc>
                <w:tcPr>
                  <w:tcW w:w="1150" w:type="dxa"/>
                  <w:shd w:val="clear" w:color="auto" w:fill="auto"/>
                  <w:vAlign w:val="center"/>
                </w:tcPr>
                <w:p w14:paraId="55AD574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5.858</w:t>
                  </w:r>
                </w:p>
              </w:tc>
            </w:tr>
            <w:tr w14:paraId="691DD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4289DC7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105" w:type="dxa"/>
                  <w:shd w:val="clear" w:color="auto" w:fill="auto"/>
                  <w:vAlign w:val="center"/>
                </w:tcPr>
                <w:p w14:paraId="3A8DAC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氟化物</w:t>
                  </w:r>
                </w:p>
              </w:tc>
              <w:tc>
                <w:tcPr>
                  <w:tcW w:w="742" w:type="dxa"/>
                  <w:vMerge w:val="continue"/>
                  <w:shd w:val="clear" w:color="auto" w:fill="auto"/>
                  <w:vAlign w:val="center"/>
                </w:tcPr>
                <w:p w14:paraId="64BDBC9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1204" w:type="dxa"/>
                  <w:shd w:val="clear" w:color="auto" w:fill="auto"/>
                  <w:vAlign w:val="center"/>
                </w:tcPr>
                <w:p w14:paraId="24B4DF5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347" w:type="dxa"/>
                  <w:shd w:val="clear" w:color="auto" w:fill="auto"/>
                  <w:vAlign w:val="center"/>
                </w:tcPr>
                <w:p w14:paraId="69C1791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45" w:type="dxa"/>
                  <w:shd w:val="clear" w:color="auto" w:fill="auto"/>
                  <w:vAlign w:val="center"/>
                </w:tcPr>
                <w:p w14:paraId="49597FD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c>
                <w:tcPr>
                  <w:tcW w:w="1395" w:type="dxa"/>
                  <w:vMerge w:val="continue"/>
                  <w:shd w:val="clear" w:color="auto" w:fill="auto"/>
                  <w:vAlign w:val="center"/>
                </w:tcPr>
                <w:p w14:paraId="15A280D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auto"/>
                      <w:sz w:val="21"/>
                      <w:szCs w:val="21"/>
                      <w:highlight w:val="none"/>
                      <w:u w:val="none"/>
                    </w:rPr>
                  </w:pPr>
                </w:p>
              </w:tc>
              <w:tc>
                <w:tcPr>
                  <w:tcW w:w="774" w:type="dxa"/>
                  <w:shd w:val="clear" w:color="auto" w:fill="auto"/>
                  <w:vAlign w:val="center"/>
                </w:tcPr>
                <w:p w14:paraId="761F05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78E782D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0.00484</w:t>
                  </w:r>
                </w:p>
              </w:tc>
              <w:tc>
                <w:tcPr>
                  <w:tcW w:w="1283" w:type="dxa"/>
                  <w:shd w:val="clear" w:color="auto" w:fill="auto"/>
                  <w:vAlign w:val="center"/>
                </w:tcPr>
                <w:p w14:paraId="0EA4E47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0.00465</w:t>
                  </w:r>
                </w:p>
              </w:tc>
              <w:tc>
                <w:tcPr>
                  <w:tcW w:w="1150" w:type="dxa"/>
                  <w:shd w:val="clear" w:color="auto" w:fill="auto"/>
                  <w:vAlign w:val="center"/>
                </w:tcPr>
                <w:p w14:paraId="38CA496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0.930</w:t>
                  </w:r>
                </w:p>
              </w:tc>
            </w:tr>
            <w:tr w14:paraId="41A34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restart"/>
                  <w:shd w:val="clear" w:color="auto" w:fill="auto"/>
                  <w:vAlign w:val="center"/>
                </w:tcPr>
                <w:p w14:paraId="530E7B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DA011</w:t>
                  </w:r>
                </w:p>
              </w:tc>
              <w:tc>
                <w:tcPr>
                  <w:tcW w:w="1105" w:type="dxa"/>
                  <w:shd w:val="clear" w:color="auto" w:fill="auto"/>
                  <w:vAlign w:val="center"/>
                </w:tcPr>
                <w:p w14:paraId="684E67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742" w:type="dxa"/>
                  <w:shd w:val="clear" w:color="auto" w:fill="auto"/>
                  <w:vAlign w:val="center"/>
                </w:tcPr>
                <w:p w14:paraId="0D5AC1B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74E26B1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347" w:type="dxa"/>
                  <w:shd w:val="clear" w:color="auto" w:fill="auto"/>
                  <w:vAlign w:val="center"/>
                </w:tcPr>
                <w:p w14:paraId="3439192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45" w:type="dxa"/>
                  <w:shd w:val="clear" w:color="auto" w:fill="auto"/>
                  <w:vAlign w:val="center"/>
                </w:tcPr>
                <w:p w14:paraId="05B7832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395" w:type="dxa"/>
                  <w:vMerge w:val="restart"/>
                  <w:shd w:val="clear" w:color="auto" w:fill="auto"/>
                  <w:vAlign w:val="center"/>
                </w:tcPr>
                <w:p w14:paraId="529631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74" w:type="dxa"/>
                  <w:shd w:val="clear" w:color="auto" w:fill="auto"/>
                  <w:vAlign w:val="center"/>
                </w:tcPr>
                <w:p w14:paraId="785FB4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B9489F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283" w:type="dxa"/>
                  <w:shd w:val="clear" w:color="auto" w:fill="auto"/>
                  <w:vAlign w:val="center"/>
                </w:tcPr>
                <w:p w14:paraId="0327D7A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50" w:type="dxa"/>
                  <w:shd w:val="clear" w:color="auto" w:fill="auto"/>
                  <w:vAlign w:val="center"/>
                </w:tcPr>
                <w:p w14:paraId="7F621DD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r>
            <w:tr w14:paraId="4A75FF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7C362F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1105" w:type="dxa"/>
                  <w:shd w:val="clear" w:color="auto" w:fill="auto"/>
                  <w:vAlign w:val="center"/>
                </w:tcPr>
                <w:p w14:paraId="566D821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甲醇</w:t>
                  </w:r>
                </w:p>
              </w:tc>
              <w:tc>
                <w:tcPr>
                  <w:tcW w:w="742" w:type="dxa"/>
                  <w:shd w:val="clear" w:color="auto" w:fill="auto"/>
                  <w:vAlign w:val="center"/>
                </w:tcPr>
                <w:p w14:paraId="403DFA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086DB55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0.000506</w:t>
                  </w:r>
                </w:p>
              </w:tc>
              <w:tc>
                <w:tcPr>
                  <w:tcW w:w="1347" w:type="dxa"/>
                  <w:shd w:val="clear" w:color="auto" w:fill="auto"/>
                  <w:vAlign w:val="center"/>
                </w:tcPr>
                <w:p w14:paraId="349FA31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0.000487</w:t>
                  </w:r>
                </w:p>
              </w:tc>
              <w:tc>
                <w:tcPr>
                  <w:tcW w:w="1145" w:type="dxa"/>
                  <w:shd w:val="clear" w:color="auto" w:fill="auto"/>
                  <w:vAlign w:val="center"/>
                </w:tcPr>
                <w:p w14:paraId="663A835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0.0695</w:t>
                  </w:r>
                </w:p>
              </w:tc>
              <w:tc>
                <w:tcPr>
                  <w:tcW w:w="1395" w:type="dxa"/>
                  <w:vMerge w:val="continue"/>
                  <w:shd w:val="clear" w:color="auto" w:fill="auto"/>
                  <w:vAlign w:val="center"/>
                </w:tcPr>
                <w:p w14:paraId="56FB7E8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74" w:type="dxa"/>
                  <w:shd w:val="clear" w:color="auto" w:fill="auto"/>
                  <w:vAlign w:val="center"/>
                </w:tcPr>
                <w:p w14:paraId="37D23F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45ADE8F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0.000506</w:t>
                  </w:r>
                </w:p>
              </w:tc>
              <w:tc>
                <w:tcPr>
                  <w:tcW w:w="1283" w:type="dxa"/>
                  <w:shd w:val="clear" w:color="auto" w:fill="auto"/>
                  <w:vAlign w:val="center"/>
                </w:tcPr>
                <w:p w14:paraId="2C21F0C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0.000487</w:t>
                  </w:r>
                </w:p>
              </w:tc>
              <w:tc>
                <w:tcPr>
                  <w:tcW w:w="1150" w:type="dxa"/>
                  <w:shd w:val="clear" w:color="auto" w:fill="auto"/>
                  <w:vAlign w:val="center"/>
                </w:tcPr>
                <w:p w14:paraId="666FE3E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0.0695</w:t>
                  </w:r>
                </w:p>
              </w:tc>
            </w:tr>
            <w:tr w14:paraId="5058A0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87" w:type="dxa"/>
                  <w:vMerge w:val="continue"/>
                  <w:shd w:val="clear" w:color="auto" w:fill="auto"/>
                  <w:vAlign w:val="center"/>
                </w:tcPr>
                <w:p w14:paraId="49ACA1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1105" w:type="dxa"/>
                  <w:shd w:val="clear" w:color="auto" w:fill="auto"/>
                  <w:vAlign w:val="center"/>
                </w:tcPr>
                <w:p w14:paraId="5FBAAD5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甲苯</w:t>
                  </w:r>
                </w:p>
              </w:tc>
              <w:tc>
                <w:tcPr>
                  <w:tcW w:w="742" w:type="dxa"/>
                  <w:shd w:val="clear" w:color="auto" w:fill="auto"/>
                  <w:vAlign w:val="center"/>
                </w:tcPr>
                <w:p w14:paraId="3420ED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31E7E7E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0.00140</w:t>
                  </w:r>
                </w:p>
              </w:tc>
              <w:tc>
                <w:tcPr>
                  <w:tcW w:w="1347" w:type="dxa"/>
                  <w:shd w:val="clear" w:color="auto" w:fill="auto"/>
                  <w:vAlign w:val="center"/>
                </w:tcPr>
                <w:p w14:paraId="72827F0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0.00134</w:t>
                  </w:r>
                </w:p>
              </w:tc>
              <w:tc>
                <w:tcPr>
                  <w:tcW w:w="1145" w:type="dxa"/>
                  <w:shd w:val="clear" w:color="auto" w:fill="auto"/>
                  <w:vAlign w:val="center"/>
                </w:tcPr>
                <w:p w14:paraId="16A7672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0.192</w:t>
                  </w:r>
                </w:p>
              </w:tc>
              <w:tc>
                <w:tcPr>
                  <w:tcW w:w="1395" w:type="dxa"/>
                  <w:vMerge w:val="continue"/>
                  <w:shd w:val="clear" w:color="auto" w:fill="auto"/>
                  <w:vAlign w:val="center"/>
                </w:tcPr>
                <w:p w14:paraId="68BE90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74" w:type="dxa"/>
                  <w:shd w:val="clear" w:color="auto" w:fill="auto"/>
                  <w:vAlign w:val="center"/>
                </w:tcPr>
                <w:p w14:paraId="78F096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2064014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0.00140</w:t>
                  </w:r>
                </w:p>
              </w:tc>
              <w:tc>
                <w:tcPr>
                  <w:tcW w:w="1283" w:type="dxa"/>
                  <w:shd w:val="clear" w:color="auto" w:fill="auto"/>
                  <w:vAlign w:val="center"/>
                </w:tcPr>
                <w:p w14:paraId="074FDDB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0.001342</w:t>
                  </w:r>
                </w:p>
              </w:tc>
              <w:tc>
                <w:tcPr>
                  <w:tcW w:w="1150" w:type="dxa"/>
                  <w:shd w:val="clear" w:color="auto" w:fill="auto"/>
                  <w:vAlign w:val="center"/>
                </w:tcPr>
                <w:p w14:paraId="46E6720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0.192</w:t>
                  </w:r>
                </w:p>
              </w:tc>
            </w:tr>
            <w:tr w14:paraId="014EBB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397431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1105" w:type="dxa"/>
                  <w:shd w:val="clear" w:color="auto" w:fill="auto"/>
                  <w:vAlign w:val="center"/>
                </w:tcPr>
                <w:p w14:paraId="4BB6405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三氯甲烷</w:t>
                  </w:r>
                </w:p>
              </w:tc>
              <w:tc>
                <w:tcPr>
                  <w:tcW w:w="742" w:type="dxa"/>
                  <w:shd w:val="clear" w:color="auto" w:fill="auto"/>
                  <w:vAlign w:val="center"/>
                </w:tcPr>
                <w:p w14:paraId="1B0DE0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57CAA68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w:t>
                  </w:r>
                </w:p>
              </w:tc>
              <w:tc>
                <w:tcPr>
                  <w:tcW w:w="1347" w:type="dxa"/>
                  <w:shd w:val="clear" w:color="auto" w:fill="auto"/>
                  <w:vAlign w:val="center"/>
                </w:tcPr>
                <w:p w14:paraId="5858F3F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0.000462</w:t>
                  </w:r>
                </w:p>
              </w:tc>
              <w:tc>
                <w:tcPr>
                  <w:tcW w:w="1145" w:type="dxa"/>
                  <w:shd w:val="clear" w:color="auto" w:fill="auto"/>
                  <w:vAlign w:val="center"/>
                </w:tcPr>
                <w:p w14:paraId="74C0061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0.0659</w:t>
                  </w:r>
                </w:p>
              </w:tc>
              <w:tc>
                <w:tcPr>
                  <w:tcW w:w="1395" w:type="dxa"/>
                  <w:vMerge w:val="continue"/>
                  <w:shd w:val="clear" w:color="auto" w:fill="auto"/>
                  <w:vAlign w:val="center"/>
                </w:tcPr>
                <w:p w14:paraId="28D975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74" w:type="dxa"/>
                  <w:shd w:val="clear" w:color="auto" w:fill="auto"/>
                  <w:vAlign w:val="center"/>
                </w:tcPr>
                <w:p w14:paraId="30E0A2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5832845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0.000480</w:t>
                  </w:r>
                </w:p>
              </w:tc>
              <w:tc>
                <w:tcPr>
                  <w:tcW w:w="1283" w:type="dxa"/>
                  <w:shd w:val="clear" w:color="auto" w:fill="auto"/>
                  <w:vAlign w:val="center"/>
                </w:tcPr>
                <w:p w14:paraId="4E69FEB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0.000462</w:t>
                  </w:r>
                </w:p>
              </w:tc>
              <w:tc>
                <w:tcPr>
                  <w:tcW w:w="1150" w:type="dxa"/>
                  <w:shd w:val="clear" w:color="auto" w:fill="auto"/>
                  <w:vAlign w:val="center"/>
                </w:tcPr>
                <w:p w14:paraId="1221C2D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0.0659</w:t>
                  </w:r>
                </w:p>
              </w:tc>
            </w:tr>
            <w:tr w14:paraId="1AF34A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8" w:hRule="atLeast"/>
                <w:jc w:val="center"/>
              </w:trPr>
              <w:tc>
                <w:tcPr>
                  <w:tcW w:w="887" w:type="dxa"/>
                  <w:vMerge w:val="continue"/>
                  <w:shd w:val="clear" w:color="auto" w:fill="auto"/>
                  <w:vAlign w:val="center"/>
                </w:tcPr>
                <w:p w14:paraId="630ED5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1105" w:type="dxa"/>
                  <w:shd w:val="clear" w:color="auto" w:fill="auto"/>
                  <w:vAlign w:val="center"/>
                </w:tcPr>
                <w:p w14:paraId="04582B5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二氯甲烷</w:t>
                  </w:r>
                </w:p>
              </w:tc>
              <w:tc>
                <w:tcPr>
                  <w:tcW w:w="742" w:type="dxa"/>
                  <w:shd w:val="clear" w:color="auto" w:fill="auto"/>
                  <w:vAlign w:val="center"/>
                </w:tcPr>
                <w:p w14:paraId="73BACE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2357861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0.000426</w:t>
                  </w:r>
                </w:p>
              </w:tc>
              <w:tc>
                <w:tcPr>
                  <w:tcW w:w="1347" w:type="dxa"/>
                  <w:shd w:val="clear" w:color="auto" w:fill="auto"/>
                  <w:vAlign w:val="center"/>
                </w:tcPr>
                <w:p w14:paraId="74107EB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0.000409</w:t>
                  </w:r>
                </w:p>
              </w:tc>
              <w:tc>
                <w:tcPr>
                  <w:tcW w:w="1145" w:type="dxa"/>
                  <w:shd w:val="clear" w:color="auto" w:fill="auto"/>
                  <w:vAlign w:val="center"/>
                </w:tcPr>
                <w:p w14:paraId="27CA006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0.0585</w:t>
                  </w:r>
                </w:p>
              </w:tc>
              <w:tc>
                <w:tcPr>
                  <w:tcW w:w="1395" w:type="dxa"/>
                  <w:vMerge w:val="continue"/>
                  <w:shd w:val="clear" w:color="auto" w:fill="auto"/>
                  <w:vAlign w:val="center"/>
                </w:tcPr>
                <w:p w14:paraId="14CCA5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c>
                <w:tcPr>
                  <w:tcW w:w="774" w:type="dxa"/>
                  <w:shd w:val="clear" w:color="auto" w:fill="auto"/>
                  <w:vAlign w:val="center"/>
                </w:tcPr>
                <w:p w14:paraId="01AEF0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0F37C53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0.000426</w:t>
                  </w:r>
                </w:p>
              </w:tc>
              <w:tc>
                <w:tcPr>
                  <w:tcW w:w="1283" w:type="dxa"/>
                  <w:shd w:val="clear" w:color="auto" w:fill="auto"/>
                  <w:vAlign w:val="center"/>
                </w:tcPr>
                <w:p w14:paraId="15BA2B8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0.000409</w:t>
                  </w:r>
                </w:p>
              </w:tc>
              <w:tc>
                <w:tcPr>
                  <w:tcW w:w="1150" w:type="dxa"/>
                  <w:shd w:val="clear" w:color="auto" w:fill="auto"/>
                  <w:vAlign w:val="center"/>
                </w:tcPr>
                <w:p w14:paraId="6A1C91C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0.0585</w:t>
                  </w:r>
                </w:p>
              </w:tc>
            </w:tr>
            <w:tr w14:paraId="1F599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87" w:type="dxa"/>
                  <w:shd w:val="clear" w:color="auto" w:fill="auto"/>
                  <w:vAlign w:val="center"/>
                </w:tcPr>
                <w:p w14:paraId="4A98C8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DA012</w:t>
                  </w:r>
                </w:p>
              </w:tc>
              <w:tc>
                <w:tcPr>
                  <w:tcW w:w="1105" w:type="dxa"/>
                  <w:shd w:val="clear" w:color="auto" w:fill="auto"/>
                  <w:vAlign w:val="center"/>
                </w:tcPr>
                <w:p w14:paraId="29CDF4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742" w:type="dxa"/>
                  <w:shd w:val="clear" w:color="auto" w:fill="auto"/>
                  <w:vAlign w:val="center"/>
                </w:tcPr>
                <w:p w14:paraId="42E212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6017C8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347" w:type="dxa"/>
                  <w:shd w:val="clear" w:color="auto" w:fill="auto"/>
                  <w:vAlign w:val="center"/>
                </w:tcPr>
                <w:p w14:paraId="3B09696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45" w:type="dxa"/>
                  <w:shd w:val="clear" w:color="auto" w:fill="auto"/>
                  <w:vAlign w:val="center"/>
                </w:tcPr>
                <w:p w14:paraId="3C37504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395" w:type="dxa"/>
                  <w:shd w:val="clear" w:color="auto" w:fill="auto"/>
                  <w:vAlign w:val="center"/>
                </w:tcPr>
                <w:p w14:paraId="1FACF1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74" w:type="dxa"/>
                  <w:shd w:val="clear" w:color="auto" w:fill="auto"/>
                  <w:vAlign w:val="center"/>
                </w:tcPr>
                <w:p w14:paraId="1BE8F2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DCCE83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283" w:type="dxa"/>
                  <w:shd w:val="clear" w:color="auto" w:fill="auto"/>
                  <w:vAlign w:val="center"/>
                </w:tcPr>
                <w:p w14:paraId="4DA769F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50" w:type="dxa"/>
                  <w:shd w:val="clear" w:color="auto" w:fill="auto"/>
                  <w:vAlign w:val="center"/>
                </w:tcPr>
                <w:p w14:paraId="763B4CD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r>
            <w:tr w14:paraId="60A52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4" w:hRule="atLeast"/>
                <w:jc w:val="center"/>
              </w:trPr>
              <w:tc>
                <w:tcPr>
                  <w:tcW w:w="887" w:type="dxa"/>
                  <w:shd w:val="clear" w:color="auto" w:fill="auto"/>
                  <w:vAlign w:val="center"/>
                </w:tcPr>
                <w:p w14:paraId="54012A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DA013</w:t>
                  </w:r>
                </w:p>
              </w:tc>
              <w:tc>
                <w:tcPr>
                  <w:tcW w:w="1105" w:type="dxa"/>
                  <w:shd w:val="clear" w:color="auto" w:fill="auto"/>
                  <w:vAlign w:val="center"/>
                </w:tcPr>
                <w:p w14:paraId="3DA81C6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742" w:type="dxa"/>
                  <w:shd w:val="clear" w:color="auto" w:fill="auto"/>
                  <w:vAlign w:val="center"/>
                </w:tcPr>
                <w:p w14:paraId="31CBE3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781948B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347" w:type="dxa"/>
                  <w:shd w:val="clear" w:color="auto" w:fill="auto"/>
                  <w:vAlign w:val="center"/>
                </w:tcPr>
                <w:p w14:paraId="0F74F7E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45" w:type="dxa"/>
                  <w:shd w:val="clear" w:color="auto" w:fill="auto"/>
                  <w:vAlign w:val="center"/>
                </w:tcPr>
                <w:p w14:paraId="40B9E7A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c>
                <w:tcPr>
                  <w:tcW w:w="1395" w:type="dxa"/>
                  <w:shd w:val="clear" w:color="auto" w:fill="auto"/>
                  <w:vAlign w:val="center"/>
                </w:tcPr>
                <w:p w14:paraId="20CD9D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74" w:type="dxa"/>
                  <w:shd w:val="clear" w:color="auto" w:fill="auto"/>
                  <w:vAlign w:val="center"/>
                </w:tcPr>
                <w:p w14:paraId="44331D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2B7557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283" w:type="dxa"/>
                  <w:shd w:val="clear" w:color="auto" w:fill="auto"/>
                  <w:vAlign w:val="center"/>
                </w:tcPr>
                <w:p w14:paraId="21D907C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50" w:type="dxa"/>
                  <w:shd w:val="clear" w:color="auto" w:fill="auto"/>
                  <w:vAlign w:val="center"/>
                </w:tcPr>
                <w:p w14:paraId="0A0ACFC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0.666</w:t>
                  </w:r>
                </w:p>
              </w:tc>
            </w:tr>
            <w:tr w14:paraId="59E3D3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7" w:hRule="atLeast"/>
                <w:jc w:val="center"/>
              </w:trPr>
              <w:tc>
                <w:tcPr>
                  <w:tcW w:w="887" w:type="dxa"/>
                  <w:shd w:val="clear" w:color="auto" w:fill="auto"/>
                  <w:vAlign w:val="center"/>
                </w:tcPr>
                <w:p w14:paraId="61A33D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DA014</w:t>
                  </w:r>
                </w:p>
              </w:tc>
              <w:tc>
                <w:tcPr>
                  <w:tcW w:w="1105" w:type="dxa"/>
                  <w:shd w:val="clear" w:color="auto" w:fill="auto"/>
                  <w:vAlign w:val="center"/>
                </w:tcPr>
                <w:p w14:paraId="468C3C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非甲烷总烃</w:t>
                  </w:r>
                </w:p>
              </w:tc>
              <w:tc>
                <w:tcPr>
                  <w:tcW w:w="742" w:type="dxa"/>
                  <w:shd w:val="clear" w:color="auto" w:fill="auto"/>
                  <w:vAlign w:val="center"/>
                </w:tcPr>
                <w:p w14:paraId="7A7503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48EBEFF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347" w:type="dxa"/>
                  <w:shd w:val="clear" w:color="auto" w:fill="auto"/>
                  <w:vAlign w:val="center"/>
                </w:tcPr>
                <w:p w14:paraId="1C87745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45" w:type="dxa"/>
                  <w:shd w:val="clear" w:color="auto" w:fill="auto"/>
                  <w:vAlign w:val="center"/>
                </w:tcPr>
                <w:p w14:paraId="65A57BD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0.518</w:t>
                  </w:r>
                </w:p>
              </w:tc>
              <w:tc>
                <w:tcPr>
                  <w:tcW w:w="1395" w:type="dxa"/>
                  <w:shd w:val="clear" w:color="auto" w:fill="auto"/>
                  <w:vAlign w:val="center"/>
                </w:tcPr>
                <w:p w14:paraId="742CBF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通风橱+活性炭吸附装置</w:t>
                  </w:r>
                </w:p>
              </w:tc>
              <w:tc>
                <w:tcPr>
                  <w:tcW w:w="774" w:type="dxa"/>
                  <w:shd w:val="clear" w:color="auto" w:fill="auto"/>
                  <w:vAlign w:val="center"/>
                </w:tcPr>
                <w:p w14:paraId="2A6C03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AEE338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0.00485</w:t>
                  </w:r>
                </w:p>
              </w:tc>
              <w:tc>
                <w:tcPr>
                  <w:tcW w:w="1283" w:type="dxa"/>
                  <w:shd w:val="clear" w:color="auto" w:fill="auto"/>
                  <w:vAlign w:val="center"/>
                </w:tcPr>
                <w:p w14:paraId="5D33D7B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0.00466</w:t>
                  </w:r>
                </w:p>
              </w:tc>
              <w:tc>
                <w:tcPr>
                  <w:tcW w:w="1150" w:type="dxa"/>
                  <w:shd w:val="clear" w:color="auto" w:fill="auto"/>
                  <w:vAlign w:val="center"/>
                </w:tcPr>
                <w:p w14:paraId="1B7217B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0.518</w:t>
                  </w:r>
                </w:p>
              </w:tc>
            </w:tr>
            <w:tr w14:paraId="712E6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87" w:type="dxa"/>
                  <w:shd w:val="clear" w:color="auto" w:fill="auto"/>
                  <w:vAlign w:val="center"/>
                </w:tcPr>
                <w:p w14:paraId="231A7E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DA015</w:t>
                  </w:r>
                </w:p>
              </w:tc>
              <w:tc>
                <w:tcPr>
                  <w:tcW w:w="1105" w:type="dxa"/>
                  <w:shd w:val="clear" w:color="auto" w:fill="auto"/>
                  <w:vAlign w:val="center"/>
                </w:tcPr>
                <w:p w14:paraId="1CD726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颗粒物</w:t>
                  </w:r>
                </w:p>
              </w:tc>
              <w:tc>
                <w:tcPr>
                  <w:tcW w:w="742" w:type="dxa"/>
                  <w:shd w:val="clear" w:color="auto" w:fill="auto"/>
                  <w:vAlign w:val="center"/>
                </w:tcPr>
                <w:p w14:paraId="4560D2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1"/>
                      <w:szCs w:val="21"/>
                      <w:highlight w:val="none"/>
                      <w:u w:val="none"/>
                      <w:lang w:val="en-US" w:eastAsia="zh-CN" w:bidi="ar"/>
                    </w:rPr>
                    <w:t>80%</w:t>
                  </w:r>
                </w:p>
              </w:tc>
              <w:tc>
                <w:tcPr>
                  <w:tcW w:w="1204" w:type="dxa"/>
                  <w:shd w:val="clear" w:color="auto" w:fill="auto"/>
                  <w:vAlign w:val="center"/>
                </w:tcPr>
                <w:p w14:paraId="6023A2F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0.056</w:t>
                  </w:r>
                </w:p>
              </w:tc>
              <w:tc>
                <w:tcPr>
                  <w:tcW w:w="1347" w:type="dxa"/>
                  <w:shd w:val="clear" w:color="auto" w:fill="auto"/>
                  <w:vAlign w:val="center"/>
                </w:tcPr>
                <w:p w14:paraId="18D140E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45" w:type="dxa"/>
                  <w:shd w:val="clear" w:color="auto" w:fill="auto"/>
                  <w:vAlign w:val="center"/>
                </w:tcPr>
                <w:p w14:paraId="77F480C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13.46</w:t>
                  </w:r>
                </w:p>
              </w:tc>
              <w:tc>
                <w:tcPr>
                  <w:tcW w:w="1395" w:type="dxa"/>
                  <w:shd w:val="clear" w:color="auto" w:fill="auto"/>
                  <w:vAlign w:val="center"/>
                </w:tcPr>
                <w:p w14:paraId="3D5821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ascii="Times New Roman" w:hAnsi="Times New Roman" w:cs="Times New Roman" w:eastAsiaTheme="minorEastAsia"/>
                      <w:i w:val="0"/>
                      <w:iCs w:val="0"/>
                      <w:color w:val="auto"/>
                      <w:kern w:val="0"/>
                      <w:sz w:val="21"/>
                      <w:szCs w:val="21"/>
                      <w:highlight w:val="none"/>
                      <w:u w:val="none"/>
                      <w:lang w:val="en-US" w:eastAsia="zh-CN" w:bidi="ar"/>
                    </w:rPr>
                    <w:t>三面围挡</w:t>
                  </w:r>
                  <w:r>
                    <w:rPr>
                      <w:rFonts w:hint="default" w:ascii="Times New Roman" w:hAnsi="Times New Roman" w:cs="Times New Roman" w:eastAsiaTheme="minorEastAsia"/>
                      <w:i w:val="0"/>
                      <w:iCs w:val="0"/>
                      <w:color w:val="auto"/>
                      <w:kern w:val="0"/>
                      <w:sz w:val="21"/>
                      <w:szCs w:val="21"/>
                      <w:highlight w:val="none"/>
                      <w:u w:val="none"/>
                      <w:lang w:val="en-US" w:eastAsia="zh-CN" w:bidi="ar"/>
                    </w:rPr>
                    <w:t>集气罩+布袋除尘器</w:t>
                  </w:r>
                </w:p>
              </w:tc>
              <w:tc>
                <w:tcPr>
                  <w:tcW w:w="774" w:type="dxa"/>
                  <w:shd w:val="clear" w:color="auto" w:fill="auto"/>
                  <w:vAlign w:val="center"/>
                </w:tcPr>
                <w:p w14:paraId="4DAD2A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eastAsia" w:cs="Times New Roman" w:eastAsiaTheme="minorEastAsia"/>
                      <w:i w:val="0"/>
                      <w:iCs w:val="0"/>
                      <w:color w:val="auto"/>
                      <w:kern w:val="0"/>
                      <w:sz w:val="21"/>
                      <w:szCs w:val="21"/>
                      <w:highlight w:val="none"/>
                      <w:u w:val="none"/>
                      <w:lang w:val="en-US" w:eastAsia="zh-CN" w:bidi="ar"/>
                    </w:rPr>
                    <w:t>0</w:t>
                  </w:r>
                  <w:r>
                    <w:rPr>
                      <w:rFonts w:hint="default" w:ascii="Times New Roman" w:hAnsi="Times New Roman" w:cs="Times New Roman" w:eastAsiaTheme="minorEastAsia"/>
                      <w:i w:val="0"/>
                      <w:iCs w:val="0"/>
                      <w:color w:val="auto"/>
                      <w:kern w:val="0"/>
                      <w:sz w:val="21"/>
                      <w:szCs w:val="21"/>
                      <w:highlight w:val="none"/>
                      <w:u w:val="none"/>
                      <w:lang w:val="en-US" w:eastAsia="zh-CN" w:bidi="ar"/>
                    </w:rPr>
                    <w:t>%</w:t>
                  </w:r>
                </w:p>
              </w:tc>
              <w:tc>
                <w:tcPr>
                  <w:tcW w:w="1274" w:type="dxa"/>
                  <w:shd w:val="clear" w:color="auto" w:fill="auto"/>
                  <w:vAlign w:val="center"/>
                </w:tcPr>
                <w:p w14:paraId="33D6E3E8">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0.056</w:t>
                  </w:r>
                </w:p>
              </w:tc>
              <w:tc>
                <w:tcPr>
                  <w:tcW w:w="1283" w:type="dxa"/>
                  <w:shd w:val="clear" w:color="auto" w:fill="auto"/>
                  <w:vAlign w:val="center"/>
                </w:tcPr>
                <w:p w14:paraId="1B6C222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50" w:type="dxa"/>
                  <w:shd w:val="clear" w:color="auto" w:fill="auto"/>
                  <w:vAlign w:val="center"/>
                </w:tcPr>
                <w:p w14:paraId="1D613F0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13.46</w:t>
                  </w:r>
                </w:p>
              </w:tc>
            </w:tr>
          </w:tbl>
          <w:p w14:paraId="20B5AA80">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p>
          <w:p w14:paraId="704018A0">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p>
          <w:p w14:paraId="187A8BCA">
            <w:pPr>
              <w:widowControl/>
              <w:spacing w:line="360" w:lineRule="auto"/>
              <w:rPr>
                <w:rFonts w:hint="eastAsia"/>
                <w:color w:val="auto"/>
                <w:kern w:val="0"/>
                <w:sz w:val="24"/>
                <w:highlight w:val="none"/>
                <w:vertAlign w:val="baseline"/>
                <w:lang w:val="en-US" w:eastAsia="zh-CN"/>
              </w:rPr>
            </w:pPr>
          </w:p>
        </w:tc>
      </w:tr>
    </w:tbl>
    <w:p w14:paraId="456A2018">
      <w:pPr>
        <w:widowControl/>
        <w:spacing w:line="360" w:lineRule="auto"/>
        <w:ind w:firstLine="480" w:firstLineChars="200"/>
        <w:rPr>
          <w:rFonts w:hint="eastAsia"/>
          <w:color w:val="auto"/>
          <w:kern w:val="0"/>
          <w:sz w:val="24"/>
          <w:highlight w:val="none"/>
          <w:lang w:val="en-US" w:eastAsia="zh-CN"/>
        </w:rPr>
      </w:pPr>
    </w:p>
    <w:p w14:paraId="6F2BAB95">
      <w:pPr>
        <w:widowControl/>
        <w:spacing w:line="360" w:lineRule="auto"/>
        <w:ind w:firstLine="480" w:firstLineChars="200"/>
        <w:rPr>
          <w:rFonts w:hint="eastAsia"/>
          <w:color w:val="auto"/>
          <w:kern w:val="0"/>
          <w:sz w:val="24"/>
          <w:highlight w:val="none"/>
          <w:lang w:val="en-US" w:eastAsia="zh-CN"/>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7"/>
        <w:tblW w:w="89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46DFB2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88" w:hRule="atLeast"/>
          <w:jc w:val="center"/>
        </w:trPr>
        <w:tc>
          <w:tcPr>
            <w:tcW w:w="746" w:type="dxa"/>
            <w:noWrap w:val="0"/>
            <w:tcMar>
              <w:left w:w="28" w:type="dxa"/>
              <w:right w:w="28" w:type="dxa"/>
            </w:tcMar>
            <w:vAlign w:val="center"/>
          </w:tcPr>
          <w:p w14:paraId="046CEC8D">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运营</w:t>
            </w:r>
          </w:p>
          <w:p w14:paraId="1136EE95">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期环</w:t>
            </w:r>
          </w:p>
          <w:p w14:paraId="33DDA9C5">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境影</w:t>
            </w:r>
          </w:p>
          <w:p w14:paraId="0258CBF4">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响和</w:t>
            </w:r>
          </w:p>
          <w:p w14:paraId="4FD7FD8C">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保护</w:t>
            </w:r>
          </w:p>
          <w:p w14:paraId="4EE4B722">
            <w:pPr>
              <w:pStyle w:val="22"/>
              <w:adjustRightInd w:val="0"/>
              <w:snapToGrid w:val="0"/>
              <w:spacing w:before="0" w:beforeAutospacing="0" w:after="0" w:afterAutospacing="0"/>
              <w:jc w:val="center"/>
              <w:rPr>
                <w:rFonts w:cs="宋体"/>
                <w:color w:val="auto"/>
                <w:kern w:val="2"/>
                <w:sz w:val="21"/>
                <w:szCs w:val="21"/>
                <w:highlight w:val="none"/>
              </w:rPr>
            </w:pPr>
            <w:r>
              <w:rPr>
                <w:rFonts w:hint="eastAsia" w:cs="宋体"/>
                <w:bCs/>
                <w:color w:val="auto"/>
                <w:sz w:val="21"/>
                <w:szCs w:val="21"/>
                <w:highlight w:val="none"/>
              </w:rPr>
              <w:t>措施</w:t>
            </w:r>
          </w:p>
        </w:tc>
        <w:tc>
          <w:tcPr>
            <w:tcW w:w="8162" w:type="dxa"/>
            <w:noWrap w:val="0"/>
            <w:vAlign w:val="center"/>
          </w:tcPr>
          <w:p w14:paraId="3D247E5B">
            <w:pPr>
              <w:adjustRightInd w:val="0"/>
              <w:snapToGrid w:val="0"/>
              <w:spacing w:line="360" w:lineRule="auto"/>
              <w:ind w:firstLine="480" w:firstLineChars="200"/>
              <w:rPr>
                <w:color w:val="auto"/>
                <w:sz w:val="24"/>
                <w:highlight w:val="none"/>
              </w:rPr>
            </w:pPr>
            <w:r>
              <w:rPr>
                <w:color w:val="auto"/>
                <w:sz w:val="24"/>
                <w:highlight w:val="none"/>
              </w:rPr>
              <w:t>防治措施：严格控制生产，装置开启时先运行废气处理系统，关闭时后停废气处理装置，避免开停时出现废气事故排放；加强废气处理设施的运营维护，定期检修，确保废气处理设施正常运行；当出现非正常排放时，建设单位应采取紧急处理措施，暂时停止生产，及时维修，直到生产设施或环保设施正常运转，坚决杜绝非正常排放。</w:t>
            </w:r>
          </w:p>
          <w:p w14:paraId="70A76A82">
            <w:pPr>
              <w:adjustRightInd w:val="0"/>
              <w:snapToGrid w:val="0"/>
              <w:spacing w:line="360" w:lineRule="auto"/>
              <w:ind w:firstLine="482" w:firstLineChars="200"/>
              <w:rPr>
                <w:rFonts w:hAnsi="宋体"/>
                <w:bCs/>
                <w:color w:val="auto"/>
                <w:sz w:val="24"/>
                <w:highlight w:val="none"/>
              </w:rPr>
            </w:pPr>
            <w:r>
              <w:rPr>
                <w:b/>
                <w:color w:val="auto"/>
                <w:sz w:val="24"/>
                <w:highlight w:val="none"/>
              </w:rPr>
              <w:t>4.</w:t>
            </w:r>
            <w:r>
              <w:rPr>
                <w:rFonts w:hint="eastAsia"/>
                <w:b/>
                <w:color w:val="auto"/>
                <w:sz w:val="24"/>
                <w:highlight w:val="none"/>
              </w:rPr>
              <w:t>1.</w:t>
            </w:r>
            <w:r>
              <w:rPr>
                <w:rFonts w:hint="eastAsia"/>
                <w:b/>
                <w:color w:val="auto"/>
                <w:sz w:val="24"/>
                <w:highlight w:val="none"/>
                <w:lang w:val="en-US" w:eastAsia="zh-CN"/>
              </w:rPr>
              <w:t>6</w:t>
            </w:r>
            <w:r>
              <w:rPr>
                <w:rFonts w:hint="eastAsia"/>
                <w:b/>
                <w:color w:val="auto"/>
                <w:sz w:val="24"/>
                <w:highlight w:val="none"/>
              </w:rPr>
              <w:t>监测要求</w:t>
            </w:r>
          </w:p>
          <w:p w14:paraId="5531FB2C">
            <w:pPr>
              <w:spacing w:line="360" w:lineRule="auto"/>
              <w:ind w:firstLine="480" w:firstLineChars="200"/>
              <w:rPr>
                <w:rFonts w:hint="eastAsia"/>
                <w:color w:val="auto"/>
                <w:sz w:val="24"/>
                <w:szCs w:val="20"/>
                <w:highlight w:val="none"/>
                <w:lang w:bidi="ar"/>
              </w:rPr>
            </w:pPr>
            <w:r>
              <w:rPr>
                <w:rFonts w:hint="eastAsia"/>
                <w:color w:val="auto"/>
                <w:sz w:val="24"/>
                <w:szCs w:val="20"/>
                <w:highlight w:val="none"/>
                <w:lang w:bidi="ar"/>
              </w:rPr>
              <w:t>根据《固定污染源排污许可分类管理名录》，本项目属于未作规定的排污单位，故本项目参照《排污单位自行监测技术指南 总则》（HJ 819-2017），本项目运营期环境监测计划详见表</w:t>
            </w:r>
            <w:r>
              <w:rPr>
                <w:rFonts w:hint="eastAsia"/>
                <w:color w:val="auto"/>
                <w:sz w:val="24"/>
                <w:szCs w:val="20"/>
                <w:highlight w:val="none"/>
                <w:lang w:val="en-US" w:eastAsia="zh-CN" w:bidi="ar"/>
              </w:rPr>
              <w:t>4-8</w:t>
            </w:r>
            <w:r>
              <w:rPr>
                <w:rFonts w:hint="eastAsia"/>
                <w:color w:val="auto"/>
                <w:sz w:val="24"/>
                <w:szCs w:val="20"/>
                <w:highlight w:val="none"/>
                <w:lang w:bidi="ar"/>
              </w:rPr>
              <w:t>。</w:t>
            </w:r>
          </w:p>
          <w:p w14:paraId="783E9891">
            <w:pPr>
              <w:spacing w:line="360" w:lineRule="auto"/>
              <w:ind w:firstLine="480" w:firstLineChars="200"/>
              <w:rPr>
                <w:color w:val="auto"/>
                <w:sz w:val="24"/>
                <w:szCs w:val="20"/>
                <w:highlight w:val="none"/>
                <w:lang w:bidi="ar"/>
              </w:rPr>
            </w:pPr>
            <w:r>
              <w:rPr>
                <w:rFonts w:hint="eastAsia"/>
                <w:color w:val="auto"/>
                <w:sz w:val="24"/>
                <w:szCs w:val="20"/>
                <w:highlight w:val="none"/>
                <w:lang w:bidi="ar"/>
              </w:rPr>
              <w:t>（1）有组织废气</w:t>
            </w:r>
          </w:p>
          <w:p w14:paraId="7FC1193E">
            <w:pPr>
              <w:spacing w:line="360" w:lineRule="auto"/>
              <w:ind w:firstLine="480" w:firstLineChars="200"/>
              <w:rPr>
                <w:rFonts w:hint="default" w:eastAsia="宋体"/>
                <w:color w:val="auto"/>
                <w:sz w:val="24"/>
                <w:szCs w:val="20"/>
                <w:highlight w:val="none"/>
                <w:lang w:val="en-US" w:eastAsia="zh-CN" w:bidi="ar"/>
              </w:rPr>
            </w:pPr>
            <w:r>
              <w:rPr>
                <w:color w:val="auto"/>
                <w:sz w:val="24"/>
                <w:szCs w:val="20"/>
                <w:highlight w:val="none"/>
                <w:lang w:bidi="ar"/>
              </w:rPr>
              <w:t>监测点位：在</w:t>
            </w:r>
            <w:r>
              <w:rPr>
                <w:rFonts w:hint="eastAsia"/>
                <w:color w:val="auto"/>
                <w:sz w:val="24"/>
                <w:szCs w:val="20"/>
                <w:highlight w:val="none"/>
                <w:lang w:val="en-US" w:eastAsia="zh-CN" w:bidi="ar"/>
              </w:rPr>
              <w:t>排气筒</w:t>
            </w:r>
            <w:r>
              <w:rPr>
                <w:rFonts w:hint="eastAsia"/>
                <w:color w:val="auto"/>
                <w:sz w:val="24"/>
                <w:szCs w:val="20"/>
                <w:highlight w:val="none"/>
                <w:lang w:bidi="ar"/>
              </w:rPr>
              <w:t>出口</w:t>
            </w:r>
            <w:r>
              <w:rPr>
                <w:color w:val="auto"/>
                <w:sz w:val="24"/>
                <w:szCs w:val="20"/>
                <w:highlight w:val="none"/>
                <w:lang w:bidi="ar"/>
              </w:rPr>
              <w:t>设置1个监测点位</w:t>
            </w:r>
            <w:r>
              <w:rPr>
                <w:rFonts w:hint="eastAsia"/>
                <w:color w:val="auto"/>
                <w:sz w:val="24"/>
                <w:szCs w:val="20"/>
                <w:highlight w:val="none"/>
                <w:lang w:val="en-US" w:eastAsia="zh-CN" w:bidi="ar"/>
              </w:rPr>
              <w:t>。</w:t>
            </w:r>
          </w:p>
          <w:p w14:paraId="0F706262">
            <w:pPr>
              <w:spacing w:line="360" w:lineRule="auto"/>
              <w:ind w:firstLine="480" w:firstLineChars="200"/>
              <w:rPr>
                <w:color w:val="auto"/>
                <w:sz w:val="24"/>
                <w:szCs w:val="20"/>
                <w:highlight w:val="none"/>
                <w:lang w:bidi="ar"/>
              </w:rPr>
            </w:pPr>
            <w:r>
              <w:rPr>
                <w:color w:val="auto"/>
                <w:sz w:val="24"/>
                <w:szCs w:val="20"/>
                <w:highlight w:val="none"/>
                <w:lang w:bidi="ar"/>
              </w:rPr>
              <w:t>监测因子：</w:t>
            </w:r>
            <w:r>
              <w:rPr>
                <w:rFonts w:hint="eastAsia"/>
                <w:color w:val="auto"/>
                <w:sz w:val="24"/>
                <w:highlight w:val="none"/>
              </w:rPr>
              <w:t>颗粒物</w:t>
            </w:r>
            <w:r>
              <w:rPr>
                <w:rFonts w:hint="eastAsia"/>
                <w:color w:val="auto"/>
                <w:sz w:val="24"/>
                <w:highlight w:val="none"/>
                <w:lang w:eastAsia="zh-CN"/>
              </w:rPr>
              <w:t>、</w:t>
            </w:r>
            <w:r>
              <w:rPr>
                <w:rFonts w:hint="eastAsia"/>
                <w:color w:val="auto"/>
                <w:sz w:val="24"/>
                <w:highlight w:val="none"/>
                <w:lang w:val="en-US" w:eastAsia="zh-CN"/>
              </w:rPr>
              <w:t>非甲烷总烃、氯化氢、硫酸雾、氮氧化物、氟化物、甲醇、甲苯、三氯甲烷、二氯甲烷</w:t>
            </w:r>
            <w:r>
              <w:rPr>
                <w:rFonts w:hint="eastAsia"/>
                <w:color w:val="auto"/>
                <w:sz w:val="24"/>
                <w:szCs w:val="20"/>
                <w:highlight w:val="none"/>
                <w:lang w:bidi="ar"/>
              </w:rPr>
              <w:t>。</w:t>
            </w:r>
          </w:p>
          <w:p w14:paraId="3A5D4E57">
            <w:pPr>
              <w:spacing w:line="360" w:lineRule="auto"/>
              <w:ind w:firstLine="480" w:firstLineChars="200"/>
              <w:rPr>
                <w:color w:val="auto"/>
                <w:sz w:val="24"/>
                <w:szCs w:val="20"/>
                <w:highlight w:val="none"/>
                <w:lang w:bidi="ar"/>
              </w:rPr>
            </w:pPr>
            <w:r>
              <w:rPr>
                <w:color w:val="auto"/>
                <w:sz w:val="24"/>
                <w:szCs w:val="20"/>
                <w:highlight w:val="none"/>
                <w:lang w:bidi="ar"/>
              </w:rPr>
              <w:t>监测频次：</w:t>
            </w:r>
            <w:r>
              <w:rPr>
                <w:rFonts w:hint="eastAsia"/>
                <w:color w:val="auto"/>
                <w:sz w:val="24"/>
                <w:szCs w:val="20"/>
                <w:highlight w:val="none"/>
                <w:lang w:val="en-US" w:eastAsia="zh-CN" w:bidi="ar"/>
              </w:rPr>
              <w:t>一</w:t>
            </w:r>
            <w:r>
              <w:rPr>
                <w:rFonts w:hint="eastAsia"/>
                <w:color w:val="auto"/>
                <w:sz w:val="24"/>
                <w:szCs w:val="20"/>
                <w:highlight w:val="none"/>
                <w:lang w:bidi="ar"/>
              </w:rPr>
              <w:t>年监测一次。</w:t>
            </w:r>
          </w:p>
          <w:p w14:paraId="56D3AD9B">
            <w:pPr>
              <w:spacing w:line="360" w:lineRule="auto"/>
              <w:ind w:firstLine="480" w:firstLineChars="200"/>
              <w:rPr>
                <w:color w:val="auto"/>
                <w:sz w:val="24"/>
                <w:szCs w:val="20"/>
                <w:highlight w:val="none"/>
                <w:lang w:bidi="ar"/>
              </w:rPr>
            </w:pPr>
            <w:r>
              <w:rPr>
                <w:rFonts w:hint="eastAsia"/>
                <w:color w:val="auto"/>
                <w:sz w:val="24"/>
                <w:szCs w:val="20"/>
                <w:highlight w:val="none"/>
                <w:lang w:bidi="ar"/>
              </w:rPr>
              <w:t>（2）厂界无组织废气</w:t>
            </w:r>
          </w:p>
          <w:p w14:paraId="37E726D8">
            <w:pPr>
              <w:spacing w:line="360" w:lineRule="auto"/>
              <w:ind w:firstLine="480" w:firstLineChars="200"/>
              <w:rPr>
                <w:color w:val="auto"/>
                <w:sz w:val="24"/>
                <w:szCs w:val="20"/>
                <w:highlight w:val="none"/>
                <w:lang w:bidi="ar"/>
              </w:rPr>
            </w:pPr>
            <w:r>
              <w:rPr>
                <w:rFonts w:hint="eastAsia"/>
                <w:color w:val="auto"/>
                <w:sz w:val="24"/>
                <w:szCs w:val="20"/>
                <w:highlight w:val="none"/>
                <w:lang w:bidi="ar"/>
              </w:rPr>
              <w:t>监测点位：在厂界上风向设置1个监测点位，下风向设置3个监测点位，共设置4个监测点位；实际监测时，具体监测点位布设根据当天风向而定。</w:t>
            </w:r>
          </w:p>
          <w:p w14:paraId="6708D3FB">
            <w:pPr>
              <w:spacing w:line="360" w:lineRule="auto"/>
              <w:ind w:firstLine="480" w:firstLineChars="200"/>
              <w:rPr>
                <w:color w:val="auto"/>
                <w:sz w:val="24"/>
                <w:szCs w:val="20"/>
                <w:highlight w:val="none"/>
                <w:lang w:bidi="ar"/>
              </w:rPr>
            </w:pPr>
            <w:r>
              <w:rPr>
                <w:rFonts w:hint="eastAsia"/>
                <w:color w:val="auto"/>
                <w:sz w:val="24"/>
                <w:szCs w:val="20"/>
                <w:highlight w:val="none"/>
                <w:lang w:bidi="ar"/>
              </w:rPr>
              <w:t>监测因子：颗粒物</w:t>
            </w:r>
            <w:r>
              <w:rPr>
                <w:rFonts w:hint="eastAsia"/>
                <w:color w:val="auto"/>
                <w:sz w:val="24"/>
                <w:szCs w:val="20"/>
                <w:highlight w:val="none"/>
                <w:lang w:eastAsia="zh-CN" w:bidi="ar"/>
              </w:rPr>
              <w:t>、</w:t>
            </w:r>
            <w:r>
              <w:rPr>
                <w:rFonts w:hint="eastAsia"/>
                <w:color w:val="auto"/>
                <w:sz w:val="24"/>
                <w:szCs w:val="20"/>
                <w:highlight w:val="none"/>
                <w:lang w:val="en-US" w:eastAsia="zh-CN" w:bidi="ar"/>
              </w:rPr>
              <w:t>非甲烷总烃</w:t>
            </w:r>
            <w:r>
              <w:rPr>
                <w:rFonts w:hint="eastAsia"/>
                <w:color w:val="auto"/>
                <w:sz w:val="24"/>
                <w:highlight w:val="none"/>
                <w:lang w:val="en-US" w:eastAsia="zh-CN"/>
              </w:rPr>
              <w:t>、氯化氢、硫酸雾、氮氧化物、氟化物、甲醇、甲苯、三氯甲烷、二氯甲烷</w:t>
            </w:r>
            <w:r>
              <w:rPr>
                <w:rFonts w:hint="eastAsia"/>
                <w:color w:val="auto"/>
                <w:sz w:val="24"/>
                <w:szCs w:val="20"/>
                <w:highlight w:val="none"/>
                <w:lang w:bidi="ar"/>
              </w:rPr>
              <w:t>；同时记录气象条件（风速、风向等）。</w:t>
            </w:r>
          </w:p>
          <w:p w14:paraId="42025704">
            <w:pPr>
              <w:spacing w:line="360" w:lineRule="auto"/>
              <w:ind w:firstLine="480" w:firstLineChars="200"/>
              <w:rPr>
                <w:rFonts w:hint="eastAsia"/>
                <w:color w:val="auto"/>
                <w:sz w:val="24"/>
                <w:szCs w:val="20"/>
                <w:highlight w:val="none"/>
                <w:lang w:bidi="ar"/>
              </w:rPr>
            </w:pPr>
            <w:r>
              <w:rPr>
                <w:rFonts w:hint="eastAsia"/>
                <w:color w:val="auto"/>
                <w:sz w:val="24"/>
                <w:szCs w:val="20"/>
                <w:highlight w:val="none"/>
                <w:lang w:bidi="ar"/>
              </w:rPr>
              <w:t>监测频次：</w:t>
            </w:r>
            <w:r>
              <w:rPr>
                <w:rFonts w:hint="eastAsia"/>
                <w:color w:val="auto"/>
                <w:sz w:val="24"/>
                <w:szCs w:val="20"/>
                <w:highlight w:val="none"/>
                <w:lang w:val="en-US" w:eastAsia="zh-CN" w:bidi="ar"/>
              </w:rPr>
              <w:t>一</w:t>
            </w:r>
            <w:r>
              <w:rPr>
                <w:rFonts w:hint="eastAsia"/>
                <w:color w:val="auto"/>
                <w:sz w:val="24"/>
                <w:szCs w:val="20"/>
                <w:highlight w:val="none"/>
                <w:lang w:bidi="ar"/>
              </w:rPr>
              <w:t>年监测</w:t>
            </w:r>
            <w:r>
              <w:rPr>
                <w:rFonts w:hint="eastAsia"/>
                <w:color w:val="auto"/>
                <w:sz w:val="24"/>
                <w:szCs w:val="20"/>
                <w:highlight w:val="none"/>
                <w:lang w:val="en-US" w:eastAsia="zh-CN" w:bidi="ar"/>
              </w:rPr>
              <w:t>一</w:t>
            </w:r>
            <w:r>
              <w:rPr>
                <w:rFonts w:hint="eastAsia"/>
                <w:color w:val="auto"/>
                <w:sz w:val="24"/>
                <w:szCs w:val="20"/>
                <w:highlight w:val="none"/>
                <w:lang w:bidi="ar"/>
              </w:rPr>
              <w:t>次，每次至少</w:t>
            </w:r>
            <w:r>
              <w:rPr>
                <w:rFonts w:hint="eastAsia"/>
                <w:color w:val="auto"/>
                <w:sz w:val="24"/>
                <w:szCs w:val="20"/>
                <w:highlight w:val="none"/>
                <w:lang w:val="en-US" w:eastAsia="zh-CN" w:bidi="ar"/>
              </w:rPr>
              <w:t>采</w:t>
            </w:r>
            <w:r>
              <w:rPr>
                <w:rFonts w:hint="eastAsia"/>
                <w:color w:val="auto"/>
                <w:sz w:val="24"/>
                <w:szCs w:val="20"/>
                <w:highlight w:val="none"/>
                <w:lang w:bidi="ar"/>
              </w:rPr>
              <w:t>样3个。</w:t>
            </w:r>
          </w:p>
          <w:p w14:paraId="546CC6B5">
            <w:pPr>
              <w:spacing w:line="360" w:lineRule="auto"/>
              <w:ind w:firstLine="480" w:firstLineChars="200"/>
              <w:rPr>
                <w:rFonts w:hint="eastAsia" w:eastAsia="宋体"/>
                <w:color w:val="auto"/>
                <w:sz w:val="24"/>
                <w:szCs w:val="20"/>
                <w:highlight w:val="none"/>
                <w:lang w:eastAsia="zh-CN" w:bidi="ar"/>
              </w:rPr>
            </w:pPr>
            <w:r>
              <w:rPr>
                <w:rFonts w:hint="eastAsia"/>
                <w:color w:val="auto"/>
                <w:sz w:val="24"/>
                <w:szCs w:val="20"/>
                <w:highlight w:val="none"/>
                <w:lang w:val="en-US" w:eastAsia="zh-CN" w:bidi="ar"/>
              </w:rPr>
              <w:t>同时在</w:t>
            </w:r>
            <w:r>
              <w:rPr>
                <w:rFonts w:hint="eastAsia"/>
                <w:color w:val="auto"/>
                <w:sz w:val="24"/>
                <w:highlight w:val="none"/>
                <w:lang w:eastAsia="zh-CN"/>
              </w:rPr>
              <w:t>科技综合楼</w:t>
            </w:r>
            <w:r>
              <w:rPr>
                <w:rFonts w:hint="eastAsia"/>
                <w:color w:val="auto"/>
                <w:sz w:val="24"/>
                <w:highlight w:val="none"/>
              </w:rPr>
              <w:t>B座</w:t>
            </w:r>
            <w:r>
              <w:rPr>
                <w:rFonts w:hint="eastAsia"/>
                <w:color w:val="auto"/>
                <w:sz w:val="24"/>
                <w:highlight w:val="none"/>
                <w:lang w:val="en-US" w:eastAsia="zh-CN"/>
              </w:rPr>
              <w:t>外测定非甲烷总烃，</w:t>
            </w:r>
            <w:r>
              <w:rPr>
                <w:rFonts w:hint="eastAsia"/>
                <w:color w:val="auto"/>
                <w:sz w:val="24"/>
                <w:szCs w:val="20"/>
                <w:highlight w:val="none"/>
                <w:lang w:val="en-US" w:eastAsia="zh-CN" w:bidi="ar"/>
              </w:rPr>
              <w:t>一</w:t>
            </w:r>
            <w:r>
              <w:rPr>
                <w:rFonts w:hint="eastAsia"/>
                <w:color w:val="auto"/>
                <w:sz w:val="24"/>
                <w:szCs w:val="20"/>
                <w:highlight w:val="none"/>
                <w:lang w:bidi="ar"/>
              </w:rPr>
              <w:t>年监测一次</w:t>
            </w:r>
            <w:r>
              <w:rPr>
                <w:rFonts w:hint="eastAsia"/>
                <w:color w:val="auto"/>
                <w:sz w:val="24"/>
                <w:szCs w:val="20"/>
                <w:highlight w:val="none"/>
                <w:lang w:eastAsia="zh-CN" w:bidi="ar"/>
              </w:rPr>
              <w:t>。</w:t>
            </w:r>
          </w:p>
          <w:p w14:paraId="462E1955">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 xml:space="preserve">7 </w:t>
            </w:r>
            <w:r>
              <w:rPr>
                <w:rFonts w:hint="eastAsia" w:ascii="Times New Roman" w:hAnsi="Times New Roman" w:eastAsia="宋体" w:cs="Times New Roman"/>
                <w:b/>
                <w:bCs/>
                <w:color w:val="auto"/>
                <w:kern w:val="2"/>
                <w:sz w:val="21"/>
                <w:szCs w:val="21"/>
                <w:highlight w:val="none"/>
                <w:lang w:val="en-US" w:eastAsia="zh-CN" w:bidi="ar-SA"/>
              </w:rPr>
              <w:t xml:space="preserve">  运营期大气环境监测计划</w:t>
            </w:r>
          </w:p>
          <w:tbl>
            <w:tblPr>
              <w:tblStyle w:val="27"/>
              <w:tblW w:w="4982"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40"/>
              <w:gridCol w:w="1708"/>
              <w:gridCol w:w="2117"/>
              <w:gridCol w:w="1146"/>
              <w:gridCol w:w="2407"/>
            </w:tblGrid>
            <w:tr w14:paraId="7F6671EE">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340" w:type="pct"/>
                  <w:tcBorders>
                    <w:tl2br w:val="nil"/>
                    <w:tr2bl w:val="nil"/>
                  </w:tcBorders>
                  <w:noWrap w:val="0"/>
                  <w:vAlign w:val="center"/>
                </w:tcPr>
                <w:p w14:paraId="72DE840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类型</w:t>
                  </w:r>
                </w:p>
              </w:tc>
              <w:tc>
                <w:tcPr>
                  <w:tcW w:w="1078" w:type="pct"/>
                  <w:tcBorders>
                    <w:tl2br w:val="nil"/>
                    <w:tr2bl w:val="nil"/>
                  </w:tcBorders>
                  <w:noWrap w:val="0"/>
                  <w:vAlign w:val="center"/>
                </w:tcPr>
                <w:p w14:paraId="07F888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排放口名称</w:t>
                  </w:r>
                </w:p>
              </w:tc>
              <w:tc>
                <w:tcPr>
                  <w:tcW w:w="1336" w:type="pct"/>
                  <w:tcBorders>
                    <w:tl2br w:val="nil"/>
                    <w:tr2bl w:val="nil"/>
                  </w:tcBorders>
                  <w:noWrap w:val="0"/>
                  <w:vAlign w:val="center"/>
                </w:tcPr>
                <w:p w14:paraId="4A70617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监测项目</w:t>
                  </w:r>
                </w:p>
              </w:tc>
              <w:tc>
                <w:tcPr>
                  <w:tcW w:w="723" w:type="pct"/>
                  <w:tcBorders>
                    <w:tl2br w:val="nil"/>
                    <w:tr2bl w:val="nil"/>
                  </w:tcBorders>
                  <w:noWrap w:val="0"/>
                  <w:vAlign w:val="center"/>
                </w:tcPr>
                <w:p w14:paraId="016AA2D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监测频次</w:t>
                  </w:r>
                </w:p>
              </w:tc>
              <w:tc>
                <w:tcPr>
                  <w:tcW w:w="1519" w:type="pct"/>
                  <w:tcBorders>
                    <w:tl2br w:val="nil"/>
                    <w:tr2bl w:val="nil"/>
                  </w:tcBorders>
                  <w:noWrap w:val="0"/>
                  <w:vAlign w:val="center"/>
                </w:tcPr>
                <w:p w14:paraId="66E41F5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执行标准</w:t>
                  </w:r>
                </w:p>
              </w:tc>
            </w:tr>
            <w:tr w14:paraId="5883D0CF">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340" w:type="pct"/>
                  <w:vMerge w:val="restart"/>
                  <w:tcBorders>
                    <w:tl2br w:val="nil"/>
                    <w:tr2bl w:val="nil"/>
                  </w:tcBorders>
                  <w:noWrap w:val="0"/>
                  <w:vAlign w:val="center"/>
                </w:tcPr>
                <w:p w14:paraId="55F7745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有组织废气</w:t>
                  </w:r>
                </w:p>
              </w:tc>
              <w:tc>
                <w:tcPr>
                  <w:tcW w:w="1078" w:type="pct"/>
                  <w:tcBorders>
                    <w:tl2br w:val="nil"/>
                    <w:tr2bl w:val="nil"/>
                  </w:tcBorders>
                  <w:noWrap w:val="0"/>
                  <w:vAlign w:val="center"/>
                </w:tcPr>
                <w:p w14:paraId="6AA10BF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rPr>
                  </w:pPr>
                  <w:r>
                    <w:rPr>
                      <w:rFonts w:hint="eastAsia" w:ascii="Times New Roman" w:hAnsi="Times New Roman" w:cs="Times New Roman" w:eastAsiaTheme="minorEastAsia"/>
                      <w:color w:val="auto"/>
                      <w:kern w:val="0"/>
                      <w:sz w:val="21"/>
                      <w:szCs w:val="21"/>
                      <w:highlight w:val="none"/>
                      <w:lang w:val="en-US" w:eastAsia="zh-CN"/>
                    </w:rPr>
                    <w:t>无机</w:t>
                  </w:r>
                  <w:r>
                    <w:rPr>
                      <w:rFonts w:hint="default" w:ascii="Times New Roman" w:hAnsi="Times New Roman" w:cs="Times New Roman" w:eastAsiaTheme="minorEastAsia"/>
                      <w:color w:val="auto"/>
                      <w:kern w:val="0"/>
                      <w:sz w:val="21"/>
                      <w:szCs w:val="21"/>
                      <w:highlight w:val="none"/>
                      <w:lang w:val="en-US" w:eastAsia="zh-CN"/>
                    </w:rPr>
                    <w:t>废气排气筒(DA001</w:t>
                  </w:r>
                  <w:r>
                    <w:rPr>
                      <w:rFonts w:hint="eastAsia" w:cs="Times New Roman" w:eastAsiaTheme="minorEastAsia"/>
                      <w:color w:val="auto"/>
                      <w:kern w:val="0"/>
                      <w:sz w:val="21"/>
                      <w:szCs w:val="21"/>
                      <w:highlight w:val="none"/>
                      <w:lang w:val="en-US" w:eastAsia="zh-CN"/>
                    </w:rPr>
                    <w:t>~</w:t>
                  </w:r>
                  <w:r>
                    <w:rPr>
                      <w:rFonts w:hint="default" w:ascii="Times New Roman" w:hAnsi="Times New Roman" w:cs="Times New Roman" w:eastAsiaTheme="minorEastAsia"/>
                      <w:color w:val="auto"/>
                      <w:kern w:val="0"/>
                      <w:sz w:val="21"/>
                      <w:szCs w:val="21"/>
                      <w:highlight w:val="none"/>
                      <w:lang w:val="en-US" w:eastAsia="zh-CN"/>
                    </w:rPr>
                    <w:t>DA010)</w:t>
                  </w:r>
                </w:p>
              </w:tc>
              <w:tc>
                <w:tcPr>
                  <w:tcW w:w="1336" w:type="pct"/>
                  <w:tcBorders>
                    <w:tl2br w:val="nil"/>
                    <w:tr2bl w:val="nil"/>
                  </w:tcBorders>
                  <w:noWrap w:val="0"/>
                  <w:vAlign w:val="center"/>
                </w:tcPr>
                <w:p w14:paraId="30DFD5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lang w:val="en-US" w:eastAsia="zh-CN"/>
                    </w:rPr>
                    <w:t>氯化氢、硫酸雾、氮氧化物、氟化物</w:t>
                  </w:r>
                </w:p>
              </w:tc>
              <w:tc>
                <w:tcPr>
                  <w:tcW w:w="723" w:type="pct"/>
                  <w:tcBorders>
                    <w:tl2br w:val="nil"/>
                    <w:tr2bl w:val="nil"/>
                  </w:tcBorders>
                  <w:noWrap w:val="0"/>
                  <w:vAlign w:val="center"/>
                </w:tcPr>
                <w:p w14:paraId="3AF8A34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1次/年</w:t>
                  </w:r>
                </w:p>
              </w:tc>
              <w:tc>
                <w:tcPr>
                  <w:tcW w:w="1519" w:type="pct"/>
                  <w:vMerge w:val="restart"/>
                  <w:tcBorders>
                    <w:tl2br w:val="nil"/>
                    <w:tr2bl w:val="nil"/>
                  </w:tcBorders>
                  <w:noWrap w:val="0"/>
                  <w:vAlign w:val="center"/>
                </w:tcPr>
                <w:p w14:paraId="53A34B5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《大气污染物综合排放标准》（GB16297-1996）中表2排放标准限值</w:t>
                  </w:r>
                </w:p>
              </w:tc>
            </w:tr>
            <w:tr w14:paraId="6A34D6E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340" w:type="pct"/>
                  <w:vMerge w:val="continue"/>
                  <w:tcBorders>
                    <w:tl2br w:val="nil"/>
                    <w:tr2bl w:val="nil"/>
                  </w:tcBorders>
                  <w:noWrap w:val="0"/>
                  <w:vAlign w:val="center"/>
                </w:tcPr>
                <w:p w14:paraId="18C216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p>
              </w:tc>
              <w:tc>
                <w:tcPr>
                  <w:tcW w:w="1078" w:type="pct"/>
                  <w:tcBorders>
                    <w:bottom w:val="single" w:color="auto" w:sz="4" w:space="0"/>
                    <w:tl2br w:val="nil"/>
                    <w:tr2bl w:val="nil"/>
                  </w:tcBorders>
                  <w:noWrap w:val="0"/>
                  <w:vAlign w:val="center"/>
                </w:tcPr>
                <w:p w14:paraId="394941F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lang w:val="en-US" w:eastAsia="zh-CN"/>
                    </w:rPr>
                    <w:t>有机废气排气筒(DA011)</w:t>
                  </w:r>
                </w:p>
              </w:tc>
              <w:tc>
                <w:tcPr>
                  <w:tcW w:w="1336" w:type="pct"/>
                  <w:tcBorders>
                    <w:bottom w:val="single" w:color="auto" w:sz="4" w:space="0"/>
                    <w:tl2br w:val="nil"/>
                    <w:tr2bl w:val="nil"/>
                  </w:tcBorders>
                  <w:noWrap w:val="0"/>
                  <w:vAlign w:val="center"/>
                </w:tcPr>
                <w:p w14:paraId="32576F2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lang w:val="en-US" w:eastAsia="zh-CN"/>
                    </w:rPr>
                    <w:t>非甲烷总烃</w:t>
                  </w:r>
                  <w:r>
                    <w:rPr>
                      <w:rFonts w:hint="eastAsia" w:cs="Times New Roman" w:eastAsiaTheme="minorEastAsia"/>
                      <w:color w:val="auto"/>
                      <w:kern w:val="0"/>
                      <w:sz w:val="21"/>
                      <w:szCs w:val="21"/>
                      <w:highlight w:val="none"/>
                      <w:lang w:val="en-US" w:eastAsia="zh-CN"/>
                    </w:rPr>
                    <w:t>、甲醇、甲苯、三氯甲烷、二氯甲烷</w:t>
                  </w:r>
                </w:p>
              </w:tc>
              <w:tc>
                <w:tcPr>
                  <w:tcW w:w="723" w:type="pct"/>
                  <w:tcBorders>
                    <w:bottom w:val="single" w:color="auto" w:sz="4" w:space="0"/>
                    <w:tl2br w:val="nil"/>
                    <w:tr2bl w:val="nil"/>
                  </w:tcBorders>
                  <w:noWrap w:val="0"/>
                  <w:vAlign w:val="center"/>
                </w:tcPr>
                <w:p w14:paraId="414C73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1次/年</w:t>
                  </w:r>
                </w:p>
              </w:tc>
              <w:tc>
                <w:tcPr>
                  <w:tcW w:w="1519" w:type="pct"/>
                  <w:vMerge w:val="continue"/>
                  <w:tcBorders>
                    <w:tl2br w:val="nil"/>
                    <w:tr2bl w:val="nil"/>
                  </w:tcBorders>
                  <w:noWrap w:val="0"/>
                  <w:vAlign w:val="center"/>
                </w:tcPr>
                <w:p w14:paraId="5746675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p>
              </w:tc>
            </w:tr>
            <w:tr w14:paraId="19BC98FE">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340" w:type="pct"/>
                  <w:vMerge w:val="continue"/>
                  <w:tcBorders>
                    <w:tl2br w:val="nil"/>
                    <w:tr2bl w:val="nil"/>
                  </w:tcBorders>
                  <w:noWrap w:val="0"/>
                  <w:vAlign w:val="center"/>
                </w:tcPr>
                <w:p w14:paraId="4381923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p>
              </w:tc>
              <w:tc>
                <w:tcPr>
                  <w:tcW w:w="1078" w:type="pct"/>
                  <w:tcBorders>
                    <w:top w:val="single" w:color="auto" w:sz="4" w:space="0"/>
                    <w:tl2br w:val="nil"/>
                    <w:tr2bl w:val="nil"/>
                  </w:tcBorders>
                  <w:shd w:val="clear" w:color="auto" w:fill="auto"/>
                  <w:noWrap w:val="0"/>
                  <w:vAlign w:val="center"/>
                </w:tcPr>
                <w:p w14:paraId="6A49FDA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lang w:val="en-US" w:eastAsia="zh-CN"/>
                    </w:rPr>
                    <w:t>有机废气排气筒(DA01</w:t>
                  </w:r>
                  <w:r>
                    <w:rPr>
                      <w:rFonts w:hint="eastAsia" w:ascii="Times New Roman" w:hAnsi="Times New Roman" w:cs="Times New Roman" w:eastAsiaTheme="minorEastAsia"/>
                      <w:color w:val="auto"/>
                      <w:kern w:val="0"/>
                      <w:sz w:val="21"/>
                      <w:szCs w:val="21"/>
                      <w:highlight w:val="none"/>
                      <w:lang w:val="en-US" w:eastAsia="zh-CN"/>
                    </w:rPr>
                    <w:t>2~</w:t>
                  </w:r>
                  <w:r>
                    <w:rPr>
                      <w:rFonts w:hint="default" w:ascii="Times New Roman" w:hAnsi="Times New Roman" w:cs="Times New Roman" w:eastAsiaTheme="minorEastAsia"/>
                      <w:color w:val="auto"/>
                      <w:kern w:val="0"/>
                      <w:sz w:val="21"/>
                      <w:szCs w:val="21"/>
                      <w:highlight w:val="none"/>
                      <w:lang w:val="en-US" w:eastAsia="zh-CN"/>
                    </w:rPr>
                    <w:t>DA01</w:t>
                  </w:r>
                  <w:r>
                    <w:rPr>
                      <w:rFonts w:hint="eastAsia" w:ascii="Times New Roman" w:hAnsi="Times New Roman" w:cs="Times New Roman" w:eastAsiaTheme="minorEastAsia"/>
                      <w:color w:val="auto"/>
                      <w:kern w:val="0"/>
                      <w:sz w:val="21"/>
                      <w:szCs w:val="21"/>
                      <w:highlight w:val="none"/>
                      <w:lang w:val="en-US" w:eastAsia="zh-CN"/>
                    </w:rPr>
                    <w:t>4</w:t>
                  </w:r>
                  <w:r>
                    <w:rPr>
                      <w:rFonts w:hint="default" w:ascii="Times New Roman" w:hAnsi="Times New Roman" w:cs="Times New Roman" w:eastAsiaTheme="minorEastAsia"/>
                      <w:color w:val="auto"/>
                      <w:kern w:val="0"/>
                      <w:sz w:val="21"/>
                      <w:szCs w:val="21"/>
                      <w:highlight w:val="none"/>
                      <w:lang w:val="en-US" w:eastAsia="zh-CN"/>
                    </w:rPr>
                    <w:t>)</w:t>
                  </w:r>
                </w:p>
              </w:tc>
              <w:tc>
                <w:tcPr>
                  <w:tcW w:w="1336" w:type="pct"/>
                  <w:tcBorders>
                    <w:top w:val="single" w:color="auto" w:sz="4" w:space="0"/>
                    <w:tl2br w:val="nil"/>
                    <w:tr2bl w:val="nil"/>
                  </w:tcBorders>
                  <w:shd w:val="clear" w:color="auto" w:fill="auto"/>
                  <w:noWrap w:val="0"/>
                  <w:vAlign w:val="center"/>
                </w:tcPr>
                <w:p w14:paraId="1E266EB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lang w:val="en-US" w:eastAsia="zh-CN"/>
                    </w:rPr>
                    <w:t>非甲烷总烃</w:t>
                  </w:r>
                </w:p>
              </w:tc>
              <w:tc>
                <w:tcPr>
                  <w:tcW w:w="723" w:type="pct"/>
                  <w:tcBorders>
                    <w:top w:val="single" w:color="auto" w:sz="4" w:space="0"/>
                    <w:tl2br w:val="nil"/>
                    <w:tr2bl w:val="nil"/>
                  </w:tcBorders>
                  <w:shd w:val="clear" w:color="auto" w:fill="auto"/>
                  <w:noWrap w:val="0"/>
                  <w:vAlign w:val="center"/>
                </w:tcPr>
                <w:p w14:paraId="7CB1D61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1次/年</w:t>
                  </w:r>
                </w:p>
              </w:tc>
              <w:tc>
                <w:tcPr>
                  <w:tcW w:w="1519" w:type="pct"/>
                  <w:vMerge w:val="continue"/>
                  <w:tcBorders>
                    <w:tl2br w:val="nil"/>
                    <w:tr2bl w:val="nil"/>
                  </w:tcBorders>
                  <w:noWrap w:val="0"/>
                  <w:vAlign w:val="center"/>
                </w:tcPr>
                <w:p w14:paraId="3109BC8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p>
              </w:tc>
            </w:tr>
            <w:tr w14:paraId="23241A0D">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79" w:hRule="atLeast"/>
                <w:jc w:val="center"/>
              </w:trPr>
              <w:tc>
                <w:tcPr>
                  <w:tcW w:w="340" w:type="pct"/>
                  <w:vMerge w:val="continue"/>
                  <w:tcBorders>
                    <w:tl2br w:val="nil"/>
                    <w:tr2bl w:val="nil"/>
                  </w:tcBorders>
                  <w:noWrap w:val="0"/>
                  <w:vAlign w:val="center"/>
                </w:tcPr>
                <w:p w14:paraId="674A1EC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p>
              </w:tc>
              <w:tc>
                <w:tcPr>
                  <w:tcW w:w="1078" w:type="pct"/>
                  <w:tcBorders>
                    <w:tl2br w:val="nil"/>
                    <w:tr2bl w:val="nil"/>
                  </w:tcBorders>
                  <w:shd w:val="clear" w:color="auto" w:fill="auto"/>
                  <w:noWrap w:val="0"/>
                  <w:vAlign w:val="center"/>
                </w:tcPr>
                <w:p w14:paraId="4FDCCBC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lang w:val="en-US" w:eastAsia="zh-CN"/>
                    </w:rPr>
                    <w:t>碎样</w:t>
                  </w:r>
                  <w:r>
                    <w:rPr>
                      <w:rFonts w:hint="eastAsia" w:ascii="Times New Roman" w:hAnsi="Times New Roman" w:cs="Times New Roman" w:eastAsiaTheme="minorEastAsia"/>
                      <w:color w:val="auto"/>
                      <w:kern w:val="0"/>
                      <w:sz w:val="21"/>
                      <w:szCs w:val="21"/>
                      <w:highlight w:val="none"/>
                      <w:lang w:val="en-US" w:eastAsia="zh-CN"/>
                    </w:rPr>
                    <w:t>废气</w:t>
                  </w:r>
                  <w:r>
                    <w:rPr>
                      <w:rFonts w:hint="default" w:ascii="Times New Roman" w:hAnsi="Times New Roman" w:cs="Times New Roman" w:eastAsiaTheme="minorEastAsia"/>
                      <w:color w:val="auto"/>
                      <w:kern w:val="0"/>
                      <w:sz w:val="21"/>
                      <w:szCs w:val="21"/>
                      <w:highlight w:val="none"/>
                    </w:rPr>
                    <w:t>排气筒</w:t>
                  </w:r>
                  <w:r>
                    <w:rPr>
                      <w:rFonts w:hint="default" w:ascii="Times New Roman" w:hAnsi="Times New Roman" w:cs="Times New Roman" w:eastAsiaTheme="minorEastAsia"/>
                      <w:color w:val="auto"/>
                      <w:kern w:val="0"/>
                      <w:sz w:val="21"/>
                      <w:szCs w:val="21"/>
                      <w:highlight w:val="none"/>
                      <w:lang w:val="en-US" w:eastAsia="zh-CN"/>
                    </w:rPr>
                    <w:t>(DA01</w:t>
                  </w:r>
                  <w:r>
                    <w:rPr>
                      <w:rFonts w:hint="eastAsia" w:ascii="Times New Roman" w:hAnsi="Times New Roman" w:cs="Times New Roman" w:eastAsiaTheme="minorEastAsia"/>
                      <w:color w:val="auto"/>
                      <w:kern w:val="0"/>
                      <w:sz w:val="21"/>
                      <w:szCs w:val="21"/>
                      <w:highlight w:val="none"/>
                      <w:lang w:val="en-US" w:eastAsia="zh-CN"/>
                    </w:rPr>
                    <w:t>5</w:t>
                  </w:r>
                  <w:r>
                    <w:rPr>
                      <w:rFonts w:hint="default" w:ascii="Times New Roman" w:hAnsi="Times New Roman" w:cs="Times New Roman" w:eastAsiaTheme="minorEastAsia"/>
                      <w:color w:val="auto"/>
                      <w:kern w:val="0"/>
                      <w:sz w:val="21"/>
                      <w:szCs w:val="21"/>
                      <w:highlight w:val="none"/>
                      <w:lang w:val="en-US" w:eastAsia="zh-CN"/>
                    </w:rPr>
                    <w:t>)</w:t>
                  </w:r>
                </w:p>
              </w:tc>
              <w:tc>
                <w:tcPr>
                  <w:tcW w:w="1336" w:type="pct"/>
                  <w:tcBorders>
                    <w:tl2br w:val="nil"/>
                    <w:tr2bl w:val="nil"/>
                  </w:tcBorders>
                  <w:shd w:val="clear" w:color="auto" w:fill="auto"/>
                  <w:noWrap w:val="0"/>
                  <w:vAlign w:val="center"/>
                </w:tcPr>
                <w:p w14:paraId="32FC857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颗粒物</w:t>
                  </w:r>
                </w:p>
              </w:tc>
              <w:tc>
                <w:tcPr>
                  <w:tcW w:w="723" w:type="pct"/>
                  <w:tcBorders>
                    <w:tl2br w:val="nil"/>
                    <w:tr2bl w:val="nil"/>
                  </w:tcBorders>
                  <w:shd w:val="clear" w:color="auto" w:fill="auto"/>
                  <w:noWrap w:val="0"/>
                  <w:vAlign w:val="center"/>
                </w:tcPr>
                <w:p w14:paraId="65263D5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1次/年</w:t>
                  </w:r>
                </w:p>
              </w:tc>
              <w:tc>
                <w:tcPr>
                  <w:tcW w:w="1519" w:type="pct"/>
                  <w:vMerge w:val="continue"/>
                  <w:tcBorders>
                    <w:tl2br w:val="nil"/>
                    <w:tr2bl w:val="nil"/>
                  </w:tcBorders>
                  <w:shd w:val="clear" w:color="auto" w:fill="auto"/>
                  <w:noWrap w:val="0"/>
                  <w:vAlign w:val="center"/>
                </w:tcPr>
                <w:p w14:paraId="55F123F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p>
              </w:tc>
            </w:tr>
            <w:tr w14:paraId="70727F7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1419" w:type="pct"/>
                  <w:gridSpan w:val="2"/>
                  <w:vMerge w:val="restart"/>
                  <w:tcBorders>
                    <w:tl2br w:val="nil"/>
                    <w:tr2bl w:val="nil"/>
                  </w:tcBorders>
                  <w:noWrap w:val="0"/>
                  <w:vAlign w:val="center"/>
                </w:tcPr>
                <w:p w14:paraId="1B4858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lang w:val="en-US" w:eastAsia="zh-CN"/>
                    </w:rPr>
                    <w:t>无</w:t>
                  </w:r>
                  <w:r>
                    <w:rPr>
                      <w:rFonts w:hint="default" w:ascii="Times New Roman" w:hAnsi="Times New Roman" w:cs="Times New Roman" w:eastAsiaTheme="minorEastAsia"/>
                      <w:color w:val="auto"/>
                      <w:kern w:val="0"/>
                      <w:sz w:val="21"/>
                      <w:szCs w:val="21"/>
                      <w:highlight w:val="none"/>
                    </w:rPr>
                    <w:t>组织废气</w:t>
                  </w:r>
                </w:p>
              </w:tc>
              <w:tc>
                <w:tcPr>
                  <w:tcW w:w="1336" w:type="pct"/>
                  <w:tcBorders>
                    <w:tl2br w:val="nil"/>
                    <w:tr2bl w:val="nil"/>
                  </w:tcBorders>
                  <w:noWrap w:val="0"/>
                  <w:vAlign w:val="center"/>
                </w:tcPr>
                <w:p w14:paraId="37AA3BE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颗粒物</w:t>
                  </w:r>
                  <w:r>
                    <w:rPr>
                      <w:rFonts w:hint="default" w:ascii="Times New Roman" w:hAnsi="Times New Roman" w:cs="Times New Roman" w:eastAsiaTheme="minorEastAsia"/>
                      <w:color w:val="auto"/>
                      <w:kern w:val="0"/>
                      <w:sz w:val="21"/>
                      <w:szCs w:val="21"/>
                      <w:highlight w:val="none"/>
                      <w:lang w:eastAsia="zh-CN"/>
                    </w:rPr>
                    <w:t>、</w:t>
                  </w:r>
                  <w:r>
                    <w:rPr>
                      <w:rFonts w:hint="default" w:ascii="Times New Roman" w:hAnsi="Times New Roman" w:cs="Times New Roman" w:eastAsiaTheme="minorEastAsia"/>
                      <w:color w:val="auto"/>
                      <w:kern w:val="0"/>
                      <w:sz w:val="21"/>
                      <w:szCs w:val="21"/>
                      <w:highlight w:val="none"/>
                      <w:lang w:val="en-US" w:eastAsia="zh-CN"/>
                    </w:rPr>
                    <w:t>非甲烷总烃、氯化氢、硫酸雾、氮氧化物、氟化物</w:t>
                  </w:r>
                  <w:r>
                    <w:rPr>
                      <w:rFonts w:hint="eastAsia" w:cs="Times New Roman" w:eastAsiaTheme="minorEastAsia"/>
                      <w:color w:val="auto"/>
                      <w:kern w:val="0"/>
                      <w:sz w:val="21"/>
                      <w:szCs w:val="21"/>
                      <w:highlight w:val="none"/>
                      <w:lang w:val="en-US" w:eastAsia="zh-CN"/>
                    </w:rPr>
                    <w:t>、甲醇、甲苯、三氯甲烷、二氯甲烷</w:t>
                  </w:r>
                </w:p>
              </w:tc>
              <w:tc>
                <w:tcPr>
                  <w:tcW w:w="723" w:type="pct"/>
                  <w:tcBorders>
                    <w:tl2br w:val="nil"/>
                    <w:tr2bl w:val="nil"/>
                  </w:tcBorders>
                  <w:noWrap w:val="0"/>
                  <w:vAlign w:val="center"/>
                </w:tcPr>
                <w:p w14:paraId="1DAF43E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1次/年</w:t>
                  </w:r>
                </w:p>
              </w:tc>
              <w:tc>
                <w:tcPr>
                  <w:tcW w:w="1519" w:type="pct"/>
                  <w:tcBorders>
                    <w:tl2br w:val="nil"/>
                    <w:tr2bl w:val="nil"/>
                  </w:tcBorders>
                  <w:noWrap w:val="0"/>
                  <w:vAlign w:val="center"/>
                </w:tcPr>
                <w:p w14:paraId="76986F4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《大气污染物综合排放标准》（GB16297-1996）中表2排放标准限值</w:t>
                  </w:r>
                </w:p>
              </w:tc>
            </w:tr>
            <w:tr w14:paraId="44896BFC">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08" w:hRule="atLeast"/>
                <w:jc w:val="center"/>
              </w:trPr>
              <w:tc>
                <w:tcPr>
                  <w:tcW w:w="1419" w:type="pct"/>
                  <w:gridSpan w:val="2"/>
                  <w:vMerge w:val="continue"/>
                  <w:tcBorders>
                    <w:tl2br w:val="nil"/>
                    <w:tr2bl w:val="nil"/>
                  </w:tcBorders>
                  <w:noWrap w:val="0"/>
                  <w:vAlign w:val="center"/>
                </w:tcPr>
                <w:p w14:paraId="52FFFFC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lang w:val="en-US" w:eastAsia="zh-CN"/>
                    </w:rPr>
                  </w:pPr>
                </w:p>
              </w:tc>
              <w:tc>
                <w:tcPr>
                  <w:tcW w:w="1336" w:type="pct"/>
                  <w:tcBorders>
                    <w:tl2br w:val="nil"/>
                    <w:tr2bl w:val="nil"/>
                  </w:tcBorders>
                  <w:noWrap w:val="0"/>
                  <w:vAlign w:val="center"/>
                </w:tcPr>
                <w:p w14:paraId="6FAEA82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lang w:val="en-US" w:eastAsia="zh-CN"/>
                    </w:rPr>
                    <w:t>非甲烷总烃（1h平均浓度值、任意一次浓度值）</w:t>
                  </w:r>
                </w:p>
              </w:tc>
              <w:tc>
                <w:tcPr>
                  <w:tcW w:w="723" w:type="pct"/>
                  <w:tcBorders>
                    <w:tl2br w:val="nil"/>
                    <w:tr2bl w:val="nil"/>
                  </w:tcBorders>
                  <w:noWrap w:val="0"/>
                  <w:vAlign w:val="center"/>
                </w:tcPr>
                <w:p w14:paraId="301F72F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1次/年</w:t>
                  </w:r>
                </w:p>
              </w:tc>
              <w:tc>
                <w:tcPr>
                  <w:tcW w:w="1519" w:type="pct"/>
                  <w:tcBorders>
                    <w:tl2br w:val="nil"/>
                    <w:tr2bl w:val="nil"/>
                  </w:tcBorders>
                  <w:noWrap w:val="0"/>
                  <w:vAlign w:val="center"/>
                </w:tcPr>
                <w:p w14:paraId="088B696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《挥发性有机物无组织排放控制标准》（GB 37822-2019）</w:t>
                  </w:r>
                </w:p>
              </w:tc>
            </w:tr>
          </w:tbl>
          <w:p w14:paraId="6796EB6A">
            <w:pPr>
              <w:widowControl/>
              <w:spacing w:line="360" w:lineRule="auto"/>
              <w:ind w:firstLine="482" w:firstLineChars="200"/>
              <w:rPr>
                <w:b/>
                <w:bCs/>
                <w:color w:val="auto"/>
                <w:kern w:val="0"/>
                <w:sz w:val="24"/>
                <w:highlight w:val="none"/>
              </w:rPr>
            </w:pPr>
            <w:r>
              <w:rPr>
                <w:rFonts w:hint="eastAsia"/>
                <w:b/>
                <w:bCs/>
                <w:color w:val="auto"/>
                <w:kern w:val="0"/>
                <w:sz w:val="24"/>
                <w:highlight w:val="none"/>
              </w:rPr>
              <w:t>4</w:t>
            </w:r>
            <w:r>
              <w:rPr>
                <w:b/>
                <w:bCs/>
                <w:color w:val="auto"/>
                <w:kern w:val="0"/>
                <w:sz w:val="24"/>
                <w:highlight w:val="none"/>
              </w:rPr>
              <w:t>.</w:t>
            </w:r>
            <w:r>
              <w:rPr>
                <w:rFonts w:hint="eastAsia"/>
                <w:b/>
                <w:bCs/>
                <w:color w:val="auto"/>
                <w:kern w:val="0"/>
                <w:sz w:val="24"/>
                <w:highlight w:val="none"/>
                <w:lang w:val="en-US" w:eastAsia="zh-CN"/>
              </w:rPr>
              <w:t>2</w:t>
            </w:r>
            <w:r>
              <w:rPr>
                <w:rFonts w:hint="eastAsia"/>
                <w:b/>
                <w:bCs/>
                <w:color w:val="auto"/>
                <w:kern w:val="0"/>
                <w:sz w:val="24"/>
                <w:highlight w:val="none"/>
              </w:rPr>
              <w:t>噪声</w:t>
            </w:r>
          </w:p>
          <w:p w14:paraId="26CB0164">
            <w:pPr>
              <w:pStyle w:val="9"/>
              <w:rPr>
                <w:b/>
                <w:bCs/>
                <w:color w:val="auto"/>
                <w:highlight w:val="none"/>
              </w:rPr>
            </w:pPr>
            <w:r>
              <w:rPr>
                <w:rFonts w:hint="eastAsia"/>
                <w:b/>
                <w:bCs/>
                <w:color w:val="auto"/>
                <w:highlight w:val="none"/>
              </w:rPr>
              <w:t>4</w:t>
            </w:r>
            <w:r>
              <w:rPr>
                <w:b/>
                <w:bCs/>
                <w:color w:val="auto"/>
                <w:highlight w:val="none"/>
              </w:rPr>
              <w:t>.</w:t>
            </w:r>
            <w:r>
              <w:rPr>
                <w:rFonts w:hint="eastAsia"/>
                <w:b/>
                <w:bCs/>
                <w:color w:val="auto"/>
                <w:highlight w:val="none"/>
                <w:lang w:val="en-US" w:eastAsia="zh-CN"/>
              </w:rPr>
              <w:t>2</w:t>
            </w:r>
            <w:r>
              <w:rPr>
                <w:b/>
                <w:bCs/>
                <w:color w:val="auto"/>
                <w:highlight w:val="none"/>
              </w:rPr>
              <w:t>.1</w:t>
            </w:r>
            <w:r>
              <w:rPr>
                <w:rFonts w:hint="eastAsia"/>
                <w:b/>
                <w:bCs/>
                <w:color w:val="auto"/>
                <w:highlight w:val="none"/>
              </w:rPr>
              <w:t>噪声污染源</w:t>
            </w:r>
          </w:p>
          <w:p w14:paraId="0B9DA2F0">
            <w:pPr>
              <w:spacing w:line="360" w:lineRule="auto"/>
              <w:ind w:firstLine="480"/>
              <w:rPr>
                <w:rFonts w:hint="eastAsia"/>
                <w:bCs/>
                <w:color w:val="auto"/>
                <w:kern w:val="24"/>
                <w:sz w:val="24"/>
                <w:highlight w:val="none"/>
                <w:lang w:eastAsia="zh-CN"/>
              </w:rPr>
            </w:pPr>
            <w:r>
              <w:rPr>
                <w:bCs/>
                <w:color w:val="auto"/>
                <w:kern w:val="24"/>
                <w:sz w:val="24"/>
                <w:highlight w:val="none"/>
              </w:rPr>
              <w:t>本</w:t>
            </w:r>
            <w:r>
              <w:rPr>
                <w:rFonts w:hint="eastAsia"/>
                <w:bCs/>
                <w:color w:val="auto"/>
                <w:kern w:val="24"/>
                <w:sz w:val="24"/>
                <w:highlight w:val="none"/>
                <w:lang w:val="en-US" w:eastAsia="zh-CN"/>
              </w:rPr>
              <w:t>扩建</w:t>
            </w:r>
            <w:r>
              <w:rPr>
                <w:bCs/>
                <w:color w:val="auto"/>
                <w:kern w:val="24"/>
                <w:sz w:val="24"/>
                <w:highlight w:val="none"/>
              </w:rPr>
              <w:t>项目运行期噪声源主要</w:t>
            </w:r>
            <w:r>
              <w:rPr>
                <w:rFonts w:hint="eastAsia"/>
                <w:bCs/>
                <w:color w:val="auto"/>
                <w:kern w:val="24"/>
                <w:sz w:val="24"/>
                <w:highlight w:val="none"/>
                <w:lang w:val="en-US" w:eastAsia="zh-CN"/>
              </w:rPr>
              <w:t>为</w:t>
            </w:r>
            <w:r>
              <w:rPr>
                <w:bCs/>
                <w:color w:val="auto"/>
                <w:kern w:val="24"/>
                <w:sz w:val="24"/>
                <w:highlight w:val="none"/>
              </w:rPr>
              <w:t>分析测试中心的碎样机</w:t>
            </w:r>
            <w:r>
              <w:rPr>
                <w:rFonts w:hint="eastAsia"/>
                <w:bCs/>
                <w:color w:val="auto"/>
                <w:kern w:val="24"/>
                <w:sz w:val="24"/>
                <w:highlight w:val="none"/>
                <w:lang w:eastAsia="zh-CN"/>
              </w:rPr>
              <w:t>、</w:t>
            </w:r>
            <w:r>
              <w:rPr>
                <w:rFonts w:hint="eastAsia"/>
                <w:bCs/>
                <w:color w:val="auto"/>
                <w:kern w:val="24"/>
                <w:sz w:val="24"/>
                <w:highlight w:val="none"/>
                <w:lang w:val="en-US" w:eastAsia="zh-CN"/>
              </w:rPr>
              <w:t>风机</w:t>
            </w:r>
            <w:r>
              <w:rPr>
                <w:bCs/>
                <w:color w:val="auto"/>
                <w:kern w:val="24"/>
                <w:sz w:val="24"/>
                <w:highlight w:val="none"/>
              </w:rPr>
              <w:t>，</w:t>
            </w:r>
            <w:r>
              <w:rPr>
                <w:rFonts w:hint="eastAsia"/>
                <w:bCs/>
                <w:color w:val="auto"/>
                <w:kern w:val="24"/>
                <w:sz w:val="24"/>
                <w:highlight w:val="none"/>
              </w:rPr>
              <w:t>噪声级</w:t>
            </w:r>
            <w:r>
              <w:rPr>
                <w:rFonts w:hint="eastAsia"/>
                <w:bCs/>
                <w:color w:val="auto"/>
                <w:kern w:val="24"/>
                <w:sz w:val="24"/>
                <w:highlight w:val="none"/>
                <w:lang w:val="en-US" w:eastAsia="zh-CN"/>
              </w:rPr>
              <w:t>约90</w:t>
            </w:r>
            <w:r>
              <w:rPr>
                <w:rFonts w:hint="eastAsia"/>
                <w:bCs/>
                <w:color w:val="auto"/>
                <w:kern w:val="24"/>
                <w:sz w:val="24"/>
                <w:highlight w:val="none"/>
              </w:rPr>
              <w:t>dB(A)</w:t>
            </w:r>
            <w:r>
              <w:rPr>
                <w:rFonts w:hint="eastAsia"/>
                <w:bCs/>
                <w:color w:val="auto"/>
                <w:kern w:val="24"/>
                <w:sz w:val="24"/>
                <w:highlight w:val="none"/>
                <w:lang w:eastAsia="zh-CN"/>
              </w:rPr>
              <w:t>。</w:t>
            </w:r>
            <w:r>
              <w:rPr>
                <w:rFonts w:hint="default" w:ascii="Times New Roman" w:hAnsi="Times New Roman" w:eastAsia="宋体" w:cs="Times New Roman"/>
                <w:color w:val="auto"/>
                <w:sz w:val="24"/>
                <w:szCs w:val="24"/>
                <w:highlight w:val="none"/>
              </w:rPr>
              <w:t>本项目主要噪声源产生强度及采取降噪措施后的排放强度见下表。</w:t>
            </w:r>
          </w:p>
          <w:p w14:paraId="12613304">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8</w:t>
            </w:r>
            <w:r>
              <w:rPr>
                <w:rFonts w:hint="eastAsia" w:ascii="Times New Roman" w:hAnsi="Times New Roman" w:eastAsia="宋体" w:cs="Times New Roman"/>
                <w:b/>
                <w:bCs/>
                <w:color w:val="auto"/>
                <w:kern w:val="2"/>
                <w:sz w:val="21"/>
                <w:szCs w:val="21"/>
                <w:highlight w:val="none"/>
                <w:lang w:val="en-US" w:eastAsia="zh-CN" w:bidi="ar-SA"/>
              </w:rPr>
              <w:t xml:space="preserve">  项目主要噪声源及防治措施</w:t>
            </w:r>
          </w:p>
          <w:tbl>
            <w:tblPr>
              <w:tblStyle w:val="27"/>
              <w:tblW w:w="493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31"/>
              <w:gridCol w:w="290"/>
              <w:gridCol w:w="941"/>
              <w:gridCol w:w="901"/>
              <w:gridCol w:w="1325"/>
              <w:gridCol w:w="589"/>
              <w:gridCol w:w="649"/>
              <w:gridCol w:w="447"/>
              <w:gridCol w:w="312"/>
              <w:gridCol w:w="429"/>
              <w:gridCol w:w="347"/>
              <w:gridCol w:w="356"/>
              <w:gridCol w:w="477"/>
              <w:gridCol w:w="448"/>
            </w:tblGrid>
            <w:tr w14:paraId="44B58F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40" w:hRule="atLeast"/>
                <w:jc w:val="center"/>
              </w:trPr>
              <w:tc>
                <w:tcPr>
                  <w:tcW w:w="211" w:type="pct"/>
                  <w:vMerge w:val="restart"/>
                  <w:tcBorders>
                    <w:tl2br w:val="nil"/>
                    <w:tr2bl w:val="nil"/>
                  </w:tcBorders>
                  <w:noWrap w:val="0"/>
                  <w:vAlign w:val="center"/>
                </w:tcPr>
                <w:p w14:paraId="0C52E0F2">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建筑物名称</w:t>
                  </w:r>
                </w:p>
              </w:tc>
              <w:tc>
                <w:tcPr>
                  <w:tcW w:w="185" w:type="pct"/>
                  <w:vMerge w:val="restart"/>
                  <w:tcBorders>
                    <w:tl2br w:val="nil"/>
                    <w:tr2bl w:val="nil"/>
                  </w:tcBorders>
                  <w:noWrap w:val="0"/>
                  <w:vAlign w:val="center"/>
                </w:tcPr>
                <w:p w14:paraId="164D1802">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1174" w:type="pct"/>
                  <w:gridSpan w:val="2"/>
                  <w:tcBorders>
                    <w:tl2br w:val="nil"/>
                    <w:tr2bl w:val="nil"/>
                  </w:tcBorders>
                  <w:noWrap w:val="0"/>
                  <w:vAlign w:val="center"/>
                </w:tcPr>
                <w:p w14:paraId="6AE15513">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声源源强（任选一种）</w:t>
                  </w:r>
                </w:p>
              </w:tc>
              <w:tc>
                <w:tcPr>
                  <w:tcW w:w="844" w:type="pct"/>
                  <w:vMerge w:val="restart"/>
                  <w:tcBorders>
                    <w:tl2br w:val="nil"/>
                    <w:tr2bl w:val="nil"/>
                  </w:tcBorders>
                  <w:noWrap w:val="0"/>
                  <w:vAlign w:val="center"/>
                </w:tcPr>
                <w:p w14:paraId="486CBF31">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1073" w:type="pct"/>
                  <w:gridSpan w:val="3"/>
                  <w:tcBorders>
                    <w:tl2br w:val="nil"/>
                    <w:tr2bl w:val="nil"/>
                  </w:tcBorders>
                  <w:noWrap w:val="0"/>
                  <w:vAlign w:val="center"/>
                </w:tcPr>
                <w:p w14:paraId="0E117D1A">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199" w:type="pct"/>
                  <w:vMerge w:val="restart"/>
                  <w:tcBorders>
                    <w:tl2br w:val="nil"/>
                    <w:tr2bl w:val="nil"/>
                  </w:tcBorders>
                  <w:noWrap w:val="0"/>
                  <w:vAlign w:val="center"/>
                </w:tcPr>
                <w:p w14:paraId="2AEA7072">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室内边界声级</w:t>
                  </w:r>
                </w:p>
                <w:p w14:paraId="23702735">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/dB(A)</w:t>
                  </w:r>
                </w:p>
              </w:tc>
              <w:tc>
                <w:tcPr>
                  <w:tcW w:w="273" w:type="pct"/>
                  <w:vMerge w:val="restart"/>
                  <w:tcBorders>
                    <w:tl2br w:val="nil"/>
                    <w:tr2bl w:val="nil"/>
                  </w:tcBorders>
                  <w:noWrap w:val="0"/>
                  <w:vAlign w:val="center"/>
                </w:tcPr>
                <w:p w14:paraId="4D40B553">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距室内边界距离/m</w:t>
                  </w:r>
                </w:p>
              </w:tc>
              <w:tc>
                <w:tcPr>
                  <w:tcW w:w="221" w:type="pct"/>
                  <w:vMerge w:val="restart"/>
                  <w:tcBorders>
                    <w:tl2br w:val="nil"/>
                    <w:tr2bl w:val="nil"/>
                  </w:tcBorders>
                  <w:noWrap w:val="0"/>
                  <w:vAlign w:val="center"/>
                </w:tcPr>
                <w:p w14:paraId="6C087524">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运行时段</w:t>
                  </w:r>
                </w:p>
              </w:tc>
              <w:tc>
                <w:tcPr>
                  <w:tcW w:w="227" w:type="pct"/>
                  <w:vMerge w:val="restart"/>
                  <w:tcBorders>
                    <w:tl2br w:val="nil"/>
                    <w:tr2bl w:val="nil"/>
                  </w:tcBorders>
                  <w:noWrap w:val="0"/>
                  <w:vAlign w:val="center"/>
                </w:tcPr>
                <w:p w14:paraId="00F43D0E">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建筑物插入损失 / dB(A)</w:t>
                  </w:r>
                </w:p>
              </w:tc>
              <w:tc>
                <w:tcPr>
                  <w:tcW w:w="590" w:type="pct"/>
                  <w:gridSpan w:val="2"/>
                  <w:tcBorders>
                    <w:tl2br w:val="nil"/>
                    <w:tr2bl w:val="nil"/>
                  </w:tcBorders>
                  <w:noWrap w:val="0"/>
                  <w:vAlign w:val="center"/>
                </w:tcPr>
                <w:p w14:paraId="027C3B47">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建筑物外噪声</w:t>
                  </w:r>
                </w:p>
              </w:tc>
            </w:tr>
            <w:tr w14:paraId="3463B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47" w:hRule="atLeast"/>
                <w:jc w:val="center"/>
              </w:trPr>
              <w:tc>
                <w:tcPr>
                  <w:tcW w:w="211" w:type="pct"/>
                  <w:vMerge w:val="continue"/>
                  <w:tcBorders>
                    <w:tl2br w:val="nil"/>
                    <w:tr2bl w:val="nil"/>
                  </w:tcBorders>
                  <w:noWrap w:val="0"/>
                  <w:vAlign w:val="center"/>
                </w:tcPr>
                <w:p w14:paraId="120AC3FF">
                  <w:pPr>
                    <w:snapToGrid w:val="0"/>
                    <w:jc w:val="center"/>
                    <w:rPr>
                      <w:rFonts w:hint="default" w:ascii="Times New Roman" w:hAnsi="Times New Roman" w:eastAsia="宋体" w:cs="Times New Roman"/>
                      <w:b/>
                      <w:bCs/>
                      <w:color w:val="auto"/>
                      <w:sz w:val="21"/>
                      <w:szCs w:val="21"/>
                      <w:highlight w:val="none"/>
                    </w:rPr>
                  </w:pPr>
                </w:p>
              </w:tc>
              <w:tc>
                <w:tcPr>
                  <w:tcW w:w="185" w:type="pct"/>
                  <w:vMerge w:val="continue"/>
                  <w:tcBorders>
                    <w:tl2br w:val="nil"/>
                    <w:tr2bl w:val="nil"/>
                  </w:tcBorders>
                  <w:noWrap w:val="0"/>
                  <w:vAlign w:val="center"/>
                </w:tcPr>
                <w:p w14:paraId="1E8DFA74">
                  <w:pPr>
                    <w:snapToGrid w:val="0"/>
                    <w:jc w:val="center"/>
                    <w:rPr>
                      <w:rFonts w:hint="default" w:ascii="Times New Roman" w:hAnsi="Times New Roman" w:eastAsia="宋体" w:cs="Times New Roman"/>
                      <w:b/>
                      <w:bCs/>
                      <w:color w:val="auto"/>
                      <w:sz w:val="21"/>
                      <w:szCs w:val="21"/>
                      <w:highlight w:val="none"/>
                    </w:rPr>
                  </w:pPr>
                </w:p>
              </w:tc>
              <w:tc>
                <w:tcPr>
                  <w:tcW w:w="599" w:type="pct"/>
                  <w:tcBorders>
                    <w:tl2br w:val="nil"/>
                    <w:tr2bl w:val="nil"/>
                  </w:tcBorders>
                  <w:noWrap w:val="0"/>
                  <w:vAlign w:val="center"/>
                </w:tcPr>
                <w:p w14:paraId="42BDED9A">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（声压级/距声源距离）/（dB(A)/m）</w:t>
                  </w:r>
                </w:p>
              </w:tc>
              <w:tc>
                <w:tcPr>
                  <w:tcW w:w="574" w:type="pct"/>
                  <w:tcBorders>
                    <w:tl2br w:val="nil"/>
                    <w:tr2bl w:val="nil"/>
                  </w:tcBorders>
                  <w:noWrap w:val="0"/>
                  <w:vAlign w:val="center"/>
                </w:tcPr>
                <w:p w14:paraId="32B86FDB">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声功率级</w:t>
                  </w:r>
                </w:p>
                <w:p w14:paraId="52E769C0">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/dB(A)</w:t>
                  </w:r>
                </w:p>
              </w:tc>
              <w:tc>
                <w:tcPr>
                  <w:tcW w:w="844" w:type="pct"/>
                  <w:vMerge w:val="continue"/>
                  <w:tcBorders>
                    <w:tl2br w:val="nil"/>
                    <w:tr2bl w:val="nil"/>
                  </w:tcBorders>
                  <w:noWrap w:val="0"/>
                  <w:vAlign w:val="center"/>
                </w:tcPr>
                <w:p w14:paraId="32571D54">
                  <w:pPr>
                    <w:snapToGrid w:val="0"/>
                    <w:jc w:val="center"/>
                    <w:rPr>
                      <w:rFonts w:hint="default" w:ascii="Times New Roman" w:hAnsi="Times New Roman" w:eastAsia="宋体" w:cs="Times New Roman"/>
                      <w:b/>
                      <w:bCs/>
                      <w:color w:val="auto"/>
                      <w:sz w:val="21"/>
                      <w:szCs w:val="21"/>
                      <w:highlight w:val="none"/>
                    </w:rPr>
                  </w:pPr>
                </w:p>
              </w:tc>
              <w:tc>
                <w:tcPr>
                  <w:tcW w:w="375" w:type="pct"/>
                  <w:tcBorders>
                    <w:tl2br w:val="nil"/>
                    <w:tr2bl w:val="nil"/>
                  </w:tcBorders>
                  <w:noWrap w:val="0"/>
                  <w:vAlign w:val="center"/>
                </w:tcPr>
                <w:p w14:paraId="7C4F42D3">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X</w:t>
                  </w:r>
                </w:p>
              </w:tc>
              <w:tc>
                <w:tcPr>
                  <w:tcW w:w="413" w:type="pct"/>
                  <w:tcBorders>
                    <w:tl2br w:val="nil"/>
                    <w:tr2bl w:val="nil"/>
                  </w:tcBorders>
                  <w:noWrap w:val="0"/>
                  <w:vAlign w:val="center"/>
                </w:tcPr>
                <w:p w14:paraId="1ADDE443">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Y</w:t>
                  </w:r>
                </w:p>
              </w:tc>
              <w:tc>
                <w:tcPr>
                  <w:tcW w:w="285" w:type="pct"/>
                  <w:tcBorders>
                    <w:tl2br w:val="nil"/>
                    <w:tr2bl w:val="nil"/>
                  </w:tcBorders>
                  <w:noWrap w:val="0"/>
                  <w:vAlign w:val="center"/>
                </w:tcPr>
                <w:p w14:paraId="7AF549A7">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Z</w:t>
                  </w:r>
                </w:p>
              </w:tc>
              <w:tc>
                <w:tcPr>
                  <w:tcW w:w="199" w:type="pct"/>
                  <w:vMerge w:val="continue"/>
                  <w:tcBorders>
                    <w:tl2br w:val="nil"/>
                    <w:tr2bl w:val="nil"/>
                  </w:tcBorders>
                  <w:noWrap w:val="0"/>
                  <w:vAlign w:val="center"/>
                </w:tcPr>
                <w:p w14:paraId="7B63D482">
                  <w:pPr>
                    <w:snapToGrid w:val="0"/>
                    <w:jc w:val="center"/>
                    <w:rPr>
                      <w:rFonts w:hint="default" w:ascii="Times New Roman" w:hAnsi="Times New Roman" w:eastAsia="宋体" w:cs="Times New Roman"/>
                      <w:b/>
                      <w:bCs/>
                      <w:color w:val="auto"/>
                      <w:sz w:val="21"/>
                      <w:szCs w:val="21"/>
                      <w:highlight w:val="none"/>
                    </w:rPr>
                  </w:pPr>
                </w:p>
              </w:tc>
              <w:tc>
                <w:tcPr>
                  <w:tcW w:w="273" w:type="pct"/>
                  <w:vMerge w:val="continue"/>
                  <w:tcBorders>
                    <w:tl2br w:val="nil"/>
                    <w:tr2bl w:val="nil"/>
                  </w:tcBorders>
                  <w:noWrap w:val="0"/>
                  <w:vAlign w:val="center"/>
                </w:tcPr>
                <w:p w14:paraId="54021156">
                  <w:pPr>
                    <w:snapToGrid w:val="0"/>
                    <w:jc w:val="center"/>
                    <w:rPr>
                      <w:rFonts w:hint="default" w:ascii="Times New Roman" w:hAnsi="Times New Roman" w:eastAsia="宋体" w:cs="Times New Roman"/>
                      <w:b/>
                      <w:bCs/>
                      <w:color w:val="auto"/>
                      <w:sz w:val="21"/>
                      <w:szCs w:val="21"/>
                      <w:highlight w:val="none"/>
                    </w:rPr>
                  </w:pPr>
                </w:p>
              </w:tc>
              <w:tc>
                <w:tcPr>
                  <w:tcW w:w="221" w:type="pct"/>
                  <w:vMerge w:val="continue"/>
                  <w:tcBorders>
                    <w:tl2br w:val="nil"/>
                    <w:tr2bl w:val="nil"/>
                  </w:tcBorders>
                  <w:noWrap w:val="0"/>
                  <w:vAlign w:val="center"/>
                </w:tcPr>
                <w:p w14:paraId="095712AB">
                  <w:pPr>
                    <w:snapToGrid w:val="0"/>
                    <w:jc w:val="center"/>
                    <w:rPr>
                      <w:rFonts w:hint="default" w:ascii="Times New Roman" w:hAnsi="Times New Roman" w:eastAsia="宋体" w:cs="Times New Roman"/>
                      <w:b/>
                      <w:bCs/>
                      <w:color w:val="auto"/>
                      <w:sz w:val="21"/>
                      <w:szCs w:val="21"/>
                      <w:highlight w:val="none"/>
                    </w:rPr>
                  </w:pPr>
                </w:p>
              </w:tc>
              <w:tc>
                <w:tcPr>
                  <w:tcW w:w="227" w:type="pct"/>
                  <w:vMerge w:val="continue"/>
                  <w:tcBorders>
                    <w:tl2br w:val="nil"/>
                    <w:tr2bl w:val="nil"/>
                  </w:tcBorders>
                  <w:noWrap w:val="0"/>
                  <w:vAlign w:val="center"/>
                </w:tcPr>
                <w:p w14:paraId="7E09913C">
                  <w:pPr>
                    <w:snapToGrid w:val="0"/>
                    <w:jc w:val="center"/>
                    <w:rPr>
                      <w:rFonts w:hint="default" w:ascii="Times New Roman" w:hAnsi="Times New Roman" w:eastAsia="宋体" w:cs="Times New Roman"/>
                      <w:b/>
                      <w:bCs/>
                      <w:color w:val="auto"/>
                      <w:sz w:val="21"/>
                      <w:szCs w:val="21"/>
                      <w:highlight w:val="none"/>
                    </w:rPr>
                  </w:pPr>
                </w:p>
              </w:tc>
              <w:tc>
                <w:tcPr>
                  <w:tcW w:w="304" w:type="pct"/>
                  <w:tcBorders>
                    <w:tl2br w:val="nil"/>
                    <w:tr2bl w:val="nil"/>
                  </w:tcBorders>
                  <w:noWrap w:val="0"/>
                  <w:vAlign w:val="center"/>
                </w:tcPr>
                <w:p w14:paraId="4E29B5EC">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声压级</w:t>
                  </w:r>
                </w:p>
                <w:p w14:paraId="6A8687DF">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/dB(A)</w:t>
                  </w:r>
                </w:p>
              </w:tc>
              <w:tc>
                <w:tcPr>
                  <w:tcW w:w="285" w:type="pct"/>
                  <w:tcBorders>
                    <w:tl2br w:val="nil"/>
                    <w:tr2bl w:val="nil"/>
                  </w:tcBorders>
                  <w:noWrap w:val="0"/>
                  <w:vAlign w:val="center"/>
                </w:tcPr>
                <w:p w14:paraId="74EA9EE3">
                  <w:pPr>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建筑物外距离</w:t>
                  </w:r>
                </w:p>
              </w:tc>
            </w:tr>
            <w:tr w14:paraId="515587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211" w:type="pct"/>
                  <w:vMerge w:val="restart"/>
                  <w:tcBorders>
                    <w:tl2br w:val="nil"/>
                    <w:tr2bl w:val="nil"/>
                  </w:tcBorders>
                  <w:noWrap w:val="0"/>
                  <w:vAlign w:val="center"/>
                </w:tcPr>
                <w:p w14:paraId="2B3C7936">
                  <w:pPr>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分析测试中心</w:t>
                  </w:r>
                </w:p>
              </w:tc>
              <w:tc>
                <w:tcPr>
                  <w:tcW w:w="185" w:type="pct"/>
                  <w:tcBorders>
                    <w:tl2br w:val="nil"/>
                    <w:tr2bl w:val="nil"/>
                  </w:tcBorders>
                  <w:noWrap w:val="0"/>
                  <w:vAlign w:val="center"/>
                </w:tcPr>
                <w:p w14:paraId="660DBA7A">
                  <w:pPr>
                    <w:snapToGrid w:val="0"/>
                    <w:jc w:val="center"/>
                    <w:rPr>
                      <w:rFonts w:hint="default" w:ascii="Times New Roman" w:hAnsi="Times New Roman" w:eastAsia="宋体" w:cs="Times New Roman"/>
                      <w:color w:val="auto"/>
                      <w:sz w:val="21"/>
                      <w:szCs w:val="21"/>
                      <w:highlight w:val="none"/>
                    </w:rPr>
                  </w:pPr>
                  <w:r>
                    <w:rPr>
                      <w:rFonts w:hint="eastAsia" w:ascii="Times New Roman" w:hAnsi="Times New Roman"/>
                      <w:color w:val="auto"/>
                      <w:sz w:val="21"/>
                      <w:szCs w:val="21"/>
                      <w:highlight w:val="none"/>
                      <w:lang w:val="en-US" w:eastAsia="zh-CN"/>
                    </w:rPr>
                    <w:t>碎样机</w:t>
                  </w:r>
                </w:p>
              </w:tc>
              <w:tc>
                <w:tcPr>
                  <w:tcW w:w="599" w:type="pct"/>
                  <w:tcBorders>
                    <w:tl2br w:val="nil"/>
                    <w:tr2bl w:val="nil"/>
                  </w:tcBorders>
                  <w:noWrap w:val="0"/>
                  <w:vAlign w:val="center"/>
                </w:tcPr>
                <w:p w14:paraId="3FC22BD1">
                  <w:pPr>
                    <w:snapToGrid w:val="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574" w:type="pct"/>
                  <w:tcBorders>
                    <w:tl2br w:val="nil"/>
                    <w:tr2bl w:val="nil"/>
                  </w:tcBorders>
                  <w:noWrap w:val="0"/>
                  <w:vAlign w:val="center"/>
                </w:tcPr>
                <w:p w14:paraId="243C9F8B">
                  <w:pPr>
                    <w:snapToGrid w:val="0"/>
                    <w:jc w:val="center"/>
                    <w:rPr>
                      <w:rFonts w:hint="default" w:ascii="Times New Roman" w:hAnsi="Times New Roman" w:eastAsia="宋体" w:cs="Times New Roman"/>
                      <w:color w:val="auto"/>
                      <w:sz w:val="21"/>
                      <w:szCs w:val="21"/>
                      <w:highlight w:val="none"/>
                      <w:lang w:val="en-US"/>
                    </w:rPr>
                  </w:pPr>
                  <w:r>
                    <w:rPr>
                      <w:rFonts w:hint="eastAsia"/>
                      <w:color w:val="auto"/>
                      <w:sz w:val="21"/>
                      <w:szCs w:val="21"/>
                      <w:highlight w:val="none"/>
                      <w:lang w:val="en-US" w:eastAsia="zh-CN"/>
                    </w:rPr>
                    <w:t>90</w:t>
                  </w:r>
                </w:p>
              </w:tc>
              <w:tc>
                <w:tcPr>
                  <w:tcW w:w="844" w:type="pct"/>
                  <w:vMerge w:val="restart"/>
                  <w:tcBorders>
                    <w:tl2br w:val="nil"/>
                    <w:tr2bl w:val="nil"/>
                  </w:tcBorders>
                  <w:noWrap w:val="0"/>
                  <w:vAlign w:val="center"/>
                </w:tcPr>
                <w:p w14:paraId="31419263">
                  <w:pPr>
                    <w:snapToGrid w:val="0"/>
                    <w:jc w:val="center"/>
                    <w:rPr>
                      <w:rFonts w:hint="default" w:ascii="Times New Roman" w:hAnsi="Times New Roman" w:eastAsia="宋体" w:cs="Times New Roman"/>
                      <w:color w:val="auto"/>
                      <w:sz w:val="21"/>
                      <w:szCs w:val="21"/>
                      <w:highlight w:val="none"/>
                    </w:rPr>
                  </w:pPr>
                  <w:r>
                    <w:rPr>
                      <w:color w:val="auto"/>
                      <w:szCs w:val="21"/>
                      <w:highlight w:val="none"/>
                    </w:rPr>
                    <w:t>选用低噪声设备</w:t>
                  </w:r>
                  <w:r>
                    <w:rPr>
                      <w:rFonts w:hint="eastAsia"/>
                      <w:color w:val="auto"/>
                      <w:szCs w:val="21"/>
                      <w:highlight w:val="none"/>
                    </w:rPr>
                    <w:t>、基础减振、</w:t>
                  </w:r>
                  <w:r>
                    <w:rPr>
                      <w:color w:val="auto"/>
                      <w:szCs w:val="21"/>
                      <w:highlight w:val="none"/>
                    </w:rPr>
                    <w:t>厂房隔声</w:t>
                  </w:r>
                  <w:r>
                    <w:rPr>
                      <w:rFonts w:hint="eastAsia"/>
                      <w:color w:val="auto"/>
                      <w:szCs w:val="21"/>
                      <w:highlight w:val="none"/>
                    </w:rPr>
                    <w:t>、合理布局</w:t>
                  </w:r>
                </w:p>
              </w:tc>
              <w:tc>
                <w:tcPr>
                  <w:tcW w:w="375" w:type="pct"/>
                  <w:tcBorders>
                    <w:tl2br w:val="nil"/>
                    <w:tr2bl w:val="nil"/>
                  </w:tcBorders>
                  <w:noWrap w:val="0"/>
                  <w:vAlign w:val="center"/>
                </w:tcPr>
                <w:p w14:paraId="1BE14008">
                  <w:pPr>
                    <w:snapToGrid w:val="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kern w:val="0"/>
                      <w:sz w:val="21"/>
                      <w:szCs w:val="21"/>
                      <w:highlight w:val="none"/>
                      <w:lang w:val="en-US" w:eastAsia="zh-CN"/>
                    </w:rPr>
                    <w:t>128.1</w:t>
                  </w:r>
                </w:p>
              </w:tc>
              <w:tc>
                <w:tcPr>
                  <w:tcW w:w="413" w:type="pct"/>
                  <w:tcBorders>
                    <w:tl2br w:val="nil"/>
                    <w:tr2bl w:val="nil"/>
                  </w:tcBorders>
                  <w:noWrap w:val="0"/>
                  <w:vAlign w:val="center"/>
                </w:tcPr>
                <w:p w14:paraId="5EE47B33">
                  <w:pPr>
                    <w:snapToGrid w:val="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kern w:val="0"/>
                      <w:sz w:val="21"/>
                      <w:szCs w:val="21"/>
                      <w:highlight w:val="none"/>
                      <w:lang w:val="en-US" w:eastAsia="zh-CN"/>
                    </w:rPr>
                    <w:t>65.18</w:t>
                  </w:r>
                </w:p>
              </w:tc>
              <w:tc>
                <w:tcPr>
                  <w:tcW w:w="285" w:type="pct"/>
                  <w:tcBorders>
                    <w:tl2br w:val="nil"/>
                    <w:tr2bl w:val="nil"/>
                  </w:tcBorders>
                  <w:noWrap w:val="0"/>
                  <w:vAlign w:val="center"/>
                </w:tcPr>
                <w:p w14:paraId="2F399246">
                  <w:pPr>
                    <w:snapToGrid w:val="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-2</w:t>
                  </w:r>
                </w:p>
              </w:tc>
              <w:tc>
                <w:tcPr>
                  <w:tcW w:w="199" w:type="pct"/>
                  <w:tcBorders>
                    <w:tl2br w:val="nil"/>
                    <w:tr2bl w:val="nil"/>
                  </w:tcBorders>
                  <w:noWrap w:val="0"/>
                  <w:vAlign w:val="center"/>
                </w:tcPr>
                <w:p w14:paraId="5876956B">
                  <w:pPr>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273" w:type="pct"/>
                  <w:tcBorders>
                    <w:tl2br w:val="nil"/>
                    <w:tr2bl w:val="nil"/>
                  </w:tcBorders>
                  <w:noWrap w:val="0"/>
                  <w:vAlign w:val="center"/>
                </w:tcPr>
                <w:p w14:paraId="15E1401A">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1m</w:t>
                  </w:r>
                </w:p>
              </w:tc>
              <w:tc>
                <w:tcPr>
                  <w:tcW w:w="221" w:type="pct"/>
                  <w:tcBorders>
                    <w:tl2br w:val="nil"/>
                    <w:tr2bl w:val="nil"/>
                  </w:tcBorders>
                  <w:noWrap w:val="0"/>
                  <w:vAlign w:val="center"/>
                </w:tcPr>
                <w:p w14:paraId="53D3E16C">
                  <w:pPr>
                    <w:snapToGrid w:val="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昼间</w:t>
                  </w:r>
                </w:p>
              </w:tc>
              <w:tc>
                <w:tcPr>
                  <w:tcW w:w="227" w:type="pct"/>
                  <w:tcBorders>
                    <w:tl2br w:val="nil"/>
                    <w:tr2bl w:val="nil"/>
                  </w:tcBorders>
                  <w:noWrap w:val="0"/>
                  <w:vAlign w:val="center"/>
                </w:tcPr>
                <w:p w14:paraId="3DB052AB">
                  <w:pPr>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0</w:t>
                  </w:r>
                </w:p>
              </w:tc>
              <w:tc>
                <w:tcPr>
                  <w:tcW w:w="304" w:type="pct"/>
                  <w:tcBorders>
                    <w:tl2br w:val="nil"/>
                    <w:tr2bl w:val="nil"/>
                  </w:tcBorders>
                  <w:noWrap w:val="0"/>
                  <w:vAlign w:val="center"/>
                </w:tcPr>
                <w:p w14:paraId="49A510EC">
                  <w:pPr>
                    <w:snapToGrid w:val="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60</w:t>
                  </w:r>
                </w:p>
              </w:tc>
              <w:tc>
                <w:tcPr>
                  <w:tcW w:w="285" w:type="pct"/>
                  <w:tcBorders>
                    <w:tl2br w:val="nil"/>
                    <w:tr2bl w:val="nil"/>
                  </w:tcBorders>
                  <w:noWrap w:val="0"/>
                  <w:vAlign w:val="center"/>
                </w:tcPr>
                <w:p w14:paraId="7AC0BFD9">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1m</w:t>
                  </w:r>
                </w:p>
              </w:tc>
            </w:tr>
            <w:tr w14:paraId="0BCAA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211" w:type="pct"/>
                  <w:vMerge w:val="continue"/>
                  <w:tcBorders>
                    <w:tl2br w:val="nil"/>
                    <w:tr2bl w:val="nil"/>
                  </w:tcBorders>
                  <w:noWrap w:val="0"/>
                  <w:vAlign w:val="center"/>
                </w:tcPr>
                <w:p w14:paraId="4181483E">
                  <w:pPr>
                    <w:snapToGrid w:val="0"/>
                    <w:jc w:val="center"/>
                    <w:rPr>
                      <w:rFonts w:hint="eastAsia" w:ascii="Times New Roman" w:hAnsi="Times New Roman"/>
                      <w:color w:val="auto"/>
                      <w:sz w:val="21"/>
                      <w:szCs w:val="21"/>
                      <w:highlight w:val="none"/>
                      <w:lang w:val="en-US" w:eastAsia="zh-CN"/>
                    </w:rPr>
                  </w:pPr>
                </w:p>
              </w:tc>
              <w:tc>
                <w:tcPr>
                  <w:tcW w:w="185" w:type="pct"/>
                  <w:tcBorders>
                    <w:tl2br w:val="nil"/>
                    <w:tr2bl w:val="nil"/>
                  </w:tcBorders>
                  <w:noWrap w:val="0"/>
                  <w:vAlign w:val="center"/>
                </w:tcPr>
                <w:p w14:paraId="139C0202">
                  <w:pPr>
                    <w:snapToGrid w:val="0"/>
                    <w:jc w:val="center"/>
                    <w:rPr>
                      <w:rFonts w:hint="default" w:ascii="Times New Roman" w:hAnsi="Times New Roman"/>
                      <w:color w:val="auto"/>
                      <w:sz w:val="21"/>
                      <w:szCs w:val="21"/>
                      <w:highlight w:val="none"/>
                      <w:lang w:val="en-US" w:eastAsia="zh-CN"/>
                    </w:rPr>
                  </w:pPr>
                  <w:r>
                    <w:rPr>
                      <w:rFonts w:hint="eastAsia"/>
                      <w:color w:val="auto"/>
                      <w:sz w:val="21"/>
                      <w:szCs w:val="21"/>
                      <w:highlight w:val="none"/>
                      <w:lang w:val="en-US" w:eastAsia="zh-CN"/>
                    </w:rPr>
                    <w:t>风机</w:t>
                  </w:r>
                </w:p>
              </w:tc>
              <w:tc>
                <w:tcPr>
                  <w:tcW w:w="599" w:type="pct"/>
                  <w:tcBorders>
                    <w:tl2br w:val="nil"/>
                    <w:tr2bl w:val="nil"/>
                  </w:tcBorders>
                  <w:noWrap w:val="0"/>
                  <w:vAlign w:val="center"/>
                </w:tcPr>
                <w:p w14:paraId="2FD750D6">
                  <w:pPr>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74" w:type="pct"/>
                  <w:tcBorders>
                    <w:tl2br w:val="nil"/>
                    <w:tr2bl w:val="nil"/>
                  </w:tcBorders>
                  <w:noWrap w:val="0"/>
                  <w:vAlign w:val="center"/>
                </w:tcPr>
                <w:p w14:paraId="4E1E06C7">
                  <w:pPr>
                    <w:snapToGrid w:val="0"/>
                    <w:jc w:val="center"/>
                    <w:rPr>
                      <w:rFonts w:hint="default" w:ascii="Times New Roman" w:hAnsi="Times New Roman"/>
                      <w:color w:val="auto"/>
                      <w:sz w:val="21"/>
                      <w:szCs w:val="21"/>
                      <w:highlight w:val="none"/>
                      <w:lang w:val="en-US" w:eastAsia="zh-CN"/>
                    </w:rPr>
                  </w:pPr>
                  <w:r>
                    <w:rPr>
                      <w:rFonts w:hint="eastAsia"/>
                      <w:color w:val="auto"/>
                      <w:sz w:val="21"/>
                      <w:szCs w:val="21"/>
                      <w:highlight w:val="none"/>
                      <w:lang w:val="en-US" w:eastAsia="zh-CN"/>
                    </w:rPr>
                    <w:t>90</w:t>
                  </w:r>
                </w:p>
              </w:tc>
              <w:tc>
                <w:tcPr>
                  <w:tcW w:w="844" w:type="pct"/>
                  <w:vMerge w:val="continue"/>
                  <w:tcBorders>
                    <w:tl2br w:val="nil"/>
                    <w:tr2bl w:val="nil"/>
                  </w:tcBorders>
                  <w:noWrap w:val="0"/>
                  <w:vAlign w:val="center"/>
                </w:tcPr>
                <w:p w14:paraId="04CDBE4C">
                  <w:pPr>
                    <w:snapToGrid w:val="0"/>
                    <w:jc w:val="center"/>
                    <w:rPr>
                      <w:color w:val="auto"/>
                      <w:szCs w:val="21"/>
                      <w:highlight w:val="none"/>
                    </w:rPr>
                  </w:pPr>
                </w:p>
              </w:tc>
              <w:tc>
                <w:tcPr>
                  <w:tcW w:w="375" w:type="pct"/>
                  <w:tcBorders>
                    <w:tl2br w:val="nil"/>
                    <w:tr2bl w:val="nil"/>
                  </w:tcBorders>
                  <w:noWrap w:val="0"/>
                  <w:vAlign w:val="center"/>
                </w:tcPr>
                <w:p w14:paraId="57746B16">
                  <w:pPr>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94.2</w:t>
                  </w:r>
                </w:p>
              </w:tc>
              <w:tc>
                <w:tcPr>
                  <w:tcW w:w="413" w:type="pct"/>
                  <w:tcBorders>
                    <w:tl2br w:val="nil"/>
                    <w:tr2bl w:val="nil"/>
                  </w:tcBorders>
                  <w:noWrap w:val="0"/>
                  <w:vAlign w:val="center"/>
                </w:tcPr>
                <w:p w14:paraId="2C959572">
                  <w:pPr>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77.51</w:t>
                  </w:r>
                </w:p>
              </w:tc>
              <w:tc>
                <w:tcPr>
                  <w:tcW w:w="285" w:type="pct"/>
                  <w:tcBorders>
                    <w:tl2br w:val="nil"/>
                    <w:tr2bl w:val="nil"/>
                  </w:tcBorders>
                  <w:noWrap w:val="0"/>
                  <w:vAlign w:val="center"/>
                </w:tcPr>
                <w:p w14:paraId="05D3FF50">
                  <w:pPr>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c>
                <w:tcPr>
                  <w:tcW w:w="199" w:type="pct"/>
                  <w:tcBorders>
                    <w:tl2br w:val="nil"/>
                    <w:tr2bl w:val="nil"/>
                  </w:tcBorders>
                  <w:noWrap w:val="0"/>
                  <w:vAlign w:val="center"/>
                </w:tcPr>
                <w:p w14:paraId="0F3A9805">
                  <w:pPr>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273" w:type="pct"/>
                  <w:tcBorders>
                    <w:tl2br w:val="nil"/>
                    <w:tr2bl w:val="nil"/>
                  </w:tcBorders>
                  <w:noWrap w:val="0"/>
                  <w:vAlign w:val="center"/>
                </w:tcPr>
                <w:p w14:paraId="38371152">
                  <w:pPr>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1m</w:t>
                  </w:r>
                </w:p>
              </w:tc>
              <w:tc>
                <w:tcPr>
                  <w:tcW w:w="221" w:type="pct"/>
                  <w:tcBorders>
                    <w:tl2br w:val="nil"/>
                    <w:tr2bl w:val="nil"/>
                  </w:tcBorders>
                  <w:noWrap w:val="0"/>
                  <w:vAlign w:val="center"/>
                </w:tcPr>
                <w:p w14:paraId="63B645B0">
                  <w:pPr>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昼间</w:t>
                  </w:r>
                </w:p>
              </w:tc>
              <w:tc>
                <w:tcPr>
                  <w:tcW w:w="227" w:type="pct"/>
                  <w:tcBorders>
                    <w:tl2br w:val="nil"/>
                    <w:tr2bl w:val="nil"/>
                  </w:tcBorders>
                  <w:noWrap w:val="0"/>
                  <w:vAlign w:val="center"/>
                </w:tcPr>
                <w:p w14:paraId="670B691F">
                  <w:pPr>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0</w:t>
                  </w:r>
                </w:p>
              </w:tc>
              <w:tc>
                <w:tcPr>
                  <w:tcW w:w="304" w:type="pct"/>
                  <w:tcBorders>
                    <w:tl2br w:val="nil"/>
                    <w:tr2bl w:val="nil"/>
                  </w:tcBorders>
                  <w:shd w:val="clear" w:color="auto" w:fill="auto"/>
                  <w:noWrap w:val="0"/>
                  <w:vAlign w:val="center"/>
                </w:tcPr>
                <w:p w14:paraId="664BED4A">
                  <w:pPr>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60</w:t>
                  </w:r>
                </w:p>
              </w:tc>
              <w:tc>
                <w:tcPr>
                  <w:tcW w:w="285" w:type="pct"/>
                  <w:tcBorders>
                    <w:tl2br w:val="nil"/>
                    <w:tr2bl w:val="nil"/>
                  </w:tcBorders>
                  <w:shd w:val="clear" w:color="auto" w:fill="auto"/>
                  <w:noWrap w:val="0"/>
                  <w:vAlign w:val="center"/>
                </w:tcPr>
                <w:p w14:paraId="46807630">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1m</w:t>
                  </w:r>
                </w:p>
              </w:tc>
            </w:tr>
          </w:tbl>
          <w:p w14:paraId="40144958">
            <w:pPr>
              <w:spacing w:line="360" w:lineRule="auto"/>
              <w:ind w:firstLine="480"/>
              <w:rPr>
                <w:rFonts w:hAnsi="宋体"/>
                <w:color w:val="auto"/>
                <w:sz w:val="24"/>
                <w:highlight w:val="none"/>
              </w:rPr>
            </w:pPr>
            <w:r>
              <w:rPr>
                <w:rFonts w:hint="eastAsia" w:hAnsi="宋体"/>
                <w:color w:val="auto"/>
                <w:sz w:val="24"/>
                <w:highlight w:val="none"/>
                <w:lang w:val="en-US" w:eastAsia="zh-CN"/>
              </w:rPr>
              <w:t>扩建工程</w:t>
            </w:r>
            <w:r>
              <w:rPr>
                <w:rFonts w:hint="eastAsia" w:hAnsi="宋体"/>
                <w:color w:val="auto"/>
                <w:sz w:val="24"/>
                <w:highlight w:val="none"/>
              </w:rPr>
              <w:t>拟采取以下措施确保噪声达标排放。</w:t>
            </w:r>
          </w:p>
          <w:p w14:paraId="6418C9D2">
            <w:pPr>
              <w:spacing w:line="360" w:lineRule="auto"/>
              <w:ind w:firstLine="480"/>
              <w:rPr>
                <w:rFonts w:hAnsi="宋体"/>
                <w:color w:val="auto"/>
                <w:sz w:val="24"/>
                <w:highlight w:val="none"/>
              </w:rPr>
            </w:pPr>
            <w:r>
              <w:rPr>
                <w:rFonts w:hAnsi="宋体"/>
                <w:color w:val="auto"/>
                <w:sz w:val="24"/>
                <w:highlight w:val="none"/>
              </w:rPr>
              <w:t>①</w:t>
            </w:r>
            <w:r>
              <w:rPr>
                <w:rFonts w:hint="eastAsia" w:hAnsi="宋体"/>
                <w:color w:val="auto"/>
                <w:sz w:val="24"/>
                <w:highlight w:val="none"/>
              </w:rPr>
              <w:t>设置</w:t>
            </w:r>
            <w:r>
              <w:rPr>
                <w:rFonts w:hint="eastAsia" w:hAnsi="宋体"/>
                <w:color w:val="auto"/>
                <w:sz w:val="24"/>
                <w:highlight w:val="none"/>
                <w:lang w:val="en-US" w:eastAsia="zh-CN"/>
              </w:rPr>
              <w:t>碎样</w:t>
            </w:r>
            <w:r>
              <w:rPr>
                <w:rFonts w:hint="eastAsia" w:hAnsi="宋体"/>
                <w:color w:val="auto"/>
                <w:sz w:val="24"/>
                <w:highlight w:val="none"/>
              </w:rPr>
              <w:t>间：将</w:t>
            </w:r>
            <w:r>
              <w:rPr>
                <w:rFonts w:hint="eastAsia" w:hAnsi="宋体"/>
                <w:color w:val="auto"/>
                <w:sz w:val="24"/>
                <w:highlight w:val="none"/>
                <w:lang w:val="en-US" w:eastAsia="zh-CN"/>
              </w:rPr>
              <w:t>碎样机、</w:t>
            </w:r>
            <w:r>
              <w:rPr>
                <w:rFonts w:hint="eastAsia" w:hAnsi="宋体"/>
                <w:color w:val="auto"/>
                <w:sz w:val="24"/>
                <w:highlight w:val="none"/>
              </w:rPr>
              <w:t>治理设施</w:t>
            </w:r>
            <w:r>
              <w:rPr>
                <w:rFonts w:hint="eastAsia" w:hAnsi="宋体"/>
                <w:color w:val="auto"/>
                <w:sz w:val="24"/>
                <w:highlight w:val="none"/>
                <w:lang w:val="en-US" w:eastAsia="zh-CN"/>
              </w:rPr>
              <w:t>等</w:t>
            </w:r>
            <w:r>
              <w:rPr>
                <w:rFonts w:hint="eastAsia" w:hAnsi="宋体"/>
                <w:color w:val="auto"/>
                <w:sz w:val="24"/>
                <w:highlight w:val="none"/>
              </w:rPr>
              <w:t>放置在设备间内，达到隔声、消声效果。</w:t>
            </w:r>
          </w:p>
          <w:p w14:paraId="14BE223E">
            <w:pPr>
              <w:spacing w:line="360" w:lineRule="auto"/>
              <w:ind w:firstLine="480"/>
              <w:rPr>
                <w:rFonts w:hAnsi="宋体"/>
                <w:color w:val="auto"/>
                <w:sz w:val="24"/>
                <w:highlight w:val="none"/>
              </w:rPr>
            </w:pPr>
            <w:r>
              <w:rPr>
                <w:rFonts w:hAnsi="宋体"/>
                <w:color w:val="auto"/>
                <w:sz w:val="24"/>
                <w:highlight w:val="none"/>
              </w:rPr>
              <w:t>②</w:t>
            </w:r>
            <w:r>
              <w:rPr>
                <w:rFonts w:hint="eastAsia" w:hAnsi="宋体"/>
                <w:color w:val="auto"/>
                <w:sz w:val="24"/>
                <w:highlight w:val="none"/>
              </w:rPr>
              <w:t>风机降噪：风机均出口均采用软连接，风机底座采用阻尼弹簧减振器，减小风机振动；</w:t>
            </w:r>
          </w:p>
          <w:p w14:paraId="0B1A7D79">
            <w:pPr>
              <w:spacing w:line="360" w:lineRule="auto"/>
              <w:ind w:firstLine="480"/>
              <w:rPr>
                <w:rFonts w:hAnsi="宋体"/>
                <w:color w:val="auto"/>
                <w:sz w:val="24"/>
                <w:highlight w:val="none"/>
              </w:rPr>
            </w:pPr>
            <w:r>
              <w:rPr>
                <w:rFonts w:hAnsi="宋体"/>
                <w:color w:val="auto"/>
                <w:sz w:val="24"/>
                <w:highlight w:val="none"/>
              </w:rPr>
              <w:t>③</w:t>
            </w:r>
            <w:r>
              <w:rPr>
                <w:rFonts w:hint="eastAsia" w:hAnsi="宋体"/>
                <w:color w:val="auto"/>
                <w:sz w:val="24"/>
                <w:highlight w:val="none"/>
              </w:rPr>
              <w:t>管道降噪：设备排气筒管道气体流速小于设备进口管道气体流速，可以减小废气带动空气强烈振动的噪声影响；</w:t>
            </w:r>
          </w:p>
          <w:p w14:paraId="7BCE4CD4">
            <w:pPr>
              <w:spacing w:line="360" w:lineRule="auto"/>
              <w:ind w:firstLine="480"/>
              <w:rPr>
                <w:rFonts w:hAnsi="宋体"/>
                <w:color w:val="auto"/>
                <w:sz w:val="24"/>
                <w:highlight w:val="none"/>
              </w:rPr>
            </w:pPr>
            <w:r>
              <w:rPr>
                <w:rFonts w:hint="eastAsia" w:hAnsi="宋体"/>
                <w:color w:val="auto"/>
                <w:sz w:val="24"/>
                <w:highlight w:val="none"/>
              </w:rPr>
              <w:t>④</w:t>
            </w:r>
            <w:r>
              <w:rPr>
                <w:color w:val="auto"/>
                <w:sz w:val="24"/>
                <w:highlight w:val="none"/>
              </w:rPr>
              <w:t>设备的机座上安装减振器或防震材料</w:t>
            </w:r>
            <w:r>
              <w:rPr>
                <w:rFonts w:hint="eastAsia" w:hAnsi="宋体"/>
                <w:color w:val="auto"/>
                <w:sz w:val="24"/>
                <w:highlight w:val="none"/>
              </w:rPr>
              <w:t>。</w:t>
            </w:r>
          </w:p>
          <w:p w14:paraId="63E19185">
            <w:pPr>
              <w:spacing w:line="360" w:lineRule="auto"/>
              <w:ind w:firstLine="480"/>
              <w:rPr>
                <w:rFonts w:hint="eastAsia" w:ascii="Times New Roman" w:hAnsi="宋体" w:eastAsia="宋体" w:cs="Times New Roman"/>
                <w:color w:val="auto"/>
                <w:sz w:val="24"/>
                <w:highlight w:val="none"/>
              </w:rPr>
            </w:pPr>
            <w:r>
              <w:rPr>
                <w:rFonts w:hint="eastAsia" w:ascii="Times New Roman" w:hAnsi="宋体" w:eastAsia="宋体" w:cs="Times New Roman"/>
                <w:color w:val="auto"/>
                <w:sz w:val="24"/>
                <w:highlight w:val="none"/>
              </w:rPr>
              <w:t>通过采取以上措施后，本项目设备噪声对四周厂界的贡献影响小，厂界处噪声可满足GB12348-2008《工业企业厂界环境噪声排放标准》2类</w:t>
            </w:r>
            <w:r>
              <w:rPr>
                <w:rFonts w:hint="eastAsia" w:ascii="Times New Roman" w:hAnsi="宋体" w:eastAsia="宋体" w:cs="Times New Roman"/>
                <w:color w:val="auto"/>
                <w:sz w:val="24"/>
                <w:highlight w:val="none"/>
                <w:lang w:eastAsia="zh-CN"/>
              </w:rPr>
              <w:t>、</w:t>
            </w:r>
            <w:r>
              <w:rPr>
                <w:rFonts w:hint="eastAsia" w:ascii="Times New Roman" w:hAnsi="宋体" w:eastAsia="宋体" w:cs="Times New Roman"/>
                <w:color w:val="auto"/>
                <w:sz w:val="24"/>
                <w:highlight w:val="none"/>
                <w:lang w:val="en-US" w:eastAsia="zh-CN"/>
              </w:rPr>
              <w:t>4类</w:t>
            </w:r>
            <w:r>
              <w:rPr>
                <w:rFonts w:hint="eastAsia" w:ascii="Times New Roman" w:hAnsi="宋体" w:eastAsia="宋体" w:cs="Times New Roman"/>
                <w:color w:val="auto"/>
                <w:sz w:val="24"/>
                <w:highlight w:val="none"/>
              </w:rPr>
              <w:t>标准。</w:t>
            </w:r>
          </w:p>
          <w:p w14:paraId="5B3A2AB2">
            <w:pPr>
              <w:pStyle w:val="9"/>
              <w:rPr>
                <w:color w:val="auto"/>
                <w:kern w:val="2"/>
                <w:szCs w:val="24"/>
                <w:highlight w:val="none"/>
              </w:rPr>
            </w:pPr>
            <w:r>
              <w:rPr>
                <w:rFonts w:hint="eastAsia"/>
                <w:b/>
                <w:bCs/>
                <w:color w:val="auto"/>
                <w:highlight w:val="none"/>
              </w:rPr>
              <w:t>4</w:t>
            </w:r>
            <w:r>
              <w:rPr>
                <w:b/>
                <w:bCs/>
                <w:color w:val="auto"/>
                <w:highlight w:val="none"/>
              </w:rPr>
              <w:t>.</w:t>
            </w:r>
            <w:r>
              <w:rPr>
                <w:rFonts w:hint="eastAsia"/>
                <w:b/>
                <w:bCs/>
                <w:color w:val="auto"/>
                <w:highlight w:val="none"/>
                <w:lang w:val="en-US" w:eastAsia="zh-CN"/>
              </w:rPr>
              <w:t>2</w:t>
            </w:r>
            <w:r>
              <w:rPr>
                <w:b/>
                <w:bCs/>
                <w:color w:val="auto"/>
                <w:highlight w:val="none"/>
              </w:rPr>
              <w:t>.</w:t>
            </w:r>
            <w:r>
              <w:rPr>
                <w:rFonts w:hint="eastAsia"/>
                <w:b/>
                <w:bCs/>
                <w:color w:val="auto"/>
                <w:highlight w:val="none"/>
                <w:lang w:val="en-US" w:eastAsia="zh-CN"/>
              </w:rPr>
              <w:t>2</w:t>
            </w:r>
            <w:r>
              <w:rPr>
                <w:rFonts w:hint="eastAsia"/>
                <w:b/>
                <w:bCs/>
                <w:color w:val="auto"/>
                <w:highlight w:val="none"/>
              </w:rPr>
              <w:t>预测</w:t>
            </w:r>
            <w:r>
              <w:rPr>
                <w:rFonts w:hint="eastAsia"/>
                <w:b/>
                <w:bCs/>
                <w:color w:val="auto"/>
                <w:highlight w:val="none"/>
                <w:lang w:val="en-US" w:eastAsia="zh-CN"/>
              </w:rPr>
              <w:t>模型</w:t>
            </w:r>
          </w:p>
          <w:p w14:paraId="1FC977D7">
            <w:pPr>
              <w:adjustRightInd w:val="0"/>
              <w:spacing w:line="360" w:lineRule="auto"/>
              <w:ind w:firstLine="480" w:firstLineChars="200"/>
              <w:rPr>
                <w:rFonts w:hint="eastAsia"/>
                <w:color w:val="auto"/>
                <w:sz w:val="24"/>
                <w:highlight w:val="none"/>
              </w:rPr>
            </w:pPr>
            <w:r>
              <w:rPr>
                <w:rFonts w:hint="eastAsia"/>
                <w:color w:val="auto"/>
                <w:sz w:val="24"/>
                <w:highlight w:val="none"/>
              </w:rPr>
              <w:t>噪声预测根据《环境影响评价技术导则声环境》（HJ2.4-2021）中推荐的模式进行预测。</w:t>
            </w:r>
          </w:p>
          <w:p w14:paraId="19F110E1">
            <w:pPr>
              <w:spacing w:line="360" w:lineRule="auto"/>
              <w:ind w:firstLine="480" w:firstLineChars="200"/>
              <w:rPr>
                <w:color w:val="auto"/>
                <w:sz w:val="24"/>
                <w:highlight w:val="none"/>
              </w:rPr>
            </w:pPr>
            <w:r>
              <w:rPr>
                <w:rFonts w:hint="eastAsia"/>
                <w:color w:val="auto"/>
                <w:sz w:val="24"/>
                <w:highlight w:val="none"/>
              </w:rPr>
              <w:t>通过下列公式对噪声对周围环境的影响进行预测：</w:t>
            </w:r>
          </w:p>
          <w:p w14:paraId="11FCD4C9">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1</w:t>
            </w:r>
            <w:r>
              <w:rPr>
                <w:rFonts w:hint="eastAsia"/>
                <w:color w:val="auto"/>
                <w:sz w:val="24"/>
                <w:highlight w:val="none"/>
              </w:rPr>
              <w:t>）室内声源等效室外声源预测模式</w:t>
            </w:r>
          </w:p>
          <w:p w14:paraId="720BDAFB">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a</w:t>
            </w:r>
            <w:r>
              <w:rPr>
                <w:rFonts w:hint="eastAsia"/>
                <w:color w:val="auto"/>
                <w:sz w:val="24"/>
                <w:highlight w:val="none"/>
              </w:rPr>
              <w:t>）计算室内声源靠近围护结构处产生的声压级：</w:t>
            </w:r>
          </w:p>
          <w:p w14:paraId="50AEBABF">
            <w:pPr>
              <w:spacing w:line="360" w:lineRule="auto"/>
              <w:jc w:val="center"/>
              <w:rPr>
                <w:color w:val="auto"/>
                <w:sz w:val="24"/>
                <w:highlight w:val="none"/>
              </w:rPr>
            </w:pPr>
            <w:r>
              <w:rPr>
                <w:color w:val="auto"/>
                <w:position w:val="-32"/>
                <w:sz w:val="24"/>
                <w:highlight w:val="none"/>
              </w:rPr>
              <w:object>
                <v:shape id="_x0000_i1027" o:spt="75" alt="7B2EEF0CE3E4440fBD59588D13275A42# #嵌入式对象2" type="#_x0000_t75" style="height:27.55pt;width:165.7pt;" o:ole="t" filled="f" o:preferrelative="t" stroked="f" coordsize="21600,21600">
                  <v:path/>
                  <v:fill on="f" focussize="0,0"/>
                  <v:stroke on="f" joinstyle="miter"/>
                  <v:imagedata r:id="rId20" o:title=""/>
                  <o:lock v:ext="edit" aspectratio="t"/>
                  <w10:wrap type="none"/>
                  <w10:anchorlock/>
                </v:shape>
                <o:OLEObject Type="Embed" ProgID="Equation.3" ShapeID="_x0000_i1027" DrawAspect="Content" ObjectID="_1468075727" r:id="rId19">
                  <o:LockedField>false</o:LockedField>
                </o:OLEObject>
              </w:object>
            </w:r>
          </w:p>
          <w:p w14:paraId="7E44C5A9">
            <w:pPr>
              <w:spacing w:line="360" w:lineRule="auto"/>
              <w:ind w:firstLine="480" w:firstLineChars="200"/>
              <w:rPr>
                <w:color w:val="auto"/>
                <w:sz w:val="24"/>
                <w:highlight w:val="none"/>
              </w:rPr>
            </w:pPr>
            <w:r>
              <w:rPr>
                <w:rFonts w:hint="eastAsia"/>
                <w:color w:val="auto"/>
                <w:sz w:val="24"/>
                <w:highlight w:val="none"/>
              </w:rPr>
              <w:t>式中：</w:t>
            </w:r>
            <w:r>
              <w:rPr>
                <w:color w:val="auto"/>
                <w:sz w:val="24"/>
                <w:highlight w:val="none"/>
              </w:rPr>
              <w:t>Q—</w:t>
            </w:r>
            <w:r>
              <w:rPr>
                <w:rFonts w:hint="eastAsia"/>
                <w:color w:val="auto"/>
                <w:sz w:val="24"/>
                <w:highlight w:val="none"/>
              </w:rPr>
              <w:t>指向性因子；</w:t>
            </w:r>
          </w:p>
          <w:p w14:paraId="5B26C707">
            <w:pPr>
              <w:spacing w:line="360" w:lineRule="auto"/>
              <w:ind w:left="481" w:leftChars="229" w:firstLine="600" w:firstLineChars="250"/>
              <w:rPr>
                <w:color w:val="auto"/>
                <w:sz w:val="24"/>
                <w:highlight w:val="none"/>
              </w:rPr>
            </w:pPr>
            <w:r>
              <w:rPr>
                <w:color w:val="auto"/>
                <w:sz w:val="24"/>
                <w:highlight w:val="none"/>
              </w:rPr>
              <w:t>L</w:t>
            </w:r>
            <w:r>
              <w:rPr>
                <w:color w:val="auto"/>
                <w:sz w:val="24"/>
                <w:highlight w:val="none"/>
                <w:vertAlign w:val="subscript"/>
              </w:rPr>
              <w:t>W</w:t>
            </w:r>
            <w:r>
              <w:rPr>
                <w:color w:val="auto"/>
                <w:sz w:val="24"/>
                <w:highlight w:val="none"/>
              </w:rPr>
              <w:t>—</w:t>
            </w:r>
            <w:r>
              <w:rPr>
                <w:rFonts w:hint="eastAsia"/>
                <w:color w:val="auto"/>
                <w:sz w:val="24"/>
                <w:highlight w:val="none"/>
              </w:rPr>
              <w:t>室内声源声功率级，</w:t>
            </w:r>
            <w:r>
              <w:rPr>
                <w:color w:val="auto"/>
                <w:sz w:val="24"/>
                <w:highlight w:val="none"/>
              </w:rPr>
              <w:t>dB</w:t>
            </w:r>
            <w:r>
              <w:rPr>
                <w:rFonts w:hint="eastAsia"/>
                <w:color w:val="auto"/>
                <w:sz w:val="24"/>
                <w:highlight w:val="none"/>
              </w:rPr>
              <w:t>（</w:t>
            </w:r>
            <w:r>
              <w:rPr>
                <w:color w:val="auto"/>
                <w:sz w:val="24"/>
                <w:highlight w:val="none"/>
              </w:rPr>
              <w:t>A</w:t>
            </w:r>
            <w:r>
              <w:rPr>
                <w:rFonts w:hint="eastAsia"/>
                <w:color w:val="auto"/>
                <w:sz w:val="24"/>
                <w:highlight w:val="none"/>
              </w:rPr>
              <w:t>）；</w:t>
            </w:r>
          </w:p>
          <w:p w14:paraId="2BDD782A">
            <w:pPr>
              <w:spacing w:line="360" w:lineRule="auto"/>
              <w:ind w:left="481" w:leftChars="229" w:firstLine="600" w:firstLineChars="250"/>
              <w:rPr>
                <w:color w:val="auto"/>
                <w:sz w:val="24"/>
                <w:highlight w:val="none"/>
              </w:rPr>
            </w:pPr>
            <w:r>
              <w:rPr>
                <w:color w:val="auto"/>
                <w:sz w:val="24"/>
                <w:highlight w:val="none"/>
              </w:rPr>
              <w:t>R—</w:t>
            </w:r>
            <w:r>
              <w:rPr>
                <w:rFonts w:hint="eastAsia"/>
                <w:color w:val="auto"/>
                <w:sz w:val="24"/>
                <w:highlight w:val="none"/>
              </w:rPr>
              <w:t>房间常数；</w:t>
            </w:r>
          </w:p>
          <w:p w14:paraId="07EBE9E4">
            <w:pPr>
              <w:spacing w:line="360" w:lineRule="auto"/>
              <w:ind w:left="481" w:leftChars="229" w:firstLine="600" w:firstLineChars="250"/>
              <w:rPr>
                <w:color w:val="auto"/>
                <w:sz w:val="24"/>
                <w:highlight w:val="none"/>
              </w:rPr>
            </w:pPr>
            <w:r>
              <w:rPr>
                <w:color w:val="auto"/>
                <w:position w:val="-12"/>
                <w:sz w:val="24"/>
                <w:highlight w:val="none"/>
              </w:rPr>
              <w:object>
                <v:shape id="_x0000_i1028" o:spt="75" alt="D968155B1C8A4b78849284F7379C4C0E# #嵌入式对象5" type="#_x0000_t75" style="height:17.95pt;width:10.15pt;" o:ole="t" filled="f" o:preferrelative="t" stroked="f" coordsize="21600,21600">
                  <v:path/>
                  <v:fill on="f" focussize="0,0"/>
                  <v:stroke on="f" joinstyle="miter"/>
                  <v:imagedata r:id="rId22" o:title=""/>
                  <o:lock v:ext="edit" aspectratio="t"/>
                  <w10:wrap type="none"/>
                  <w10:anchorlock/>
                </v:shape>
                <o:OLEObject Type="Embed" ProgID="Equation.DSMT4" ShapeID="_x0000_i1028" DrawAspect="Content" ObjectID="_1468075728" r:id="rId21">
                  <o:LockedField>false</o:LockedField>
                </o:OLEObject>
              </w:object>
            </w:r>
            <w:r>
              <w:rPr>
                <w:color w:val="auto"/>
                <w:sz w:val="24"/>
                <w:highlight w:val="none"/>
              </w:rPr>
              <w:t>—</w:t>
            </w:r>
            <w:r>
              <w:rPr>
                <w:rFonts w:hint="eastAsia"/>
                <w:color w:val="auto"/>
                <w:sz w:val="24"/>
                <w:highlight w:val="none"/>
              </w:rPr>
              <w:t>声源到靠近围护结构某点处的距离，</w:t>
            </w:r>
            <w:r>
              <w:rPr>
                <w:color w:val="auto"/>
                <w:sz w:val="24"/>
                <w:highlight w:val="none"/>
              </w:rPr>
              <w:t>m</w:t>
            </w:r>
            <w:r>
              <w:rPr>
                <w:rFonts w:hint="eastAsia"/>
                <w:color w:val="auto"/>
                <w:sz w:val="24"/>
                <w:highlight w:val="none"/>
              </w:rPr>
              <w:t>。</w:t>
            </w:r>
          </w:p>
          <w:p w14:paraId="180AC9B3">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b</w:t>
            </w:r>
            <w:r>
              <w:rPr>
                <w:rFonts w:hint="eastAsia"/>
                <w:color w:val="auto"/>
                <w:sz w:val="24"/>
                <w:highlight w:val="none"/>
              </w:rPr>
              <w:t>）</w:t>
            </w:r>
            <w:r>
              <w:rPr>
                <w:color w:val="auto"/>
                <w:sz w:val="24"/>
                <w:highlight w:val="none"/>
              </w:rPr>
              <w:t xml:space="preserve"> </w:t>
            </w:r>
            <w:r>
              <w:rPr>
                <w:rFonts w:hint="eastAsia"/>
                <w:color w:val="auto"/>
                <w:sz w:val="24"/>
                <w:highlight w:val="none"/>
              </w:rPr>
              <w:t>计算所有室内声源在围护结构处产生的叠加声压级：</w:t>
            </w:r>
          </w:p>
          <w:p w14:paraId="33CD903D">
            <w:pPr>
              <w:tabs>
                <w:tab w:val="center" w:pos="5119"/>
              </w:tabs>
              <w:spacing w:line="360" w:lineRule="auto"/>
              <w:jc w:val="center"/>
              <w:rPr>
                <w:color w:val="auto"/>
                <w:sz w:val="24"/>
                <w:highlight w:val="none"/>
              </w:rPr>
            </w:pPr>
            <w:r>
              <w:rPr>
                <w:color w:val="auto"/>
                <w:position w:val="-30"/>
                <w:sz w:val="24"/>
                <w:highlight w:val="none"/>
              </w:rPr>
              <w:object>
                <v:shape id="_x0000_i1029" o:spt="75" alt="FF49818FECFB44809A5BC36E1011B14C# #嵌入式对象6" type="#_x0000_t75" style="height:30.5pt;width:161.95pt;" o:ole="t" filled="f" o:preferrelative="t" stroked="f" coordsize="21600,21600">
                  <v:path/>
                  <v:fill on="f" focussize="0,0"/>
                  <v:stroke on="f" joinstyle="miter"/>
                  <v:imagedata r:id="rId24" o:title=""/>
                  <o:lock v:ext="edit" aspectratio="t"/>
                  <w10:wrap type="none"/>
                  <w10:anchorlock/>
                </v:shape>
                <o:OLEObject Type="Embed" ProgID="Equation.3" ShapeID="_x0000_i1029" DrawAspect="Content" ObjectID="_1468075729" r:id="rId23">
                  <o:LockedField>false</o:LockedField>
                </o:OLEObject>
              </w:object>
            </w:r>
          </w:p>
          <w:p w14:paraId="01BB8BDD">
            <w:pPr>
              <w:spacing w:line="360" w:lineRule="auto"/>
              <w:ind w:firstLine="480" w:firstLineChars="200"/>
              <w:rPr>
                <w:color w:val="auto"/>
                <w:sz w:val="24"/>
                <w:highlight w:val="none"/>
              </w:rPr>
            </w:pPr>
            <w:r>
              <w:rPr>
                <w:rFonts w:hint="eastAsia"/>
                <w:color w:val="auto"/>
                <w:sz w:val="24"/>
                <w:highlight w:val="none"/>
              </w:rPr>
              <w:t>式中：</w:t>
            </w:r>
            <w:r>
              <w:rPr>
                <w:color w:val="auto"/>
                <w:sz w:val="24"/>
                <w:highlight w:val="none"/>
              </w:rPr>
              <w:t>Lp1</w:t>
            </w:r>
            <w:r>
              <w:rPr>
                <w:rFonts w:hint="eastAsia"/>
                <w:color w:val="auto"/>
                <w:sz w:val="24"/>
                <w:highlight w:val="none"/>
              </w:rPr>
              <w:t>（</w:t>
            </w:r>
            <w:r>
              <w:rPr>
                <w:color w:val="auto"/>
                <w:sz w:val="24"/>
                <w:highlight w:val="none"/>
              </w:rPr>
              <w:t>T</w:t>
            </w:r>
            <w:r>
              <w:rPr>
                <w:rFonts w:hint="eastAsia"/>
                <w:color w:val="auto"/>
                <w:sz w:val="24"/>
                <w:highlight w:val="none"/>
              </w:rPr>
              <w:t>）</w:t>
            </w:r>
            <w:r>
              <w:rPr>
                <w:color w:val="auto"/>
                <w:sz w:val="24"/>
                <w:highlight w:val="none"/>
              </w:rPr>
              <w:t>—</w:t>
            </w:r>
            <w:r>
              <w:rPr>
                <w:rFonts w:hint="eastAsia"/>
                <w:color w:val="auto"/>
                <w:sz w:val="24"/>
                <w:highlight w:val="none"/>
              </w:rPr>
              <w:t>靠近围护结构处室内</w:t>
            </w:r>
            <w:r>
              <w:rPr>
                <w:color w:val="auto"/>
                <w:sz w:val="24"/>
                <w:highlight w:val="none"/>
              </w:rPr>
              <w:t>N</w:t>
            </w:r>
            <w:r>
              <w:rPr>
                <w:rFonts w:hint="eastAsia"/>
                <w:color w:val="auto"/>
                <w:sz w:val="24"/>
                <w:highlight w:val="none"/>
              </w:rPr>
              <w:t>个声源的叠加声压级，</w:t>
            </w:r>
            <w:r>
              <w:rPr>
                <w:color w:val="auto"/>
                <w:sz w:val="24"/>
                <w:highlight w:val="none"/>
              </w:rPr>
              <w:t>dB</w:t>
            </w:r>
            <w:r>
              <w:rPr>
                <w:rFonts w:hint="eastAsia"/>
                <w:color w:val="auto"/>
                <w:sz w:val="24"/>
                <w:highlight w:val="none"/>
              </w:rPr>
              <w:t>（</w:t>
            </w:r>
            <w:r>
              <w:rPr>
                <w:color w:val="auto"/>
                <w:sz w:val="24"/>
                <w:highlight w:val="none"/>
              </w:rPr>
              <w:t>A</w:t>
            </w:r>
            <w:r>
              <w:rPr>
                <w:rFonts w:hint="eastAsia"/>
                <w:color w:val="auto"/>
                <w:sz w:val="24"/>
                <w:highlight w:val="none"/>
              </w:rPr>
              <w:t>）；</w:t>
            </w:r>
          </w:p>
          <w:p w14:paraId="22851F68">
            <w:pPr>
              <w:spacing w:line="360" w:lineRule="auto"/>
              <w:ind w:firstLine="1233" w:firstLineChars="514"/>
              <w:rPr>
                <w:color w:val="auto"/>
                <w:sz w:val="24"/>
                <w:highlight w:val="none"/>
              </w:rPr>
            </w:pPr>
            <w:r>
              <w:rPr>
                <w:color w:val="auto"/>
                <w:sz w:val="24"/>
                <w:highlight w:val="none"/>
              </w:rPr>
              <w:t>L</w:t>
            </w:r>
            <w:r>
              <w:rPr>
                <w:color w:val="auto"/>
                <w:sz w:val="24"/>
                <w:highlight w:val="none"/>
                <w:vertAlign w:val="subscript"/>
              </w:rPr>
              <w:t>p1j</w:t>
            </w:r>
            <w:r>
              <w:rPr>
                <w:rFonts w:hint="eastAsia"/>
                <w:color w:val="auto"/>
                <w:sz w:val="24"/>
                <w:highlight w:val="none"/>
              </w:rPr>
              <w:t>（</w:t>
            </w:r>
            <w:r>
              <w:rPr>
                <w:color w:val="auto"/>
                <w:sz w:val="24"/>
                <w:highlight w:val="none"/>
              </w:rPr>
              <w:t>T</w:t>
            </w:r>
            <w:r>
              <w:rPr>
                <w:rFonts w:hint="eastAsia"/>
                <w:color w:val="auto"/>
                <w:sz w:val="24"/>
                <w:highlight w:val="none"/>
              </w:rPr>
              <w:t>）</w:t>
            </w:r>
            <w:r>
              <w:rPr>
                <w:color w:val="auto"/>
                <w:sz w:val="24"/>
                <w:highlight w:val="none"/>
              </w:rPr>
              <w:t>—</w:t>
            </w:r>
            <w:r>
              <w:rPr>
                <w:rFonts w:hint="eastAsia"/>
                <w:color w:val="auto"/>
                <w:sz w:val="24"/>
                <w:highlight w:val="none"/>
              </w:rPr>
              <w:t>室内</w:t>
            </w:r>
            <w:r>
              <w:rPr>
                <w:color w:val="auto"/>
                <w:sz w:val="24"/>
                <w:highlight w:val="none"/>
              </w:rPr>
              <w:t>j</w:t>
            </w:r>
            <w:r>
              <w:rPr>
                <w:rFonts w:hint="eastAsia"/>
                <w:color w:val="auto"/>
                <w:sz w:val="24"/>
                <w:highlight w:val="none"/>
              </w:rPr>
              <w:t>声源声压级，</w:t>
            </w:r>
            <w:r>
              <w:rPr>
                <w:color w:val="auto"/>
                <w:sz w:val="24"/>
                <w:highlight w:val="none"/>
              </w:rPr>
              <w:t>dB</w:t>
            </w:r>
            <w:r>
              <w:rPr>
                <w:rFonts w:hint="eastAsia"/>
                <w:color w:val="auto"/>
                <w:sz w:val="24"/>
                <w:highlight w:val="none"/>
              </w:rPr>
              <w:t>（</w:t>
            </w:r>
            <w:r>
              <w:rPr>
                <w:color w:val="auto"/>
                <w:sz w:val="24"/>
                <w:highlight w:val="none"/>
              </w:rPr>
              <w:t>A</w:t>
            </w:r>
            <w:r>
              <w:rPr>
                <w:rFonts w:hint="eastAsia"/>
                <w:color w:val="auto"/>
                <w:sz w:val="24"/>
                <w:highlight w:val="none"/>
              </w:rPr>
              <w:t>）；</w:t>
            </w:r>
          </w:p>
          <w:p w14:paraId="67314264">
            <w:pPr>
              <w:spacing w:line="360" w:lineRule="auto"/>
              <w:ind w:firstLine="1233" w:firstLineChars="514"/>
              <w:rPr>
                <w:color w:val="auto"/>
                <w:sz w:val="24"/>
                <w:highlight w:val="none"/>
              </w:rPr>
            </w:pPr>
            <w:r>
              <w:rPr>
                <w:color w:val="auto"/>
                <w:sz w:val="24"/>
                <w:highlight w:val="none"/>
              </w:rPr>
              <w:t>N—</w:t>
            </w:r>
            <w:r>
              <w:rPr>
                <w:rFonts w:hint="eastAsia"/>
                <w:color w:val="auto"/>
                <w:sz w:val="24"/>
                <w:highlight w:val="none"/>
              </w:rPr>
              <w:t>室内声源总数。</w:t>
            </w:r>
          </w:p>
          <w:p w14:paraId="372E2759">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c</w:t>
            </w:r>
            <w:r>
              <w:rPr>
                <w:rFonts w:hint="eastAsia"/>
                <w:color w:val="auto"/>
                <w:sz w:val="24"/>
                <w:highlight w:val="none"/>
              </w:rPr>
              <w:t>）</w:t>
            </w:r>
            <w:r>
              <w:rPr>
                <w:color w:val="auto"/>
                <w:sz w:val="24"/>
                <w:highlight w:val="none"/>
              </w:rPr>
              <w:t xml:space="preserve"> </w:t>
            </w:r>
            <w:r>
              <w:rPr>
                <w:rFonts w:hint="eastAsia"/>
                <w:color w:val="auto"/>
                <w:sz w:val="24"/>
                <w:highlight w:val="none"/>
              </w:rPr>
              <w:t>计算靠近室外维护结构处的声压级：</w:t>
            </w:r>
          </w:p>
          <w:p w14:paraId="4AD84F46">
            <w:pPr>
              <w:spacing w:line="360" w:lineRule="auto"/>
              <w:jc w:val="center"/>
              <w:rPr>
                <w:color w:val="auto"/>
                <w:sz w:val="24"/>
                <w:highlight w:val="none"/>
              </w:rPr>
            </w:pPr>
            <w:r>
              <w:rPr>
                <w:color w:val="auto"/>
                <w:position w:val="-14"/>
                <w:sz w:val="24"/>
                <w:highlight w:val="none"/>
              </w:rPr>
              <w:object>
                <v:shape id="_x0000_i1030" o:spt="75" alt="FED1CC4632A04d888D5F6A5CEBAAB4B5# #嵌入式对象7" type="#_x0000_t75" style="height:18.75pt;width:121.25pt;" o:ole="t" filled="f" o:preferrelative="t" stroked="f" coordsize="21600,21600">
                  <v:path/>
                  <v:fill on="f" focussize="0,0"/>
                  <v:stroke on="f" joinstyle="miter"/>
                  <v:imagedata r:id="rId26" o:title=""/>
                  <o:lock v:ext="edit" aspectratio="t"/>
                  <w10:wrap type="none"/>
                  <w10:anchorlock/>
                </v:shape>
                <o:OLEObject Type="Embed" ProgID="Equation.3" ShapeID="_x0000_i1030" DrawAspect="Content" ObjectID="_1468075730" r:id="rId25">
                  <o:LockedField>false</o:LockedField>
                </o:OLEObject>
              </w:object>
            </w:r>
          </w:p>
          <w:p w14:paraId="5932D23E">
            <w:pPr>
              <w:spacing w:line="360" w:lineRule="auto"/>
              <w:ind w:firstLine="480" w:firstLineChars="200"/>
              <w:rPr>
                <w:color w:val="auto"/>
                <w:sz w:val="24"/>
                <w:highlight w:val="none"/>
              </w:rPr>
            </w:pPr>
            <w:r>
              <w:rPr>
                <w:rFonts w:hint="eastAsia"/>
                <w:color w:val="auto"/>
                <w:sz w:val="24"/>
                <w:highlight w:val="none"/>
              </w:rPr>
              <w:t>式中：</w:t>
            </w:r>
            <w:r>
              <w:rPr>
                <w:color w:val="auto"/>
                <w:sz w:val="24"/>
                <w:highlight w:val="none"/>
              </w:rPr>
              <w:t>Lp</w:t>
            </w:r>
            <w:r>
              <w:rPr>
                <w:color w:val="auto"/>
                <w:sz w:val="24"/>
                <w:highlight w:val="none"/>
                <w:vertAlign w:val="subscript"/>
              </w:rPr>
              <w:t>2i</w:t>
            </w:r>
            <w:r>
              <w:rPr>
                <w:rFonts w:hint="eastAsia"/>
                <w:color w:val="auto"/>
                <w:sz w:val="24"/>
                <w:highlight w:val="none"/>
              </w:rPr>
              <w:t>（</w:t>
            </w:r>
            <w:r>
              <w:rPr>
                <w:color w:val="auto"/>
                <w:sz w:val="24"/>
                <w:highlight w:val="none"/>
              </w:rPr>
              <w:t>T</w:t>
            </w:r>
            <w:r>
              <w:rPr>
                <w:rFonts w:hint="eastAsia"/>
                <w:color w:val="auto"/>
                <w:sz w:val="24"/>
                <w:highlight w:val="none"/>
              </w:rPr>
              <w:t>）</w:t>
            </w:r>
            <w:r>
              <w:rPr>
                <w:color w:val="auto"/>
                <w:sz w:val="24"/>
                <w:highlight w:val="none"/>
              </w:rPr>
              <w:t>—</w:t>
            </w:r>
            <w:r>
              <w:rPr>
                <w:rFonts w:hint="eastAsia"/>
                <w:color w:val="auto"/>
                <w:sz w:val="24"/>
                <w:highlight w:val="none"/>
              </w:rPr>
              <w:t>靠近围护结构处室内</w:t>
            </w:r>
            <w:r>
              <w:rPr>
                <w:color w:val="auto"/>
                <w:sz w:val="24"/>
                <w:highlight w:val="none"/>
              </w:rPr>
              <w:t>N</w:t>
            </w:r>
            <w:r>
              <w:rPr>
                <w:rFonts w:hint="eastAsia"/>
                <w:color w:val="auto"/>
                <w:sz w:val="24"/>
                <w:highlight w:val="none"/>
              </w:rPr>
              <w:t>个声源的叠加声压级，</w:t>
            </w:r>
            <w:r>
              <w:rPr>
                <w:color w:val="auto"/>
                <w:sz w:val="24"/>
                <w:highlight w:val="none"/>
              </w:rPr>
              <w:t>dB</w:t>
            </w:r>
            <w:r>
              <w:rPr>
                <w:rFonts w:hint="eastAsia"/>
                <w:color w:val="auto"/>
                <w:sz w:val="24"/>
                <w:highlight w:val="none"/>
              </w:rPr>
              <w:t>（</w:t>
            </w:r>
            <w:r>
              <w:rPr>
                <w:color w:val="auto"/>
                <w:sz w:val="24"/>
                <w:highlight w:val="none"/>
              </w:rPr>
              <w:t>A</w:t>
            </w:r>
            <w:r>
              <w:rPr>
                <w:rFonts w:hint="eastAsia"/>
                <w:color w:val="auto"/>
                <w:sz w:val="24"/>
                <w:highlight w:val="none"/>
              </w:rPr>
              <w:t>）；</w:t>
            </w:r>
          </w:p>
          <w:p w14:paraId="2B661A22">
            <w:pPr>
              <w:spacing w:line="360" w:lineRule="auto"/>
              <w:ind w:firstLine="1353" w:firstLineChars="564"/>
              <w:rPr>
                <w:color w:val="auto"/>
                <w:sz w:val="24"/>
                <w:highlight w:val="none"/>
              </w:rPr>
            </w:pPr>
            <w:r>
              <w:rPr>
                <w:color w:val="auto"/>
                <w:sz w:val="24"/>
                <w:highlight w:val="none"/>
              </w:rPr>
              <w:t>TL—</w:t>
            </w:r>
            <w:r>
              <w:rPr>
                <w:rFonts w:hint="eastAsia"/>
                <w:color w:val="auto"/>
                <w:sz w:val="24"/>
                <w:highlight w:val="none"/>
              </w:rPr>
              <w:t>围护结构的隔声量，</w:t>
            </w:r>
            <w:r>
              <w:rPr>
                <w:color w:val="auto"/>
                <w:sz w:val="24"/>
                <w:highlight w:val="none"/>
              </w:rPr>
              <w:t>dB</w:t>
            </w:r>
            <w:r>
              <w:rPr>
                <w:rFonts w:hint="eastAsia"/>
                <w:color w:val="auto"/>
                <w:sz w:val="24"/>
                <w:highlight w:val="none"/>
              </w:rPr>
              <w:t>（</w:t>
            </w:r>
            <w:r>
              <w:rPr>
                <w:color w:val="auto"/>
                <w:sz w:val="24"/>
                <w:highlight w:val="none"/>
              </w:rPr>
              <w:t>A</w:t>
            </w:r>
            <w:r>
              <w:rPr>
                <w:rFonts w:hint="eastAsia"/>
                <w:color w:val="auto"/>
                <w:sz w:val="24"/>
                <w:highlight w:val="none"/>
              </w:rPr>
              <w:t>）。</w:t>
            </w:r>
          </w:p>
          <w:p w14:paraId="05B867DB">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d</w:t>
            </w:r>
            <w:r>
              <w:rPr>
                <w:rFonts w:hint="eastAsia"/>
                <w:color w:val="auto"/>
                <w:sz w:val="24"/>
                <w:highlight w:val="none"/>
              </w:rPr>
              <w:t>）将室外声源的声压级和透过面积换算成等效的室外声源，计算中心位置位于透声面积（S）处的等效声源的声功率级：</w:t>
            </w:r>
          </w:p>
          <w:p w14:paraId="25551655">
            <w:pPr>
              <w:spacing w:line="360" w:lineRule="auto"/>
              <w:jc w:val="center"/>
              <w:rPr>
                <w:color w:val="auto"/>
                <w:sz w:val="24"/>
                <w:highlight w:val="none"/>
              </w:rPr>
            </w:pPr>
            <w:r>
              <w:rPr>
                <w:color w:val="auto"/>
                <w:position w:val="-12"/>
                <w:sz w:val="24"/>
                <w:highlight w:val="none"/>
              </w:rPr>
              <w:object>
                <v:shape id="_x0000_i1031" o:spt="75" alt="6236C4B699114a42941C281418632AE1# #嵌入式对象8" type="#_x0000_t75" style="height:17.4pt;width:118.85pt;" o:ole="t" filled="f" o:preferrelative="t" stroked="f" coordsize="21600,21600">
                  <v:path/>
                  <v:fill on="f" focussize="0,0"/>
                  <v:stroke on="f" joinstyle="miter"/>
                  <v:imagedata r:id="rId28" o:title=""/>
                  <o:lock v:ext="edit" aspectratio="t"/>
                  <w10:wrap type="none"/>
                  <w10:anchorlock/>
                </v:shape>
                <o:OLEObject Type="Embed" ProgID="Equation.3" ShapeID="_x0000_i1031" DrawAspect="Content" ObjectID="_1468075731" r:id="rId27">
                  <o:LockedField>false</o:LockedField>
                </o:OLEObject>
              </w:object>
            </w:r>
          </w:p>
          <w:p w14:paraId="45FBA8BE">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2</w:t>
            </w:r>
            <w:r>
              <w:rPr>
                <w:rFonts w:hint="eastAsia"/>
                <w:color w:val="auto"/>
                <w:sz w:val="24"/>
                <w:highlight w:val="none"/>
              </w:rPr>
              <w:t>）厂界噪声贡献值计算</w:t>
            </w:r>
          </w:p>
          <w:p w14:paraId="112C1919">
            <w:pPr>
              <w:spacing w:line="360" w:lineRule="auto"/>
              <w:ind w:firstLine="480" w:firstLineChars="200"/>
              <w:rPr>
                <w:color w:val="auto"/>
                <w:sz w:val="24"/>
                <w:highlight w:val="none"/>
              </w:rPr>
            </w:pPr>
            <w:r>
              <w:rPr>
                <w:rFonts w:hint="eastAsia"/>
                <w:color w:val="auto"/>
                <w:sz w:val="24"/>
                <w:highlight w:val="none"/>
              </w:rPr>
              <w:t>设第</w:t>
            </w:r>
            <w:r>
              <w:rPr>
                <w:i/>
                <w:color w:val="auto"/>
                <w:sz w:val="24"/>
                <w:highlight w:val="none"/>
              </w:rPr>
              <w:t>i</w:t>
            </w:r>
            <w:r>
              <w:rPr>
                <w:rFonts w:hint="eastAsia"/>
                <w:color w:val="auto"/>
                <w:sz w:val="24"/>
                <w:highlight w:val="none"/>
              </w:rPr>
              <w:t>个室外声源在预测点产生的</w:t>
            </w:r>
            <w:r>
              <w:rPr>
                <w:color w:val="auto"/>
                <w:sz w:val="24"/>
                <w:highlight w:val="none"/>
              </w:rPr>
              <w:t>A</w:t>
            </w:r>
            <w:r>
              <w:rPr>
                <w:rFonts w:hint="eastAsia"/>
                <w:color w:val="auto"/>
                <w:sz w:val="24"/>
                <w:highlight w:val="none"/>
              </w:rPr>
              <w:t>声级为</w:t>
            </w:r>
            <w:r>
              <w:rPr>
                <w:color w:val="auto"/>
                <w:position w:val="-12"/>
                <w:sz w:val="24"/>
                <w:highlight w:val="none"/>
              </w:rPr>
              <w:drawing>
                <wp:inline distT="0" distB="0" distL="114300" distR="114300">
                  <wp:extent cx="190500" cy="190500"/>
                  <wp:effectExtent l="0" t="0" r="6985" b="6350"/>
                  <wp:docPr id="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1"/>
                          <pic:cNvPicPr>
                            <a:picLocks noChangeAspect="1"/>
                          </pic:cNvPicPr>
                        </pic:nvPicPr>
                        <pic:blipFill>
                          <a:blip r:embed="rId29"/>
                          <a:stretch>
                            <a:fillRect/>
                          </a:stretch>
                        </pic:blipFill>
                        <pic:spPr>
                          <a:xfrm>
                            <a:off x="0" y="0"/>
                            <a:ext cx="190500" cy="190500"/>
                          </a:xfrm>
                          <a:prstGeom prst="rect">
                            <a:avLst/>
                          </a:prstGeom>
                          <a:noFill/>
                          <a:ln>
                            <a:noFill/>
                          </a:ln>
                        </pic:spPr>
                      </pic:pic>
                    </a:graphicData>
                  </a:graphic>
                </wp:inline>
              </w:drawing>
            </w:r>
            <w:r>
              <w:rPr>
                <w:rFonts w:hint="eastAsia"/>
                <w:color w:val="auto"/>
                <w:sz w:val="24"/>
                <w:highlight w:val="none"/>
              </w:rPr>
              <w:t>，在</w:t>
            </w:r>
            <w:r>
              <w:rPr>
                <w:color w:val="auto"/>
                <w:sz w:val="24"/>
                <w:highlight w:val="none"/>
              </w:rPr>
              <w:t>T</w:t>
            </w:r>
            <w:r>
              <w:rPr>
                <w:rFonts w:hint="eastAsia"/>
                <w:color w:val="auto"/>
                <w:sz w:val="24"/>
                <w:highlight w:val="none"/>
              </w:rPr>
              <w:t>时间内该声源工作时间为</w:t>
            </w:r>
            <w:r>
              <w:rPr>
                <w:color w:val="auto"/>
                <w:position w:val="-12"/>
                <w:sz w:val="24"/>
                <w:highlight w:val="none"/>
              </w:rPr>
              <w:drawing>
                <wp:inline distT="0" distB="0" distL="114300" distR="114300">
                  <wp:extent cx="107950" cy="222250"/>
                  <wp:effectExtent l="0" t="0" r="13970" b="4445"/>
                  <wp:docPr id="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pic:cNvPicPr>
                            <a:picLocks noChangeAspect="1"/>
                          </pic:cNvPicPr>
                        </pic:nvPicPr>
                        <pic:blipFill>
                          <a:blip r:embed="rId30"/>
                          <a:stretch>
                            <a:fillRect/>
                          </a:stretch>
                        </pic:blipFill>
                        <pic:spPr>
                          <a:xfrm>
                            <a:off x="0" y="0"/>
                            <a:ext cx="107950" cy="222250"/>
                          </a:xfrm>
                          <a:prstGeom prst="rect">
                            <a:avLst/>
                          </a:prstGeom>
                          <a:noFill/>
                          <a:ln>
                            <a:noFill/>
                          </a:ln>
                        </pic:spPr>
                      </pic:pic>
                    </a:graphicData>
                  </a:graphic>
                </wp:inline>
              </w:drawing>
            </w:r>
            <w:r>
              <w:rPr>
                <w:rFonts w:hint="eastAsia"/>
                <w:color w:val="auto"/>
                <w:sz w:val="24"/>
                <w:highlight w:val="none"/>
              </w:rPr>
              <w:t>；设第</w:t>
            </w:r>
            <w:r>
              <w:rPr>
                <w:color w:val="auto"/>
                <w:position w:val="-10"/>
                <w:sz w:val="24"/>
                <w:highlight w:val="none"/>
              </w:rPr>
              <w:drawing>
                <wp:inline distT="0" distB="0" distL="114300" distR="114300">
                  <wp:extent cx="107950" cy="168275"/>
                  <wp:effectExtent l="0" t="0" r="13970" b="14605"/>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pic:cNvPicPr>
                        </pic:nvPicPr>
                        <pic:blipFill>
                          <a:blip r:embed="rId31"/>
                          <a:stretch>
                            <a:fillRect/>
                          </a:stretch>
                        </pic:blipFill>
                        <pic:spPr>
                          <a:xfrm>
                            <a:off x="0" y="0"/>
                            <a:ext cx="107950" cy="168275"/>
                          </a:xfrm>
                          <a:prstGeom prst="rect">
                            <a:avLst/>
                          </a:prstGeom>
                          <a:noFill/>
                          <a:ln>
                            <a:noFill/>
                          </a:ln>
                        </pic:spPr>
                      </pic:pic>
                    </a:graphicData>
                  </a:graphic>
                </wp:inline>
              </w:drawing>
            </w:r>
            <w:r>
              <w:rPr>
                <w:rFonts w:hint="eastAsia"/>
                <w:color w:val="auto"/>
                <w:sz w:val="24"/>
                <w:highlight w:val="none"/>
              </w:rPr>
              <w:t>个等效室外声源在预测点产生的</w:t>
            </w:r>
            <w:r>
              <w:rPr>
                <w:color w:val="auto"/>
                <w:sz w:val="24"/>
                <w:highlight w:val="none"/>
              </w:rPr>
              <w:t>A</w:t>
            </w:r>
            <w:r>
              <w:rPr>
                <w:rFonts w:hint="eastAsia"/>
                <w:color w:val="auto"/>
                <w:sz w:val="24"/>
                <w:highlight w:val="none"/>
              </w:rPr>
              <w:t>声级为</w:t>
            </w:r>
            <w:r>
              <w:rPr>
                <w:color w:val="auto"/>
                <w:position w:val="-14"/>
                <w:sz w:val="24"/>
                <w:highlight w:val="none"/>
              </w:rPr>
              <w:drawing>
                <wp:inline distT="0" distB="0" distL="114300" distR="114300">
                  <wp:extent cx="190500" cy="222250"/>
                  <wp:effectExtent l="0" t="0" r="6985" b="5080"/>
                  <wp:docPr id="1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8"/>
                          <pic:cNvPicPr>
                            <a:picLocks noChangeAspect="1"/>
                          </pic:cNvPicPr>
                        </pic:nvPicPr>
                        <pic:blipFill>
                          <a:blip r:embed="rId32"/>
                          <a:stretch>
                            <a:fillRect/>
                          </a:stretch>
                        </pic:blipFill>
                        <pic:spPr>
                          <a:xfrm>
                            <a:off x="0" y="0"/>
                            <a:ext cx="190500" cy="222250"/>
                          </a:xfrm>
                          <a:prstGeom prst="rect">
                            <a:avLst/>
                          </a:prstGeom>
                          <a:noFill/>
                          <a:ln>
                            <a:noFill/>
                          </a:ln>
                        </pic:spPr>
                      </pic:pic>
                    </a:graphicData>
                  </a:graphic>
                </wp:inline>
              </w:drawing>
            </w:r>
            <w:r>
              <w:rPr>
                <w:rFonts w:hint="eastAsia"/>
                <w:color w:val="auto"/>
                <w:sz w:val="24"/>
                <w:highlight w:val="none"/>
              </w:rPr>
              <w:t>，在</w:t>
            </w:r>
            <w:r>
              <w:rPr>
                <w:color w:val="auto"/>
                <w:sz w:val="24"/>
                <w:highlight w:val="none"/>
              </w:rPr>
              <w:t>T</w:t>
            </w:r>
            <w:r>
              <w:rPr>
                <w:rFonts w:hint="eastAsia"/>
                <w:color w:val="auto"/>
                <w:sz w:val="24"/>
                <w:highlight w:val="none"/>
              </w:rPr>
              <w:t>时间内该声源工作时间为</w:t>
            </w:r>
            <w:r>
              <w:rPr>
                <w:color w:val="auto"/>
                <w:position w:val="-14"/>
                <w:sz w:val="24"/>
                <w:highlight w:val="none"/>
              </w:rPr>
              <w:drawing>
                <wp:inline distT="0" distB="0" distL="114300" distR="114300">
                  <wp:extent cx="136525" cy="222250"/>
                  <wp:effectExtent l="0" t="0" r="635" b="4445"/>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7"/>
                          <pic:cNvPicPr>
                            <a:picLocks noChangeAspect="1"/>
                          </pic:cNvPicPr>
                        </pic:nvPicPr>
                        <pic:blipFill>
                          <a:blip r:embed="rId33"/>
                          <a:stretch>
                            <a:fillRect/>
                          </a:stretch>
                        </pic:blipFill>
                        <pic:spPr>
                          <a:xfrm>
                            <a:off x="0" y="0"/>
                            <a:ext cx="136525" cy="222250"/>
                          </a:xfrm>
                          <a:prstGeom prst="rect">
                            <a:avLst/>
                          </a:prstGeom>
                          <a:noFill/>
                          <a:ln>
                            <a:noFill/>
                          </a:ln>
                        </pic:spPr>
                      </pic:pic>
                    </a:graphicData>
                  </a:graphic>
                </wp:inline>
              </w:drawing>
            </w:r>
            <w:r>
              <w:rPr>
                <w:rFonts w:hint="eastAsia"/>
                <w:color w:val="auto"/>
                <w:sz w:val="24"/>
                <w:highlight w:val="none"/>
              </w:rPr>
              <w:t>。则拟建工程声源对预测点产生的贡献值（</w:t>
            </w:r>
            <w:r>
              <w:rPr>
                <w:color w:val="auto"/>
                <w:position w:val="-14"/>
                <w:sz w:val="24"/>
                <w:highlight w:val="none"/>
              </w:rPr>
              <w:drawing>
                <wp:inline distT="0" distB="0" distL="114300" distR="114300">
                  <wp:extent cx="273050" cy="222250"/>
                  <wp:effectExtent l="0" t="0" r="1270" b="5080"/>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pic:cNvPicPr>
                        </pic:nvPicPr>
                        <pic:blipFill>
                          <a:blip r:embed="rId34"/>
                          <a:stretch>
                            <a:fillRect/>
                          </a:stretch>
                        </pic:blipFill>
                        <pic:spPr>
                          <a:xfrm>
                            <a:off x="0" y="0"/>
                            <a:ext cx="273050" cy="222250"/>
                          </a:xfrm>
                          <a:prstGeom prst="rect">
                            <a:avLst/>
                          </a:prstGeom>
                          <a:noFill/>
                          <a:ln>
                            <a:noFill/>
                          </a:ln>
                        </pic:spPr>
                      </pic:pic>
                    </a:graphicData>
                  </a:graphic>
                </wp:inline>
              </w:drawing>
            </w:r>
            <w:r>
              <w:rPr>
                <w:rFonts w:hint="eastAsia"/>
                <w:color w:val="auto"/>
                <w:sz w:val="24"/>
                <w:highlight w:val="none"/>
              </w:rPr>
              <w:t>）为：</w:t>
            </w:r>
          </w:p>
          <w:p w14:paraId="5238818F">
            <w:pPr>
              <w:spacing w:line="360" w:lineRule="auto"/>
              <w:ind w:right="480" w:firstLine="480" w:firstLineChars="200"/>
              <w:jc w:val="center"/>
              <w:rPr>
                <w:color w:val="auto"/>
                <w:sz w:val="24"/>
                <w:highlight w:val="none"/>
              </w:rPr>
            </w:pPr>
            <w:r>
              <w:rPr>
                <w:color w:val="auto"/>
                <w:position w:val="-34"/>
                <w:sz w:val="24"/>
                <w:highlight w:val="none"/>
              </w:rPr>
              <w:drawing>
                <wp:inline distT="0" distB="0" distL="114300" distR="114300">
                  <wp:extent cx="2660650" cy="495300"/>
                  <wp:effectExtent l="0" t="0" r="6350" b="6985"/>
                  <wp:docPr id="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pic:cNvPicPr>
                            <a:picLocks noChangeAspect="1"/>
                          </pic:cNvPicPr>
                        </pic:nvPicPr>
                        <pic:blipFill>
                          <a:blip r:embed="rId35"/>
                          <a:stretch>
                            <a:fillRect/>
                          </a:stretch>
                        </pic:blipFill>
                        <pic:spPr>
                          <a:xfrm>
                            <a:off x="0" y="0"/>
                            <a:ext cx="2660650" cy="495300"/>
                          </a:xfrm>
                          <a:prstGeom prst="rect">
                            <a:avLst/>
                          </a:prstGeom>
                          <a:noFill/>
                          <a:ln>
                            <a:noFill/>
                          </a:ln>
                        </pic:spPr>
                      </pic:pic>
                    </a:graphicData>
                  </a:graphic>
                </wp:inline>
              </w:drawing>
            </w:r>
          </w:p>
          <w:p w14:paraId="545C8FB5">
            <w:pPr>
              <w:spacing w:line="360" w:lineRule="auto"/>
              <w:ind w:firstLine="480" w:firstLineChars="200"/>
              <w:rPr>
                <w:color w:val="auto"/>
                <w:sz w:val="24"/>
                <w:highlight w:val="none"/>
              </w:rPr>
            </w:pPr>
            <w:r>
              <w:rPr>
                <w:rFonts w:hint="eastAsia"/>
                <w:color w:val="auto"/>
                <w:sz w:val="24"/>
                <w:highlight w:val="none"/>
              </w:rPr>
              <w:t>式中：</w:t>
            </w:r>
            <w:r>
              <w:rPr>
                <w:color w:val="auto"/>
                <w:sz w:val="24"/>
                <w:highlight w:val="none"/>
              </w:rPr>
              <w:t>T——</w:t>
            </w:r>
            <w:r>
              <w:rPr>
                <w:rFonts w:hint="eastAsia"/>
                <w:color w:val="auto"/>
                <w:sz w:val="24"/>
                <w:highlight w:val="none"/>
              </w:rPr>
              <w:t>用于计算等效声级的时间；</w:t>
            </w:r>
          </w:p>
          <w:p w14:paraId="776C5798">
            <w:pPr>
              <w:spacing w:line="360" w:lineRule="auto"/>
              <w:ind w:firstLine="1200" w:firstLineChars="500"/>
              <w:rPr>
                <w:color w:val="auto"/>
                <w:sz w:val="24"/>
                <w:highlight w:val="none"/>
              </w:rPr>
            </w:pPr>
            <w:r>
              <w:rPr>
                <w:color w:val="auto"/>
                <w:position w:val="-12"/>
                <w:sz w:val="24"/>
                <w:highlight w:val="none"/>
              </w:rPr>
              <w:drawing>
                <wp:inline distT="0" distB="0" distL="114300" distR="114300">
                  <wp:extent cx="107950" cy="222250"/>
                  <wp:effectExtent l="0" t="0" r="1397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0"/>
                          <a:stretch>
                            <a:fillRect/>
                          </a:stretch>
                        </pic:blipFill>
                        <pic:spPr>
                          <a:xfrm>
                            <a:off x="0" y="0"/>
                            <a:ext cx="107950" cy="222250"/>
                          </a:xfrm>
                          <a:prstGeom prst="rect">
                            <a:avLst/>
                          </a:prstGeom>
                          <a:noFill/>
                          <a:ln>
                            <a:noFill/>
                          </a:ln>
                        </pic:spPr>
                      </pic:pic>
                    </a:graphicData>
                  </a:graphic>
                </wp:inline>
              </w:drawing>
            </w:r>
            <w:r>
              <w:rPr>
                <w:color w:val="auto"/>
                <w:sz w:val="24"/>
                <w:highlight w:val="none"/>
              </w:rPr>
              <w:t>——</w:t>
            </w:r>
            <w:r>
              <w:rPr>
                <w:rFonts w:hint="eastAsia"/>
                <w:color w:val="auto"/>
                <w:sz w:val="24"/>
                <w:highlight w:val="none"/>
              </w:rPr>
              <w:t>在</w:t>
            </w:r>
            <w:r>
              <w:rPr>
                <w:color w:val="auto"/>
                <w:sz w:val="24"/>
                <w:highlight w:val="none"/>
              </w:rPr>
              <w:t>T</w:t>
            </w:r>
            <w:r>
              <w:rPr>
                <w:rFonts w:hint="eastAsia"/>
                <w:color w:val="auto"/>
                <w:sz w:val="24"/>
                <w:highlight w:val="none"/>
              </w:rPr>
              <w:t>时间内</w:t>
            </w:r>
            <w:r>
              <w:rPr>
                <w:color w:val="auto"/>
                <w:sz w:val="24"/>
                <w:highlight w:val="none"/>
              </w:rPr>
              <w:t>i</w:t>
            </w:r>
            <w:r>
              <w:rPr>
                <w:rFonts w:hint="eastAsia"/>
                <w:color w:val="auto"/>
                <w:sz w:val="24"/>
                <w:highlight w:val="none"/>
              </w:rPr>
              <w:t>声源工作时间；为室外声源个数；</w:t>
            </w:r>
            <w:r>
              <w:rPr>
                <w:color w:val="auto"/>
                <w:sz w:val="24"/>
                <w:highlight w:val="none"/>
              </w:rPr>
              <w:t>N</w:t>
            </w:r>
            <w:r>
              <w:rPr>
                <w:rFonts w:hint="eastAsia"/>
                <w:color w:val="auto"/>
                <w:sz w:val="24"/>
                <w:highlight w:val="none"/>
              </w:rPr>
              <w:t>为室内声源个数；</w:t>
            </w:r>
          </w:p>
          <w:p w14:paraId="2C08599B">
            <w:pPr>
              <w:spacing w:line="360" w:lineRule="auto"/>
              <w:ind w:firstLine="1200" w:firstLineChars="500"/>
              <w:rPr>
                <w:color w:val="auto"/>
                <w:sz w:val="24"/>
                <w:highlight w:val="none"/>
              </w:rPr>
            </w:pPr>
            <w:r>
              <w:rPr>
                <w:color w:val="auto"/>
                <w:position w:val="-14"/>
                <w:sz w:val="24"/>
                <w:highlight w:val="none"/>
              </w:rPr>
              <w:drawing>
                <wp:inline distT="0" distB="0" distL="114300" distR="114300">
                  <wp:extent cx="136525" cy="222250"/>
                  <wp:effectExtent l="0" t="0" r="635" b="4445"/>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36"/>
                          <a:stretch>
                            <a:fillRect/>
                          </a:stretch>
                        </pic:blipFill>
                        <pic:spPr>
                          <a:xfrm>
                            <a:off x="0" y="0"/>
                            <a:ext cx="136525" cy="222250"/>
                          </a:xfrm>
                          <a:prstGeom prst="rect">
                            <a:avLst/>
                          </a:prstGeom>
                          <a:noFill/>
                          <a:ln>
                            <a:noFill/>
                          </a:ln>
                        </pic:spPr>
                      </pic:pic>
                    </a:graphicData>
                  </a:graphic>
                </wp:inline>
              </w:drawing>
            </w:r>
            <w:r>
              <w:rPr>
                <w:color w:val="auto"/>
                <w:sz w:val="24"/>
                <w:highlight w:val="none"/>
              </w:rPr>
              <w:t>——</w:t>
            </w:r>
            <w:r>
              <w:rPr>
                <w:rFonts w:hint="eastAsia"/>
                <w:color w:val="auto"/>
                <w:sz w:val="24"/>
                <w:highlight w:val="none"/>
              </w:rPr>
              <w:t>在</w:t>
            </w:r>
            <w:r>
              <w:rPr>
                <w:color w:val="auto"/>
                <w:sz w:val="24"/>
                <w:highlight w:val="none"/>
              </w:rPr>
              <w:t>T</w:t>
            </w:r>
            <w:r>
              <w:rPr>
                <w:rFonts w:hint="eastAsia"/>
                <w:color w:val="auto"/>
                <w:sz w:val="24"/>
                <w:highlight w:val="none"/>
              </w:rPr>
              <w:t>时间内</w:t>
            </w:r>
            <w:r>
              <w:rPr>
                <w:color w:val="auto"/>
                <w:sz w:val="24"/>
                <w:highlight w:val="none"/>
              </w:rPr>
              <w:t>j</w:t>
            </w:r>
            <w:r>
              <w:rPr>
                <w:rFonts w:hint="eastAsia"/>
                <w:color w:val="auto"/>
                <w:sz w:val="24"/>
                <w:highlight w:val="none"/>
              </w:rPr>
              <w:t>声源工作时间；</w:t>
            </w:r>
          </w:p>
          <w:p w14:paraId="62C199ED">
            <w:pPr>
              <w:snapToGrid w:val="0"/>
              <w:spacing w:line="360" w:lineRule="auto"/>
              <w:ind w:firstLine="1200" w:firstLineChars="500"/>
              <w:rPr>
                <w:color w:val="auto"/>
                <w:sz w:val="24"/>
                <w:highlight w:val="none"/>
              </w:rPr>
            </w:pPr>
            <w:r>
              <w:rPr>
                <w:color w:val="auto"/>
                <w:sz w:val="24"/>
                <w:highlight w:val="none"/>
              </w:rPr>
              <w:t>N——</w:t>
            </w:r>
            <w:r>
              <w:rPr>
                <w:rFonts w:hint="eastAsia"/>
                <w:color w:val="auto"/>
                <w:sz w:val="24"/>
                <w:highlight w:val="none"/>
              </w:rPr>
              <w:t>室外声源个数；</w:t>
            </w:r>
          </w:p>
          <w:p w14:paraId="60D95957">
            <w:pPr>
              <w:spacing w:line="360" w:lineRule="auto"/>
              <w:ind w:firstLine="1200" w:firstLineChars="500"/>
              <w:rPr>
                <w:color w:val="auto"/>
                <w:sz w:val="24"/>
                <w:highlight w:val="none"/>
              </w:rPr>
            </w:pPr>
            <w:r>
              <w:rPr>
                <w:color w:val="auto"/>
                <w:sz w:val="24"/>
                <w:highlight w:val="none"/>
              </w:rPr>
              <w:t>M——</w:t>
            </w:r>
            <w:r>
              <w:rPr>
                <w:rFonts w:hint="eastAsia"/>
                <w:color w:val="auto"/>
                <w:sz w:val="24"/>
                <w:highlight w:val="none"/>
              </w:rPr>
              <w:t>等效室外声源个数。</w:t>
            </w:r>
          </w:p>
          <w:p w14:paraId="16801139">
            <w:pPr>
              <w:pStyle w:val="9"/>
              <w:rPr>
                <w:color w:val="auto"/>
                <w:kern w:val="2"/>
                <w:szCs w:val="24"/>
                <w:highlight w:val="none"/>
              </w:rPr>
            </w:pPr>
            <w:r>
              <w:rPr>
                <w:rFonts w:hint="eastAsia"/>
                <w:b/>
                <w:bCs/>
                <w:color w:val="auto"/>
                <w:highlight w:val="none"/>
              </w:rPr>
              <w:t>4</w:t>
            </w:r>
            <w:r>
              <w:rPr>
                <w:b/>
                <w:bCs/>
                <w:color w:val="auto"/>
                <w:highlight w:val="none"/>
              </w:rPr>
              <w:t>.</w:t>
            </w:r>
            <w:r>
              <w:rPr>
                <w:rFonts w:hint="eastAsia"/>
                <w:b/>
                <w:bCs/>
                <w:color w:val="auto"/>
                <w:highlight w:val="none"/>
                <w:lang w:val="en-US" w:eastAsia="zh-CN"/>
              </w:rPr>
              <w:t>2</w:t>
            </w:r>
            <w:r>
              <w:rPr>
                <w:b/>
                <w:bCs/>
                <w:color w:val="auto"/>
                <w:highlight w:val="none"/>
              </w:rPr>
              <w:t>.</w:t>
            </w:r>
            <w:r>
              <w:rPr>
                <w:rFonts w:hint="eastAsia"/>
                <w:b/>
                <w:bCs/>
                <w:color w:val="auto"/>
                <w:highlight w:val="none"/>
                <w:lang w:val="en-US" w:eastAsia="zh-CN"/>
              </w:rPr>
              <w:t>3</w:t>
            </w:r>
            <w:r>
              <w:rPr>
                <w:rFonts w:hint="eastAsia"/>
                <w:b/>
                <w:bCs/>
                <w:color w:val="auto"/>
                <w:highlight w:val="none"/>
              </w:rPr>
              <w:t>预测</w:t>
            </w:r>
            <w:r>
              <w:rPr>
                <w:rFonts w:hint="eastAsia"/>
                <w:b/>
                <w:bCs/>
                <w:color w:val="auto"/>
                <w:highlight w:val="none"/>
                <w:lang w:val="en-US" w:eastAsia="zh-CN"/>
              </w:rPr>
              <w:t>结果</w:t>
            </w:r>
          </w:p>
          <w:p w14:paraId="2C92C3E9">
            <w:pPr>
              <w:spacing w:line="360" w:lineRule="auto"/>
              <w:ind w:firstLine="480" w:firstLineChars="200"/>
              <w:rPr>
                <w:color w:val="auto"/>
                <w:sz w:val="24"/>
                <w:highlight w:val="none"/>
              </w:rPr>
            </w:pPr>
            <w:r>
              <w:rPr>
                <w:rFonts w:hint="eastAsia"/>
                <w:color w:val="auto"/>
                <w:sz w:val="24"/>
                <w:highlight w:val="none"/>
                <w:lang w:val="en-US" w:eastAsia="zh-CN"/>
              </w:rPr>
              <w:t>本项目为8小时工作制，夜间不生产。</w:t>
            </w:r>
            <w:r>
              <w:rPr>
                <w:rFonts w:hint="eastAsia"/>
                <w:color w:val="auto"/>
                <w:sz w:val="24"/>
                <w:highlight w:val="none"/>
              </w:rPr>
              <w:t>根据该项目噪声源分布情况，噪声预测结果如下</w:t>
            </w:r>
            <w:r>
              <w:rPr>
                <w:rFonts w:hint="eastAsia"/>
                <w:color w:val="auto"/>
                <w:sz w:val="24"/>
                <w:highlight w:val="none"/>
                <w:lang w:eastAsia="zh-CN"/>
              </w:rPr>
              <w:t>。</w:t>
            </w:r>
          </w:p>
          <w:p w14:paraId="4FB58B65">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 xml:space="preserve">9 </w:t>
            </w:r>
            <w:r>
              <w:rPr>
                <w:rFonts w:hint="eastAsia" w:ascii="Times New Roman" w:hAnsi="Times New Roman" w:eastAsia="宋体" w:cs="Times New Roman"/>
                <w:b/>
                <w:bCs/>
                <w:color w:val="auto"/>
                <w:kern w:val="2"/>
                <w:sz w:val="21"/>
                <w:szCs w:val="21"/>
                <w:highlight w:val="none"/>
                <w:lang w:val="en-US" w:eastAsia="zh-CN" w:bidi="ar-SA"/>
              </w:rPr>
              <w:t xml:space="preserve">  项目厂界噪声预测结果       单位：dB(A)</w:t>
            </w:r>
          </w:p>
          <w:tbl>
            <w:tblPr>
              <w:tblStyle w:val="27"/>
              <w:tblW w:w="7893"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1719"/>
              <w:gridCol w:w="1706"/>
              <w:gridCol w:w="1706"/>
              <w:gridCol w:w="1703"/>
            </w:tblGrid>
            <w:tr w14:paraId="076CC3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67E70C59">
                  <w:pPr>
                    <w:pStyle w:val="13"/>
                    <w:spacing w:line="240" w:lineRule="auto"/>
                    <w:ind w:left="0"/>
                    <w:jc w:val="center"/>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rPr>
                    <w:t>预测点</w:t>
                  </w:r>
                </w:p>
              </w:tc>
              <w:tc>
                <w:tcPr>
                  <w:tcW w:w="1088" w:type="pct"/>
                  <w:noWrap w:val="0"/>
                  <w:vAlign w:val="center"/>
                </w:tcPr>
                <w:p w14:paraId="72C4E696">
                  <w:pPr>
                    <w:pStyle w:val="13"/>
                    <w:spacing w:line="240" w:lineRule="auto"/>
                    <w:ind w:left="0"/>
                    <w:jc w:val="center"/>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rPr>
                    <w:t>东厂界</w:t>
                  </w:r>
                </w:p>
              </w:tc>
              <w:tc>
                <w:tcPr>
                  <w:tcW w:w="1080" w:type="pct"/>
                  <w:noWrap w:val="0"/>
                  <w:vAlign w:val="center"/>
                </w:tcPr>
                <w:p w14:paraId="5517086B">
                  <w:pPr>
                    <w:pStyle w:val="13"/>
                    <w:spacing w:line="240" w:lineRule="auto"/>
                    <w:ind w:left="0"/>
                    <w:jc w:val="center"/>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rPr>
                    <w:t>西厂界</w:t>
                  </w:r>
                </w:p>
              </w:tc>
              <w:tc>
                <w:tcPr>
                  <w:tcW w:w="1080" w:type="pct"/>
                  <w:noWrap w:val="0"/>
                  <w:vAlign w:val="center"/>
                </w:tcPr>
                <w:p w14:paraId="08E434AB">
                  <w:pPr>
                    <w:pStyle w:val="13"/>
                    <w:spacing w:line="240" w:lineRule="auto"/>
                    <w:ind w:left="0"/>
                    <w:jc w:val="center"/>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rPr>
                    <w:t>南厂界</w:t>
                  </w:r>
                </w:p>
              </w:tc>
              <w:tc>
                <w:tcPr>
                  <w:tcW w:w="1078" w:type="pct"/>
                  <w:noWrap w:val="0"/>
                  <w:vAlign w:val="center"/>
                </w:tcPr>
                <w:p w14:paraId="725B18FB">
                  <w:pPr>
                    <w:pStyle w:val="13"/>
                    <w:spacing w:line="240" w:lineRule="auto"/>
                    <w:ind w:left="0"/>
                    <w:jc w:val="center"/>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rPr>
                    <w:t>北厂界</w:t>
                  </w:r>
                </w:p>
              </w:tc>
            </w:tr>
            <w:tr w14:paraId="7D2C3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63749864">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预测</w:t>
                  </w:r>
                </w:p>
                <w:p w14:paraId="26720E19">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时段</w:t>
                  </w:r>
                </w:p>
              </w:tc>
              <w:tc>
                <w:tcPr>
                  <w:tcW w:w="1088" w:type="pct"/>
                  <w:noWrap w:val="0"/>
                  <w:vAlign w:val="center"/>
                </w:tcPr>
                <w:p w14:paraId="25CCC7F2">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昼间</w:t>
                  </w:r>
                </w:p>
              </w:tc>
              <w:tc>
                <w:tcPr>
                  <w:tcW w:w="1080" w:type="pct"/>
                  <w:noWrap w:val="0"/>
                  <w:vAlign w:val="center"/>
                </w:tcPr>
                <w:p w14:paraId="1E9BF44B">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昼间</w:t>
                  </w:r>
                </w:p>
              </w:tc>
              <w:tc>
                <w:tcPr>
                  <w:tcW w:w="1080" w:type="pct"/>
                  <w:noWrap w:val="0"/>
                  <w:vAlign w:val="center"/>
                </w:tcPr>
                <w:p w14:paraId="73F94F31">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昼间</w:t>
                  </w:r>
                </w:p>
              </w:tc>
              <w:tc>
                <w:tcPr>
                  <w:tcW w:w="1078" w:type="pct"/>
                  <w:noWrap w:val="0"/>
                  <w:vAlign w:val="center"/>
                </w:tcPr>
                <w:p w14:paraId="45A7FFC1">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昼间</w:t>
                  </w:r>
                </w:p>
              </w:tc>
            </w:tr>
            <w:tr w14:paraId="652DB7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53E9F4D3">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贡献值</w:t>
                  </w:r>
                </w:p>
              </w:tc>
              <w:tc>
                <w:tcPr>
                  <w:tcW w:w="1088" w:type="pct"/>
                  <w:noWrap w:val="0"/>
                  <w:vAlign w:val="center"/>
                </w:tcPr>
                <w:p w14:paraId="5FDE8CC9">
                  <w:pPr>
                    <w:jc w:val="center"/>
                    <w:rPr>
                      <w:rFonts w:hint="eastAsia" w:ascii="Times New Roman" w:hAnsi="Times New Roman" w:cs="Times New Roman" w:eastAsiaTheme="minorEastAsia"/>
                      <w:color w:val="auto"/>
                      <w:kern w:val="2"/>
                      <w:sz w:val="21"/>
                      <w:szCs w:val="21"/>
                      <w:highlight w:val="none"/>
                      <w:lang w:eastAsia="zh-CN"/>
                    </w:rPr>
                  </w:pPr>
                  <w:r>
                    <w:rPr>
                      <w:rFonts w:hint="default" w:ascii="Times New Roman" w:hAnsi="Times New Roman" w:cs="Times New Roman" w:eastAsiaTheme="minorEastAsia"/>
                      <w:color w:val="auto"/>
                      <w:sz w:val="21"/>
                      <w:szCs w:val="21"/>
                      <w:highlight w:val="none"/>
                    </w:rPr>
                    <w:t>2</w:t>
                  </w:r>
                  <w:r>
                    <w:rPr>
                      <w:rFonts w:hint="eastAsia" w:ascii="Times New Roman" w:hAnsi="Times New Roman" w:cs="Times New Roman" w:eastAsiaTheme="minorEastAsia"/>
                      <w:color w:val="auto"/>
                      <w:sz w:val="21"/>
                      <w:szCs w:val="21"/>
                      <w:highlight w:val="none"/>
                      <w:lang w:val="en-US" w:eastAsia="zh-CN"/>
                    </w:rPr>
                    <w:t>7</w:t>
                  </w:r>
                </w:p>
              </w:tc>
              <w:tc>
                <w:tcPr>
                  <w:tcW w:w="1080" w:type="pct"/>
                  <w:noWrap w:val="0"/>
                  <w:vAlign w:val="center"/>
                </w:tcPr>
                <w:p w14:paraId="71B103FD">
                  <w:pPr>
                    <w:jc w:val="center"/>
                    <w:rPr>
                      <w:rFonts w:hint="default" w:ascii="Times New Roman" w:hAnsi="Times New Roman" w:cs="Times New Roman" w:eastAsiaTheme="minorEastAsia"/>
                      <w:color w:val="auto"/>
                      <w:kern w:val="2"/>
                      <w:sz w:val="21"/>
                      <w:szCs w:val="21"/>
                      <w:highlight w:val="none"/>
                      <w:lang w:val="en-US"/>
                    </w:rPr>
                  </w:pPr>
                  <w:r>
                    <w:rPr>
                      <w:rFonts w:hint="eastAsia" w:ascii="Times New Roman" w:hAnsi="Times New Roman" w:cs="Times New Roman" w:eastAsiaTheme="minorEastAsia"/>
                      <w:color w:val="auto"/>
                      <w:sz w:val="21"/>
                      <w:szCs w:val="21"/>
                      <w:highlight w:val="none"/>
                      <w:lang w:val="en-US" w:eastAsia="zh-CN"/>
                    </w:rPr>
                    <w:t>22</w:t>
                  </w:r>
                </w:p>
              </w:tc>
              <w:tc>
                <w:tcPr>
                  <w:tcW w:w="1080" w:type="pct"/>
                  <w:noWrap w:val="0"/>
                  <w:vAlign w:val="center"/>
                </w:tcPr>
                <w:p w14:paraId="33B15CD0">
                  <w:pPr>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w:t>
                  </w:r>
                  <w:r>
                    <w:rPr>
                      <w:rFonts w:hint="eastAsia" w:ascii="Times New Roman" w:hAnsi="Times New Roman" w:cs="Times New Roman" w:eastAsiaTheme="minorEastAsia"/>
                      <w:color w:val="auto"/>
                      <w:sz w:val="21"/>
                      <w:szCs w:val="21"/>
                      <w:highlight w:val="none"/>
                      <w:lang w:val="en-US" w:eastAsia="zh-CN"/>
                    </w:rPr>
                    <w:t>6</w:t>
                  </w:r>
                </w:p>
              </w:tc>
              <w:tc>
                <w:tcPr>
                  <w:tcW w:w="1078" w:type="pct"/>
                  <w:noWrap w:val="0"/>
                  <w:vAlign w:val="center"/>
                </w:tcPr>
                <w:p w14:paraId="18AA2A96">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37</w:t>
                  </w:r>
                </w:p>
              </w:tc>
            </w:tr>
            <w:tr w14:paraId="5986F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554A52C9">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背景值</w:t>
                  </w:r>
                </w:p>
              </w:tc>
              <w:tc>
                <w:tcPr>
                  <w:tcW w:w="1088" w:type="pct"/>
                  <w:noWrap w:val="0"/>
                  <w:vAlign w:val="center"/>
                </w:tcPr>
                <w:p w14:paraId="2D911491">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49</w:t>
                  </w:r>
                </w:p>
              </w:tc>
              <w:tc>
                <w:tcPr>
                  <w:tcW w:w="1080" w:type="pct"/>
                  <w:noWrap w:val="0"/>
                  <w:vAlign w:val="center"/>
                </w:tcPr>
                <w:p w14:paraId="3A0555A5">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46</w:t>
                  </w:r>
                </w:p>
              </w:tc>
              <w:tc>
                <w:tcPr>
                  <w:tcW w:w="1080" w:type="pct"/>
                  <w:noWrap w:val="0"/>
                  <w:vAlign w:val="center"/>
                </w:tcPr>
                <w:p w14:paraId="77873281">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47</w:t>
                  </w:r>
                </w:p>
              </w:tc>
              <w:tc>
                <w:tcPr>
                  <w:tcW w:w="1078" w:type="pct"/>
                  <w:noWrap w:val="0"/>
                  <w:vAlign w:val="center"/>
                </w:tcPr>
                <w:p w14:paraId="707D9332">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51</w:t>
                  </w:r>
                </w:p>
              </w:tc>
            </w:tr>
            <w:tr w14:paraId="7C011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31E2F434">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eastAsia" w:ascii="Times New Roman" w:hAnsi="Times New Roman" w:cs="Times New Roman" w:eastAsiaTheme="minorEastAsia"/>
                      <w:color w:val="auto"/>
                      <w:kern w:val="2"/>
                      <w:sz w:val="21"/>
                      <w:szCs w:val="21"/>
                      <w:highlight w:val="none"/>
                      <w:lang w:val="en-US" w:eastAsia="zh-CN"/>
                    </w:rPr>
                    <w:t>预测</w:t>
                  </w:r>
                  <w:r>
                    <w:rPr>
                      <w:rFonts w:hint="default" w:ascii="Times New Roman" w:hAnsi="Times New Roman" w:cs="Times New Roman" w:eastAsiaTheme="minorEastAsia"/>
                      <w:color w:val="auto"/>
                      <w:kern w:val="2"/>
                      <w:sz w:val="21"/>
                      <w:szCs w:val="21"/>
                      <w:highlight w:val="none"/>
                    </w:rPr>
                    <w:t>值</w:t>
                  </w:r>
                </w:p>
              </w:tc>
              <w:tc>
                <w:tcPr>
                  <w:tcW w:w="1088" w:type="pct"/>
                  <w:noWrap w:val="0"/>
                  <w:vAlign w:val="center"/>
                </w:tcPr>
                <w:p w14:paraId="59ACFF72">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49</w:t>
                  </w:r>
                </w:p>
              </w:tc>
              <w:tc>
                <w:tcPr>
                  <w:tcW w:w="1080" w:type="pct"/>
                  <w:noWrap w:val="0"/>
                  <w:vAlign w:val="center"/>
                </w:tcPr>
                <w:p w14:paraId="1E05DE18">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46</w:t>
                  </w:r>
                </w:p>
              </w:tc>
              <w:tc>
                <w:tcPr>
                  <w:tcW w:w="1080" w:type="pct"/>
                  <w:noWrap w:val="0"/>
                  <w:vAlign w:val="center"/>
                </w:tcPr>
                <w:p w14:paraId="5AD1E2BA">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47</w:t>
                  </w:r>
                </w:p>
              </w:tc>
              <w:tc>
                <w:tcPr>
                  <w:tcW w:w="1078" w:type="pct"/>
                  <w:noWrap w:val="0"/>
                  <w:vAlign w:val="center"/>
                </w:tcPr>
                <w:p w14:paraId="11A1704B">
                  <w:pPr>
                    <w:jc w:val="center"/>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51</w:t>
                  </w:r>
                </w:p>
              </w:tc>
            </w:tr>
            <w:tr w14:paraId="12F80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0" w:type="pct"/>
                  <w:noWrap w:val="0"/>
                  <w:vAlign w:val="center"/>
                </w:tcPr>
                <w:p w14:paraId="4A02E96E">
                  <w:pPr>
                    <w:pStyle w:val="13"/>
                    <w:spacing w:line="240" w:lineRule="auto"/>
                    <w:ind w:left="0"/>
                    <w:jc w:val="center"/>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rPr>
                    <w:t>标准值</w:t>
                  </w:r>
                </w:p>
              </w:tc>
              <w:tc>
                <w:tcPr>
                  <w:tcW w:w="1088" w:type="pct"/>
                  <w:noWrap w:val="0"/>
                  <w:vAlign w:val="center"/>
                </w:tcPr>
                <w:p w14:paraId="2611208A">
                  <w:pPr>
                    <w:jc w:val="center"/>
                    <w:rPr>
                      <w:rFonts w:hint="default" w:ascii="Times New Roman" w:hAnsi="Times New Roman" w:cs="Times New Roman" w:eastAsiaTheme="minorEastAsia"/>
                      <w:color w:val="auto"/>
                      <w:kern w:val="2"/>
                      <w:sz w:val="21"/>
                      <w:szCs w:val="21"/>
                      <w:highlight w:val="none"/>
                      <w:lang w:eastAsia="zh-CN"/>
                    </w:rPr>
                  </w:pPr>
                  <w:r>
                    <w:rPr>
                      <w:rFonts w:hint="default" w:ascii="Times New Roman" w:hAnsi="Times New Roman" w:cs="Times New Roman" w:eastAsiaTheme="minorEastAsia"/>
                      <w:color w:val="auto"/>
                      <w:sz w:val="21"/>
                      <w:szCs w:val="21"/>
                      <w:highlight w:val="none"/>
                    </w:rPr>
                    <w:t>6</w:t>
                  </w:r>
                  <w:r>
                    <w:rPr>
                      <w:rFonts w:hint="default" w:ascii="Times New Roman" w:hAnsi="Times New Roman" w:cs="Times New Roman" w:eastAsiaTheme="minorEastAsia"/>
                      <w:color w:val="auto"/>
                      <w:sz w:val="21"/>
                      <w:szCs w:val="21"/>
                      <w:highlight w:val="none"/>
                      <w:lang w:val="en-US" w:eastAsia="zh-CN"/>
                    </w:rPr>
                    <w:t>0</w:t>
                  </w:r>
                </w:p>
              </w:tc>
              <w:tc>
                <w:tcPr>
                  <w:tcW w:w="1080" w:type="pct"/>
                  <w:noWrap w:val="0"/>
                  <w:vAlign w:val="center"/>
                </w:tcPr>
                <w:p w14:paraId="1C23BDA7">
                  <w:pPr>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70</w:t>
                  </w:r>
                </w:p>
              </w:tc>
              <w:tc>
                <w:tcPr>
                  <w:tcW w:w="1080" w:type="pct"/>
                  <w:noWrap w:val="0"/>
                  <w:vAlign w:val="center"/>
                </w:tcPr>
                <w:p w14:paraId="323370DD">
                  <w:pPr>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6</w:t>
                  </w:r>
                  <w:r>
                    <w:rPr>
                      <w:rFonts w:hint="default" w:ascii="Times New Roman" w:hAnsi="Times New Roman" w:cs="Times New Roman" w:eastAsiaTheme="minorEastAsia"/>
                      <w:color w:val="auto"/>
                      <w:sz w:val="21"/>
                      <w:szCs w:val="21"/>
                      <w:highlight w:val="none"/>
                      <w:lang w:val="en-US" w:eastAsia="zh-CN"/>
                    </w:rPr>
                    <w:t>0</w:t>
                  </w:r>
                </w:p>
              </w:tc>
              <w:tc>
                <w:tcPr>
                  <w:tcW w:w="1078" w:type="pct"/>
                  <w:noWrap w:val="0"/>
                  <w:vAlign w:val="center"/>
                </w:tcPr>
                <w:p w14:paraId="19B44671">
                  <w:pPr>
                    <w:jc w:val="center"/>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sz w:val="21"/>
                      <w:szCs w:val="21"/>
                      <w:highlight w:val="none"/>
                    </w:rPr>
                    <w:t>6</w:t>
                  </w:r>
                  <w:r>
                    <w:rPr>
                      <w:rFonts w:hint="default" w:ascii="Times New Roman" w:hAnsi="Times New Roman" w:cs="Times New Roman" w:eastAsiaTheme="minorEastAsia"/>
                      <w:color w:val="auto"/>
                      <w:sz w:val="21"/>
                      <w:szCs w:val="21"/>
                      <w:highlight w:val="none"/>
                      <w:lang w:val="en-US" w:eastAsia="zh-CN"/>
                    </w:rPr>
                    <w:t>0</w:t>
                  </w:r>
                </w:p>
              </w:tc>
            </w:tr>
          </w:tbl>
          <w:p w14:paraId="1FD48619">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bCs/>
                <w:color w:val="auto"/>
                <w:sz w:val="24"/>
                <w:highlight w:val="none"/>
              </w:rPr>
            </w:pPr>
            <w:r>
              <w:rPr>
                <w:rFonts w:hint="eastAsia"/>
                <w:bCs/>
                <w:color w:val="auto"/>
                <w:sz w:val="24"/>
                <w:highlight w:val="none"/>
              </w:rPr>
              <w:t>由上表可知，本项目</w:t>
            </w:r>
            <w:r>
              <w:rPr>
                <w:rFonts w:hint="eastAsia"/>
                <w:bCs/>
                <w:color w:val="auto"/>
                <w:sz w:val="24"/>
                <w:highlight w:val="none"/>
                <w:lang w:val="en-US" w:eastAsia="zh-CN"/>
              </w:rPr>
              <w:t>位于</w:t>
            </w:r>
            <w:r>
              <w:rPr>
                <w:rFonts w:hint="eastAsia"/>
                <w:color w:val="auto"/>
                <w:sz w:val="24"/>
                <w:highlight w:val="none"/>
              </w:rPr>
              <w:t>核工业二0三研究所</w:t>
            </w:r>
            <w:r>
              <w:rPr>
                <w:rFonts w:hint="eastAsia"/>
                <w:color w:val="auto"/>
                <w:sz w:val="24"/>
                <w:highlight w:val="none"/>
                <w:lang w:eastAsia="zh-CN"/>
              </w:rPr>
              <w:t>科技综合楼</w:t>
            </w:r>
            <w:r>
              <w:rPr>
                <w:rFonts w:hint="eastAsia"/>
                <w:color w:val="auto"/>
                <w:sz w:val="24"/>
                <w:highlight w:val="none"/>
              </w:rPr>
              <w:t>B座</w:t>
            </w:r>
            <w:r>
              <w:rPr>
                <w:rFonts w:hint="eastAsia"/>
                <w:bCs/>
                <w:color w:val="auto"/>
                <w:sz w:val="24"/>
                <w:highlight w:val="none"/>
              </w:rPr>
              <w:t>，且周边50m范围内无环境保护目标，因此在采取基础减振、隔声等控制措施后，项目东、南、北厂界噪声昼间</w:t>
            </w:r>
            <w:r>
              <w:rPr>
                <w:rFonts w:hint="eastAsia"/>
                <w:bCs/>
                <w:color w:val="auto"/>
                <w:sz w:val="24"/>
                <w:highlight w:val="none"/>
                <w:lang w:val="en-US" w:eastAsia="zh-CN"/>
              </w:rPr>
              <w:t>预测</w:t>
            </w:r>
            <w:r>
              <w:rPr>
                <w:rFonts w:hint="eastAsia"/>
                <w:bCs/>
                <w:color w:val="auto"/>
                <w:sz w:val="24"/>
                <w:highlight w:val="none"/>
              </w:rPr>
              <w:t>值满足《工业企业厂界环境噪声排放标准》（GB12348-2008）</w:t>
            </w:r>
            <w:r>
              <w:rPr>
                <w:rFonts w:hint="eastAsia"/>
                <w:bCs/>
                <w:color w:val="auto"/>
                <w:sz w:val="24"/>
                <w:highlight w:val="none"/>
                <w:lang w:val="en-US" w:eastAsia="zh-CN"/>
              </w:rPr>
              <w:t>2</w:t>
            </w:r>
            <w:r>
              <w:rPr>
                <w:rFonts w:hint="eastAsia"/>
                <w:bCs/>
                <w:color w:val="auto"/>
                <w:sz w:val="24"/>
                <w:highlight w:val="none"/>
              </w:rPr>
              <w:t>类标准要求</w:t>
            </w:r>
            <w:r>
              <w:rPr>
                <w:rFonts w:hint="eastAsia"/>
                <w:bCs/>
                <w:color w:val="auto"/>
                <w:sz w:val="24"/>
                <w:highlight w:val="none"/>
                <w:lang w:eastAsia="zh-CN"/>
              </w:rPr>
              <w:t>，</w:t>
            </w:r>
            <w:r>
              <w:rPr>
                <w:rFonts w:hint="eastAsia"/>
                <w:bCs/>
                <w:color w:val="auto"/>
                <w:sz w:val="24"/>
                <w:highlight w:val="none"/>
                <w:lang w:val="en-US" w:eastAsia="zh-CN"/>
              </w:rPr>
              <w:t>西厂界</w:t>
            </w:r>
            <w:r>
              <w:rPr>
                <w:rFonts w:hint="eastAsia"/>
                <w:bCs/>
                <w:color w:val="auto"/>
                <w:sz w:val="24"/>
                <w:highlight w:val="none"/>
              </w:rPr>
              <w:t>噪声昼间</w:t>
            </w:r>
            <w:r>
              <w:rPr>
                <w:rFonts w:hint="eastAsia"/>
                <w:bCs/>
                <w:color w:val="auto"/>
                <w:sz w:val="24"/>
                <w:highlight w:val="none"/>
                <w:lang w:val="en-US" w:eastAsia="zh-CN"/>
              </w:rPr>
              <w:t>预测</w:t>
            </w:r>
            <w:r>
              <w:rPr>
                <w:rFonts w:hint="eastAsia"/>
                <w:bCs/>
                <w:color w:val="auto"/>
                <w:sz w:val="24"/>
                <w:highlight w:val="none"/>
              </w:rPr>
              <w:t>值满足《工业企业厂界环境噪声排放标准》（GB12348-2008）</w:t>
            </w:r>
            <w:r>
              <w:rPr>
                <w:rFonts w:hint="eastAsia"/>
                <w:bCs/>
                <w:color w:val="auto"/>
                <w:sz w:val="24"/>
                <w:highlight w:val="none"/>
                <w:lang w:val="en-US" w:eastAsia="zh-CN"/>
              </w:rPr>
              <w:t>4</w:t>
            </w:r>
            <w:r>
              <w:rPr>
                <w:rFonts w:hint="eastAsia"/>
                <w:bCs/>
                <w:color w:val="auto"/>
                <w:sz w:val="24"/>
                <w:highlight w:val="none"/>
              </w:rPr>
              <w:t>类标准要求。</w:t>
            </w:r>
          </w:p>
          <w:p w14:paraId="0590F66C">
            <w:pPr>
              <w:pStyle w:val="9"/>
              <w:rPr>
                <w:rFonts w:hint="eastAsia"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4.</w:t>
            </w: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lang w:val="en-US" w:eastAsia="zh-CN"/>
              </w:rPr>
              <w:t>4</w:t>
            </w:r>
            <w:r>
              <w:rPr>
                <w:rFonts w:hint="eastAsia" w:ascii="Times New Roman" w:hAnsi="Times New Roman" w:eastAsia="宋体" w:cs="Times New Roman"/>
                <w:b/>
                <w:bCs/>
                <w:color w:val="auto"/>
                <w:highlight w:val="none"/>
              </w:rPr>
              <w:t>噪声监测计划</w:t>
            </w:r>
          </w:p>
          <w:p w14:paraId="4831AF88">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bCs/>
                <w:color w:val="auto"/>
                <w:sz w:val="24"/>
                <w:highlight w:val="none"/>
              </w:rPr>
            </w:pPr>
            <w:r>
              <w:rPr>
                <w:rFonts w:hint="eastAsia"/>
                <w:bCs/>
                <w:color w:val="auto"/>
                <w:sz w:val="24"/>
                <w:highlight w:val="none"/>
              </w:rPr>
              <w:t>根据《排污单位自行监测技术指南 总则》（HJ819-2017），项目噪声监测计划见表4-</w:t>
            </w:r>
            <w:r>
              <w:rPr>
                <w:rFonts w:hint="eastAsia"/>
                <w:bCs/>
                <w:color w:val="auto"/>
                <w:sz w:val="24"/>
                <w:highlight w:val="none"/>
                <w:lang w:val="en-US" w:eastAsia="zh-CN"/>
              </w:rPr>
              <w:t>10</w:t>
            </w:r>
            <w:r>
              <w:rPr>
                <w:rFonts w:hint="eastAsia"/>
                <w:bCs/>
                <w:color w:val="auto"/>
                <w:sz w:val="24"/>
                <w:highlight w:val="none"/>
              </w:rPr>
              <w:t>。</w:t>
            </w:r>
          </w:p>
          <w:p w14:paraId="0849EFB3">
            <w:pPr>
              <w:pStyle w:val="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表4-</w:t>
            </w:r>
            <w:r>
              <w:rPr>
                <w:rFonts w:hint="eastAsia" w:cs="Times New Roman"/>
                <w:b/>
                <w:bCs/>
                <w:color w:val="auto"/>
                <w:kern w:val="2"/>
                <w:sz w:val="21"/>
                <w:szCs w:val="21"/>
                <w:highlight w:val="none"/>
                <w:lang w:val="en-US" w:eastAsia="zh-CN" w:bidi="ar-SA"/>
              </w:rPr>
              <w:t xml:space="preserve">10 </w:t>
            </w:r>
            <w:r>
              <w:rPr>
                <w:rFonts w:hint="eastAsia" w:ascii="Times New Roman" w:hAnsi="Times New Roman" w:eastAsia="宋体" w:cs="Times New Roman"/>
                <w:b/>
                <w:bCs/>
                <w:color w:val="auto"/>
                <w:kern w:val="2"/>
                <w:sz w:val="21"/>
                <w:szCs w:val="21"/>
                <w:highlight w:val="none"/>
                <w:lang w:val="en-US" w:eastAsia="zh-CN" w:bidi="ar-SA"/>
              </w:rPr>
              <w:t xml:space="preserve"> 运营期环境监测一览表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793"/>
              <w:gridCol w:w="1710"/>
              <w:gridCol w:w="1080"/>
              <w:gridCol w:w="2687"/>
            </w:tblGrid>
            <w:tr w14:paraId="43EAD1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noWrap w:val="0"/>
                  <w:vAlign w:val="center"/>
                </w:tcPr>
                <w:p w14:paraId="0BC179CD">
                  <w:pPr>
                    <w:widowControl/>
                    <w:spacing w:line="300" w:lineRule="exact"/>
                    <w:jc w:val="center"/>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类别</w:t>
                  </w:r>
                </w:p>
              </w:tc>
              <w:tc>
                <w:tcPr>
                  <w:tcW w:w="1793" w:type="dxa"/>
                  <w:noWrap w:val="0"/>
                  <w:vAlign w:val="center"/>
                </w:tcPr>
                <w:p w14:paraId="10FD4CF1">
                  <w:pPr>
                    <w:widowControl/>
                    <w:spacing w:line="300" w:lineRule="exact"/>
                    <w:jc w:val="center"/>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监测点名称</w:t>
                  </w:r>
                </w:p>
              </w:tc>
              <w:tc>
                <w:tcPr>
                  <w:tcW w:w="1710" w:type="dxa"/>
                  <w:noWrap w:val="0"/>
                  <w:vAlign w:val="center"/>
                </w:tcPr>
                <w:p w14:paraId="762B80CE">
                  <w:pPr>
                    <w:widowControl/>
                    <w:spacing w:line="300" w:lineRule="exact"/>
                    <w:jc w:val="center"/>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监测项目</w:t>
                  </w:r>
                </w:p>
              </w:tc>
              <w:tc>
                <w:tcPr>
                  <w:tcW w:w="1080" w:type="dxa"/>
                  <w:noWrap w:val="0"/>
                  <w:vAlign w:val="center"/>
                </w:tcPr>
                <w:p w14:paraId="23A020A7">
                  <w:pPr>
                    <w:widowControl/>
                    <w:spacing w:line="300" w:lineRule="exact"/>
                    <w:jc w:val="center"/>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监测频率</w:t>
                  </w:r>
                </w:p>
              </w:tc>
              <w:tc>
                <w:tcPr>
                  <w:tcW w:w="2687" w:type="dxa"/>
                  <w:noWrap w:val="0"/>
                  <w:vAlign w:val="center"/>
                </w:tcPr>
                <w:p w14:paraId="6D7795B2">
                  <w:pPr>
                    <w:widowControl/>
                    <w:spacing w:line="300" w:lineRule="exact"/>
                    <w:jc w:val="center"/>
                    <w:rPr>
                      <w:rFonts w:hint="default" w:ascii="Times New Roman" w:hAnsi="Times New Roman" w:cs="Times New Roman" w:eastAsiaTheme="minorEastAsia"/>
                      <w:b/>
                      <w:bCs/>
                      <w:color w:val="auto"/>
                      <w:kern w:val="0"/>
                      <w:sz w:val="21"/>
                      <w:szCs w:val="21"/>
                      <w:highlight w:val="none"/>
                    </w:rPr>
                  </w:pPr>
                  <w:r>
                    <w:rPr>
                      <w:rFonts w:hint="default" w:ascii="Times New Roman" w:hAnsi="Times New Roman" w:cs="Times New Roman" w:eastAsiaTheme="minorEastAsia"/>
                      <w:b/>
                      <w:bCs/>
                      <w:color w:val="auto"/>
                      <w:kern w:val="0"/>
                      <w:sz w:val="21"/>
                      <w:szCs w:val="21"/>
                      <w:highlight w:val="none"/>
                    </w:rPr>
                    <w:t>执行标准</w:t>
                  </w:r>
                </w:p>
              </w:tc>
            </w:tr>
            <w:tr w14:paraId="29C19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noWrap w:val="0"/>
                  <w:vAlign w:val="center"/>
                </w:tcPr>
                <w:p w14:paraId="26342032">
                  <w:pPr>
                    <w:widowControl/>
                    <w:spacing w:line="300" w:lineRule="exact"/>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噪声</w:t>
                  </w:r>
                </w:p>
              </w:tc>
              <w:tc>
                <w:tcPr>
                  <w:tcW w:w="1793" w:type="dxa"/>
                  <w:noWrap w:val="0"/>
                  <w:vAlign w:val="center"/>
                </w:tcPr>
                <w:p w14:paraId="2A83496E">
                  <w:pPr>
                    <w:widowControl/>
                    <w:spacing w:line="300" w:lineRule="exact"/>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厂界四周</w:t>
                  </w:r>
                </w:p>
              </w:tc>
              <w:tc>
                <w:tcPr>
                  <w:tcW w:w="1710" w:type="dxa"/>
                  <w:noWrap w:val="0"/>
                  <w:vAlign w:val="center"/>
                </w:tcPr>
                <w:p w14:paraId="09F54AF2">
                  <w:pPr>
                    <w:widowControl/>
                    <w:spacing w:line="300" w:lineRule="exact"/>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sz w:val="21"/>
                      <w:szCs w:val="21"/>
                      <w:highlight w:val="none"/>
                    </w:rPr>
                    <w:t>等效声级</w:t>
                  </w:r>
                </w:p>
              </w:tc>
              <w:tc>
                <w:tcPr>
                  <w:tcW w:w="1080" w:type="dxa"/>
                  <w:noWrap w:val="0"/>
                  <w:vAlign w:val="center"/>
                </w:tcPr>
                <w:p w14:paraId="2CC38316">
                  <w:pPr>
                    <w:spacing w:line="300" w:lineRule="exact"/>
                    <w:ind w:left="-105" w:leftChars="-50" w:right="-105" w:rightChars="-5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val="en-US" w:eastAsia="zh-CN"/>
                    </w:rPr>
                    <w:t>4</w:t>
                  </w:r>
                  <w:r>
                    <w:rPr>
                      <w:rFonts w:hint="default" w:ascii="Times New Roman" w:hAnsi="Times New Roman" w:cs="Times New Roman" w:eastAsiaTheme="minorEastAsia"/>
                      <w:color w:val="auto"/>
                      <w:sz w:val="21"/>
                      <w:szCs w:val="21"/>
                      <w:highlight w:val="none"/>
                    </w:rPr>
                    <w:t>次/</w:t>
                  </w:r>
                  <w:r>
                    <w:rPr>
                      <w:rFonts w:hint="default" w:ascii="Times New Roman" w:hAnsi="Times New Roman" w:cs="Times New Roman" w:eastAsiaTheme="minorEastAsia"/>
                      <w:color w:val="auto"/>
                      <w:sz w:val="21"/>
                      <w:szCs w:val="21"/>
                      <w:highlight w:val="none"/>
                      <w:lang w:val="en-US" w:eastAsia="zh-CN"/>
                    </w:rPr>
                    <w:t>年</w:t>
                  </w:r>
                </w:p>
              </w:tc>
              <w:tc>
                <w:tcPr>
                  <w:tcW w:w="2687" w:type="dxa"/>
                  <w:noWrap w:val="0"/>
                  <w:vAlign w:val="center"/>
                </w:tcPr>
                <w:p w14:paraId="4E9A65DE">
                  <w:pPr>
                    <w:spacing w:line="300" w:lineRule="exact"/>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bCs/>
                      <w:color w:val="auto"/>
                      <w:sz w:val="21"/>
                      <w:szCs w:val="21"/>
                      <w:highlight w:val="none"/>
                    </w:rPr>
                    <w:t>《工业企业厂界环境噪声排放标准》（GB12348-2008）</w:t>
                  </w:r>
                  <w:r>
                    <w:rPr>
                      <w:rFonts w:hint="default" w:ascii="Times New Roman" w:hAnsi="Times New Roman" w:cs="Times New Roman" w:eastAsiaTheme="minorEastAsia"/>
                      <w:bCs/>
                      <w:color w:val="auto"/>
                      <w:sz w:val="21"/>
                      <w:szCs w:val="21"/>
                      <w:highlight w:val="none"/>
                      <w:lang w:val="en-US" w:eastAsia="zh-CN"/>
                    </w:rPr>
                    <w:t>2</w:t>
                  </w:r>
                  <w:r>
                    <w:rPr>
                      <w:rFonts w:hint="default" w:ascii="Times New Roman" w:hAnsi="Times New Roman" w:cs="Times New Roman" w:eastAsiaTheme="minorEastAsia"/>
                      <w:bCs/>
                      <w:color w:val="auto"/>
                      <w:sz w:val="21"/>
                      <w:szCs w:val="21"/>
                      <w:highlight w:val="none"/>
                    </w:rPr>
                    <w:t>类</w:t>
                  </w:r>
                  <w:r>
                    <w:rPr>
                      <w:rFonts w:hint="default" w:ascii="Times New Roman" w:hAnsi="Times New Roman" w:cs="Times New Roman" w:eastAsiaTheme="minorEastAsia"/>
                      <w:bCs/>
                      <w:color w:val="auto"/>
                      <w:sz w:val="21"/>
                      <w:szCs w:val="21"/>
                      <w:highlight w:val="none"/>
                      <w:lang w:eastAsia="zh-CN"/>
                    </w:rPr>
                    <w:t>、4类（</w:t>
                  </w:r>
                  <w:r>
                    <w:rPr>
                      <w:rFonts w:hint="default" w:ascii="Times New Roman" w:hAnsi="Times New Roman" w:cs="Times New Roman" w:eastAsiaTheme="minorEastAsia"/>
                      <w:bCs/>
                      <w:color w:val="auto"/>
                      <w:sz w:val="21"/>
                      <w:szCs w:val="21"/>
                      <w:highlight w:val="none"/>
                      <w:lang w:val="en-US" w:eastAsia="zh-CN"/>
                    </w:rPr>
                    <w:t>西厂界）</w:t>
                  </w:r>
                  <w:r>
                    <w:rPr>
                      <w:rFonts w:hint="default" w:ascii="Times New Roman" w:hAnsi="Times New Roman" w:cs="Times New Roman" w:eastAsiaTheme="minorEastAsia"/>
                      <w:bCs/>
                      <w:color w:val="auto"/>
                      <w:sz w:val="21"/>
                      <w:szCs w:val="21"/>
                      <w:highlight w:val="none"/>
                    </w:rPr>
                    <w:t>标准</w:t>
                  </w:r>
                </w:p>
              </w:tc>
            </w:tr>
          </w:tbl>
          <w:p w14:paraId="48A8E0ED">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b/>
                <w:bCs/>
                <w:smallCaps/>
                <w:color w:val="auto"/>
                <w:sz w:val="24"/>
                <w:highlight w:val="none"/>
              </w:rPr>
            </w:pPr>
            <w:r>
              <w:rPr>
                <w:rFonts w:hint="eastAsia"/>
                <w:b/>
                <w:bCs/>
                <w:smallCaps/>
                <w:color w:val="auto"/>
                <w:sz w:val="24"/>
                <w:highlight w:val="none"/>
                <w:lang w:val="en-US" w:eastAsia="zh-CN"/>
              </w:rPr>
              <w:t>4.3</w:t>
            </w:r>
            <w:r>
              <w:rPr>
                <w:b/>
                <w:bCs/>
                <w:smallCaps/>
                <w:color w:val="auto"/>
                <w:sz w:val="24"/>
                <w:highlight w:val="none"/>
              </w:rPr>
              <w:t>废水</w:t>
            </w:r>
          </w:p>
          <w:p w14:paraId="5AFD93F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b/>
                <w:bCs/>
                <w:smallCaps/>
                <w:color w:val="auto"/>
                <w:sz w:val="24"/>
                <w:highlight w:val="none"/>
              </w:rPr>
            </w:pPr>
            <w:r>
              <w:rPr>
                <w:rFonts w:hint="eastAsia"/>
                <w:b/>
                <w:bCs/>
                <w:smallCaps/>
                <w:color w:val="auto"/>
                <w:sz w:val="24"/>
                <w:highlight w:val="none"/>
                <w:lang w:val="en-US" w:eastAsia="zh-CN"/>
              </w:rPr>
              <w:t>4.3.1</w:t>
            </w:r>
            <w:r>
              <w:rPr>
                <w:rFonts w:hint="eastAsia"/>
                <w:b/>
                <w:color w:val="auto"/>
                <w:sz w:val="24"/>
                <w:szCs w:val="32"/>
                <w:highlight w:val="none"/>
              </w:rPr>
              <w:t>废水产生及排放情况</w:t>
            </w:r>
          </w:p>
          <w:p w14:paraId="5FC1AC3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 w:val="24"/>
                <w:highlight w:val="none"/>
                <w:lang w:eastAsia="zh-CN"/>
              </w:rPr>
            </w:pPr>
            <w:r>
              <w:rPr>
                <w:color w:val="auto"/>
                <w:sz w:val="24"/>
                <w:highlight w:val="none"/>
              </w:rPr>
              <w:t>本项目</w:t>
            </w:r>
            <w:r>
              <w:rPr>
                <w:rFonts w:hint="eastAsia"/>
                <w:color w:val="auto"/>
                <w:sz w:val="24"/>
                <w:highlight w:val="none"/>
                <w:lang w:val="en-US" w:eastAsia="zh-CN"/>
              </w:rPr>
              <w:t>运营期不新增工作人员，因此生活污水无增加，新增</w:t>
            </w:r>
            <w:r>
              <w:rPr>
                <w:color w:val="auto"/>
                <w:sz w:val="24"/>
                <w:highlight w:val="none"/>
              </w:rPr>
              <w:t>废水为</w:t>
            </w:r>
            <w:r>
              <w:rPr>
                <w:rFonts w:hint="eastAsia"/>
                <w:color w:val="auto"/>
                <w:sz w:val="24"/>
                <w:highlight w:val="none"/>
                <w:lang w:val="en-US" w:eastAsia="zh-CN"/>
              </w:rPr>
              <w:t>实验室分析废水、实验室清洗废水等</w:t>
            </w:r>
            <w:r>
              <w:rPr>
                <w:rFonts w:hint="eastAsia"/>
                <w:color w:val="auto"/>
                <w:sz w:val="24"/>
                <w:highlight w:val="none"/>
                <w:lang w:eastAsia="zh-CN"/>
              </w:rPr>
              <w:t>。本项目</w:t>
            </w:r>
            <w:r>
              <w:rPr>
                <w:rFonts w:hint="eastAsia"/>
                <w:color w:val="auto"/>
                <w:sz w:val="24"/>
                <w:highlight w:val="none"/>
                <w:lang w:val="en-US" w:eastAsia="zh-CN"/>
              </w:rPr>
              <w:t>无机废气处理系统</w:t>
            </w:r>
            <w:r>
              <w:rPr>
                <w:rFonts w:hint="eastAsia"/>
                <w:color w:val="auto"/>
                <w:sz w:val="24"/>
                <w:highlight w:val="none"/>
                <w:lang w:eastAsia="zh-CN"/>
              </w:rPr>
              <w:t>碱液洗涤塔的中和后液体经沉淀池沉淀后回用，液体不外排。</w:t>
            </w:r>
            <w:r>
              <w:rPr>
                <w:rFonts w:hint="eastAsia"/>
                <w:color w:val="auto"/>
                <w:sz w:val="24"/>
                <w:highlight w:val="none"/>
                <w:lang w:val="en-US" w:eastAsia="zh-CN"/>
              </w:rPr>
              <w:t>项目新增废水</w:t>
            </w:r>
            <w:r>
              <w:rPr>
                <w:color w:val="auto"/>
                <w:sz w:val="24"/>
                <w:highlight w:val="none"/>
              </w:rPr>
              <w:t>排放量共计</w:t>
            </w:r>
            <w:r>
              <w:rPr>
                <w:rFonts w:hint="eastAsia"/>
                <w:color w:val="auto"/>
                <w:sz w:val="24"/>
                <w:highlight w:val="none"/>
                <w:lang w:val="en-US" w:eastAsia="zh-CN"/>
              </w:rPr>
              <w:t>571</w:t>
            </w:r>
            <w:r>
              <w:rPr>
                <w:color w:val="auto"/>
                <w:sz w:val="24"/>
                <w:highlight w:val="none"/>
              </w:rPr>
              <w:t>m</w:t>
            </w:r>
            <w:r>
              <w:rPr>
                <w:color w:val="auto"/>
                <w:sz w:val="24"/>
                <w:highlight w:val="none"/>
                <w:vertAlign w:val="superscript"/>
              </w:rPr>
              <w:t>3</w:t>
            </w:r>
            <w:r>
              <w:rPr>
                <w:color w:val="auto"/>
                <w:sz w:val="24"/>
                <w:highlight w:val="none"/>
              </w:rPr>
              <w:t>/a</w:t>
            </w:r>
            <w:r>
              <w:rPr>
                <w:rFonts w:hint="eastAsia"/>
                <w:color w:val="auto"/>
                <w:sz w:val="24"/>
                <w:highlight w:val="none"/>
                <w:lang w:eastAsia="zh-CN"/>
              </w:rPr>
              <w:t>。</w:t>
            </w:r>
          </w:p>
          <w:p w14:paraId="439FA01B">
            <w:pPr>
              <w:keepNext w:val="0"/>
              <w:keepLines w:val="0"/>
              <w:pageBreakBefore w:val="0"/>
              <w:widowControl w:val="0"/>
              <w:kinsoku/>
              <w:wordWrap/>
              <w:overflowPunct/>
              <w:topLinePunct w:val="0"/>
              <w:autoSpaceDE/>
              <w:autoSpaceDN/>
              <w:bidi w:val="0"/>
              <w:spacing w:line="360" w:lineRule="auto"/>
              <w:ind w:firstLine="480" w:firstLineChars="200"/>
              <w:textAlignment w:val="auto"/>
              <w:rPr>
                <w:color w:val="auto"/>
                <w:sz w:val="24"/>
                <w:highlight w:val="none"/>
              </w:rPr>
            </w:pPr>
            <w:r>
              <w:rPr>
                <w:rFonts w:hint="eastAsia" w:ascii="Times New Roman" w:hAnsi="Times New Roman" w:eastAsia="宋体" w:cs="Times New Roman"/>
                <w:color w:val="auto"/>
                <w:spacing w:val="0"/>
                <w:sz w:val="24"/>
                <w:szCs w:val="24"/>
                <w:highlight w:val="none"/>
                <w:lang w:val="en-US" w:eastAsia="zh-CN"/>
              </w:rPr>
              <w:t>类比已批复的《华南区域危险废物环境风险防控技术中心建设项目环境影响报告表》，项目主要污染因子为</w:t>
            </w:r>
            <w:r>
              <w:rPr>
                <w:rFonts w:hint="eastAsia" w:cs="Times New Roman"/>
                <w:color w:val="auto"/>
                <w:spacing w:val="0"/>
                <w:sz w:val="24"/>
                <w:szCs w:val="24"/>
                <w:highlight w:val="none"/>
                <w:lang w:val="en-US" w:eastAsia="zh-CN"/>
              </w:rPr>
              <w:t>pH、</w:t>
            </w:r>
            <w:r>
              <w:rPr>
                <w:color w:val="auto"/>
                <w:sz w:val="24"/>
                <w:highlight w:val="none"/>
              </w:rPr>
              <w:t>COD、BOD</w:t>
            </w:r>
            <w:r>
              <w:rPr>
                <w:color w:val="auto"/>
                <w:sz w:val="24"/>
                <w:highlight w:val="none"/>
                <w:vertAlign w:val="subscript"/>
              </w:rPr>
              <w:t>5</w:t>
            </w:r>
            <w:r>
              <w:rPr>
                <w:color w:val="auto"/>
                <w:sz w:val="24"/>
                <w:highlight w:val="none"/>
              </w:rPr>
              <w:t>、氨氮、SS</w:t>
            </w:r>
            <w:r>
              <w:rPr>
                <w:rFonts w:hint="eastAsia"/>
                <w:color w:val="auto"/>
                <w:sz w:val="24"/>
                <w:highlight w:val="none"/>
                <w:lang w:val="en-US" w:eastAsia="zh-CN"/>
              </w:rPr>
              <w:t>等</w:t>
            </w:r>
            <w:r>
              <w:rPr>
                <w:color w:val="auto"/>
                <w:sz w:val="24"/>
                <w:highlight w:val="none"/>
              </w:rPr>
              <w:t>。</w:t>
            </w:r>
            <w:r>
              <w:rPr>
                <w:rFonts w:hint="eastAsia"/>
                <w:color w:val="auto"/>
                <w:sz w:val="24"/>
                <w:highlight w:val="none"/>
                <w:lang w:val="en-US" w:eastAsia="zh-CN"/>
              </w:rPr>
              <w:t>根据《</w:t>
            </w:r>
            <w:r>
              <w:rPr>
                <w:rFonts w:hint="eastAsia"/>
                <w:color w:val="auto"/>
                <w:sz w:val="24"/>
                <w:highlight w:val="none"/>
              </w:rPr>
              <w:t>重点管控新污染物清单（2023年版）</w:t>
            </w:r>
            <w:r>
              <w:rPr>
                <w:rFonts w:hint="eastAsia"/>
                <w:color w:val="auto"/>
                <w:sz w:val="24"/>
                <w:highlight w:val="none"/>
                <w:lang w:val="en-US" w:eastAsia="zh-CN"/>
              </w:rPr>
              <w:t>》可知</w:t>
            </w:r>
            <w:r>
              <w:rPr>
                <w:rFonts w:hint="eastAsia"/>
                <w:color w:val="auto"/>
                <w:sz w:val="24"/>
                <w:highlight w:val="none"/>
                <w:lang w:eastAsia="zh-CN"/>
              </w:rPr>
              <w:t>，</w:t>
            </w:r>
            <w:r>
              <w:rPr>
                <w:rFonts w:hint="eastAsia"/>
                <w:color w:val="auto"/>
                <w:sz w:val="24"/>
                <w:highlight w:val="none"/>
                <w:lang w:val="en-US" w:eastAsia="zh-CN"/>
              </w:rPr>
              <w:t>本项目使用的药剂中涉及三氯甲烷、二氯甲烷，其属于新污染物。根据前文计算4%的三氯甲烷、二氯甲烷进入废气，剩余的96%全部进入试验废液，分类收集后暂存于危险废物贮存库，定期交有资质单位处置。因此三氯甲烷、二氯甲烷不进入废水系统。</w:t>
            </w:r>
            <w:r>
              <w:rPr>
                <w:rFonts w:hint="eastAsia"/>
                <w:color w:val="auto"/>
                <w:sz w:val="24"/>
                <w:highlight w:val="none"/>
              </w:rPr>
              <w:t>本项目</w:t>
            </w:r>
            <w:r>
              <w:rPr>
                <w:rFonts w:hint="eastAsia"/>
                <w:color w:val="auto"/>
                <w:sz w:val="24"/>
                <w:highlight w:val="none"/>
                <w:lang w:val="en-US" w:eastAsia="zh-CN"/>
              </w:rPr>
              <w:t>废水产生及排放污染物排放</w:t>
            </w:r>
            <w:r>
              <w:rPr>
                <w:color w:val="auto"/>
                <w:sz w:val="24"/>
                <w:highlight w:val="none"/>
              </w:rPr>
              <w:t>情况见表</w:t>
            </w:r>
            <w:r>
              <w:rPr>
                <w:rFonts w:hint="eastAsia"/>
                <w:color w:val="auto"/>
                <w:sz w:val="24"/>
                <w:highlight w:val="none"/>
                <w:lang w:val="en-US" w:eastAsia="zh-CN"/>
              </w:rPr>
              <w:t>4-11</w:t>
            </w:r>
            <w:r>
              <w:rPr>
                <w:color w:val="auto"/>
                <w:sz w:val="24"/>
                <w:highlight w:val="none"/>
              </w:rPr>
              <w:t>。</w:t>
            </w:r>
          </w:p>
          <w:p w14:paraId="4CB92757">
            <w:pPr>
              <w:pStyle w:val="110"/>
              <w:numPr>
                <w:ilvl w:val="0"/>
                <w:numId w:val="0"/>
              </w:numPr>
              <w:rPr>
                <w:rFonts w:ascii="Times New Roman" w:hAnsi="Times New Roman" w:eastAsia="宋体" w:cs="Times New Roman"/>
                <w:b/>
                <w:color w:val="auto"/>
                <w:kern w:val="0"/>
                <w:sz w:val="21"/>
                <w:szCs w:val="21"/>
                <w:highlight w:val="none"/>
                <w:lang w:val="en-US" w:eastAsia="zh-CN" w:bidi="ar-SA"/>
              </w:rPr>
            </w:pPr>
            <w:r>
              <w:rPr>
                <w:rFonts w:ascii="Times New Roman" w:hAnsi="Times New Roman" w:eastAsia="宋体" w:cs="Times New Roman"/>
                <w:b/>
                <w:color w:val="auto"/>
                <w:kern w:val="0"/>
                <w:sz w:val="21"/>
                <w:szCs w:val="21"/>
                <w:highlight w:val="none"/>
                <w:lang w:val="en-US" w:eastAsia="zh-CN" w:bidi="ar-SA"/>
              </w:rPr>
              <w:t>表</w:t>
            </w:r>
            <w:r>
              <w:rPr>
                <w:rFonts w:hint="eastAsia" w:ascii="Times New Roman" w:hAnsi="Times New Roman" w:eastAsia="宋体" w:cs="Times New Roman"/>
                <w:b/>
                <w:color w:val="auto"/>
                <w:kern w:val="0"/>
                <w:sz w:val="21"/>
                <w:szCs w:val="21"/>
                <w:highlight w:val="none"/>
                <w:lang w:val="en-US" w:eastAsia="zh-CN" w:bidi="ar-SA"/>
              </w:rPr>
              <w:t>4-</w:t>
            </w:r>
            <w:r>
              <w:rPr>
                <w:rFonts w:hint="eastAsia" w:cs="Times New Roman"/>
                <w:b/>
                <w:color w:val="auto"/>
                <w:kern w:val="0"/>
                <w:sz w:val="21"/>
                <w:szCs w:val="21"/>
                <w:highlight w:val="none"/>
                <w:lang w:val="en-US" w:eastAsia="zh-CN" w:bidi="ar-SA"/>
              </w:rPr>
              <w:t xml:space="preserve">11 </w:t>
            </w:r>
            <w:r>
              <w:rPr>
                <w:rFonts w:ascii="Times New Roman" w:hAnsi="Times New Roman" w:eastAsia="宋体" w:cs="Times New Roman"/>
                <w:b/>
                <w:color w:val="auto"/>
                <w:kern w:val="0"/>
                <w:sz w:val="21"/>
                <w:szCs w:val="21"/>
                <w:highlight w:val="none"/>
                <w:lang w:val="en-US" w:eastAsia="zh-CN" w:bidi="ar-SA"/>
              </w:rPr>
              <w:t xml:space="preserve"> </w:t>
            </w:r>
            <w:r>
              <w:rPr>
                <w:rFonts w:hint="eastAsia" w:ascii="Times New Roman" w:hAnsi="Times New Roman" w:eastAsia="宋体" w:cs="Times New Roman"/>
                <w:b/>
                <w:color w:val="auto"/>
                <w:kern w:val="0"/>
                <w:sz w:val="21"/>
                <w:szCs w:val="21"/>
                <w:highlight w:val="none"/>
                <w:lang w:val="en-US" w:eastAsia="zh-CN" w:bidi="ar-SA"/>
              </w:rPr>
              <w:t xml:space="preserve"> </w:t>
            </w:r>
            <w:r>
              <w:rPr>
                <w:rFonts w:ascii="Times New Roman" w:hAnsi="Times New Roman" w:eastAsia="宋体" w:cs="Times New Roman"/>
                <w:b/>
                <w:color w:val="auto"/>
                <w:kern w:val="0"/>
                <w:sz w:val="21"/>
                <w:szCs w:val="21"/>
                <w:highlight w:val="none"/>
                <w:lang w:val="en-US" w:eastAsia="zh-CN" w:bidi="ar-SA"/>
              </w:rPr>
              <w:t>项目废水</w:t>
            </w:r>
            <w:r>
              <w:rPr>
                <w:rFonts w:hint="eastAsia" w:cs="Times New Roman"/>
                <w:b/>
                <w:color w:val="auto"/>
                <w:kern w:val="0"/>
                <w:sz w:val="21"/>
                <w:szCs w:val="21"/>
                <w:highlight w:val="none"/>
                <w:lang w:val="en-US" w:eastAsia="zh-CN" w:bidi="ar-SA"/>
              </w:rPr>
              <w:t>排放</w:t>
            </w:r>
            <w:r>
              <w:rPr>
                <w:rFonts w:ascii="Times New Roman" w:hAnsi="Times New Roman" w:eastAsia="宋体" w:cs="Times New Roman"/>
                <w:b/>
                <w:color w:val="auto"/>
                <w:kern w:val="0"/>
                <w:sz w:val="21"/>
                <w:szCs w:val="21"/>
                <w:highlight w:val="none"/>
                <w:lang w:val="en-US" w:eastAsia="zh-CN" w:bidi="ar-SA"/>
              </w:rPr>
              <w:t>情况一览表</w:t>
            </w:r>
          </w:p>
          <w:tbl>
            <w:tblPr>
              <w:tblStyle w:val="27"/>
              <w:tblW w:w="80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2161"/>
              <w:gridCol w:w="961"/>
              <w:gridCol w:w="1070"/>
              <w:gridCol w:w="867"/>
              <w:gridCol w:w="899"/>
              <w:gridCol w:w="757"/>
            </w:tblGrid>
            <w:tr w14:paraId="0460E9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822" w:type="pct"/>
                  <w:tcBorders>
                    <w:tl2br w:val="nil"/>
                    <w:tr2bl w:val="nil"/>
                  </w:tcBorders>
                  <w:vAlign w:val="center"/>
                </w:tcPr>
                <w:p w14:paraId="7D067DB2">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项目</w:t>
                  </w:r>
                </w:p>
              </w:tc>
              <w:tc>
                <w:tcPr>
                  <w:tcW w:w="1344" w:type="pct"/>
                  <w:tcBorders>
                    <w:tl2br w:val="nil"/>
                    <w:tr2bl w:val="nil"/>
                  </w:tcBorders>
                  <w:vAlign w:val="center"/>
                </w:tcPr>
                <w:p w14:paraId="7C824DD8">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项目</w:t>
                  </w:r>
                </w:p>
              </w:tc>
              <w:tc>
                <w:tcPr>
                  <w:tcW w:w="597" w:type="pct"/>
                  <w:tcBorders>
                    <w:tl2br w:val="nil"/>
                    <w:tr2bl w:val="nil"/>
                  </w:tcBorders>
                  <w:vAlign w:val="center"/>
                </w:tcPr>
                <w:p w14:paraId="2932A9FB">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COD</w:t>
                  </w:r>
                </w:p>
              </w:tc>
              <w:tc>
                <w:tcPr>
                  <w:tcW w:w="665" w:type="pct"/>
                  <w:tcBorders>
                    <w:tl2br w:val="nil"/>
                    <w:tr2bl w:val="nil"/>
                  </w:tcBorders>
                  <w:vAlign w:val="center"/>
                </w:tcPr>
                <w:p w14:paraId="7AB72110">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BOD</w:t>
                  </w:r>
                  <w:r>
                    <w:rPr>
                      <w:rFonts w:hint="default" w:ascii="Times New Roman" w:hAnsi="Times New Roman" w:cs="Times New Roman" w:eastAsiaTheme="minorEastAsia"/>
                      <w:b/>
                      <w:bCs/>
                      <w:color w:val="auto"/>
                      <w:szCs w:val="21"/>
                      <w:highlight w:val="none"/>
                      <w:vertAlign w:val="subscript"/>
                    </w:rPr>
                    <w:t>5</w:t>
                  </w:r>
                </w:p>
              </w:tc>
              <w:tc>
                <w:tcPr>
                  <w:tcW w:w="539" w:type="pct"/>
                  <w:tcBorders>
                    <w:tl2br w:val="nil"/>
                    <w:tr2bl w:val="nil"/>
                  </w:tcBorders>
                  <w:vAlign w:val="center"/>
                </w:tcPr>
                <w:p w14:paraId="7D26122E">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SS</w:t>
                  </w:r>
                </w:p>
              </w:tc>
              <w:tc>
                <w:tcPr>
                  <w:tcW w:w="559" w:type="pct"/>
                  <w:tcBorders>
                    <w:tl2br w:val="nil"/>
                    <w:tr2bl w:val="nil"/>
                  </w:tcBorders>
                  <w:vAlign w:val="center"/>
                </w:tcPr>
                <w:p w14:paraId="0EE426DE">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b/>
                      <w:bCs/>
                      <w:color w:val="auto"/>
                      <w:szCs w:val="21"/>
                      <w:highlight w:val="none"/>
                    </w:rPr>
                  </w:pPr>
                  <w:r>
                    <w:rPr>
                      <w:rFonts w:hint="default" w:ascii="Times New Roman" w:hAnsi="Times New Roman" w:cs="Times New Roman" w:eastAsiaTheme="minorEastAsia"/>
                      <w:b/>
                      <w:bCs/>
                      <w:color w:val="auto"/>
                      <w:szCs w:val="21"/>
                      <w:highlight w:val="none"/>
                    </w:rPr>
                    <w:t>氨氮</w:t>
                  </w:r>
                </w:p>
              </w:tc>
              <w:tc>
                <w:tcPr>
                  <w:tcW w:w="470" w:type="pct"/>
                  <w:tcBorders>
                    <w:tl2br w:val="nil"/>
                    <w:tr2bl w:val="nil"/>
                  </w:tcBorders>
                  <w:vAlign w:val="center"/>
                </w:tcPr>
                <w:p w14:paraId="24E3CEAA">
                  <w:pPr>
                    <w:keepNext w:val="0"/>
                    <w:keepLines w:val="0"/>
                    <w:pageBreakBefore w:val="0"/>
                    <w:kinsoku/>
                    <w:wordWrap/>
                    <w:overflowPunct/>
                    <w:topLinePunct w:val="0"/>
                    <w:bidi w:val="0"/>
                    <w:adjustRightInd/>
                    <w:snapToGrid/>
                    <w:spacing w:line="240" w:lineRule="auto"/>
                    <w:jc w:val="center"/>
                    <w:rPr>
                      <w:rFonts w:hint="eastAsia" w:ascii="Times New Roman" w:hAnsi="Times New Roman" w:cs="Times New Roman" w:eastAsiaTheme="minorEastAsia"/>
                      <w:b/>
                      <w:bCs/>
                      <w:color w:val="auto"/>
                      <w:szCs w:val="21"/>
                      <w:highlight w:val="none"/>
                      <w:lang w:eastAsia="zh-CN"/>
                    </w:rPr>
                  </w:pPr>
                  <w:r>
                    <w:rPr>
                      <w:rFonts w:hint="eastAsia" w:cs="Times New Roman" w:eastAsiaTheme="minorEastAsia"/>
                      <w:b/>
                      <w:bCs/>
                      <w:color w:val="auto"/>
                      <w:szCs w:val="21"/>
                      <w:highlight w:val="none"/>
                      <w:lang w:val="en-US" w:eastAsia="zh-CN"/>
                    </w:rPr>
                    <w:t>pH</w:t>
                  </w:r>
                </w:p>
              </w:tc>
            </w:tr>
            <w:tr w14:paraId="367A8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22" w:type="pct"/>
                  <w:vMerge w:val="restart"/>
                  <w:tcBorders>
                    <w:tl2br w:val="nil"/>
                    <w:tr2bl w:val="nil"/>
                  </w:tcBorders>
                  <w:vAlign w:val="center"/>
                </w:tcPr>
                <w:p w14:paraId="739AA7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r>
                    <w:rPr>
                      <w:rFonts w:hint="eastAsia" w:cs="Times New Roman" w:eastAsiaTheme="minorEastAsia"/>
                      <w:color w:val="auto"/>
                      <w:szCs w:val="21"/>
                      <w:highlight w:val="none"/>
                      <w:lang w:val="en-US" w:eastAsia="zh-CN"/>
                    </w:rPr>
                    <w:t>实验室废水</w:t>
                  </w:r>
                  <w:r>
                    <w:rPr>
                      <w:rFonts w:hint="default" w:ascii="Times New Roman" w:hAnsi="Times New Roman" w:cs="Times New Roman" w:eastAsiaTheme="minorEastAsia"/>
                      <w:color w:val="auto"/>
                      <w:szCs w:val="21"/>
                      <w:highlight w:val="none"/>
                    </w:rPr>
                    <w:t>（</w:t>
                  </w:r>
                  <w:r>
                    <w:rPr>
                      <w:rFonts w:hint="eastAsia" w:cs="Times New Roman" w:eastAsiaTheme="minorEastAsia"/>
                      <w:color w:val="auto"/>
                      <w:szCs w:val="21"/>
                      <w:highlight w:val="none"/>
                      <w:lang w:val="en-US" w:eastAsia="zh-CN"/>
                    </w:rPr>
                    <w:t>571</w:t>
                  </w:r>
                  <w:r>
                    <w:rPr>
                      <w:rFonts w:hint="default" w:ascii="Times New Roman" w:hAnsi="Times New Roman" w:cs="Times New Roman" w:eastAsiaTheme="minorEastAsia"/>
                      <w:color w:val="auto"/>
                      <w:szCs w:val="21"/>
                      <w:highlight w:val="none"/>
                    </w:rPr>
                    <w:t>m</w:t>
                  </w:r>
                  <w:r>
                    <w:rPr>
                      <w:rFonts w:hint="default" w:ascii="Times New Roman" w:hAnsi="Times New Roman" w:cs="Times New Roman" w:eastAsiaTheme="minorEastAsia"/>
                      <w:color w:val="auto"/>
                      <w:szCs w:val="21"/>
                      <w:highlight w:val="none"/>
                      <w:vertAlign w:val="superscript"/>
                    </w:rPr>
                    <w:t>3</w:t>
                  </w:r>
                  <w:r>
                    <w:rPr>
                      <w:rFonts w:hint="default" w:ascii="Times New Roman" w:hAnsi="Times New Roman" w:cs="Times New Roman" w:eastAsiaTheme="minorEastAsia"/>
                      <w:color w:val="auto"/>
                      <w:szCs w:val="21"/>
                      <w:highlight w:val="none"/>
                    </w:rPr>
                    <w:t>/a）</w:t>
                  </w:r>
                </w:p>
              </w:tc>
              <w:tc>
                <w:tcPr>
                  <w:tcW w:w="1344" w:type="pct"/>
                  <w:tcBorders>
                    <w:tl2br w:val="nil"/>
                    <w:tr2bl w:val="nil"/>
                  </w:tcBorders>
                  <w:vAlign w:val="center"/>
                </w:tcPr>
                <w:p w14:paraId="18EA253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szCs w:val="21"/>
                      <w:highlight w:val="none"/>
                    </w:rPr>
                  </w:pPr>
                  <w:r>
                    <w:rPr>
                      <w:rFonts w:hint="eastAsia" w:ascii="Times New Roman" w:hAnsi="Times New Roman" w:eastAsia="宋体" w:cs="Times New Roman"/>
                      <w:color w:val="auto"/>
                      <w:spacing w:val="0"/>
                      <w:sz w:val="21"/>
                      <w:szCs w:val="21"/>
                      <w:highlight w:val="none"/>
                      <w:vertAlign w:val="baseline"/>
                      <w:lang w:val="en-US" w:eastAsia="zh-CN"/>
                    </w:rPr>
                    <w:t>产生浓度(mg/L)</w:t>
                  </w:r>
                </w:p>
              </w:tc>
              <w:tc>
                <w:tcPr>
                  <w:tcW w:w="597" w:type="pct"/>
                  <w:tcBorders>
                    <w:tl2br w:val="nil"/>
                    <w:tr2bl w:val="nil"/>
                  </w:tcBorders>
                  <w:vAlign w:val="center"/>
                </w:tcPr>
                <w:p w14:paraId="2F7B62CC">
                  <w:pPr>
                    <w:keepNext w:val="0"/>
                    <w:keepLines w:val="0"/>
                    <w:pageBreakBefore w:val="0"/>
                    <w:widowControl/>
                    <w:kinsoku/>
                    <w:wordWrap/>
                    <w:overflowPunct/>
                    <w:topLinePunct w:val="0"/>
                    <w:bidi w:val="0"/>
                    <w:adjustRightInd/>
                    <w:snapToGrid/>
                    <w:spacing w:line="240" w:lineRule="auto"/>
                    <w:jc w:val="center"/>
                    <w:textAlignment w:val="bottom"/>
                    <w:rPr>
                      <w:rFonts w:hint="default"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700</w:t>
                  </w:r>
                </w:p>
              </w:tc>
              <w:tc>
                <w:tcPr>
                  <w:tcW w:w="665" w:type="pct"/>
                  <w:tcBorders>
                    <w:tl2br w:val="nil"/>
                    <w:tr2bl w:val="nil"/>
                  </w:tcBorders>
                  <w:vAlign w:val="center"/>
                </w:tcPr>
                <w:p w14:paraId="1557AAAD">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500</w:t>
                  </w:r>
                </w:p>
              </w:tc>
              <w:tc>
                <w:tcPr>
                  <w:tcW w:w="539" w:type="pct"/>
                  <w:tcBorders>
                    <w:tl2br w:val="nil"/>
                    <w:tr2bl w:val="nil"/>
                  </w:tcBorders>
                  <w:vAlign w:val="center"/>
                </w:tcPr>
                <w:p w14:paraId="5AD81BF4">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200</w:t>
                  </w:r>
                </w:p>
              </w:tc>
              <w:tc>
                <w:tcPr>
                  <w:tcW w:w="559" w:type="pct"/>
                  <w:tcBorders>
                    <w:tl2br w:val="nil"/>
                    <w:tr2bl w:val="nil"/>
                  </w:tcBorders>
                  <w:vAlign w:val="center"/>
                </w:tcPr>
                <w:p w14:paraId="7F8EFB3A">
                  <w:pPr>
                    <w:keepNext w:val="0"/>
                    <w:keepLines w:val="0"/>
                    <w:pageBreakBefore w:val="0"/>
                    <w:widowControl/>
                    <w:kinsoku/>
                    <w:wordWrap/>
                    <w:overflowPunct/>
                    <w:topLinePunct w:val="0"/>
                    <w:bidi w:val="0"/>
                    <w:adjustRightInd/>
                    <w:snapToGrid/>
                    <w:spacing w:line="240" w:lineRule="auto"/>
                    <w:jc w:val="center"/>
                    <w:textAlignment w:val="bottom"/>
                    <w:rPr>
                      <w:rFonts w:hint="default"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35</w:t>
                  </w:r>
                </w:p>
              </w:tc>
              <w:tc>
                <w:tcPr>
                  <w:tcW w:w="470" w:type="pct"/>
                  <w:tcBorders>
                    <w:tl2br w:val="nil"/>
                    <w:tr2bl w:val="nil"/>
                  </w:tcBorders>
                  <w:vAlign w:val="center"/>
                </w:tcPr>
                <w:p w14:paraId="6517833F">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2-8</w:t>
                  </w:r>
                </w:p>
              </w:tc>
            </w:tr>
            <w:tr w14:paraId="1D61B8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822" w:type="pct"/>
                  <w:vMerge w:val="continue"/>
                  <w:tcBorders>
                    <w:tl2br w:val="nil"/>
                    <w:tr2bl w:val="nil"/>
                  </w:tcBorders>
                  <w:vAlign w:val="center"/>
                </w:tcPr>
                <w:p w14:paraId="599869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p>
              </w:tc>
              <w:tc>
                <w:tcPr>
                  <w:tcW w:w="1344" w:type="pct"/>
                  <w:tcBorders>
                    <w:tl2br w:val="nil"/>
                    <w:tr2bl w:val="nil"/>
                  </w:tcBorders>
                  <w:vAlign w:val="center"/>
                </w:tcPr>
                <w:p w14:paraId="19A6D4A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szCs w:val="21"/>
                      <w:highlight w:val="none"/>
                    </w:rPr>
                  </w:pPr>
                  <w:r>
                    <w:rPr>
                      <w:rFonts w:hint="eastAsia" w:ascii="Times New Roman" w:hAnsi="Times New Roman" w:eastAsia="宋体" w:cs="Times New Roman"/>
                      <w:color w:val="auto"/>
                      <w:spacing w:val="0"/>
                      <w:sz w:val="21"/>
                      <w:szCs w:val="21"/>
                      <w:highlight w:val="none"/>
                      <w:vertAlign w:val="baseline"/>
                      <w:lang w:val="en-US" w:eastAsia="zh-CN"/>
                    </w:rPr>
                    <w:t>产生量(t/a)</w:t>
                  </w:r>
                </w:p>
              </w:tc>
              <w:tc>
                <w:tcPr>
                  <w:tcW w:w="597" w:type="pct"/>
                  <w:tcBorders>
                    <w:tl2br w:val="nil"/>
                    <w:tr2bl w:val="nil"/>
                  </w:tcBorders>
                  <w:vAlign w:val="center"/>
                </w:tcPr>
                <w:p w14:paraId="30D14A6D">
                  <w:pPr>
                    <w:keepNext w:val="0"/>
                    <w:keepLines w:val="0"/>
                    <w:pageBreakBefore w:val="0"/>
                    <w:widowControl/>
                    <w:kinsoku/>
                    <w:wordWrap/>
                    <w:overflowPunct/>
                    <w:topLinePunct w:val="0"/>
                    <w:bidi w:val="0"/>
                    <w:adjustRightInd/>
                    <w:snapToGrid/>
                    <w:spacing w:line="240" w:lineRule="auto"/>
                    <w:jc w:val="center"/>
                    <w:textAlignment w:val="bottom"/>
                    <w:rPr>
                      <w:rFonts w:hint="default"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0.40</w:t>
                  </w:r>
                </w:p>
              </w:tc>
              <w:tc>
                <w:tcPr>
                  <w:tcW w:w="665" w:type="pct"/>
                  <w:tcBorders>
                    <w:tl2br w:val="nil"/>
                    <w:tr2bl w:val="nil"/>
                  </w:tcBorders>
                  <w:vAlign w:val="center"/>
                </w:tcPr>
                <w:p w14:paraId="4E9DD40F">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0.29</w:t>
                  </w:r>
                </w:p>
              </w:tc>
              <w:tc>
                <w:tcPr>
                  <w:tcW w:w="539" w:type="pct"/>
                  <w:tcBorders>
                    <w:tl2br w:val="nil"/>
                    <w:tr2bl w:val="nil"/>
                  </w:tcBorders>
                  <w:vAlign w:val="center"/>
                </w:tcPr>
                <w:p w14:paraId="1C9416B0">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0.011</w:t>
                  </w:r>
                </w:p>
              </w:tc>
              <w:tc>
                <w:tcPr>
                  <w:tcW w:w="559" w:type="pct"/>
                  <w:tcBorders>
                    <w:tl2br w:val="nil"/>
                    <w:tr2bl w:val="nil"/>
                  </w:tcBorders>
                  <w:vAlign w:val="center"/>
                </w:tcPr>
                <w:p w14:paraId="219D10A8">
                  <w:pPr>
                    <w:keepNext w:val="0"/>
                    <w:keepLines w:val="0"/>
                    <w:pageBreakBefore w:val="0"/>
                    <w:widowControl/>
                    <w:kinsoku/>
                    <w:wordWrap/>
                    <w:overflowPunct/>
                    <w:topLinePunct w:val="0"/>
                    <w:bidi w:val="0"/>
                    <w:adjustRightInd/>
                    <w:snapToGrid/>
                    <w:spacing w:line="240" w:lineRule="auto"/>
                    <w:jc w:val="center"/>
                    <w:textAlignment w:val="bottom"/>
                    <w:rPr>
                      <w:rFonts w:hint="default"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0.02</w:t>
                  </w:r>
                </w:p>
              </w:tc>
              <w:tc>
                <w:tcPr>
                  <w:tcW w:w="470" w:type="pct"/>
                  <w:tcBorders>
                    <w:tl2br w:val="nil"/>
                    <w:tr2bl w:val="nil"/>
                  </w:tcBorders>
                  <w:vAlign w:val="center"/>
                </w:tcPr>
                <w:p w14:paraId="5EEEA989">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w:t>
                  </w:r>
                </w:p>
              </w:tc>
            </w:tr>
            <w:tr w14:paraId="08B2F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22" w:type="pct"/>
                  <w:vMerge w:val="continue"/>
                  <w:tcBorders>
                    <w:tl2br w:val="nil"/>
                    <w:tr2bl w:val="nil"/>
                  </w:tcBorders>
                  <w:vAlign w:val="center"/>
                </w:tcPr>
                <w:p w14:paraId="2A0C0A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p>
              </w:tc>
              <w:tc>
                <w:tcPr>
                  <w:tcW w:w="1344" w:type="pct"/>
                  <w:tcBorders>
                    <w:tl2br w:val="nil"/>
                    <w:tr2bl w:val="nil"/>
                  </w:tcBorders>
                  <w:vAlign w:val="center"/>
                </w:tcPr>
                <w:p w14:paraId="1D710784">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szCs w:val="21"/>
                      <w:highlight w:val="none"/>
                    </w:rPr>
                  </w:pPr>
                  <w:r>
                    <w:rPr>
                      <w:rFonts w:hint="eastAsia" w:ascii="Times New Roman" w:hAnsi="Times New Roman" w:eastAsia="宋体" w:cs="Times New Roman"/>
                      <w:color w:val="auto"/>
                      <w:spacing w:val="0"/>
                      <w:sz w:val="21"/>
                      <w:szCs w:val="21"/>
                      <w:highlight w:val="none"/>
                      <w:vertAlign w:val="baseline"/>
                      <w:lang w:val="en-US" w:eastAsia="zh-CN"/>
                    </w:rPr>
                    <w:t>废水处理工艺</w:t>
                  </w:r>
                </w:p>
              </w:tc>
              <w:tc>
                <w:tcPr>
                  <w:tcW w:w="2833" w:type="pct"/>
                  <w:gridSpan w:val="5"/>
                  <w:tcBorders>
                    <w:tl2br w:val="nil"/>
                    <w:tr2bl w:val="nil"/>
                  </w:tcBorders>
                  <w:vAlign w:val="center"/>
                </w:tcPr>
                <w:p w14:paraId="06589B2F">
                  <w:pPr>
                    <w:keepNext w:val="0"/>
                    <w:keepLines w:val="0"/>
                    <w:pageBreakBefore w:val="0"/>
                    <w:widowControl/>
                    <w:kinsoku/>
                    <w:wordWrap/>
                    <w:overflowPunct/>
                    <w:topLinePunct w:val="0"/>
                    <w:bidi w:val="0"/>
                    <w:adjustRightInd/>
                    <w:snapToGrid/>
                    <w:spacing w:line="240" w:lineRule="auto"/>
                    <w:jc w:val="center"/>
                    <w:textAlignment w:val="bottom"/>
                    <w:rPr>
                      <w:rFonts w:hint="eastAsia"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酸碱中和池+混凝沉淀池+化粪池</w:t>
                  </w:r>
                </w:p>
              </w:tc>
            </w:tr>
            <w:tr w14:paraId="5101B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22" w:type="pct"/>
                  <w:vMerge w:val="continue"/>
                  <w:tcBorders>
                    <w:tl2br w:val="nil"/>
                    <w:tr2bl w:val="nil"/>
                  </w:tcBorders>
                  <w:vAlign w:val="center"/>
                </w:tcPr>
                <w:p w14:paraId="0E0F9E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p>
              </w:tc>
              <w:tc>
                <w:tcPr>
                  <w:tcW w:w="1344" w:type="pct"/>
                  <w:tcBorders>
                    <w:tl2br w:val="nil"/>
                    <w:tr2bl w:val="nil"/>
                  </w:tcBorders>
                  <w:vAlign w:val="center"/>
                </w:tcPr>
                <w:p w14:paraId="195F363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szCs w:val="21"/>
                      <w:highlight w:val="none"/>
                    </w:rPr>
                  </w:pPr>
                  <w:r>
                    <w:rPr>
                      <w:rFonts w:hint="eastAsia" w:ascii="Times New Roman" w:hAnsi="Times New Roman" w:eastAsia="宋体" w:cs="Times New Roman"/>
                      <w:color w:val="auto"/>
                      <w:spacing w:val="0"/>
                      <w:sz w:val="21"/>
                      <w:szCs w:val="21"/>
                      <w:highlight w:val="none"/>
                      <w:vertAlign w:val="baseline"/>
                      <w:lang w:val="en-US" w:eastAsia="zh-CN"/>
                    </w:rPr>
                    <w:t>处理效率</w:t>
                  </w:r>
                </w:p>
              </w:tc>
              <w:tc>
                <w:tcPr>
                  <w:tcW w:w="597" w:type="pct"/>
                  <w:tcBorders>
                    <w:tl2br w:val="nil"/>
                    <w:tr2bl w:val="nil"/>
                  </w:tcBorders>
                  <w:vAlign w:val="center"/>
                </w:tcPr>
                <w:p w14:paraId="1D439A62">
                  <w:pPr>
                    <w:keepNext w:val="0"/>
                    <w:keepLines w:val="0"/>
                    <w:pageBreakBefore w:val="0"/>
                    <w:widowControl/>
                    <w:kinsoku/>
                    <w:wordWrap/>
                    <w:overflowPunct/>
                    <w:topLinePunct w:val="0"/>
                    <w:bidi w:val="0"/>
                    <w:adjustRightInd/>
                    <w:snapToGrid/>
                    <w:spacing w:line="240" w:lineRule="auto"/>
                    <w:jc w:val="center"/>
                    <w:textAlignment w:val="bottom"/>
                    <w:rPr>
                      <w:rFonts w:hint="default"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45%</w:t>
                  </w:r>
                </w:p>
              </w:tc>
              <w:tc>
                <w:tcPr>
                  <w:tcW w:w="665" w:type="pct"/>
                  <w:tcBorders>
                    <w:tl2br w:val="nil"/>
                    <w:tr2bl w:val="nil"/>
                  </w:tcBorders>
                  <w:vAlign w:val="center"/>
                </w:tcPr>
                <w:p w14:paraId="3832FCE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kern w:val="0"/>
                      <w:szCs w:val="21"/>
                      <w:highlight w:val="none"/>
                      <w:lang w:val="en-US" w:eastAsia="zh-CN" w:bidi="ar"/>
                    </w:rPr>
                  </w:pPr>
                  <w:r>
                    <w:rPr>
                      <w:rFonts w:hint="eastAsia" w:cs="Times New Roman"/>
                      <w:color w:val="auto"/>
                      <w:spacing w:val="0"/>
                      <w:sz w:val="21"/>
                      <w:szCs w:val="21"/>
                      <w:highlight w:val="none"/>
                      <w:vertAlign w:val="baseline"/>
                      <w:lang w:val="en-US" w:eastAsia="zh-CN"/>
                    </w:rPr>
                    <w:t>45</w:t>
                  </w:r>
                  <w:r>
                    <w:rPr>
                      <w:rFonts w:hint="eastAsia" w:ascii="Times New Roman" w:hAnsi="Times New Roman" w:eastAsia="宋体" w:cs="Times New Roman"/>
                      <w:color w:val="auto"/>
                      <w:spacing w:val="0"/>
                      <w:sz w:val="21"/>
                      <w:szCs w:val="21"/>
                      <w:highlight w:val="none"/>
                      <w:vertAlign w:val="baseline"/>
                      <w:lang w:val="en-US" w:eastAsia="zh-CN"/>
                    </w:rPr>
                    <w:t>%</w:t>
                  </w:r>
                </w:p>
              </w:tc>
              <w:tc>
                <w:tcPr>
                  <w:tcW w:w="539" w:type="pct"/>
                  <w:tcBorders>
                    <w:tl2br w:val="nil"/>
                    <w:tr2bl w:val="nil"/>
                  </w:tcBorders>
                  <w:vAlign w:val="center"/>
                </w:tcPr>
                <w:p w14:paraId="777870A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cs="Times New Roman" w:eastAsiaTheme="minorEastAsia"/>
                      <w:color w:val="auto"/>
                      <w:kern w:val="0"/>
                      <w:szCs w:val="21"/>
                      <w:highlight w:val="none"/>
                      <w:lang w:val="en-US" w:eastAsia="zh-CN" w:bidi="ar"/>
                    </w:rPr>
                  </w:pPr>
                  <w:r>
                    <w:rPr>
                      <w:rFonts w:hint="eastAsia" w:cs="Times New Roman"/>
                      <w:color w:val="auto"/>
                      <w:spacing w:val="0"/>
                      <w:sz w:val="21"/>
                      <w:szCs w:val="21"/>
                      <w:highlight w:val="none"/>
                      <w:vertAlign w:val="baseline"/>
                      <w:lang w:val="en-US" w:eastAsia="zh-CN"/>
                    </w:rPr>
                    <w:t>80</w:t>
                  </w:r>
                  <w:r>
                    <w:rPr>
                      <w:rFonts w:hint="eastAsia" w:ascii="Times New Roman" w:hAnsi="Times New Roman" w:eastAsia="宋体" w:cs="Times New Roman"/>
                      <w:color w:val="auto"/>
                      <w:spacing w:val="0"/>
                      <w:sz w:val="21"/>
                      <w:szCs w:val="21"/>
                      <w:highlight w:val="none"/>
                      <w:vertAlign w:val="baseline"/>
                      <w:lang w:val="en-US" w:eastAsia="zh-CN"/>
                    </w:rPr>
                    <w:t>%</w:t>
                  </w:r>
                </w:p>
              </w:tc>
              <w:tc>
                <w:tcPr>
                  <w:tcW w:w="559" w:type="pct"/>
                  <w:tcBorders>
                    <w:tl2br w:val="nil"/>
                    <w:tr2bl w:val="nil"/>
                  </w:tcBorders>
                  <w:vAlign w:val="center"/>
                </w:tcPr>
                <w:p w14:paraId="2094853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cs="Times New Roman" w:eastAsiaTheme="minorEastAsia"/>
                      <w:color w:val="auto"/>
                      <w:kern w:val="0"/>
                      <w:szCs w:val="21"/>
                      <w:highlight w:val="none"/>
                      <w:lang w:val="en-US" w:eastAsia="zh-CN" w:bidi="ar"/>
                    </w:rPr>
                  </w:pPr>
                  <w:r>
                    <w:rPr>
                      <w:rFonts w:hint="eastAsia" w:cs="Times New Roman"/>
                      <w:color w:val="auto"/>
                      <w:spacing w:val="0"/>
                      <w:sz w:val="21"/>
                      <w:szCs w:val="21"/>
                      <w:highlight w:val="none"/>
                      <w:vertAlign w:val="baseline"/>
                      <w:lang w:val="en-US" w:eastAsia="zh-CN"/>
                    </w:rPr>
                    <w:t>5</w:t>
                  </w:r>
                  <w:r>
                    <w:rPr>
                      <w:rFonts w:hint="eastAsia" w:ascii="Times New Roman" w:hAnsi="Times New Roman" w:eastAsia="宋体" w:cs="Times New Roman"/>
                      <w:color w:val="auto"/>
                      <w:spacing w:val="0"/>
                      <w:sz w:val="21"/>
                      <w:szCs w:val="21"/>
                      <w:highlight w:val="none"/>
                      <w:vertAlign w:val="baseline"/>
                      <w:lang w:val="en-US" w:eastAsia="zh-CN"/>
                    </w:rPr>
                    <w:t>%</w:t>
                  </w:r>
                </w:p>
              </w:tc>
              <w:tc>
                <w:tcPr>
                  <w:tcW w:w="470" w:type="pct"/>
                  <w:tcBorders>
                    <w:tl2br w:val="nil"/>
                    <w:tr2bl w:val="nil"/>
                  </w:tcBorders>
                  <w:vAlign w:val="center"/>
                </w:tcPr>
                <w:p w14:paraId="10FDF25D">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w:t>
                  </w:r>
                </w:p>
              </w:tc>
            </w:tr>
            <w:tr w14:paraId="7E9045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22" w:type="pct"/>
                  <w:vMerge w:val="continue"/>
                  <w:tcBorders>
                    <w:tl2br w:val="nil"/>
                    <w:tr2bl w:val="nil"/>
                  </w:tcBorders>
                  <w:vAlign w:val="center"/>
                </w:tcPr>
                <w:p w14:paraId="6F19EE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p>
              </w:tc>
              <w:tc>
                <w:tcPr>
                  <w:tcW w:w="1344" w:type="pct"/>
                  <w:tcBorders>
                    <w:tl2br w:val="nil"/>
                    <w:tr2bl w:val="nil"/>
                  </w:tcBorders>
                  <w:vAlign w:val="center"/>
                </w:tcPr>
                <w:p w14:paraId="22AA6B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r>
                    <w:rPr>
                      <w:rFonts w:hint="eastAsia" w:cs="Times New Roman" w:eastAsiaTheme="minorEastAsia"/>
                      <w:color w:val="auto"/>
                      <w:szCs w:val="21"/>
                      <w:highlight w:val="none"/>
                      <w:lang w:val="en-US" w:eastAsia="zh-CN"/>
                    </w:rPr>
                    <w:t>排放</w:t>
                  </w:r>
                  <w:r>
                    <w:rPr>
                      <w:rFonts w:hint="default" w:ascii="Times New Roman" w:hAnsi="Times New Roman" w:cs="Times New Roman" w:eastAsiaTheme="minorEastAsia"/>
                      <w:color w:val="auto"/>
                      <w:szCs w:val="21"/>
                      <w:highlight w:val="none"/>
                    </w:rPr>
                    <w:t>浓度（mg/L）</w:t>
                  </w:r>
                </w:p>
              </w:tc>
              <w:tc>
                <w:tcPr>
                  <w:tcW w:w="597" w:type="pct"/>
                  <w:tcBorders>
                    <w:tl2br w:val="nil"/>
                    <w:tr2bl w:val="nil"/>
                  </w:tcBorders>
                  <w:vAlign w:val="center"/>
                </w:tcPr>
                <w:p w14:paraId="1F9C43B4">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385</w:t>
                  </w:r>
                </w:p>
              </w:tc>
              <w:tc>
                <w:tcPr>
                  <w:tcW w:w="665" w:type="pct"/>
                  <w:tcBorders>
                    <w:tl2br w:val="nil"/>
                    <w:tr2bl w:val="nil"/>
                  </w:tcBorders>
                  <w:vAlign w:val="center"/>
                </w:tcPr>
                <w:p w14:paraId="7AE3233F">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275</w:t>
                  </w:r>
                </w:p>
              </w:tc>
              <w:tc>
                <w:tcPr>
                  <w:tcW w:w="539" w:type="pct"/>
                  <w:tcBorders>
                    <w:tl2br w:val="nil"/>
                    <w:tr2bl w:val="nil"/>
                  </w:tcBorders>
                  <w:vAlign w:val="center"/>
                </w:tcPr>
                <w:p w14:paraId="3C4A49BA">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40</w:t>
                  </w:r>
                </w:p>
              </w:tc>
              <w:tc>
                <w:tcPr>
                  <w:tcW w:w="559" w:type="pct"/>
                  <w:tcBorders>
                    <w:tl2br w:val="nil"/>
                    <w:tr2bl w:val="nil"/>
                  </w:tcBorders>
                  <w:vAlign w:val="center"/>
                </w:tcPr>
                <w:p w14:paraId="6DC3086F">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32.3</w:t>
                  </w:r>
                </w:p>
              </w:tc>
              <w:tc>
                <w:tcPr>
                  <w:tcW w:w="470" w:type="pct"/>
                  <w:tcBorders>
                    <w:tl2br w:val="nil"/>
                    <w:tr2bl w:val="nil"/>
                  </w:tcBorders>
                  <w:vAlign w:val="center"/>
                </w:tcPr>
                <w:p w14:paraId="4C004B24">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default" w:ascii="Times New Roman" w:hAnsi="Times New Roman" w:cs="Times New Roman" w:eastAsiaTheme="minorEastAsia"/>
                      <w:color w:val="auto"/>
                      <w:kern w:val="0"/>
                      <w:szCs w:val="21"/>
                      <w:highlight w:val="none"/>
                      <w:lang w:val="en-US" w:eastAsia="zh-CN" w:bidi="ar"/>
                    </w:rPr>
                    <w:t>6</w:t>
                  </w:r>
                  <w:r>
                    <w:rPr>
                      <w:rFonts w:hint="eastAsia" w:cs="Times New Roman" w:eastAsiaTheme="minorEastAsia"/>
                      <w:color w:val="auto"/>
                      <w:kern w:val="0"/>
                      <w:szCs w:val="21"/>
                      <w:highlight w:val="none"/>
                      <w:lang w:val="en-US" w:eastAsia="zh-CN" w:bidi="ar"/>
                    </w:rPr>
                    <w:t>~9</w:t>
                  </w:r>
                </w:p>
              </w:tc>
            </w:tr>
            <w:tr w14:paraId="0161D4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22" w:type="pct"/>
                  <w:vMerge w:val="continue"/>
                  <w:tcBorders>
                    <w:tl2br w:val="nil"/>
                    <w:tr2bl w:val="nil"/>
                  </w:tcBorders>
                  <w:vAlign w:val="center"/>
                </w:tcPr>
                <w:p w14:paraId="221A990A">
                  <w:pPr>
                    <w:keepNext w:val="0"/>
                    <w:keepLines w:val="0"/>
                    <w:pageBreakBefore w:val="0"/>
                    <w:widowControl/>
                    <w:kinsoku/>
                    <w:wordWrap/>
                    <w:overflowPunct/>
                    <w:topLinePunct w:val="0"/>
                    <w:bidi w:val="0"/>
                    <w:adjustRightInd/>
                    <w:snapToGrid/>
                    <w:spacing w:line="240" w:lineRule="auto"/>
                    <w:jc w:val="center"/>
                    <w:textAlignment w:val="center"/>
                    <w:rPr>
                      <w:rFonts w:hint="default" w:ascii="Times New Roman" w:hAnsi="Times New Roman" w:cs="Times New Roman" w:eastAsiaTheme="minorEastAsia"/>
                      <w:color w:val="auto"/>
                      <w:kern w:val="0"/>
                      <w:szCs w:val="21"/>
                      <w:highlight w:val="none"/>
                      <w:lang w:bidi="ar"/>
                    </w:rPr>
                  </w:pPr>
                </w:p>
              </w:tc>
              <w:tc>
                <w:tcPr>
                  <w:tcW w:w="1344" w:type="pct"/>
                  <w:tcBorders>
                    <w:tl2br w:val="nil"/>
                    <w:tr2bl w:val="nil"/>
                  </w:tcBorders>
                  <w:vAlign w:val="center"/>
                </w:tcPr>
                <w:p w14:paraId="785A9E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排放量（t/a）</w:t>
                  </w:r>
                </w:p>
              </w:tc>
              <w:tc>
                <w:tcPr>
                  <w:tcW w:w="597" w:type="pct"/>
                  <w:tcBorders>
                    <w:tl2br w:val="nil"/>
                    <w:tr2bl w:val="nil"/>
                  </w:tcBorders>
                  <w:vAlign w:val="center"/>
                </w:tcPr>
                <w:p w14:paraId="6DB5F099">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bidi="ar"/>
                    </w:rPr>
                  </w:pPr>
                  <w:r>
                    <w:rPr>
                      <w:rFonts w:hint="default" w:ascii="Times New Roman" w:hAnsi="Times New Roman" w:cs="Times New Roman" w:eastAsiaTheme="minorEastAsia"/>
                      <w:color w:val="auto"/>
                      <w:kern w:val="0"/>
                      <w:szCs w:val="21"/>
                      <w:highlight w:val="none"/>
                      <w:lang w:val="en-US" w:eastAsia="zh-CN" w:bidi="ar"/>
                    </w:rPr>
                    <w:t>0.220</w:t>
                  </w:r>
                </w:p>
              </w:tc>
              <w:tc>
                <w:tcPr>
                  <w:tcW w:w="665" w:type="pct"/>
                  <w:tcBorders>
                    <w:tl2br w:val="nil"/>
                    <w:tr2bl w:val="nil"/>
                  </w:tcBorders>
                  <w:vAlign w:val="center"/>
                </w:tcPr>
                <w:p w14:paraId="37189D37">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val="en-US" w:eastAsia="zh-CN" w:bidi="ar"/>
                    </w:rPr>
                    <w:t>0.157</w:t>
                  </w:r>
                </w:p>
              </w:tc>
              <w:tc>
                <w:tcPr>
                  <w:tcW w:w="539" w:type="pct"/>
                  <w:tcBorders>
                    <w:tl2br w:val="nil"/>
                    <w:tr2bl w:val="nil"/>
                  </w:tcBorders>
                  <w:vAlign w:val="center"/>
                </w:tcPr>
                <w:p w14:paraId="0082B914">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val="en-US" w:eastAsia="zh-CN" w:bidi="ar"/>
                    </w:rPr>
                    <w:t>0.02</w:t>
                  </w:r>
                  <w:r>
                    <w:rPr>
                      <w:rFonts w:hint="eastAsia" w:cs="Times New Roman" w:eastAsiaTheme="minorEastAsia"/>
                      <w:color w:val="auto"/>
                      <w:kern w:val="0"/>
                      <w:szCs w:val="21"/>
                      <w:highlight w:val="none"/>
                      <w:lang w:val="en-US" w:eastAsia="zh-CN" w:bidi="ar"/>
                    </w:rPr>
                    <w:t>3</w:t>
                  </w:r>
                </w:p>
              </w:tc>
              <w:tc>
                <w:tcPr>
                  <w:tcW w:w="559" w:type="pct"/>
                  <w:tcBorders>
                    <w:tl2br w:val="nil"/>
                    <w:tr2bl w:val="nil"/>
                  </w:tcBorders>
                  <w:vAlign w:val="center"/>
                </w:tcPr>
                <w:p w14:paraId="11D39D2A">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val="en-US" w:eastAsia="zh-CN" w:bidi="ar"/>
                    </w:rPr>
                    <w:t>0.019</w:t>
                  </w:r>
                </w:p>
              </w:tc>
              <w:tc>
                <w:tcPr>
                  <w:tcW w:w="470" w:type="pct"/>
                  <w:tcBorders>
                    <w:tl2br w:val="nil"/>
                    <w:tr2bl w:val="nil"/>
                  </w:tcBorders>
                  <w:vAlign w:val="center"/>
                </w:tcPr>
                <w:p w14:paraId="0372D27E">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val="en-US" w:eastAsia="zh-CN" w:bidi="ar"/>
                    </w:rPr>
                    <w:t>/</w:t>
                  </w:r>
                </w:p>
              </w:tc>
            </w:tr>
            <w:tr w14:paraId="7B2AE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166" w:type="pct"/>
                  <w:gridSpan w:val="2"/>
                  <w:tcBorders>
                    <w:tl2br w:val="nil"/>
                    <w:tr2bl w:val="nil"/>
                  </w:tcBorders>
                  <w:vAlign w:val="center"/>
                </w:tcPr>
                <w:p w14:paraId="04706B32">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（GB8978-1996）三级标准</w:t>
                  </w:r>
                </w:p>
              </w:tc>
              <w:tc>
                <w:tcPr>
                  <w:tcW w:w="597" w:type="pct"/>
                  <w:tcBorders>
                    <w:tl2br w:val="nil"/>
                    <w:tr2bl w:val="nil"/>
                  </w:tcBorders>
                  <w:vAlign w:val="center"/>
                </w:tcPr>
                <w:p w14:paraId="13883BAD">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500</w:t>
                  </w:r>
                </w:p>
              </w:tc>
              <w:tc>
                <w:tcPr>
                  <w:tcW w:w="665" w:type="pct"/>
                  <w:tcBorders>
                    <w:tl2br w:val="nil"/>
                    <w:tr2bl w:val="nil"/>
                  </w:tcBorders>
                  <w:vAlign w:val="center"/>
                </w:tcPr>
                <w:p w14:paraId="4C9AA701">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300</w:t>
                  </w:r>
                </w:p>
              </w:tc>
              <w:tc>
                <w:tcPr>
                  <w:tcW w:w="539" w:type="pct"/>
                  <w:tcBorders>
                    <w:tl2br w:val="nil"/>
                    <w:tr2bl w:val="nil"/>
                  </w:tcBorders>
                  <w:vAlign w:val="center"/>
                </w:tcPr>
                <w:p w14:paraId="7CB7A640">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400</w:t>
                  </w:r>
                </w:p>
              </w:tc>
              <w:tc>
                <w:tcPr>
                  <w:tcW w:w="559" w:type="pct"/>
                  <w:tcBorders>
                    <w:tl2br w:val="nil"/>
                    <w:tr2bl w:val="nil"/>
                  </w:tcBorders>
                  <w:vAlign w:val="center"/>
                </w:tcPr>
                <w:p w14:paraId="5B6056EC">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w:t>
                  </w:r>
                </w:p>
              </w:tc>
              <w:tc>
                <w:tcPr>
                  <w:tcW w:w="470" w:type="pct"/>
                  <w:tcBorders>
                    <w:tl2br w:val="nil"/>
                    <w:tr2bl w:val="nil"/>
                  </w:tcBorders>
                  <w:vAlign w:val="center"/>
                </w:tcPr>
                <w:p w14:paraId="7AC7A0BC">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val="en-US" w:eastAsia="zh-CN" w:bidi="ar"/>
                    </w:rPr>
                  </w:pPr>
                  <w:r>
                    <w:rPr>
                      <w:rFonts w:hint="eastAsia" w:cs="Times New Roman" w:eastAsiaTheme="minorEastAsia"/>
                      <w:color w:val="auto"/>
                      <w:kern w:val="0"/>
                      <w:szCs w:val="21"/>
                      <w:highlight w:val="none"/>
                      <w:lang w:val="en-US" w:eastAsia="zh-CN" w:bidi="ar"/>
                    </w:rPr>
                    <w:t>6~9</w:t>
                  </w:r>
                </w:p>
              </w:tc>
            </w:tr>
            <w:tr w14:paraId="64F2F8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66" w:type="pct"/>
                  <w:gridSpan w:val="2"/>
                  <w:tcBorders>
                    <w:tl2br w:val="nil"/>
                    <w:tr2bl w:val="nil"/>
                  </w:tcBorders>
                  <w:vAlign w:val="center"/>
                </w:tcPr>
                <w:p w14:paraId="40EAD57A">
                  <w:pPr>
                    <w:keepNext w:val="0"/>
                    <w:keepLines w:val="0"/>
                    <w:pageBreakBefore w:val="0"/>
                    <w:kinsoku/>
                    <w:wordWrap/>
                    <w:overflowPunct/>
                    <w:topLinePunct w:val="0"/>
                    <w:bidi w:val="0"/>
                    <w:adjustRightInd/>
                    <w:snapToGrid/>
                    <w:spacing w:line="240" w:lineRule="auto"/>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bCs/>
                      <w:color w:val="auto"/>
                      <w:szCs w:val="21"/>
                      <w:highlight w:val="none"/>
                    </w:rPr>
                    <w:t>（GB/T31962-2015）</w:t>
                  </w:r>
                  <w:r>
                    <w:rPr>
                      <w:rFonts w:hint="default" w:ascii="Times New Roman" w:hAnsi="Times New Roman" w:cs="Times New Roman" w:eastAsiaTheme="minorEastAsia"/>
                      <w:bCs/>
                      <w:color w:val="auto"/>
                      <w:szCs w:val="21"/>
                      <w:highlight w:val="none"/>
                      <w:lang w:val="en-US" w:eastAsia="zh-CN"/>
                    </w:rPr>
                    <w:t>A</w:t>
                  </w:r>
                  <w:r>
                    <w:rPr>
                      <w:rFonts w:hint="default" w:ascii="Times New Roman" w:hAnsi="Times New Roman" w:cs="Times New Roman" w:eastAsiaTheme="minorEastAsia"/>
                      <w:color w:val="auto"/>
                      <w:szCs w:val="21"/>
                      <w:highlight w:val="none"/>
                    </w:rPr>
                    <w:t>级标准</w:t>
                  </w:r>
                </w:p>
              </w:tc>
              <w:tc>
                <w:tcPr>
                  <w:tcW w:w="597" w:type="pct"/>
                  <w:tcBorders>
                    <w:tl2br w:val="nil"/>
                    <w:tr2bl w:val="nil"/>
                  </w:tcBorders>
                  <w:vAlign w:val="center"/>
                </w:tcPr>
                <w:p w14:paraId="70CAC6CE">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w:t>
                  </w:r>
                </w:p>
              </w:tc>
              <w:tc>
                <w:tcPr>
                  <w:tcW w:w="665" w:type="pct"/>
                  <w:tcBorders>
                    <w:tl2br w:val="nil"/>
                    <w:tr2bl w:val="nil"/>
                  </w:tcBorders>
                  <w:vAlign w:val="center"/>
                </w:tcPr>
                <w:p w14:paraId="3D2B2B67">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w:t>
                  </w:r>
                </w:p>
              </w:tc>
              <w:tc>
                <w:tcPr>
                  <w:tcW w:w="539" w:type="pct"/>
                  <w:tcBorders>
                    <w:tl2br w:val="nil"/>
                    <w:tr2bl w:val="nil"/>
                  </w:tcBorders>
                  <w:vAlign w:val="center"/>
                </w:tcPr>
                <w:p w14:paraId="6AD7A996">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w:t>
                  </w:r>
                </w:p>
              </w:tc>
              <w:tc>
                <w:tcPr>
                  <w:tcW w:w="559" w:type="pct"/>
                  <w:tcBorders>
                    <w:tl2br w:val="nil"/>
                    <w:tr2bl w:val="nil"/>
                  </w:tcBorders>
                  <w:vAlign w:val="center"/>
                </w:tcPr>
                <w:p w14:paraId="1739CDE5">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cs="Times New Roman" w:eastAsiaTheme="minorEastAsia"/>
                      <w:color w:val="auto"/>
                      <w:kern w:val="0"/>
                      <w:szCs w:val="21"/>
                      <w:highlight w:val="none"/>
                      <w:lang w:bidi="ar"/>
                    </w:rPr>
                  </w:pPr>
                  <w:r>
                    <w:rPr>
                      <w:rFonts w:hint="default" w:ascii="Times New Roman" w:hAnsi="Times New Roman" w:cs="Times New Roman" w:eastAsiaTheme="minorEastAsia"/>
                      <w:color w:val="auto"/>
                      <w:kern w:val="0"/>
                      <w:szCs w:val="21"/>
                      <w:highlight w:val="none"/>
                      <w:lang w:bidi="ar"/>
                    </w:rPr>
                    <w:t>45</w:t>
                  </w:r>
                </w:p>
              </w:tc>
              <w:tc>
                <w:tcPr>
                  <w:tcW w:w="470" w:type="pct"/>
                  <w:tcBorders>
                    <w:tl2br w:val="nil"/>
                    <w:tr2bl w:val="nil"/>
                  </w:tcBorders>
                  <w:vAlign w:val="center"/>
                </w:tcPr>
                <w:p w14:paraId="377E53AA">
                  <w:pPr>
                    <w:keepNext w:val="0"/>
                    <w:keepLines w:val="0"/>
                    <w:pageBreakBefore w:val="0"/>
                    <w:widowControl/>
                    <w:kinsoku/>
                    <w:wordWrap/>
                    <w:overflowPunct/>
                    <w:topLinePunct w:val="0"/>
                    <w:bidi w:val="0"/>
                    <w:adjustRightInd/>
                    <w:snapToGrid/>
                    <w:spacing w:line="240" w:lineRule="auto"/>
                    <w:jc w:val="center"/>
                    <w:textAlignment w:val="bottom"/>
                    <w:rPr>
                      <w:rFonts w:hint="eastAsia" w:ascii="Times New Roman" w:hAnsi="Times New Roman" w:cs="Times New Roman" w:eastAsiaTheme="minorEastAsia"/>
                      <w:color w:val="auto"/>
                      <w:kern w:val="0"/>
                      <w:szCs w:val="21"/>
                      <w:highlight w:val="none"/>
                      <w:lang w:eastAsia="zh-CN" w:bidi="ar"/>
                    </w:rPr>
                  </w:pPr>
                  <w:r>
                    <w:rPr>
                      <w:rFonts w:hint="eastAsia" w:cs="Times New Roman" w:eastAsiaTheme="minorEastAsia"/>
                      <w:color w:val="auto"/>
                      <w:kern w:val="0"/>
                      <w:szCs w:val="21"/>
                      <w:highlight w:val="none"/>
                      <w:lang w:val="en-US" w:eastAsia="zh-CN" w:bidi="ar"/>
                    </w:rPr>
                    <w:t>/</w:t>
                  </w:r>
                </w:p>
              </w:tc>
            </w:tr>
          </w:tbl>
          <w:p w14:paraId="4E0500D2">
            <w:pPr>
              <w:pStyle w:val="75"/>
              <w:keepNext w:val="0"/>
              <w:keepLines w:val="0"/>
              <w:pageBreakBefore w:val="0"/>
              <w:widowControl w:val="0"/>
              <w:kinsoku/>
              <w:wordWrap/>
              <w:overflowPunct/>
              <w:topLinePunct w:val="0"/>
              <w:bidi w:val="0"/>
              <w:spacing w:line="360" w:lineRule="auto"/>
              <w:ind w:firstLine="482" w:firstLineChars="200"/>
              <w:rPr>
                <w:rFonts w:ascii="Times New Roman" w:cs="Times New Roman"/>
                <w:b/>
                <w:bCs/>
                <w:smallCaps/>
                <w:color w:val="auto"/>
                <w:highlight w:val="none"/>
              </w:rPr>
            </w:pPr>
            <w:r>
              <w:rPr>
                <w:rFonts w:hint="eastAsia" w:ascii="Times New Roman" w:hAnsi="Times New Roman" w:eastAsia="宋体" w:cs="Times New Roman"/>
                <w:b/>
                <w:bCs/>
                <w:smallCaps/>
                <w:color w:val="auto"/>
                <w:kern w:val="2"/>
                <w:sz w:val="24"/>
                <w:szCs w:val="24"/>
                <w:highlight w:val="none"/>
                <w:lang w:val="en-US" w:eastAsia="zh-CN" w:bidi="ar-SA"/>
              </w:rPr>
              <w:t>4.3.2达标情况分析</w:t>
            </w:r>
          </w:p>
          <w:p w14:paraId="04EC79A8">
            <w:pPr>
              <w:pStyle w:val="75"/>
              <w:keepNext w:val="0"/>
              <w:keepLines w:val="0"/>
              <w:pageBreakBefore w:val="0"/>
              <w:widowControl w:val="0"/>
              <w:kinsoku/>
              <w:wordWrap/>
              <w:overflowPunct/>
              <w:topLinePunct w:val="0"/>
              <w:bidi w:val="0"/>
              <w:spacing w:line="360" w:lineRule="auto"/>
              <w:ind w:firstLine="480" w:firstLineChars="200"/>
              <w:rPr>
                <w:rFonts w:ascii="Times New Roman" w:hAnsi="Courier New" w:eastAsia="宋体" w:cs="Times New Roman"/>
                <w:smallCaps/>
                <w:color w:val="auto"/>
                <w:highlight w:val="none"/>
              </w:rPr>
            </w:pPr>
            <w:r>
              <w:rPr>
                <w:rFonts w:ascii="Times New Roman" w:hAnsi="Courier New" w:eastAsia="宋体" w:cs="Times New Roman"/>
                <w:smallCaps/>
                <w:color w:val="auto"/>
                <w:highlight w:val="none"/>
              </w:rPr>
              <w:t>本项目运营期</w:t>
            </w:r>
            <w:r>
              <w:rPr>
                <w:rFonts w:hint="eastAsia" w:ascii="Times New Roman" w:hAnsi="Courier New" w:eastAsia="宋体" w:cs="Times New Roman"/>
                <w:smallCaps/>
                <w:color w:val="auto"/>
                <w:highlight w:val="none"/>
                <w:lang w:val="en-US" w:eastAsia="zh-CN"/>
              </w:rPr>
              <w:t>不新增生活污水，</w:t>
            </w:r>
            <w:r>
              <w:rPr>
                <w:rFonts w:ascii="Times New Roman" w:hAnsi="Courier New" w:eastAsia="宋体" w:cs="Times New Roman"/>
                <w:smallCaps/>
                <w:color w:val="auto"/>
                <w:highlight w:val="none"/>
              </w:rPr>
              <w:t>废水主要包括</w:t>
            </w:r>
            <w:r>
              <w:rPr>
                <w:rFonts w:hint="eastAsia" w:ascii="Times New Roman" w:hAnsi="Courier New" w:eastAsia="宋体" w:cs="Times New Roman"/>
                <w:smallCaps/>
                <w:color w:val="auto"/>
                <w:highlight w:val="none"/>
              </w:rPr>
              <w:t>实验室分析废水、实验室清洗废水</w:t>
            </w:r>
            <w:r>
              <w:rPr>
                <w:rFonts w:hint="eastAsia" w:ascii="Times New Roman" w:hAnsi="Courier New" w:eastAsia="宋体" w:cs="Times New Roman"/>
                <w:smallCaps/>
                <w:color w:val="auto"/>
                <w:highlight w:val="none"/>
                <w:lang w:val="en-US" w:eastAsia="zh-CN"/>
              </w:rPr>
              <w:t>等</w:t>
            </w:r>
            <w:r>
              <w:rPr>
                <w:rFonts w:hint="eastAsia" w:ascii="Times New Roman" w:hAnsi="Courier New" w:eastAsia="宋体" w:cs="Times New Roman"/>
                <w:smallCaps/>
                <w:color w:val="auto"/>
                <w:highlight w:val="none"/>
                <w:lang w:eastAsia="zh-CN"/>
              </w:rPr>
              <w:t>，</w:t>
            </w:r>
            <w:r>
              <w:rPr>
                <w:rFonts w:hint="eastAsia" w:ascii="Times New Roman" w:hAnsi="Courier New" w:eastAsia="宋体" w:cs="Times New Roman"/>
                <w:smallCaps/>
                <w:color w:val="auto"/>
                <w:highlight w:val="none"/>
                <w:lang w:val="en-US" w:eastAsia="zh-CN"/>
              </w:rPr>
              <w:t>实验废水经酸碱中和池+混凝沉淀处理后进入化粪池，最终进入沣东南污水处理厂。根据以上分析，项目废水中各污染物排放浓度满足《污水综合排放标准》（GB8978-1996）中三级标准及《污水排入城镇下水道水质标准》（GB/T31962-2015）A级标准要求。</w:t>
            </w:r>
          </w:p>
          <w:p w14:paraId="5A9C4DF8">
            <w:pPr>
              <w:pStyle w:val="75"/>
              <w:keepNext w:val="0"/>
              <w:keepLines w:val="0"/>
              <w:pageBreakBefore w:val="0"/>
              <w:widowControl w:val="0"/>
              <w:kinsoku/>
              <w:wordWrap/>
              <w:overflowPunct/>
              <w:topLinePunct w:val="0"/>
              <w:bidi w:val="0"/>
              <w:adjustRightInd w:val="0"/>
              <w:spacing w:line="360" w:lineRule="auto"/>
              <w:ind w:firstLine="482" w:firstLineChars="200"/>
              <w:rPr>
                <w:rFonts w:ascii="Times New Roman" w:cs="Times New Roman"/>
                <w:b/>
                <w:bCs/>
                <w:smallCaps/>
                <w:color w:val="auto"/>
                <w:highlight w:val="none"/>
              </w:rPr>
            </w:pPr>
            <w:r>
              <w:rPr>
                <w:rFonts w:hint="eastAsia" w:ascii="Times New Roman" w:hAnsi="Times New Roman" w:eastAsia="宋体" w:cs="Times New Roman"/>
                <w:b/>
                <w:bCs/>
                <w:smallCaps/>
                <w:color w:val="auto"/>
                <w:kern w:val="2"/>
                <w:sz w:val="24"/>
                <w:szCs w:val="24"/>
                <w:highlight w:val="none"/>
                <w:lang w:val="en-US" w:eastAsia="zh-CN" w:bidi="ar-SA"/>
              </w:rPr>
              <w:t>4.3.3废水污染治理设施可行性分析</w:t>
            </w:r>
          </w:p>
          <w:p w14:paraId="31ED5D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highlight w:val="none"/>
              </w:rPr>
            </w:pPr>
            <w:r>
              <w:rPr>
                <w:rFonts w:hint="eastAsia"/>
                <w:color w:val="auto"/>
                <w:sz w:val="24"/>
                <w:highlight w:val="none"/>
                <w:lang w:val="en-US" w:eastAsia="zh-CN"/>
              </w:rPr>
              <w:t>本项目</w:t>
            </w:r>
            <w:r>
              <w:rPr>
                <w:rFonts w:hint="eastAsia"/>
                <w:color w:val="auto"/>
                <w:sz w:val="24"/>
                <w:highlight w:val="none"/>
              </w:rPr>
              <w:t>各实验室收集的污水集中到储水箱，污水处理设备进水口设置自动吸液泵，污水通过自动吸液泵进入酸碱调节池进行初步中和及AOP表面活性剂氧化处理，待调节池的污水稳流后进行pH自动调节。经过酸碱调节</w:t>
            </w:r>
            <w:r>
              <w:rPr>
                <w:rFonts w:hint="eastAsia"/>
                <w:color w:val="auto"/>
                <w:sz w:val="24"/>
                <w:highlight w:val="none"/>
                <w:lang w:val="en-US" w:eastAsia="zh-CN"/>
              </w:rPr>
              <w:t>及</w:t>
            </w:r>
            <w:r>
              <w:rPr>
                <w:rFonts w:hint="eastAsia" w:ascii="Times New Roman" w:hAnsi="Times New Roman" w:eastAsia="宋体"/>
                <w:color w:val="auto"/>
                <w:kern w:val="2"/>
                <w:sz w:val="24"/>
                <w:szCs w:val="24"/>
                <w:highlight w:val="none"/>
                <w:lang w:val="en-US" w:eastAsia="zh-CN"/>
              </w:rPr>
              <w:t>混凝沉淀</w:t>
            </w:r>
            <w:r>
              <w:rPr>
                <w:rFonts w:hint="eastAsia"/>
                <w:color w:val="auto"/>
                <w:sz w:val="24"/>
                <w:highlight w:val="none"/>
              </w:rPr>
              <w:t>后的污水通入臭氧进一步消毒杀菌及降低表面活性剂数值，处理完成的水进入清水池。</w:t>
            </w:r>
          </w:p>
          <w:p w14:paraId="481752A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auto"/>
                <w:sz w:val="24"/>
                <w:highlight w:val="none"/>
                <w:lang w:val="en-US" w:eastAsia="zh-CN"/>
              </w:rPr>
            </w:pPr>
            <w:r>
              <w:rPr>
                <w:rFonts w:hint="eastAsia"/>
                <w:color w:val="auto"/>
                <w:sz w:val="24"/>
                <w:highlight w:val="none"/>
                <w:lang w:val="en-US" w:eastAsia="zh-CN"/>
              </w:rPr>
              <w:t>废水处理设施设计处理规模为4m</w:t>
            </w:r>
            <w:r>
              <w:rPr>
                <w:rFonts w:hint="eastAsia"/>
                <w:color w:val="auto"/>
                <w:sz w:val="24"/>
                <w:highlight w:val="none"/>
                <w:vertAlign w:val="superscript"/>
                <w:lang w:val="en-US" w:eastAsia="zh-CN"/>
              </w:rPr>
              <w:t>3</w:t>
            </w:r>
            <w:r>
              <w:rPr>
                <w:rFonts w:hint="eastAsia"/>
                <w:color w:val="auto"/>
                <w:sz w:val="24"/>
                <w:highlight w:val="none"/>
                <w:lang w:val="en-US" w:eastAsia="zh-CN"/>
              </w:rPr>
              <w:t>/d，现有工程实验废水量</w:t>
            </w:r>
            <w:r>
              <w:rPr>
                <w:rFonts w:hint="eastAsia"/>
                <w:color w:val="auto"/>
                <w:kern w:val="2"/>
                <w:sz w:val="24"/>
                <w:szCs w:val="24"/>
                <w:highlight w:val="none"/>
                <w:lang w:val="en-US" w:eastAsia="zh-CN"/>
              </w:rPr>
              <w:t>0.85</w:t>
            </w:r>
            <w:r>
              <w:rPr>
                <w:rFonts w:hint="eastAsia" w:ascii="Times New Roman" w:hAnsi="Times New Roman" w:eastAsia="宋体"/>
                <w:color w:val="auto"/>
                <w:kern w:val="2"/>
                <w:sz w:val="24"/>
                <w:szCs w:val="24"/>
                <w:highlight w:val="none"/>
              </w:rPr>
              <w:t>m</w:t>
            </w:r>
            <w:r>
              <w:rPr>
                <w:rFonts w:hint="eastAsia" w:ascii="Times New Roman" w:hAnsi="Times New Roman" w:eastAsia="宋体"/>
                <w:color w:val="auto"/>
                <w:kern w:val="2"/>
                <w:sz w:val="24"/>
                <w:szCs w:val="24"/>
                <w:highlight w:val="none"/>
                <w:vertAlign w:val="superscript"/>
              </w:rPr>
              <w:t>3</w:t>
            </w:r>
            <w:r>
              <w:rPr>
                <w:rFonts w:hint="eastAsia" w:ascii="Times New Roman" w:hAnsi="Times New Roman" w:eastAsia="宋体"/>
                <w:color w:val="auto"/>
                <w:kern w:val="2"/>
                <w:sz w:val="24"/>
                <w:szCs w:val="24"/>
                <w:highlight w:val="none"/>
              </w:rPr>
              <w:t>/d，</w:t>
            </w:r>
            <w:r>
              <w:rPr>
                <w:rFonts w:hint="eastAsia"/>
                <w:color w:val="auto"/>
                <w:sz w:val="24"/>
                <w:highlight w:val="none"/>
                <w:lang w:val="en-US" w:eastAsia="zh-CN"/>
              </w:rPr>
              <w:t>扩建工程废水量为2.2m</w:t>
            </w:r>
            <w:r>
              <w:rPr>
                <w:rFonts w:hint="eastAsia"/>
                <w:color w:val="auto"/>
                <w:sz w:val="24"/>
                <w:highlight w:val="none"/>
                <w:vertAlign w:val="superscript"/>
                <w:lang w:val="en-US" w:eastAsia="zh-CN"/>
              </w:rPr>
              <w:t>3</w:t>
            </w:r>
            <w:r>
              <w:rPr>
                <w:rFonts w:hint="eastAsia"/>
                <w:color w:val="auto"/>
                <w:sz w:val="24"/>
                <w:highlight w:val="none"/>
                <w:lang w:val="en-US" w:eastAsia="zh-CN"/>
              </w:rPr>
              <w:t>//d，本项目建成后总实验废水量为3.1</w:t>
            </w:r>
            <w:r>
              <w:rPr>
                <w:rFonts w:hint="eastAsia" w:ascii="Times New Roman" w:hAnsi="Times New Roman" w:eastAsia="宋体"/>
                <w:color w:val="auto"/>
                <w:kern w:val="2"/>
                <w:sz w:val="24"/>
                <w:szCs w:val="24"/>
                <w:highlight w:val="none"/>
              </w:rPr>
              <w:t>m</w:t>
            </w:r>
            <w:r>
              <w:rPr>
                <w:rFonts w:hint="eastAsia" w:ascii="Times New Roman" w:hAnsi="Times New Roman" w:eastAsia="宋体"/>
                <w:color w:val="auto"/>
                <w:kern w:val="2"/>
                <w:sz w:val="24"/>
                <w:szCs w:val="24"/>
                <w:highlight w:val="none"/>
                <w:vertAlign w:val="superscript"/>
              </w:rPr>
              <w:t>3</w:t>
            </w:r>
            <w:r>
              <w:rPr>
                <w:rFonts w:hint="eastAsia" w:ascii="Times New Roman" w:hAnsi="Times New Roman" w:eastAsia="宋体"/>
                <w:color w:val="auto"/>
                <w:kern w:val="2"/>
                <w:sz w:val="24"/>
                <w:szCs w:val="24"/>
                <w:highlight w:val="none"/>
              </w:rPr>
              <w:t>/d</w:t>
            </w:r>
            <w:r>
              <w:rPr>
                <w:rFonts w:hint="eastAsia"/>
                <w:color w:val="auto"/>
                <w:sz w:val="24"/>
                <w:highlight w:val="none"/>
                <w:lang w:val="en-US" w:eastAsia="zh-CN"/>
              </w:rPr>
              <w:t>，小于废水设计处理规模4m</w:t>
            </w:r>
            <w:r>
              <w:rPr>
                <w:rFonts w:hint="eastAsia"/>
                <w:color w:val="auto"/>
                <w:sz w:val="24"/>
                <w:highlight w:val="none"/>
                <w:vertAlign w:val="superscript"/>
                <w:lang w:val="en-US" w:eastAsia="zh-CN"/>
              </w:rPr>
              <w:t>3</w:t>
            </w:r>
            <w:r>
              <w:rPr>
                <w:rFonts w:hint="eastAsia"/>
                <w:color w:val="auto"/>
                <w:sz w:val="24"/>
                <w:highlight w:val="none"/>
                <w:lang w:val="en-US" w:eastAsia="zh-CN"/>
              </w:rPr>
              <w:t>/d，因此依托现有实验废水处理系统可行。实验</w:t>
            </w:r>
            <w:r>
              <w:rPr>
                <w:rFonts w:hint="eastAsia"/>
                <w:color w:val="auto"/>
                <w:sz w:val="24"/>
                <w:highlight w:val="none"/>
              </w:rPr>
              <w:t>废水经酸碱中和池预处理后，其各项水质指标均满足《污水综合排放标准》中相关要求</w:t>
            </w:r>
            <w:r>
              <w:rPr>
                <w:rFonts w:hint="eastAsia"/>
                <w:color w:val="auto"/>
                <w:sz w:val="24"/>
                <w:highlight w:val="none"/>
                <w:lang w:eastAsia="zh-CN"/>
              </w:rPr>
              <w:t>。</w:t>
            </w:r>
            <w:r>
              <w:rPr>
                <w:rFonts w:hint="eastAsia"/>
                <w:color w:val="auto"/>
                <w:sz w:val="24"/>
                <w:highlight w:val="none"/>
                <w:lang w:val="en-US" w:eastAsia="zh-CN"/>
              </w:rPr>
              <w:t>因此，本项目新增实验废水依托现有酸碱中和池+混凝沉淀预处理系统可行。</w:t>
            </w:r>
          </w:p>
          <w:p w14:paraId="360DFA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bCs/>
                <w:color w:val="auto"/>
                <w:sz w:val="24"/>
                <w:highlight w:val="none"/>
              </w:rPr>
            </w:pPr>
            <w:r>
              <w:rPr>
                <w:rFonts w:hint="eastAsia"/>
                <w:bCs/>
                <w:color w:val="auto"/>
                <w:sz w:val="24"/>
                <w:highlight w:val="none"/>
                <w:lang w:val="en-US" w:eastAsia="zh-CN"/>
              </w:rPr>
              <w:t>核工业二0三研究所</w:t>
            </w:r>
            <w:r>
              <w:rPr>
                <w:bCs/>
                <w:color w:val="auto"/>
                <w:sz w:val="24"/>
                <w:highlight w:val="none"/>
              </w:rPr>
              <w:t>建设有</w:t>
            </w:r>
            <w:r>
              <w:rPr>
                <w:rFonts w:hint="eastAsia"/>
                <w:bCs/>
                <w:color w:val="auto"/>
                <w:sz w:val="24"/>
                <w:highlight w:val="none"/>
                <w:lang w:val="en-US" w:eastAsia="zh-CN"/>
              </w:rPr>
              <w:t>1</w:t>
            </w:r>
            <w:r>
              <w:rPr>
                <w:bCs/>
                <w:color w:val="auto"/>
                <w:sz w:val="24"/>
                <w:highlight w:val="none"/>
              </w:rPr>
              <w:t>座新型化粪池，总容量约为</w:t>
            </w:r>
            <w:r>
              <w:rPr>
                <w:rFonts w:hint="eastAsia"/>
                <w:bCs/>
                <w:color w:val="auto"/>
                <w:sz w:val="24"/>
                <w:highlight w:val="none"/>
                <w:lang w:val="en-US" w:eastAsia="zh-CN"/>
              </w:rPr>
              <w:t>3</w:t>
            </w:r>
            <w:r>
              <w:rPr>
                <w:bCs/>
                <w:color w:val="auto"/>
                <w:sz w:val="24"/>
                <w:highlight w:val="none"/>
              </w:rPr>
              <w:t>00m</w:t>
            </w:r>
            <w:r>
              <w:rPr>
                <w:rFonts w:hint="eastAsia"/>
                <w:bCs/>
                <w:color w:val="auto"/>
                <w:sz w:val="24"/>
                <w:highlight w:val="none"/>
                <w:vertAlign w:val="superscript"/>
                <w:lang w:val="en-US" w:eastAsia="zh-CN"/>
              </w:rPr>
              <w:t>3</w:t>
            </w:r>
            <w:r>
              <w:rPr>
                <w:bCs/>
                <w:color w:val="auto"/>
                <w:sz w:val="24"/>
                <w:highlight w:val="none"/>
              </w:rPr>
              <w:t>，本项目</w:t>
            </w:r>
            <w:r>
              <w:rPr>
                <w:rFonts w:hint="eastAsia"/>
                <w:bCs/>
                <w:color w:val="auto"/>
                <w:sz w:val="24"/>
                <w:highlight w:val="none"/>
                <w:lang w:val="en-US" w:eastAsia="zh-CN"/>
              </w:rPr>
              <w:t>新增生产废水排放</w:t>
            </w:r>
            <w:r>
              <w:rPr>
                <w:bCs/>
                <w:color w:val="auto"/>
                <w:sz w:val="24"/>
                <w:highlight w:val="none"/>
              </w:rPr>
              <w:t>量</w:t>
            </w:r>
            <w:r>
              <w:rPr>
                <w:rFonts w:hint="eastAsia"/>
                <w:bCs/>
                <w:color w:val="auto"/>
                <w:sz w:val="24"/>
                <w:highlight w:val="none"/>
                <w:lang w:val="en-US" w:eastAsia="zh-CN"/>
              </w:rPr>
              <w:t>571m</w:t>
            </w:r>
            <w:r>
              <w:rPr>
                <w:rFonts w:hint="eastAsia"/>
                <w:bCs/>
                <w:color w:val="auto"/>
                <w:sz w:val="24"/>
                <w:highlight w:val="none"/>
                <w:vertAlign w:val="superscript"/>
                <w:lang w:val="en-US" w:eastAsia="zh-CN"/>
              </w:rPr>
              <w:t>3</w:t>
            </w:r>
            <w:r>
              <w:rPr>
                <w:rFonts w:hint="eastAsia"/>
                <w:bCs/>
                <w:color w:val="auto"/>
                <w:sz w:val="24"/>
                <w:highlight w:val="none"/>
                <w:lang w:val="en-US" w:eastAsia="zh-CN"/>
              </w:rPr>
              <w:t>/a（2.2m</w:t>
            </w:r>
            <w:r>
              <w:rPr>
                <w:rFonts w:hint="eastAsia"/>
                <w:bCs/>
                <w:color w:val="auto"/>
                <w:sz w:val="24"/>
                <w:highlight w:val="none"/>
                <w:vertAlign w:val="superscript"/>
                <w:lang w:val="en-US" w:eastAsia="zh-CN"/>
              </w:rPr>
              <w:t>3</w:t>
            </w:r>
            <w:r>
              <w:rPr>
                <w:rFonts w:hint="eastAsia"/>
                <w:bCs/>
                <w:color w:val="auto"/>
                <w:sz w:val="24"/>
                <w:highlight w:val="none"/>
                <w:lang w:val="en-US" w:eastAsia="zh-CN"/>
              </w:rPr>
              <w:t>/d）</w:t>
            </w:r>
            <w:r>
              <w:rPr>
                <w:bCs/>
                <w:color w:val="auto"/>
                <w:sz w:val="24"/>
                <w:highlight w:val="none"/>
              </w:rPr>
              <w:t>，</w:t>
            </w:r>
            <w:r>
              <w:rPr>
                <w:rFonts w:hint="eastAsia"/>
                <w:bCs/>
                <w:color w:val="auto"/>
                <w:sz w:val="24"/>
                <w:highlight w:val="none"/>
                <w:lang w:val="en-US" w:eastAsia="zh-CN"/>
              </w:rPr>
              <w:t>项目建成后总废水排放量约4434m</w:t>
            </w:r>
            <w:r>
              <w:rPr>
                <w:rFonts w:hint="eastAsia"/>
                <w:bCs/>
                <w:color w:val="auto"/>
                <w:sz w:val="24"/>
                <w:highlight w:val="none"/>
                <w:vertAlign w:val="superscript"/>
                <w:lang w:val="en-US" w:eastAsia="zh-CN"/>
              </w:rPr>
              <w:t>3</w:t>
            </w:r>
            <w:r>
              <w:rPr>
                <w:rFonts w:hint="eastAsia"/>
                <w:bCs/>
                <w:color w:val="auto"/>
                <w:sz w:val="24"/>
                <w:highlight w:val="none"/>
                <w:lang w:val="en-US" w:eastAsia="zh-CN"/>
              </w:rPr>
              <w:t>/a，</w:t>
            </w:r>
            <w:r>
              <w:rPr>
                <w:bCs/>
                <w:color w:val="auto"/>
                <w:sz w:val="24"/>
                <w:highlight w:val="none"/>
              </w:rPr>
              <w:t>排入</w:t>
            </w:r>
            <w:r>
              <w:rPr>
                <w:rFonts w:hint="eastAsia"/>
                <w:bCs/>
                <w:color w:val="auto"/>
                <w:sz w:val="24"/>
                <w:highlight w:val="none"/>
                <w:lang w:val="en-US" w:eastAsia="zh-CN"/>
              </w:rPr>
              <w:t>核工业二0三研究所</w:t>
            </w:r>
            <w:r>
              <w:rPr>
                <w:bCs/>
                <w:color w:val="auto"/>
                <w:sz w:val="24"/>
                <w:highlight w:val="none"/>
              </w:rPr>
              <w:t>现有化粪池，现有化粪池能够接纳处理本项目</w:t>
            </w:r>
            <w:r>
              <w:rPr>
                <w:rFonts w:hint="eastAsia"/>
                <w:bCs/>
                <w:color w:val="auto"/>
                <w:sz w:val="24"/>
                <w:highlight w:val="none"/>
                <w:lang w:val="en-US" w:eastAsia="zh-CN"/>
              </w:rPr>
              <w:t>生产废</w:t>
            </w:r>
            <w:r>
              <w:rPr>
                <w:bCs/>
                <w:color w:val="auto"/>
                <w:sz w:val="24"/>
                <w:highlight w:val="none"/>
              </w:rPr>
              <w:t>水，目前尚有余量，</w:t>
            </w:r>
            <w:r>
              <w:rPr>
                <w:rFonts w:hint="eastAsia"/>
                <w:bCs/>
                <w:color w:val="auto"/>
                <w:sz w:val="24"/>
                <w:highlight w:val="none"/>
                <w:lang w:val="en-US" w:eastAsia="zh-CN"/>
              </w:rPr>
              <w:t>因此，</w:t>
            </w:r>
            <w:r>
              <w:rPr>
                <w:bCs/>
                <w:color w:val="auto"/>
                <w:sz w:val="24"/>
                <w:highlight w:val="none"/>
              </w:rPr>
              <w:t>依托</w:t>
            </w:r>
            <w:r>
              <w:rPr>
                <w:rFonts w:hint="eastAsia"/>
                <w:bCs/>
                <w:color w:val="auto"/>
                <w:sz w:val="24"/>
                <w:highlight w:val="none"/>
                <w:lang w:val="en-US" w:eastAsia="zh-CN"/>
              </w:rPr>
              <w:t>核工业二0三研究所</w:t>
            </w:r>
            <w:r>
              <w:rPr>
                <w:bCs/>
                <w:color w:val="auto"/>
                <w:sz w:val="24"/>
                <w:highlight w:val="none"/>
              </w:rPr>
              <w:t>化粪池可行。</w:t>
            </w:r>
          </w:p>
          <w:p w14:paraId="33C9FF0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bCs/>
                <w:color w:val="auto"/>
                <w:sz w:val="24"/>
                <w:highlight w:val="none"/>
              </w:rPr>
            </w:pPr>
            <w:r>
              <w:rPr>
                <w:rFonts w:hint="eastAsia"/>
                <w:bCs/>
                <w:color w:val="auto"/>
                <w:sz w:val="24"/>
                <w:highlight w:val="none"/>
              </w:rPr>
              <w:t>沣东南污水处理厂位于西安市沣东新城科统四路以南、科统三路以北、沣河东路以东、西成高铁以西区域，总面积</w:t>
            </w:r>
            <w:r>
              <w:rPr>
                <w:rFonts w:hint="eastAsia"/>
                <w:bCs/>
                <w:color w:val="auto"/>
                <w:sz w:val="24"/>
                <w:highlight w:val="none"/>
                <w:lang w:val="en-US" w:eastAsia="zh-CN"/>
              </w:rPr>
              <w:t>116.6亩</w:t>
            </w:r>
            <w:r>
              <w:rPr>
                <w:rFonts w:hint="eastAsia"/>
                <w:bCs/>
                <w:color w:val="auto"/>
                <w:sz w:val="24"/>
                <w:highlight w:val="none"/>
              </w:rPr>
              <w:t>，设计处理规模</w:t>
            </w:r>
            <w:r>
              <w:rPr>
                <w:rFonts w:hint="eastAsia"/>
                <w:bCs/>
                <w:color w:val="auto"/>
                <w:sz w:val="24"/>
                <w:highlight w:val="none"/>
                <w:lang w:val="en-US" w:eastAsia="zh-CN"/>
              </w:rPr>
              <w:t>4</w:t>
            </w:r>
            <w:r>
              <w:rPr>
                <w:rFonts w:hint="eastAsia"/>
                <w:bCs/>
                <w:color w:val="auto"/>
                <w:sz w:val="24"/>
                <w:highlight w:val="none"/>
              </w:rPr>
              <w:t>万吨/日，采用污水处理采用“曝气沉砂池+辐流式初沉池+改良A</w:t>
            </w:r>
            <w:r>
              <w:rPr>
                <w:rFonts w:hint="eastAsia"/>
                <w:bCs/>
                <w:color w:val="auto"/>
                <w:sz w:val="24"/>
                <w:highlight w:val="none"/>
                <w:vertAlign w:val="superscript"/>
              </w:rPr>
              <w:t>2</w:t>
            </w:r>
            <w:r>
              <w:rPr>
                <w:rFonts w:hint="eastAsia"/>
                <w:bCs/>
                <w:color w:val="auto"/>
                <w:sz w:val="24"/>
                <w:highlight w:val="none"/>
              </w:rPr>
              <w:t>O工艺结合多段多级除磷脱氮工艺+周边进水周边出水沉淀+混凝沉淀+深床滤池+次氯酸钠消毒”工艺，出水执行《西安市城镇污水处理厂再生水化提标改造和加盖除臭工程三年行动方案（2018-2020）》的通知（市政办发〔2018〕100 号）出水水质要求及《陕西省黄河流</w:t>
            </w:r>
            <w:bookmarkStart w:id="8" w:name="_GoBack"/>
            <w:bookmarkEnd w:id="8"/>
            <w:r>
              <w:rPr>
                <w:rFonts w:hint="eastAsia"/>
                <w:bCs/>
                <w:color w:val="auto"/>
                <w:sz w:val="24"/>
                <w:highlight w:val="none"/>
              </w:rPr>
              <w:t>域污水综合排放标准》表1中A标准。污水处理厂处理后的尾水经管道排入太平河。</w:t>
            </w:r>
          </w:p>
          <w:p w14:paraId="5FEC4D6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bCs/>
                <w:color w:val="auto"/>
                <w:sz w:val="24"/>
                <w:highlight w:val="none"/>
              </w:rPr>
            </w:pPr>
            <w:r>
              <w:rPr>
                <w:rFonts w:hint="eastAsia"/>
                <w:bCs/>
                <w:color w:val="auto"/>
                <w:sz w:val="24"/>
                <w:highlight w:val="none"/>
              </w:rPr>
              <w:t>本项目位于陕西省西咸新区沣东新城科源三路869号核工业二0三研究所科技综合楼B座，距离沣东南污水处理厂</w:t>
            </w:r>
            <w:r>
              <w:rPr>
                <w:rFonts w:hint="eastAsia"/>
                <w:bCs/>
                <w:color w:val="auto"/>
                <w:sz w:val="24"/>
                <w:highlight w:val="none"/>
                <w:lang w:val="en-US" w:eastAsia="zh-CN"/>
              </w:rPr>
              <w:t>2.1</w:t>
            </w:r>
            <w:r>
              <w:rPr>
                <w:rFonts w:hint="eastAsia"/>
                <w:bCs/>
                <w:color w:val="auto"/>
                <w:sz w:val="24"/>
                <w:highlight w:val="none"/>
              </w:rPr>
              <w:t>km，属于沣东南污水处理厂服务范围，本项目日排污水量占污水处理厂处理规模份额较小，本项目处于该污水处理厂收水范围内，因此本项目依托该污水处理厂可行。</w:t>
            </w:r>
          </w:p>
          <w:p w14:paraId="615F417C">
            <w:pPr>
              <w:pStyle w:val="75"/>
              <w:keepNext w:val="0"/>
              <w:keepLines w:val="0"/>
              <w:pageBreakBefore w:val="0"/>
              <w:widowControl w:val="0"/>
              <w:kinsoku/>
              <w:wordWrap/>
              <w:overflowPunct/>
              <w:topLinePunct w:val="0"/>
              <w:bidi w:val="0"/>
              <w:adjustRightInd w:val="0"/>
              <w:spacing w:line="360" w:lineRule="auto"/>
              <w:ind w:firstLine="482" w:firstLineChars="200"/>
              <w:rPr>
                <w:rFonts w:ascii="Times New Roman" w:cs="Times New Roman"/>
                <w:b/>
                <w:bCs/>
                <w:smallCaps/>
                <w:color w:val="auto"/>
                <w:highlight w:val="none"/>
              </w:rPr>
            </w:pPr>
            <w:r>
              <w:rPr>
                <w:rFonts w:hint="eastAsia" w:ascii="Times New Roman" w:hAnsi="Times New Roman" w:eastAsia="宋体" w:cs="Times New Roman"/>
                <w:b/>
                <w:bCs/>
                <w:smallCaps/>
                <w:color w:val="auto"/>
                <w:kern w:val="2"/>
                <w:sz w:val="24"/>
                <w:szCs w:val="24"/>
                <w:highlight w:val="none"/>
                <w:lang w:val="en-US" w:eastAsia="zh-CN" w:bidi="ar-SA"/>
              </w:rPr>
              <w:t>4.3.4废水污染物排放信息表</w:t>
            </w:r>
          </w:p>
          <w:p w14:paraId="24716F66">
            <w:pPr>
              <w:keepNext w:val="0"/>
              <w:keepLines w:val="0"/>
              <w:pageBreakBefore w:val="0"/>
              <w:widowControl/>
              <w:kinsoku/>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项目废水</w:t>
            </w:r>
            <w:r>
              <w:rPr>
                <w:rFonts w:hint="eastAsia" w:cs="Times New Roman"/>
                <w:color w:val="auto"/>
                <w:spacing w:val="0"/>
                <w:sz w:val="24"/>
                <w:szCs w:val="24"/>
                <w:lang w:val="en-US" w:eastAsia="zh-CN"/>
              </w:rPr>
              <w:t>排放依托核工业二0三研究所排放口，废水</w:t>
            </w:r>
            <w:r>
              <w:rPr>
                <w:rFonts w:hint="default" w:ascii="Times New Roman" w:hAnsi="Times New Roman" w:eastAsia="宋体" w:cs="Times New Roman"/>
                <w:color w:val="auto"/>
                <w:spacing w:val="0"/>
                <w:sz w:val="24"/>
                <w:szCs w:val="24"/>
                <w:lang w:val="en-US" w:eastAsia="zh-CN"/>
              </w:rPr>
              <w:t>类别、污染物及污染治理设施信息见表</w:t>
            </w:r>
            <w:r>
              <w:rPr>
                <w:rFonts w:hint="eastAsia" w:ascii="Times New Roman" w:hAnsi="Times New Roman" w:eastAsia="宋体" w:cs="Times New Roman"/>
                <w:color w:val="auto"/>
                <w:spacing w:val="0"/>
                <w:sz w:val="24"/>
                <w:szCs w:val="24"/>
                <w:lang w:val="en-US" w:eastAsia="zh-CN"/>
              </w:rPr>
              <w:t>4-1</w:t>
            </w:r>
            <w:r>
              <w:rPr>
                <w:rFonts w:hint="eastAsia" w:cs="Times New Roman"/>
                <w:color w:val="auto"/>
                <w:spacing w:val="0"/>
                <w:sz w:val="24"/>
                <w:szCs w:val="24"/>
                <w:lang w:val="en-US" w:eastAsia="zh-CN"/>
              </w:rPr>
              <w:t>2</w:t>
            </w:r>
            <w:r>
              <w:rPr>
                <w:rFonts w:hint="default" w:ascii="Times New Roman" w:hAnsi="Times New Roman" w:eastAsia="宋体" w:cs="Times New Roman"/>
                <w:color w:val="auto"/>
                <w:spacing w:val="0"/>
                <w:sz w:val="24"/>
                <w:szCs w:val="24"/>
                <w:lang w:val="en-US" w:eastAsia="zh-CN"/>
              </w:rPr>
              <w:t>。</w:t>
            </w:r>
          </w:p>
          <w:p w14:paraId="76C09417">
            <w:pPr>
              <w:pStyle w:val="110"/>
              <w:numPr>
                <w:ilvl w:val="0"/>
                <w:numId w:val="0"/>
              </w:numP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表</w:t>
            </w:r>
            <w:r>
              <w:rPr>
                <w:rFonts w:hint="eastAsia" w:ascii="Times New Roman" w:hAnsi="Times New Roman" w:eastAsia="宋体" w:cs="Times New Roman"/>
                <w:b/>
                <w:color w:val="auto"/>
                <w:kern w:val="0"/>
                <w:sz w:val="21"/>
                <w:szCs w:val="21"/>
                <w:highlight w:val="none"/>
                <w:lang w:val="en-US" w:eastAsia="zh-CN" w:bidi="ar-SA"/>
              </w:rPr>
              <w:t>4-12</w:t>
            </w:r>
            <w:r>
              <w:rPr>
                <w:rFonts w:hint="default" w:ascii="Times New Roman" w:hAnsi="Times New Roman" w:eastAsia="宋体" w:cs="Times New Roman"/>
                <w:b/>
                <w:color w:val="auto"/>
                <w:kern w:val="0"/>
                <w:sz w:val="21"/>
                <w:szCs w:val="21"/>
                <w:highlight w:val="none"/>
                <w:lang w:val="en-US" w:eastAsia="zh-CN" w:bidi="ar-SA"/>
              </w:rPr>
              <w:t xml:space="preserve">  废水类别、污染物及污染治理设施信息表</w:t>
            </w:r>
          </w:p>
          <w:tbl>
            <w:tblPr>
              <w:tblStyle w:val="27"/>
              <w:tblW w:w="801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9"/>
              <w:gridCol w:w="604"/>
              <w:gridCol w:w="872"/>
              <w:gridCol w:w="456"/>
              <w:gridCol w:w="728"/>
              <w:gridCol w:w="843"/>
              <w:gridCol w:w="793"/>
              <w:gridCol w:w="1014"/>
              <w:gridCol w:w="506"/>
              <w:gridCol w:w="884"/>
              <w:gridCol w:w="976"/>
            </w:tblGrid>
            <w:tr w14:paraId="785A0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339" w:type="dxa"/>
                  <w:vMerge w:val="restart"/>
                  <w:tcBorders>
                    <w:tl2br w:val="nil"/>
                    <w:tr2bl w:val="nil"/>
                  </w:tcBorders>
                  <w:vAlign w:val="center"/>
                </w:tcPr>
                <w:p w14:paraId="59421313">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04" w:type="dxa"/>
                  <w:vMerge w:val="restart"/>
                  <w:tcBorders>
                    <w:tl2br w:val="nil"/>
                    <w:tr2bl w:val="nil"/>
                  </w:tcBorders>
                  <w:vAlign w:val="center"/>
                </w:tcPr>
                <w:p w14:paraId="0D38FBF1">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废水类别</w:t>
                  </w:r>
                </w:p>
              </w:tc>
              <w:tc>
                <w:tcPr>
                  <w:tcW w:w="872" w:type="dxa"/>
                  <w:vMerge w:val="restart"/>
                  <w:tcBorders>
                    <w:tl2br w:val="nil"/>
                    <w:tr2bl w:val="nil"/>
                  </w:tcBorders>
                  <w:vAlign w:val="center"/>
                </w:tcPr>
                <w:p w14:paraId="47D356B7">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p w14:paraId="245615FA">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种类</w:t>
                  </w:r>
                </w:p>
              </w:tc>
              <w:tc>
                <w:tcPr>
                  <w:tcW w:w="456" w:type="dxa"/>
                  <w:vMerge w:val="restart"/>
                  <w:tcBorders>
                    <w:tl2br w:val="nil"/>
                    <w:tr2bl w:val="nil"/>
                  </w:tcBorders>
                  <w:vAlign w:val="center"/>
                </w:tcPr>
                <w:p w14:paraId="6EA2AD4D">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排放去向</w:t>
                  </w:r>
                </w:p>
              </w:tc>
              <w:tc>
                <w:tcPr>
                  <w:tcW w:w="728" w:type="dxa"/>
                  <w:vMerge w:val="restart"/>
                  <w:tcBorders>
                    <w:tl2br w:val="nil"/>
                    <w:tr2bl w:val="nil"/>
                  </w:tcBorders>
                  <w:vAlign w:val="center"/>
                </w:tcPr>
                <w:p w14:paraId="7DD0A27D">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排放规律</w:t>
                  </w:r>
                </w:p>
              </w:tc>
              <w:tc>
                <w:tcPr>
                  <w:tcW w:w="2650" w:type="dxa"/>
                  <w:gridSpan w:val="3"/>
                  <w:tcBorders>
                    <w:tl2br w:val="nil"/>
                    <w:tr2bl w:val="nil"/>
                  </w:tcBorders>
                  <w:vAlign w:val="center"/>
                </w:tcPr>
                <w:p w14:paraId="0A91C3A2">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污染治理设施</w:t>
                  </w:r>
                </w:p>
              </w:tc>
              <w:tc>
                <w:tcPr>
                  <w:tcW w:w="506" w:type="dxa"/>
                  <w:vMerge w:val="restart"/>
                  <w:tcBorders>
                    <w:tl2br w:val="nil"/>
                    <w:tr2bl w:val="nil"/>
                  </w:tcBorders>
                  <w:vAlign w:val="center"/>
                </w:tcPr>
                <w:p w14:paraId="7C377BD3">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排放口编号</w:t>
                  </w:r>
                </w:p>
              </w:tc>
              <w:tc>
                <w:tcPr>
                  <w:tcW w:w="884" w:type="dxa"/>
                  <w:vMerge w:val="restart"/>
                  <w:tcBorders>
                    <w:tl2br w:val="nil"/>
                    <w:tr2bl w:val="nil"/>
                  </w:tcBorders>
                  <w:vAlign w:val="center"/>
                </w:tcPr>
                <w:p w14:paraId="3E6615BA">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排放口设置是否符合要求</w:t>
                  </w:r>
                </w:p>
              </w:tc>
              <w:tc>
                <w:tcPr>
                  <w:tcW w:w="976" w:type="dxa"/>
                  <w:vMerge w:val="restart"/>
                  <w:tcBorders>
                    <w:tl2br w:val="nil"/>
                    <w:tr2bl w:val="nil"/>
                  </w:tcBorders>
                  <w:vAlign w:val="center"/>
                </w:tcPr>
                <w:p w14:paraId="3108E007">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排放口类型</w:t>
                  </w:r>
                </w:p>
              </w:tc>
            </w:tr>
            <w:tr w14:paraId="48AC8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6" w:hRule="atLeast"/>
                <w:tblHeader/>
                <w:jc w:val="center"/>
              </w:trPr>
              <w:tc>
                <w:tcPr>
                  <w:tcW w:w="339" w:type="dxa"/>
                  <w:vMerge w:val="continue"/>
                  <w:tcBorders>
                    <w:tl2br w:val="nil"/>
                    <w:tr2bl w:val="nil"/>
                  </w:tcBorders>
                  <w:vAlign w:val="center"/>
                </w:tcPr>
                <w:p w14:paraId="6C0FA143">
                  <w:pPr>
                    <w:pageBreakBefore w:val="0"/>
                    <w:kinsoku/>
                    <w:wordWrap/>
                    <w:topLinePunct w:val="0"/>
                    <w:bidi w:val="0"/>
                    <w:jc w:val="center"/>
                    <w:rPr>
                      <w:rFonts w:hint="default" w:ascii="Times New Roman" w:hAnsi="Times New Roman" w:eastAsia="宋体" w:cs="Times New Roman"/>
                      <w:color w:val="auto"/>
                      <w:sz w:val="21"/>
                      <w:szCs w:val="21"/>
                    </w:rPr>
                  </w:pPr>
                </w:p>
              </w:tc>
              <w:tc>
                <w:tcPr>
                  <w:tcW w:w="604" w:type="dxa"/>
                  <w:vMerge w:val="continue"/>
                  <w:tcBorders>
                    <w:tl2br w:val="nil"/>
                    <w:tr2bl w:val="nil"/>
                  </w:tcBorders>
                  <w:vAlign w:val="center"/>
                </w:tcPr>
                <w:p w14:paraId="7F9EEDBF">
                  <w:pPr>
                    <w:pageBreakBefore w:val="0"/>
                    <w:kinsoku/>
                    <w:wordWrap/>
                    <w:topLinePunct w:val="0"/>
                    <w:bidi w:val="0"/>
                    <w:jc w:val="center"/>
                    <w:rPr>
                      <w:rFonts w:hint="default" w:ascii="Times New Roman" w:hAnsi="Times New Roman" w:eastAsia="宋体" w:cs="Times New Roman"/>
                      <w:color w:val="auto"/>
                      <w:sz w:val="21"/>
                      <w:szCs w:val="21"/>
                    </w:rPr>
                  </w:pPr>
                </w:p>
              </w:tc>
              <w:tc>
                <w:tcPr>
                  <w:tcW w:w="872" w:type="dxa"/>
                  <w:vMerge w:val="continue"/>
                  <w:tcBorders>
                    <w:tl2br w:val="nil"/>
                    <w:tr2bl w:val="nil"/>
                  </w:tcBorders>
                  <w:vAlign w:val="center"/>
                </w:tcPr>
                <w:p w14:paraId="4A5F5F50">
                  <w:pPr>
                    <w:pageBreakBefore w:val="0"/>
                    <w:kinsoku/>
                    <w:wordWrap/>
                    <w:topLinePunct w:val="0"/>
                    <w:bidi w:val="0"/>
                    <w:jc w:val="center"/>
                    <w:rPr>
                      <w:rFonts w:hint="default" w:ascii="Times New Roman" w:hAnsi="Times New Roman" w:eastAsia="宋体" w:cs="Times New Roman"/>
                      <w:color w:val="auto"/>
                      <w:sz w:val="21"/>
                      <w:szCs w:val="21"/>
                    </w:rPr>
                  </w:pPr>
                </w:p>
              </w:tc>
              <w:tc>
                <w:tcPr>
                  <w:tcW w:w="456" w:type="dxa"/>
                  <w:vMerge w:val="continue"/>
                  <w:tcBorders>
                    <w:tl2br w:val="nil"/>
                    <w:tr2bl w:val="nil"/>
                  </w:tcBorders>
                  <w:vAlign w:val="center"/>
                </w:tcPr>
                <w:p w14:paraId="099B0F98">
                  <w:pPr>
                    <w:pageBreakBefore w:val="0"/>
                    <w:kinsoku/>
                    <w:wordWrap/>
                    <w:topLinePunct w:val="0"/>
                    <w:bidi w:val="0"/>
                    <w:jc w:val="center"/>
                    <w:rPr>
                      <w:rFonts w:hint="default" w:ascii="Times New Roman" w:hAnsi="Times New Roman" w:eastAsia="宋体" w:cs="Times New Roman"/>
                      <w:color w:val="auto"/>
                      <w:sz w:val="21"/>
                      <w:szCs w:val="21"/>
                    </w:rPr>
                  </w:pPr>
                </w:p>
              </w:tc>
              <w:tc>
                <w:tcPr>
                  <w:tcW w:w="728" w:type="dxa"/>
                  <w:vMerge w:val="continue"/>
                  <w:tcBorders>
                    <w:tl2br w:val="nil"/>
                    <w:tr2bl w:val="nil"/>
                  </w:tcBorders>
                  <w:vAlign w:val="center"/>
                </w:tcPr>
                <w:p w14:paraId="6159C0B9">
                  <w:pPr>
                    <w:pageBreakBefore w:val="0"/>
                    <w:kinsoku/>
                    <w:wordWrap/>
                    <w:topLinePunct w:val="0"/>
                    <w:bidi w:val="0"/>
                    <w:jc w:val="center"/>
                    <w:rPr>
                      <w:rFonts w:hint="default" w:ascii="Times New Roman" w:hAnsi="Times New Roman" w:eastAsia="宋体" w:cs="Times New Roman"/>
                      <w:color w:val="auto"/>
                      <w:sz w:val="21"/>
                      <w:szCs w:val="21"/>
                    </w:rPr>
                  </w:pPr>
                </w:p>
              </w:tc>
              <w:tc>
                <w:tcPr>
                  <w:tcW w:w="843" w:type="dxa"/>
                  <w:tcBorders>
                    <w:tl2br w:val="nil"/>
                    <w:tr2bl w:val="nil"/>
                  </w:tcBorders>
                  <w:vAlign w:val="center"/>
                </w:tcPr>
                <w:p w14:paraId="275E98DC">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污染治理设施编号</w:t>
                  </w:r>
                </w:p>
              </w:tc>
              <w:tc>
                <w:tcPr>
                  <w:tcW w:w="793" w:type="dxa"/>
                  <w:tcBorders>
                    <w:tl2br w:val="nil"/>
                    <w:tr2bl w:val="nil"/>
                  </w:tcBorders>
                  <w:vAlign w:val="center"/>
                </w:tcPr>
                <w:p w14:paraId="68B06D23">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污染治理设施名称</w:t>
                  </w:r>
                </w:p>
              </w:tc>
              <w:tc>
                <w:tcPr>
                  <w:tcW w:w="1014" w:type="dxa"/>
                  <w:tcBorders>
                    <w:tl2br w:val="nil"/>
                    <w:tr2bl w:val="nil"/>
                  </w:tcBorders>
                  <w:vAlign w:val="center"/>
                </w:tcPr>
                <w:p w14:paraId="472570EF">
                  <w:pPr>
                    <w:pageBreakBefore w:val="0"/>
                    <w:kinsoku/>
                    <w:wordWrap/>
                    <w:topLinePunct w:val="0"/>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污染治理设施工艺</w:t>
                  </w:r>
                </w:p>
              </w:tc>
              <w:tc>
                <w:tcPr>
                  <w:tcW w:w="506" w:type="dxa"/>
                  <w:vMerge w:val="continue"/>
                  <w:tcBorders>
                    <w:tl2br w:val="nil"/>
                    <w:tr2bl w:val="nil"/>
                  </w:tcBorders>
                  <w:vAlign w:val="center"/>
                </w:tcPr>
                <w:p w14:paraId="50E42635">
                  <w:pPr>
                    <w:pageBreakBefore w:val="0"/>
                    <w:kinsoku/>
                    <w:wordWrap/>
                    <w:topLinePunct w:val="0"/>
                    <w:bidi w:val="0"/>
                    <w:jc w:val="center"/>
                    <w:rPr>
                      <w:rFonts w:hint="default" w:ascii="Times New Roman" w:hAnsi="Times New Roman" w:eastAsia="宋体" w:cs="Times New Roman"/>
                      <w:color w:val="auto"/>
                      <w:sz w:val="21"/>
                      <w:szCs w:val="21"/>
                    </w:rPr>
                  </w:pPr>
                </w:p>
              </w:tc>
              <w:tc>
                <w:tcPr>
                  <w:tcW w:w="884" w:type="dxa"/>
                  <w:vMerge w:val="continue"/>
                  <w:tcBorders>
                    <w:tl2br w:val="nil"/>
                    <w:tr2bl w:val="nil"/>
                  </w:tcBorders>
                  <w:vAlign w:val="center"/>
                </w:tcPr>
                <w:p w14:paraId="5C4B8AD9">
                  <w:pPr>
                    <w:pageBreakBefore w:val="0"/>
                    <w:kinsoku/>
                    <w:wordWrap/>
                    <w:topLinePunct w:val="0"/>
                    <w:bidi w:val="0"/>
                    <w:jc w:val="center"/>
                    <w:rPr>
                      <w:rFonts w:hint="default" w:ascii="Times New Roman" w:hAnsi="Times New Roman" w:eastAsia="宋体" w:cs="Times New Roman"/>
                      <w:color w:val="auto"/>
                      <w:sz w:val="21"/>
                      <w:szCs w:val="21"/>
                    </w:rPr>
                  </w:pPr>
                </w:p>
              </w:tc>
              <w:tc>
                <w:tcPr>
                  <w:tcW w:w="976" w:type="dxa"/>
                  <w:vMerge w:val="continue"/>
                  <w:tcBorders>
                    <w:tl2br w:val="nil"/>
                    <w:tr2bl w:val="nil"/>
                  </w:tcBorders>
                  <w:vAlign w:val="center"/>
                </w:tcPr>
                <w:p w14:paraId="3F7465A0">
                  <w:pPr>
                    <w:pageBreakBefore w:val="0"/>
                    <w:kinsoku/>
                    <w:wordWrap/>
                    <w:topLinePunct w:val="0"/>
                    <w:bidi w:val="0"/>
                    <w:jc w:val="center"/>
                    <w:rPr>
                      <w:rFonts w:hint="default" w:ascii="Times New Roman" w:hAnsi="Times New Roman" w:eastAsia="宋体" w:cs="Times New Roman"/>
                      <w:color w:val="auto"/>
                      <w:sz w:val="21"/>
                      <w:szCs w:val="21"/>
                    </w:rPr>
                  </w:pPr>
                </w:p>
              </w:tc>
            </w:tr>
            <w:tr w14:paraId="51FDD3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0" w:hRule="atLeast"/>
                <w:jc w:val="center"/>
              </w:trPr>
              <w:tc>
                <w:tcPr>
                  <w:tcW w:w="339" w:type="dxa"/>
                  <w:tcBorders>
                    <w:tl2br w:val="nil"/>
                    <w:tr2bl w:val="nil"/>
                  </w:tcBorders>
                  <w:vAlign w:val="center"/>
                </w:tcPr>
                <w:p w14:paraId="287C473C">
                  <w:pPr>
                    <w:pageBreakBefore w:val="0"/>
                    <w:kinsoku/>
                    <w:wordWrap/>
                    <w:topLinePunct w:val="0"/>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04" w:type="dxa"/>
                  <w:tcBorders>
                    <w:tl2br w:val="nil"/>
                    <w:tr2bl w:val="nil"/>
                  </w:tcBorders>
                  <w:vAlign w:val="center"/>
                </w:tcPr>
                <w:p w14:paraId="4BBC3772">
                  <w:pPr>
                    <w:pageBreakBefore w:val="0"/>
                    <w:kinsoku/>
                    <w:wordWrap/>
                    <w:topLinePunct w:val="0"/>
                    <w:bidi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综合废水</w:t>
                  </w:r>
                </w:p>
              </w:tc>
              <w:tc>
                <w:tcPr>
                  <w:tcW w:w="872" w:type="dxa"/>
                  <w:tcBorders>
                    <w:tl2br w:val="nil"/>
                    <w:tr2bl w:val="nil"/>
                  </w:tcBorders>
                  <w:vAlign w:val="center"/>
                </w:tcPr>
                <w:p w14:paraId="221BD216">
                  <w:pPr>
                    <w:pageBreakBefore w:val="0"/>
                    <w:kinsoku/>
                    <w:wordWrap/>
                    <w:topLinePunct w:val="0"/>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pH</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COD</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SS</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456" w:type="dxa"/>
                  <w:tcBorders>
                    <w:tl2br w:val="nil"/>
                    <w:tr2bl w:val="nil"/>
                  </w:tcBorders>
                  <w:vAlign w:val="center"/>
                </w:tcPr>
                <w:p w14:paraId="1EAD2211">
                  <w:pPr>
                    <w:pageBreakBefore w:val="0"/>
                    <w:kinsoku/>
                    <w:wordWrap/>
                    <w:topLinePunct w:val="0"/>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沣东南污水处理厂</w:t>
                  </w:r>
                </w:p>
              </w:tc>
              <w:tc>
                <w:tcPr>
                  <w:tcW w:w="728" w:type="dxa"/>
                  <w:tcBorders>
                    <w:tl2br w:val="nil"/>
                    <w:tr2bl w:val="nil"/>
                  </w:tcBorders>
                  <w:vAlign w:val="center"/>
                </w:tcPr>
                <w:p w14:paraId="37657472">
                  <w:pPr>
                    <w:pageBreakBefore w:val="0"/>
                    <w:kinsoku/>
                    <w:wordWrap/>
                    <w:topLinePunct w:val="0"/>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间断</w:t>
                  </w:r>
                  <w:r>
                    <w:rPr>
                      <w:rFonts w:hint="eastAsia" w:ascii="Times New Roman" w:hAnsi="Times New Roman" w:eastAsia="宋体" w:cs="Times New Roman"/>
                      <w:color w:val="auto"/>
                      <w:sz w:val="21"/>
                      <w:szCs w:val="21"/>
                      <w:lang w:val="en-US" w:eastAsia="zh-CN"/>
                    </w:rPr>
                    <w:t>排放，排放</w:t>
                  </w:r>
                  <w:r>
                    <w:rPr>
                      <w:rFonts w:hint="default" w:ascii="Times New Roman" w:hAnsi="Times New Roman" w:eastAsia="宋体" w:cs="Times New Roman"/>
                      <w:color w:val="auto"/>
                      <w:sz w:val="21"/>
                      <w:szCs w:val="21"/>
                    </w:rPr>
                    <w:t>期间流量不稳定但有规</w:t>
                  </w:r>
                  <w:r>
                    <w:rPr>
                      <w:rFonts w:hint="eastAsia" w:ascii="Times New Roman" w:hAnsi="Times New Roman" w:eastAsia="宋体" w:cs="Times New Roman"/>
                      <w:color w:val="auto"/>
                      <w:sz w:val="21"/>
                      <w:szCs w:val="21"/>
                      <w:lang w:val="en-US" w:eastAsia="zh-CN"/>
                    </w:rPr>
                    <w:t>律</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不属于冲击型排放</w:t>
                  </w:r>
                </w:p>
              </w:tc>
              <w:tc>
                <w:tcPr>
                  <w:tcW w:w="843" w:type="dxa"/>
                  <w:tcBorders>
                    <w:tl2br w:val="nil"/>
                    <w:tr2bl w:val="nil"/>
                  </w:tcBorders>
                  <w:vAlign w:val="center"/>
                </w:tcPr>
                <w:p w14:paraId="14EA1477">
                  <w:pPr>
                    <w:pageBreakBefore w:val="0"/>
                    <w:kinsoku/>
                    <w:wordWrap/>
                    <w:topLinePunct w:val="0"/>
                    <w:bidi w:val="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TW00</w:t>
                  </w:r>
                  <w:r>
                    <w:rPr>
                      <w:rFonts w:hint="eastAsia" w:ascii="Times New Roman" w:hAnsi="Times New Roman" w:eastAsia="宋体" w:cs="Times New Roman"/>
                      <w:color w:val="auto"/>
                      <w:sz w:val="21"/>
                      <w:szCs w:val="21"/>
                      <w:lang w:val="en-US" w:eastAsia="zh-CN"/>
                    </w:rPr>
                    <w:t>1</w:t>
                  </w:r>
                </w:p>
              </w:tc>
              <w:tc>
                <w:tcPr>
                  <w:tcW w:w="793" w:type="dxa"/>
                  <w:tcBorders>
                    <w:tl2br w:val="nil"/>
                    <w:tr2bl w:val="nil"/>
                  </w:tcBorders>
                  <w:vAlign w:val="center"/>
                </w:tcPr>
                <w:p w14:paraId="2E672082">
                  <w:pPr>
                    <w:pageBreakBefore w:val="0"/>
                    <w:kinsoku/>
                    <w:wordWrap/>
                    <w:topLinePunct w:val="0"/>
                    <w:bidi w:val="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酸碱中和池+混凝沉淀</w:t>
                  </w:r>
                  <w:r>
                    <w:rPr>
                      <w:rFonts w:hint="eastAsia"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化粪池</w:t>
                  </w:r>
                </w:p>
              </w:tc>
              <w:tc>
                <w:tcPr>
                  <w:tcW w:w="1014" w:type="dxa"/>
                  <w:tcBorders>
                    <w:tl2br w:val="nil"/>
                    <w:tr2bl w:val="nil"/>
                  </w:tcBorders>
                  <w:vAlign w:val="center"/>
                </w:tcPr>
                <w:p w14:paraId="2B0E7966">
                  <w:pPr>
                    <w:pStyle w:val="4"/>
                    <w:pageBreakBefore w:val="0"/>
                    <w:kinsoku/>
                    <w:wordWrap/>
                    <w:topLinePunct w:val="0"/>
                    <w:bidi w:val="0"/>
                    <w:jc w:val="center"/>
                    <w:rPr>
                      <w:rFonts w:hint="eastAsia" w:eastAsia="黑体"/>
                      <w:color w:val="auto"/>
                      <w:sz w:val="21"/>
                      <w:szCs w:val="21"/>
                      <w:lang w:eastAsia="zh-CN"/>
                    </w:rPr>
                  </w:pPr>
                  <w:r>
                    <w:rPr>
                      <w:rFonts w:hint="eastAsia" w:ascii="Times New Roman" w:hAnsi="Times New Roman" w:eastAsia="宋体" w:cs="Times New Roman"/>
                      <w:b w:val="0"/>
                      <w:snapToGrid w:val="0"/>
                      <w:color w:val="auto"/>
                      <w:kern w:val="0"/>
                      <w:sz w:val="21"/>
                      <w:szCs w:val="21"/>
                      <w:lang w:val="en-US" w:eastAsia="zh-CN"/>
                    </w:rPr>
                    <w:t>/</w:t>
                  </w:r>
                </w:p>
              </w:tc>
              <w:tc>
                <w:tcPr>
                  <w:tcW w:w="506" w:type="dxa"/>
                  <w:tcBorders>
                    <w:tl2br w:val="nil"/>
                    <w:tr2bl w:val="nil"/>
                  </w:tcBorders>
                  <w:vAlign w:val="center"/>
                </w:tcPr>
                <w:p w14:paraId="1D0EEDA3">
                  <w:pPr>
                    <w:pageBreakBefore w:val="0"/>
                    <w:kinsoku/>
                    <w:wordWrap/>
                    <w:topLinePunct w:val="0"/>
                    <w:bidi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color w:val="auto"/>
                      <w:sz w:val="21"/>
                      <w:szCs w:val="21"/>
                    </w:rPr>
                    <w:t>DW001</w:t>
                  </w:r>
                </w:p>
              </w:tc>
              <w:tc>
                <w:tcPr>
                  <w:tcW w:w="884" w:type="dxa"/>
                  <w:tcBorders>
                    <w:tl2br w:val="nil"/>
                    <w:tr2bl w:val="nil"/>
                  </w:tcBorders>
                  <w:vAlign w:val="center"/>
                </w:tcPr>
                <w:p w14:paraId="369DE6ED">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F052"/>
                  </w:r>
                  <w:r>
                    <w:rPr>
                      <w:rFonts w:hint="default" w:ascii="Times New Roman" w:hAnsi="Times New Roman" w:eastAsia="宋体" w:cs="Times New Roman"/>
                      <w:color w:val="auto"/>
                      <w:sz w:val="21"/>
                      <w:szCs w:val="21"/>
                    </w:rPr>
                    <w:t>是</w:t>
                  </w:r>
                </w:p>
                <w:p w14:paraId="083AD9BE">
                  <w:pPr>
                    <w:pageBreakBefore w:val="0"/>
                    <w:kinsoku/>
                    <w:wordWrap/>
                    <w:topLinePunct w:val="0"/>
                    <w:bidi w:val="0"/>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否</w:t>
                  </w:r>
                </w:p>
              </w:tc>
              <w:tc>
                <w:tcPr>
                  <w:tcW w:w="976" w:type="dxa"/>
                  <w:tcBorders>
                    <w:tl2br w:val="nil"/>
                    <w:tr2bl w:val="nil"/>
                  </w:tcBorders>
                  <w:vAlign w:val="center"/>
                </w:tcPr>
                <w:p w14:paraId="2F37BEFC">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F052"/>
                  </w:r>
                  <w:r>
                    <w:rPr>
                      <w:rFonts w:hint="default" w:ascii="Times New Roman" w:hAnsi="Times New Roman" w:eastAsia="宋体" w:cs="Times New Roman"/>
                      <w:color w:val="auto"/>
                      <w:sz w:val="21"/>
                      <w:szCs w:val="21"/>
                    </w:rPr>
                    <w:t>企业总排</w:t>
                  </w:r>
                </w:p>
                <w:p w14:paraId="51B95961">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雨水排放</w:t>
                  </w:r>
                </w:p>
                <w:p w14:paraId="4DFD0993">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清净下水排放</w:t>
                  </w:r>
                </w:p>
                <w:p w14:paraId="4B85B47F">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温排水排放</w:t>
                  </w:r>
                </w:p>
                <w:p w14:paraId="6FCBDAF9">
                  <w:pPr>
                    <w:pageBreakBefore w:val="0"/>
                    <w:kinsoku/>
                    <w:wordWrap/>
                    <w:topLinePunct w:val="0"/>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车间或车间处理设施排放口</w:t>
                  </w:r>
                </w:p>
              </w:tc>
            </w:tr>
          </w:tbl>
          <w:p w14:paraId="27CF7495">
            <w:pPr>
              <w:keepNext w:val="0"/>
              <w:keepLines w:val="0"/>
              <w:pageBreakBefore w:val="0"/>
              <w:widowControl/>
              <w:kinsoku/>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本项目废水排放口属于</w:t>
            </w:r>
            <w:r>
              <w:rPr>
                <w:rFonts w:hint="eastAsia" w:ascii="Times New Roman" w:hAnsi="Times New Roman" w:eastAsia="宋体" w:cs="Times New Roman"/>
                <w:color w:val="auto"/>
                <w:spacing w:val="0"/>
                <w:sz w:val="24"/>
                <w:szCs w:val="24"/>
                <w:lang w:val="en-US" w:eastAsia="zh-CN"/>
              </w:rPr>
              <w:t>间接</w:t>
            </w:r>
            <w:r>
              <w:rPr>
                <w:rFonts w:hint="default" w:ascii="Times New Roman" w:hAnsi="Times New Roman" w:eastAsia="宋体" w:cs="Times New Roman"/>
                <w:color w:val="auto"/>
                <w:spacing w:val="0"/>
                <w:sz w:val="24"/>
                <w:szCs w:val="24"/>
                <w:lang w:val="en-US" w:eastAsia="zh-CN"/>
              </w:rPr>
              <w:t>排放口，废水</w:t>
            </w:r>
            <w:r>
              <w:rPr>
                <w:rFonts w:hint="eastAsia" w:ascii="Times New Roman" w:hAnsi="Times New Roman" w:eastAsia="宋体" w:cs="Times New Roman"/>
                <w:color w:val="auto"/>
                <w:spacing w:val="0"/>
                <w:sz w:val="24"/>
                <w:szCs w:val="24"/>
                <w:lang w:val="en-US" w:eastAsia="zh-CN"/>
              </w:rPr>
              <w:t>间接</w:t>
            </w:r>
            <w:r>
              <w:rPr>
                <w:rFonts w:hint="default" w:ascii="Times New Roman" w:hAnsi="Times New Roman" w:eastAsia="宋体" w:cs="Times New Roman"/>
                <w:color w:val="auto"/>
                <w:spacing w:val="0"/>
                <w:sz w:val="24"/>
                <w:szCs w:val="24"/>
                <w:lang w:val="en-US" w:eastAsia="zh-CN"/>
              </w:rPr>
              <w:t>排放口基本信息表见表</w:t>
            </w:r>
            <w:r>
              <w:rPr>
                <w:rFonts w:hint="eastAsia" w:ascii="Times New Roman" w:hAnsi="Times New Roman" w:eastAsia="宋体" w:cs="Times New Roman"/>
                <w:color w:val="auto"/>
                <w:spacing w:val="0"/>
                <w:sz w:val="24"/>
                <w:szCs w:val="24"/>
                <w:lang w:val="en-US" w:eastAsia="zh-CN"/>
              </w:rPr>
              <w:t>4-1</w:t>
            </w:r>
            <w:r>
              <w:rPr>
                <w:rFonts w:hint="eastAsia" w:cs="Times New Roman"/>
                <w:color w:val="auto"/>
                <w:spacing w:val="0"/>
                <w:sz w:val="24"/>
                <w:szCs w:val="24"/>
                <w:lang w:val="en-US" w:eastAsia="zh-CN"/>
              </w:rPr>
              <w:t>3</w:t>
            </w:r>
            <w:r>
              <w:rPr>
                <w:rFonts w:hint="eastAsia" w:ascii="Times New Roman" w:hAnsi="Times New Roman" w:eastAsia="宋体" w:cs="Times New Roman"/>
                <w:color w:val="auto"/>
                <w:spacing w:val="0"/>
                <w:sz w:val="24"/>
                <w:szCs w:val="24"/>
                <w:lang w:val="en-US" w:eastAsia="zh-CN"/>
              </w:rPr>
              <w:t>，污染物排放信息见表4-1</w:t>
            </w:r>
            <w:r>
              <w:rPr>
                <w:rFonts w:hint="eastAsia" w:cs="Times New Roman"/>
                <w:color w:val="auto"/>
                <w:spacing w:val="0"/>
                <w:sz w:val="24"/>
                <w:szCs w:val="24"/>
                <w:lang w:val="en-US" w:eastAsia="zh-CN"/>
              </w:rPr>
              <w:t>4</w:t>
            </w:r>
            <w:r>
              <w:rPr>
                <w:rFonts w:hint="default" w:ascii="Times New Roman" w:hAnsi="Times New Roman" w:eastAsia="宋体" w:cs="Times New Roman"/>
                <w:color w:val="auto"/>
                <w:spacing w:val="0"/>
                <w:sz w:val="24"/>
                <w:szCs w:val="24"/>
                <w:lang w:val="en-US" w:eastAsia="zh-CN"/>
              </w:rPr>
              <w:t>。</w:t>
            </w:r>
          </w:p>
          <w:p w14:paraId="2D217C60">
            <w:pPr>
              <w:pStyle w:val="110"/>
              <w:numPr>
                <w:ilvl w:val="0"/>
                <w:numId w:val="0"/>
              </w:numPr>
              <w:rPr>
                <w:rFonts w:hint="eastAsia"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表4-13  废水间接排放口基本情况表</w:t>
            </w:r>
          </w:p>
          <w:tbl>
            <w:tblPr>
              <w:tblStyle w:val="28"/>
              <w:tblW w:w="792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0"/>
              <w:gridCol w:w="900"/>
              <w:gridCol w:w="985"/>
              <w:gridCol w:w="703"/>
              <w:gridCol w:w="935"/>
              <w:gridCol w:w="702"/>
              <w:gridCol w:w="798"/>
              <w:gridCol w:w="831"/>
              <w:gridCol w:w="1633"/>
            </w:tblGrid>
            <w:tr w14:paraId="15139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40" w:type="dxa"/>
                  <w:vMerge w:val="restart"/>
                  <w:tcBorders>
                    <w:tl2br w:val="nil"/>
                    <w:tr2bl w:val="nil"/>
                  </w:tcBorders>
                  <w:vAlign w:val="center"/>
                </w:tcPr>
                <w:p w14:paraId="41092420">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序号</w:t>
                  </w:r>
                </w:p>
              </w:tc>
              <w:tc>
                <w:tcPr>
                  <w:tcW w:w="900" w:type="dxa"/>
                  <w:vMerge w:val="restart"/>
                  <w:tcBorders>
                    <w:tl2br w:val="nil"/>
                    <w:tr2bl w:val="nil"/>
                  </w:tcBorders>
                  <w:vAlign w:val="center"/>
                </w:tcPr>
                <w:p w14:paraId="463AA735">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排放口编号</w:t>
                  </w:r>
                </w:p>
              </w:tc>
              <w:tc>
                <w:tcPr>
                  <w:tcW w:w="985" w:type="dxa"/>
                  <w:vMerge w:val="restart"/>
                  <w:tcBorders>
                    <w:tl2br w:val="nil"/>
                    <w:tr2bl w:val="nil"/>
                  </w:tcBorders>
                  <w:vAlign w:val="center"/>
                </w:tcPr>
                <w:p w14:paraId="5FB9396E">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废水排放量(</w:t>
                  </w:r>
                  <w:r>
                    <w:rPr>
                      <w:rFonts w:hint="default" w:ascii="Times New Roman" w:hAnsi="Times New Roman" w:eastAsia="宋体" w:cs="Times New Roman"/>
                      <w:b/>
                      <w:bCs w:val="0"/>
                      <w:color w:val="auto"/>
                      <w:spacing w:val="0"/>
                      <w:sz w:val="21"/>
                      <w:szCs w:val="21"/>
                      <w:lang w:val="en-US" w:eastAsia="zh-CN"/>
                    </w:rPr>
                    <w:t>m</w:t>
                  </w:r>
                  <w:r>
                    <w:rPr>
                      <w:rFonts w:hint="default" w:ascii="Times New Roman" w:hAnsi="Times New Roman" w:eastAsia="宋体" w:cs="Times New Roman"/>
                      <w:b/>
                      <w:bCs w:val="0"/>
                      <w:color w:val="auto"/>
                      <w:spacing w:val="0"/>
                      <w:sz w:val="21"/>
                      <w:szCs w:val="21"/>
                      <w:vertAlign w:val="superscript"/>
                      <w:lang w:val="en-US" w:eastAsia="zh-CN"/>
                    </w:rPr>
                    <w:t>3</w:t>
                  </w:r>
                  <w:r>
                    <w:rPr>
                      <w:rFonts w:hint="eastAsia" w:ascii="Times New Roman" w:hAnsi="Times New Roman" w:eastAsia="宋体" w:cs="Times New Roman"/>
                      <w:b/>
                      <w:bCs w:val="0"/>
                      <w:color w:val="auto"/>
                      <w:spacing w:val="0"/>
                      <w:sz w:val="21"/>
                      <w:szCs w:val="21"/>
                      <w:lang w:val="en-US" w:eastAsia="zh-CN"/>
                    </w:rPr>
                    <w:t>/a</w:t>
                  </w:r>
                  <w:r>
                    <w:rPr>
                      <w:rFonts w:hint="default" w:ascii="Times New Roman" w:hAnsi="Times New Roman" w:eastAsia="宋体" w:cs="Times New Roman"/>
                      <w:b/>
                      <w:bCs w:val="0"/>
                      <w:color w:val="auto"/>
                      <w:sz w:val="21"/>
                      <w:szCs w:val="21"/>
                      <w:vertAlign w:val="baseline"/>
                      <w:lang w:val="en-US" w:eastAsia="zh-CN"/>
                    </w:rPr>
                    <w:t>)</w:t>
                  </w:r>
                </w:p>
              </w:tc>
              <w:tc>
                <w:tcPr>
                  <w:tcW w:w="703" w:type="dxa"/>
                  <w:vMerge w:val="restart"/>
                  <w:tcBorders>
                    <w:tl2br w:val="nil"/>
                    <w:tr2bl w:val="nil"/>
                  </w:tcBorders>
                  <w:vAlign w:val="center"/>
                </w:tcPr>
                <w:p w14:paraId="137877A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排放去向</w:t>
                  </w:r>
                </w:p>
              </w:tc>
              <w:tc>
                <w:tcPr>
                  <w:tcW w:w="935" w:type="dxa"/>
                  <w:vMerge w:val="restart"/>
                  <w:tcBorders>
                    <w:tl2br w:val="nil"/>
                    <w:tr2bl w:val="nil"/>
                  </w:tcBorders>
                  <w:vAlign w:val="center"/>
                </w:tcPr>
                <w:p w14:paraId="333D43C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排放规律</w:t>
                  </w:r>
                </w:p>
              </w:tc>
              <w:tc>
                <w:tcPr>
                  <w:tcW w:w="702" w:type="dxa"/>
                  <w:vMerge w:val="restart"/>
                  <w:tcBorders>
                    <w:tl2br w:val="nil"/>
                    <w:tr2bl w:val="nil"/>
                  </w:tcBorders>
                  <w:vAlign w:val="center"/>
                </w:tcPr>
                <w:p w14:paraId="2BEB8F7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间歇排放时段</w:t>
                  </w:r>
                </w:p>
              </w:tc>
              <w:tc>
                <w:tcPr>
                  <w:tcW w:w="3262" w:type="dxa"/>
                  <w:gridSpan w:val="3"/>
                  <w:tcBorders>
                    <w:tl2br w:val="nil"/>
                    <w:tr2bl w:val="nil"/>
                  </w:tcBorders>
                  <w:vAlign w:val="center"/>
                </w:tcPr>
                <w:p w14:paraId="349994AF">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受纳污水处理厂信息</w:t>
                  </w:r>
                </w:p>
              </w:tc>
            </w:tr>
            <w:tr w14:paraId="3CD81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40" w:type="dxa"/>
                  <w:vMerge w:val="continue"/>
                  <w:tcBorders>
                    <w:tl2br w:val="nil"/>
                    <w:tr2bl w:val="nil"/>
                  </w:tcBorders>
                  <w:vAlign w:val="center"/>
                </w:tcPr>
                <w:p w14:paraId="7A25D0A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900" w:type="dxa"/>
                  <w:vMerge w:val="continue"/>
                  <w:tcBorders>
                    <w:tl2br w:val="nil"/>
                    <w:tr2bl w:val="nil"/>
                  </w:tcBorders>
                  <w:vAlign w:val="center"/>
                </w:tcPr>
                <w:p w14:paraId="7DFADA42">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985" w:type="dxa"/>
                  <w:vMerge w:val="continue"/>
                  <w:tcBorders>
                    <w:tl2br w:val="nil"/>
                    <w:tr2bl w:val="nil"/>
                  </w:tcBorders>
                  <w:vAlign w:val="center"/>
                </w:tcPr>
                <w:p w14:paraId="0FB9D842">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703" w:type="dxa"/>
                  <w:vMerge w:val="continue"/>
                  <w:tcBorders>
                    <w:tl2br w:val="nil"/>
                    <w:tr2bl w:val="nil"/>
                  </w:tcBorders>
                  <w:vAlign w:val="center"/>
                </w:tcPr>
                <w:p w14:paraId="05D30CE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935" w:type="dxa"/>
                  <w:vMerge w:val="continue"/>
                  <w:tcBorders>
                    <w:tl2br w:val="nil"/>
                    <w:tr2bl w:val="nil"/>
                  </w:tcBorders>
                  <w:vAlign w:val="center"/>
                </w:tcPr>
                <w:p w14:paraId="54123A0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702" w:type="dxa"/>
                  <w:vMerge w:val="continue"/>
                  <w:tcBorders>
                    <w:tl2br w:val="nil"/>
                    <w:tr2bl w:val="nil"/>
                  </w:tcBorders>
                  <w:vAlign w:val="center"/>
                </w:tcPr>
                <w:p w14:paraId="389B6A8D">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p>
              </w:tc>
              <w:tc>
                <w:tcPr>
                  <w:tcW w:w="798" w:type="dxa"/>
                  <w:tcBorders>
                    <w:tl2br w:val="nil"/>
                    <w:tr2bl w:val="nil"/>
                  </w:tcBorders>
                  <w:vAlign w:val="center"/>
                </w:tcPr>
                <w:p w14:paraId="639FE33E">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名称</w:t>
                  </w:r>
                </w:p>
              </w:tc>
              <w:tc>
                <w:tcPr>
                  <w:tcW w:w="831" w:type="dxa"/>
                  <w:tcBorders>
                    <w:tl2br w:val="nil"/>
                    <w:tr2bl w:val="nil"/>
                  </w:tcBorders>
                  <w:vAlign w:val="center"/>
                </w:tcPr>
                <w:p w14:paraId="35CBBDD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污染物种类</w:t>
                  </w:r>
                </w:p>
              </w:tc>
              <w:tc>
                <w:tcPr>
                  <w:tcW w:w="1633" w:type="dxa"/>
                  <w:tcBorders>
                    <w:tl2br w:val="nil"/>
                    <w:tr2bl w:val="nil"/>
                  </w:tcBorders>
                  <w:vAlign w:val="center"/>
                </w:tcPr>
                <w:p w14:paraId="1E72088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国家或地方污染物排放标准浓度限值</w:t>
                  </w:r>
                </w:p>
              </w:tc>
            </w:tr>
            <w:tr w14:paraId="65A9A4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40" w:type="dxa"/>
                  <w:vMerge w:val="restart"/>
                  <w:tcBorders>
                    <w:tl2br w:val="nil"/>
                    <w:tr2bl w:val="nil"/>
                  </w:tcBorders>
                  <w:vAlign w:val="center"/>
                </w:tcPr>
                <w:p w14:paraId="174A01B5">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w:t>
                  </w:r>
                </w:p>
              </w:tc>
              <w:tc>
                <w:tcPr>
                  <w:tcW w:w="900" w:type="dxa"/>
                  <w:vMerge w:val="restart"/>
                  <w:tcBorders>
                    <w:tl2br w:val="nil"/>
                    <w:tr2bl w:val="nil"/>
                  </w:tcBorders>
                  <w:vAlign w:val="center"/>
                </w:tcPr>
                <w:p w14:paraId="78239E4D">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rPr>
                    <w:t>DW001</w:t>
                  </w:r>
                </w:p>
              </w:tc>
              <w:tc>
                <w:tcPr>
                  <w:tcW w:w="985" w:type="dxa"/>
                  <w:vMerge w:val="restart"/>
                  <w:tcBorders>
                    <w:tl2br w:val="nil"/>
                    <w:tr2bl w:val="nil"/>
                  </w:tcBorders>
                  <w:vAlign w:val="center"/>
                </w:tcPr>
                <w:p w14:paraId="18F0168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pacing w:val="0"/>
                      <w:sz w:val="21"/>
                      <w:szCs w:val="21"/>
                      <w:lang w:val="en-US" w:eastAsia="zh-CN"/>
                    </w:rPr>
                    <w:t>571</w:t>
                  </w:r>
                </w:p>
              </w:tc>
              <w:tc>
                <w:tcPr>
                  <w:tcW w:w="703" w:type="dxa"/>
                  <w:vMerge w:val="restart"/>
                  <w:tcBorders>
                    <w:tl2br w:val="nil"/>
                    <w:tr2bl w:val="nil"/>
                  </w:tcBorders>
                  <w:vAlign w:val="center"/>
                </w:tcPr>
                <w:p w14:paraId="238A72A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进入城市污水处理厂</w:t>
                  </w:r>
                </w:p>
              </w:tc>
              <w:tc>
                <w:tcPr>
                  <w:tcW w:w="935" w:type="dxa"/>
                  <w:vMerge w:val="restart"/>
                  <w:tcBorders>
                    <w:tl2br w:val="nil"/>
                    <w:tr2bl w:val="nil"/>
                  </w:tcBorders>
                  <w:vAlign w:val="center"/>
                </w:tcPr>
                <w:p w14:paraId="364C887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rPr>
                    <w:t>间断</w:t>
                  </w:r>
                  <w:r>
                    <w:rPr>
                      <w:rFonts w:hint="eastAsia" w:ascii="Times New Roman" w:hAnsi="Times New Roman" w:eastAsia="宋体" w:cs="Times New Roman"/>
                      <w:b w:val="0"/>
                      <w:bCs/>
                      <w:color w:val="auto"/>
                      <w:sz w:val="21"/>
                      <w:szCs w:val="21"/>
                      <w:lang w:val="en-US" w:eastAsia="zh-CN"/>
                    </w:rPr>
                    <w:t>排放，排放</w:t>
                  </w:r>
                  <w:r>
                    <w:rPr>
                      <w:rFonts w:hint="default" w:ascii="Times New Roman" w:hAnsi="Times New Roman" w:eastAsia="宋体" w:cs="Times New Roman"/>
                      <w:b w:val="0"/>
                      <w:bCs/>
                      <w:color w:val="auto"/>
                      <w:sz w:val="21"/>
                      <w:szCs w:val="21"/>
                    </w:rPr>
                    <w:t>期间流量不稳定但有规</w:t>
                  </w:r>
                  <w:r>
                    <w:rPr>
                      <w:rFonts w:hint="eastAsia" w:ascii="Times New Roman" w:hAnsi="Times New Roman" w:eastAsia="宋体" w:cs="Times New Roman"/>
                      <w:b w:val="0"/>
                      <w:bCs/>
                      <w:color w:val="auto"/>
                      <w:sz w:val="21"/>
                      <w:szCs w:val="21"/>
                      <w:lang w:val="en-US" w:eastAsia="zh-CN"/>
                    </w:rPr>
                    <w:t>律</w:t>
                  </w:r>
                </w:p>
              </w:tc>
              <w:tc>
                <w:tcPr>
                  <w:tcW w:w="702" w:type="dxa"/>
                  <w:vMerge w:val="restart"/>
                  <w:tcBorders>
                    <w:tl2br w:val="nil"/>
                    <w:tr2bl w:val="nil"/>
                  </w:tcBorders>
                  <w:vAlign w:val="center"/>
                </w:tcPr>
                <w:p w14:paraId="3227D2A2">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无固定时段</w:t>
                  </w:r>
                </w:p>
              </w:tc>
              <w:tc>
                <w:tcPr>
                  <w:tcW w:w="798" w:type="dxa"/>
                  <w:vMerge w:val="restart"/>
                  <w:tcBorders>
                    <w:tl2br w:val="nil"/>
                    <w:tr2bl w:val="nil"/>
                  </w:tcBorders>
                  <w:vAlign w:val="center"/>
                </w:tcPr>
                <w:p w14:paraId="3D009BB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沣东南污水处理厂</w:t>
                  </w:r>
                </w:p>
              </w:tc>
              <w:tc>
                <w:tcPr>
                  <w:tcW w:w="831" w:type="dxa"/>
                  <w:tcBorders>
                    <w:tl2br w:val="nil"/>
                    <w:tr2bl w:val="nil"/>
                  </w:tcBorders>
                  <w:vAlign w:val="center"/>
                </w:tcPr>
                <w:p w14:paraId="5BEA6C17">
                  <w:pPr>
                    <w:pageBreakBefore w:val="0"/>
                    <w:widowControl w:val="0"/>
                    <w:kinsoku/>
                    <w:wordWrap/>
                    <w:topLinePunct w:val="0"/>
                    <w:bidi w:val="0"/>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lang w:val="en-US" w:eastAsia="zh-CN"/>
                    </w:rPr>
                    <w:t>pH</w:t>
                  </w:r>
                </w:p>
              </w:tc>
              <w:tc>
                <w:tcPr>
                  <w:tcW w:w="1633" w:type="dxa"/>
                  <w:tcBorders>
                    <w:tl2br w:val="nil"/>
                    <w:tr2bl w:val="nil"/>
                  </w:tcBorders>
                  <w:vAlign w:val="center"/>
                </w:tcPr>
                <w:p w14:paraId="676DE2E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6-9</w:t>
                  </w:r>
                </w:p>
              </w:tc>
            </w:tr>
            <w:tr w14:paraId="7725E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40" w:type="dxa"/>
                  <w:vMerge w:val="continue"/>
                  <w:tcBorders>
                    <w:tl2br w:val="nil"/>
                    <w:tr2bl w:val="nil"/>
                  </w:tcBorders>
                  <w:vAlign w:val="center"/>
                </w:tcPr>
                <w:p w14:paraId="2693823F">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00" w:type="dxa"/>
                  <w:vMerge w:val="continue"/>
                  <w:tcBorders>
                    <w:tl2br w:val="nil"/>
                    <w:tr2bl w:val="nil"/>
                  </w:tcBorders>
                  <w:vAlign w:val="center"/>
                </w:tcPr>
                <w:p w14:paraId="27D6BA73">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985" w:type="dxa"/>
                  <w:vMerge w:val="continue"/>
                  <w:tcBorders>
                    <w:tl2br w:val="nil"/>
                    <w:tr2bl w:val="nil"/>
                  </w:tcBorders>
                  <w:vAlign w:val="center"/>
                </w:tcPr>
                <w:p w14:paraId="7490CFE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703" w:type="dxa"/>
                  <w:vMerge w:val="continue"/>
                  <w:tcBorders>
                    <w:tl2br w:val="nil"/>
                    <w:tr2bl w:val="nil"/>
                  </w:tcBorders>
                  <w:vAlign w:val="center"/>
                </w:tcPr>
                <w:p w14:paraId="1425ED4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35" w:type="dxa"/>
                  <w:vMerge w:val="continue"/>
                  <w:tcBorders>
                    <w:tl2br w:val="nil"/>
                    <w:tr2bl w:val="nil"/>
                  </w:tcBorders>
                  <w:vAlign w:val="center"/>
                </w:tcPr>
                <w:p w14:paraId="249698F0">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702" w:type="dxa"/>
                  <w:vMerge w:val="continue"/>
                  <w:tcBorders>
                    <w:tl2br w:val="nil"/>
                    <w:tr2bl w:val="nil"/>
                  </w:tcBorders>
                  <w:vAlign w:val="center"/>
                </w:tcPr>
                <w:p w14:paraId="1E7DDAD6">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798" w:type="dxa"/>
                  <w:vMerge w:val="continue"/>
                  <w:tcBorders>
                    <w:tl2br w:val="nil"/>
                    <w:tr2bl w:val="nil"/>
                  </w:tcBorders>
                  <w:vAlign w:val="center"/>
                </w:tcPr>
                <w:p w14:paraId="19664876">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831" w:type="dxa"/>
                  <w:tcBorders>
                    <w:tl2br w:val="nil"/>
                    <w:tr2bl w:val="nil"/>
                  </w:tcBorders>
                  <w:vAlign w:val="center"/>
                </w:tcPr>
                <w:p w14:paraId="7771A9F5">
                  <w:pPr>
                    <w:pageBreakBefore w:val="0"/>
                    <w:widowControl w:val="0"/>
                    <w:kinsoku/>
                    <w:wordWrap/>
                    <w:topLinePunct w:val="0"/>
                    <w:bidi w:val="0"/>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lang w:val="en-US" w:eastAsia="zh-CN"/>
                    </w:rPr>
                    <w:t>COD</w:t>
                  </w:r>
                </w:p>
              </w:tc>
              <w:tc>
                <w:tcPr>
                  <w:tcW w:w="1633" w:type="dxa"/>
                  <w:tcBorders>
                    <w:tl2br w:val="nil"/>
                    <w:tr2bl w:val="nil"/>
                  </w:tcBorders>
                  <w:vAlign w:val="center"/>
                </w:tcPr>
                <w:p w14:paraId="560C17AB">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30</w:t>
                  </w:r>
                </w:p>
              </w:tc>
            </w:tr>
            <w:tr w14:paraId="2EE400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440" w:type="dxa"/>
                  <w:vMerge w:val="continue"/>
                  <w:tcBorders>
                    <w:tl2br w:val="nil"/>
                    <w:tr2bl w:val="nil"/>
                  </w:tcBorders>
                  <w:vAlign w:val="center"/>
                </w:tcPr>
                <w:p w14:paraId="7AC5220A">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00" w:type="dxa"/>
                  <w:vMerge w:val="continue"/>
                  <w:tcBorders>
                    <w:tl2br w:val="nil"/>
                    <w:tr2bl w:val="nil"/>
                  </w:tcBorders>
                  <w:vAlign w:val="center"/>
                </w:tcPr>
                <w:p w14:paraId="5882EA6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985" w:type="dxa"/>
                  <w:vMerge w:val="continue"/>
                  <w:tcBorders>
                    <w:tl2br w:val="nil"/>
                    <w:tr2bl w:val="nil"/>
                  </w:tcBorders>
                  <w:vAlign w:val="center"/>
                </w:tcPr>
                <w:p w14:paraId="145E359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703" w:type="dxa"/>
                  <w:vMerge w:val="continue"/>
                  <w:tcBorders>
                    <w:tl2br w:val="nil"/>
                    <w:tr2bl w:val="nil"/>
                  </w:tcBorders>
                  <w:vAlign w:val="center"/>
                </w:tcPr>
                <w:p w14:paraId="3A96F29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35" w:type="dxa"/>
                  <w:vMerge w:val="continue"/>
                  <w:tcBorders>
                    <w:tl2br w:val="nil"/>
                    <w:tr2bl w:val="nil"/>
                  </w:tcBorders>
                  <w:vAlign w:val="center"/>
                </w:tcPr>
                <w:p w14:paraId="639375D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702" w:type="dxa"/>
                  <w:vMerge w:val="continue"/>
                  <w:tcBorders>
                    <w:tl2br w:val="nil"/>
                    <w:tr2bl w:val="nil"/>
                  </w:tcBorders>
                  <w:vAlign w:val="center"/>
                </w:tcPr>
                <w:p w14:paraId="5B0B205B">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798" w:type="dxa"/>
                  <w:vMerge w:val="continue"/>
                  <w:tcBorders>
                    <w:tl2br w:val="nil"/>
                    <w:tr2bl w:val="nil"/>
                  </w:tcBorders>
                  <w:vAlign w:val="center"/>
                </w:tcPr>
                <w:p w14:paraId="1E37DE9C">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831" w:type="dxa"/>
                  <w:tcBorders>
                    <w:tl2br w:val="nil"/>
                    <w:tr2bl w:val="nil"/>
                  </w:tcBorders>
                  <w:vAlign w:val="center"/>
                </w:tcPr>
                <w:p w14:paraId="17385A9B">
                  <w:pPr>
                    <w:pageBreakBefore w:val="0"/>
                    <w:widowControl w:val="0"/>
                    <w:kinsoku/>
                    <w:wordWrap/>
                    <w:topLinePunct w:val="0"/>
                    <w:bidi w:val="0"/>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lang w:val="en-US" w:eastAsia="zh-CN"/>
                    </w:rPr>
                    <w:t>BOD</w:t>
                  </w:r>
                  <w:r>
                    <w:rPr>
                      <w:rFonts w:hint="default" w:ascii="Times New Roman" w:hAnsi="Times New Roman" w:eastAsia="宋体" w:cs="Times New Roman"/>
                      <w:b w:val="0"/>
                      <w:bCs/>
                      <w:color w:val="auto"/>
                      <w:sz w:val="21"/>
                      <w:szCs w:val="21"/>
                      <w:vertAlign w:val="subscript"/>
                      <w:lang w:val="en-US" w:eastAsia="zh-CN"/>
                    </w:rPr>
                    <w:t>5</w:t>
                  </w:r>
                </w:p>
              </w:tc>
              <w:tc>
                <w:tcPr>
                  <w:tcW w:w="1633" w:type="dxa"/>
                  <w:tcBorders>
                    <w:tl2br w:val="nil"/>
                    <w:tr2bl w:val="nil"/>
                  </w:tcBorders>
                  <w:vAlign w:val="center"/>
                </w:tcPr>
                <w:p w14:paraId="540E5A05">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6</w:t>
                  </w:r>
                </w:p>
              </w:tc>
            </w:tr>
            <w:tr w14:paraId="217DF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440" w:type="dxa"/>
                  <w:vMerge w:val="continue"/>
                  <w:tcBorders>
                    <w:tl2br w:val="nil"/>
                    <w:tr2bl w:val="nil"/>
                  </w:tcBorders>
                  <w:vAlign w:val="center"/>
                </w:tcPr>
                <w:p w14:paraId="56B56E27">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00" w:type="dxa"/>
                  <w:vMerge w:val="continue"/>
                  <w:tcBorders>
                    <w:tl2br w:val="nil"/>
                    <w:tr2bl w:val="nil"/>
                  </w:tcBorders>
                  <w:vAlign w:val="center"/>
                </w:tcPr>
                <w:p w14:paraId="7248A2B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985" w:type="dxa"/>
                  <w:vMerge w:val="continue"/>
                  <w:tcBorders>
                    <w:tl2br w:val="nil"/>
                    <w:tr2bl w:val="nil"/>
                  </w:tcBorders>
                  <w:vAlign w:val="center"/>
                </w:tcPr>
                <w:p w14:paraId="39090AE8">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703" w:type="dxa"/>
                  <w:vMerge w:val="continue"/>
                  <w:tcBorders>
                    <w:tl2br w:val="nil"/>
                    <w:tr2bl w:val="nil"/>
                  </w:tcBorders>
                  <w:vAlign w:val="center"/>
                </w:tcPr>
                <w:p w14:paraId="6397DE13">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35" w:type="dxa"/>
                  <w:vMerge w:val="continue"/>
                  <w:tcBorders>
                    <w:tl2br w:val="nil"/>
                    <w:tr2bl w:val="nil"/>
                  </w:tcBorders>
                  <w:vAlign w:val="center"/>
                </w:tcPr>
                <w:p w14:paraId="3C810623">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702" w:type="dxa"/>
                  <w:vMerge w:val="continue"/>
                  <w:tcBorders>
                    <w:tl2br w:val="nil"/>
                    <w:tr2bl w:val="nil"/>
                  </w:tcBorders>
                  <w:vAlign w:val="center"/>
                </w:tcPr>
                <w:p w14:paraId="7F841DD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798" w:type="dxa"/>
                  <w:vMerge w:val="continue"/>
                  <w:tcBorders>
                    <w:tl2br w:val="nil"/>
                    <w:tr2bl w:val="nil"/>
                  </w:tcBorders>
                  <w:vAlign w:val="center"/>
                </w:tcPr>
                <w:p w14:paraId="7AF906F9">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831" w:type="dxa"/>
                  <w:tcBorders>
                    <w:tl2br w:val="nil"/>
                    <w:tr2bl w:val="nil"/>
                  </w:tcBorders>
                  <w:vAlign w:val="center"/>
                </w:tcPr>
                <w:p w14:paraId="608C6D78">
                  <w:pPr>
                    <w:pageBreakBefore w:val="0"/>
                    <w:widowControl w:val="0"/>
                    <w:kinsoku/>
                    <w:wordWrap/>
                    <w:topLinePunct w:val="0"/>
                    <w:bidi w:val="0"/>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lang w:val="en-US" w:eastAsia="zh-CN"/>
                    </w:rPr>
                    <w:t>SS</w:t>
                  </w:r>
                </w:p>
              </w:tc>
              <w:tc>
                <w:tcPr>
                  <w:tcW w:w="1633" w:type="dxa"/>
                  <w:tcBorders>
                    <w:tl2br w:val="nil"/>
                    <w:tr2bl w:val="nil"/>
                  </w:tcBorders>
                  <w:vAlign w:val="center"/>
                </w:tcPr>
                <w:p w14:paraId="6EB52B9C">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10</w:t>
                  </w:r>
                </w:p>
              </w:tc>
            </w:tr>
            <w:tr w14:paraId="245D1B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40" w:type="dxa"/>
                  <w:vMerge w:val="continue"/>
                  <w:tcBorders>
                    <w:tl2br w:val="nil"/>
                    <w:tr2bl w:val="nil"/>
                  </w:tcBorders>
                  <w:vAlign w:val="center"/>
                </w:tcPr>
                <w:p w14:paraId="2783521B">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00" w:type="dxa"/>
                  <w:vMerge w:val="continue"/>
                  <w:tcBorders>
                    <w:tl2br w:val="nil"/>
                    <w:tr2bl w:val="nil"/>
                  </w:tcBorders>
                  <w:vAlign w:val="center"/>
                </w:tcPr>
                <w:p w14:paraId="24510381">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985" w:type="dxa"/>
                  <w:vMerge w:val="continue"/>
                  <w:tcBorders>
                    <w:tl2br w:val="nil"/>
                    <w:tr2bl w:val="nil"/>
                  </w:tcBorders>
                  <w:vAlign w:val="center"/>
                </w:tcPr>
                <w:p w14:paraId="205871F2">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703" w:type="dxa"/>
                  <w:vMerge w:val="continue"/>
                  <w:tcBorders>
                    <w:tl2br w:val="nil"/>
                    <w:tr2bl w:val="nil"/>
                  </w:tcBorders>
                  <w:vAlign w:val="center"/>
                </w:tcPr>
                <w:p w14:paraId="4C523C8E">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935" w:type="dxa"/>
                  <w:vMerge w:val="continue"/>
                  <w:tcBorders>
                    <w:tl2br w:val="nil"/>
                    <w:tr2bl w:val="nil"/>
                  </w:tcBorders>
                  <w:vAlign w:val="center"/>
                </w:tcPr>
                <w:p w14:paraId="50E20D4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rPr>
                  </w:pPr>
                </w:p>
              </w:tc>
              <w:tc>
                <w:tcPr>
                  <w:tcW w:w="702" w:type="dxa"/>
                  <w:vMerge w:val="continue"/>
                  <w:tcBorders>
                    <w:tl2br w:val="nil"/>
                    <w:tr2bl w:val="nil"/>
                  </w:tcBorders>
                  <w:vAlign w:val="center"/>
                </w:tcPr>
                <w:p w14:paraId="56C29324">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z w:val="21"/>
                      <w:szCs w:val="21"/>
                      <w:vertAlign w:val="baseline"/>
                      <w:lang w:val="en-US" w:eastAsia="zh-CN"/>
                    </w:rPr>
                  </w:pPr>
                </w:p>
              </w:tc>
              <w:tc>
                <w:tcPr>
                  <w:tcW w:w="798" w:type="dxa"/>
                  <w:vMerge w:val="continue"/>
                  <w:tcBorders>
                    <w:tl2br w:val="nil"/>
                    <w:tr2bl w:val="nil"/>
                  </w:tcBorders>
                  <w:vAlign w:val="center"/>
                </w:tcPr>
                <w:p w14:paraId="5D3BA352">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eastAsia" w:ascii="Times New Roman" w:hAnsi="Times New Roman" w:eastAsia="宋体" w:cs="Times New Roman"/>
                      <w:b w:val="0"/>
                      <w:bCs/>
                      <w:color w:val="auto"/>
                      <w:spacing w:val="0"/>
                      <w:sz w:val="21"/>
                      <w:szCs w:val="21"/>
                      <w:lang w:val="en-US" w:eastAsia="zh-CN"/>
                    </w:rPr>
                  </w:pPr>
                </w:p>
              </w:tc>
              <w:tc>
                <w:tcPr>
                  <w:tcW w:w="831" w:type="dxa"/>
                  <w:tcBorders>
                    <w:tl2br w:val="nil"/>
                    <w:tr2bl w:val="nil"/>
                  </w:tcBorders>
                  <w:vAlign w:val="center"/>
                </w:tcPr>
                <w:p w14:paraId="24B82740">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lang w:val="en-US" w:eastAsia="zh-CN"/>
                    </w:rPr>
                    <w:t>NH</w:t>
                  </w:r>
                  <w:r>
                    <w:rPr>
                      <w:rFonts w:hint="default" w:ascii="Times New Roman" w:hAnsi="Times New Roman" w:eastAsia="宋体" w:cs="Times New Roman"/>
                      <w:b w:val="0"/>
                      <w:bCs/>
                      <w:color w:val="auto"/>
                      <w:sz w:val="21"/>
                      <w:szCs w:val="21"/>
                      <w:vertAlign w:val="subscript"/>
                      <w:lang w:val="en-US" w:eastAsia="zh-CN"/>
                    </w:rPr>
                    <w:t>3</w:t>
                  </w:r>
                  <w:r>
                    <w:rPr>
                      <w:rFonts w:hint="default" w:ascii="Times New Roman" w:hAnsi="Times New Roman" w:eastAsia="宋体" w:cs="Times New Roman"/>
                      <w:b w:val="0"/>
                      <w:bCs/>
                      <w:color w:val="auto"/>
                      <w:sz w:val="21"/>
                      <w:szCs w:val="21"/>
                      <w:lang w:val="en-US" w:eastAsia="zh-CN"/>
                    </w:rPr>
                    <w:t>-N</w:t>
                  </w:r>
                </w:p>
              </w:tc>
              <w:tc>
                <w:tcPr>
                  <w:tcW w:w="1633" w:type="dxa"/>
                  <w:tcBorders>
                    <w:tl2br w:val="nil"/>
                    <w:tr2bl w:val="nil"/>
                  </w:tcBorders>
                  <w:vAlign w:val="center"/>
                </w:tcPr>
                <w:p w14:paraId="3B13B2A0">
                  <w:pPr>
                    <w:pStyle w:val="4"/>
                    <w:keepNext/>
                    <w:keepLines/>
                    <w:pageBreakBefore w:val="0"/>
                    <w:widowControl/>
                    <w:kinsoku/>
                    <w:wordWrap/>
                    <w:overflowPunct/>
                    <w:topLinePunct w:val="0"/>
                    <w:autoSpaceDE w:val="0"/>
                    <w:autoSpaceDN w:val="0"/>
                    <w:bidi w:val="0"/>
                    <w:adjustRightInd w:val="0"/>
                    <w:snapToGrid/>
                    <w:spacing w:before="0" w:after="0" w:line="240" w:lineRule="auto"/>
                    <w:jc w:val="center"/>
                    <w:textAlignment w:val="baseline"/>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1.5</w:t>
                  </w:r>
                </w:p>
              </w:tc>
            </w:tr>
          </w:tbl>
          <w:p w14:paraId="0CE72085">
            <w:pPr>
              <w:pStyle w:val="110"/>
              <w:numPr>
                <w:ilvl w:val="0"/>
                <w:numId w:val="0"/>
              </w:numPr>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表4-14  污染物排放信息表</w:t>
            </w:r>
          </w:p>
          <w:tbl>
            <w:tblPr>
              <w:tblStyle w:val="28"/>
              <w:tblW w:w="79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328"/>
              <w:gridCol w:w="1423"/>
              <w:gridCol w:w="891"/>
              <w:gridCol w:w="4"/>
              <w:gridCol w:w="811"/>
              <w:gridCol w:w="816"/>
              <w:gridCol w:w="823"/>
              <w:gridCol w:w="934"/>
            </w:tblGrid>
            <w:tr w14:paraId="415EF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26" w:type="dxa"/>
                  <w:tcBorders>
                    <w:tl2br w:val="nil"/>
                    <w:tr2bl w:val="nil"/>
                  </w:tcBorders>
                  <w:vAlign w:val="center"/>
                </w:tcPr>
                <w:p w14:paraId="142B0F40">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排放口编号</w:t>
                  </w:r>
                </w:p>
              </w:tc>
              <w:tc>
                <w:tcPr>
                  <w:tcW w:w="1328" w:type="dxa"/>
                  <w:tcBorders>
                    <w:tl2br w:val="nil"/>
                    <w:tr2bl w:val="nil"/>
                  </w:tcBorders>
                  <w:vAlign w:val="center"/>
                </w:tcPr>
                <w:p w14:paraId="51994DC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废水量</w:t>
                  </w:r>
                </w:p>
              </w:tc>
              <w:tc>
                <w:tcPr>
                  <w:tcW w:w="1423" w:type="dxa"/>
                  <w:tcBorders>
                    <w:tl2br w:val="nil"/>
                    <w:tr2bl w:val="nil"/>
                  </w:tcBorders>
                  <w:vAlign w:val="center"/>
                </w:tcPr>
                <w:p w14:paraId="263A625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指标</w:t>
                  </w:r>
                </w:p>
              </w:tc>
              <w:tc>
                <w:tcPr>
                  <w:tcW w:w="891" w:type="dxa"/>
                  <w:tcBorders>
                    <w:tl2br w:val="nil"/>
                    <w:tr2bl w:val="nil"/>
                  </w:tcBorders>
                  <w:vAlign w:val="center"/>
                </w:tcPr>
                <w:p w14:paraId="15F7887C">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pH</w:t>
                  </w:r>
                </w:p>
              </w:tc>
              <w:tc>
                <w:tcPr>
                  <w:tcW w:w="815" w:type="dxa"/>
                  <w:gridSpan w:val="2"/>
                  <w:tcBorders>
                    <w:tl2br w:val="nil"/>
                    <w:tr2bl w:val="nil"/>
                  </w:tcBorders>
                  <w:vAlign w:val="center"/>
                </w:tcPr>
                <w:p w14:paraId="3D8AF962">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COD</w:t>
                  </w:r>
                </w:p>
              </w:tc>
              <w:tc>
                <w:tcPr>
                  <w:tcW w:w="816" w:type="dxa"/>
                  <w:tcBorders>
                    <w:tl2br w:val="nil"/>
                    <w:tr2bl w:val="nil"/>
                  </w:tcBorders>
                  <w:vAlign w:val="center"/>
                </w:tcPr>
                <w:p w14:paraId="6584CFF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BOD</w:t>
                  </w:r>
                  <w:r>
                    <w:rPr>
                      <w:rFonts w:hint="eastAsia" w:ascii="Times New Roman" w:hAnsi="Times New Roman" w:eastAsia="宋体" w:cs="Times New Roman"/>
                      <w:b/>
                      <w:bCs/>
                      <w:color w:val="auto"/>
                      <w:spacing w:val="0"/>
                      <w:sz w:val="21"/>
                      <w:szCs w:val="21"/>
                      <w:vertAlign w:val="subscript"/>
                      <w:lang w:val="en-US" w:eastAsia="zh-CN"/>
                    </w:rPr>
                    <w:t>5</w:t>
                  </w:r>
                </w:p>
              </w:tc>
              <w:tc>
                <w:tcPr>
                  <w:tcW w:w="823" w:type="dxa"/>
                  <w:tcBorders>
                    <w:tl2br w:val="nil"/>
                    <w:tr2bl w:val="nil"/>
                  </w:tcBorders>
                  <w:vAlign w:val="center"/>
                </w:tcPr>
                <w:p w14:paraId="0CB892B7">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SS</w:t>
                  </w:r>
                </w:p>
              </w:tc>
              <w:tc>
                <w:tcPr>
                  <w:tcW w:w="934" w:type="dxa"/>
                  <w:tcBorders>
                    <w:tl2br w:val="nil"/>
                    <w:tr2bl w:val="nil"/>
                  </w:tcBorders>
                  <w:vAlign w:val="center"/>
                </w:tcPr>
                <w:p w14:paraId="79D27058">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b/>
                      <w:bCs/>
                      <w:color w:val="auto"/>
                      <w:spacing w:val="0"/>
                      <w:sz w:val="21"/>
                      <w:szCs w:val="21"/>
                      <w:vertAlign w:val="baseline"/>
                      <w:lang w:val="en-US" w:eastAsia="zh-CN"/>
                    </w:rPr>
                  </w:pPr>
                  <w:r>
                    <w:rPr>
                      <w:rFonts w:hint="eastAsia" w:ascii="Times New Roman" w:hAnsi="Times New Roman" w:eastAsia="宋体" w:cs="Times New Roman"/>
                      <w:b/>
                      <w:bCs/>
                      <w:color w:val="auto"/>
                      <w:spacing w:val="0"/>
                      <w:sz w:val="21"/>
                      <w:szCs w:val="21"/>
                      <w:vertAlign w:val="baseline"/>
                      <w:lang w:val="en-US" w:eastAsia="zh-CN"/>
                    </w:rPr>
                    <w:t>NH</w:t>
                  </w:r>
                  <w:r>
                    <w:rPr>
                      <w:rFonts w:hint="eastAsia" w:ascii="Times New Roman" w:hAnsi="Times New Roman" w:eastAsia="宋体" w:cs="Times New Roman"/>
                      <w:b/>
                      <w:bCs/>
                      <w:color w:val="auto"/>
                      <w:spacing w:val="0"/>
                      <w:sz w:val="21"/>
                      <w:szCs w:val="21"/>
                      <w:vertAlign w:val="subscript"/>
                      <w:lang w:val="en-US" w:eastAsia="zh-CN"/>
                    </w:rPr>
                    <w:t>3</w:t>
                  </w:r>
                  <w:r>
                    <w:rPr>
                      <w:rFonts w:hint="eastAsia" w:ascii="Times New Roman" w:hAnsi="Times New Roman" w:eastAsia="宋体" w:cs="Times New Roman"/>
                      <w:b/>
                      <w:bCs/>
                      <w:color w:val="auto"/>
                      <w:spacing w:val="0"/>
                      <w:sz w:val="21"/>
                      <w:szCs w:val="21"/>
                      <w:vertAlign w:val="baseline"/>
                      <w:lang w:val="en-US" w:eastAsia="zh-CN"/>
                    </w:rPr>
                    <w:t>-N</w:t>
                  </w:r>
                </w:p>
              </w:tc>
            </w:tr>
            <w:tr w14:paraId="33B756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26" w:type="dxa"/>
                  <w:vMerge w:val="restart"/>
                  <w:tcBorders>
                    <w:tl2br w:val="nil"/>
                    <w:tr2bl w:val="nil"/>
                  </w:tcBorders>
                  <w:vAlign w:val="center"/>
                </w:tcPr>
                <w:p w14:paraId="103C0909">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z w:val="21"/>
                      <w:szCs w:val="21"/>
                    </w:rPr>
                    <w:t>DW001</w:t>
                  </w:r>
                </w:p>
              </w:tc>
              <w:tc>
                <w:tcPr>
                  <w:tcW w:w="1328" w:type="dxa"/>
                  <w:vMerge w:val="restart"/>
                  <w:tcBorders>
                    <w:tl2br w:val="nil"/>
                    <w:tr2bl w:val="nil"/>
                  </w:tcBorders>
                  <w:vAlign w:val="center"/>
                </w:tcPr>
                <w:p w14:paraId="5DC5D3C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pacing w:val="0"/>
                      <w:sz w:val="21"/>
                      <w:szCs w:val="21"/>
                      <w:vertAlign w:val="baseline"/>
                      <w:lang w:val="en-US" w:eastAsia="zh-CN"/>
                    </w:rPr>
                  </w:pPr>
                  <w:r>
                    <w:rPr>
                      <w:rFonts w:hint="eastAsia" w:cs="Times New Roman"/>
                      <w:color w:val="auto"/>
                      <w:spacing w:val="0"/>
                      <w:sz w:val="21"/>
                      <w:szCs w:val="21"/>
                      <w:lang w:val="en-US" w:eastAsia="zh-CN"/>
                    </w:rPr>
                    <w:t>571</w:t>
                  </w:r>
                  <w:r>
                    <w:rPr>
                      <w:rFonts w:hint="default" w:ascii="Times New Roman" w:hAnsi="Times New Roman" w:eastAsia="宋体" w:cs="Times New Roman"/>
                      <w:color w:val="auto"/>
                      <w:spacing w:val="0"/>
                      <w:sz w:val="21"/>
                      <w:szCs w:val="21"/>
                      <w:lang w:val="en-US" w:eastAsia="zh-CN"/>
                    </w:rPr>
                    <w:t>m</w:t>
                  </w:r>
                  <w:r>
                    <w:rPr>
                      <w:rFonts w:hint="default" w:ascii="Times New Roman" w:hAnsi="Times New Roman" w:eastAsia="宋体" w:cs="Times New Roman"/>
                      <w:color w:val="auto"/>
                      <w:spacing w:val="0"/>
                      <w:sz w:val="21"/>
                      <w:szCs w:val="21"/>
                      <w:vertAlign w:val="superscript"/>
                      <w:lang w:val="en-US" w:eastAsia="zh-CN"/>
                    </w:rPr>
                    <w:t>3</w:t>
                  </w:r>
                  <w:r>
                    <w:rPr>
                      <w:rFonts w:hint="eastAsia" w:ascii="Times New Roman" w:hAnsi="Times New Roman" w:eastAsia="宋体" w:cs="Times New Roman"/>
                      <w:color w:val="auto"/>
                      <w:spacing w:val="0"/>
                      <w:sz w:val="21"/>
                      <w:szCs w:val="21"/>
                      <w:lang w:val="en-US" w:eastAsia="zh-CN"/>
                    </w:rPr>
                    <w:t>/a</w:t>
                  </w:r>
                </w:p>
              </w:tc>
              <w:tc>
                <w:tcPr>
                  <w:tcW w:w="1423" w:type="dxa"/>
                  <w:tcBorders>
                    <w:tl2br w:val="nil"/>
                    <w:tr2bl w:val="nil"/>
                  </w:tcBorders>
                  <w:vAlign w:val="center"/>
                </w:tcPr>
                <w:p w14:paraId="2708D6A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ascii="Times New Roman" w:hAnsi="Times New Roman" w:eastAsia="宋体" w:cs="Times New Roman"/>
                      <w:color w:val="auto"/>
                      <w:spacing w:val="0"/>
                      <w:sz w:val="21"/>
                      <w:szCs w:val="21"/>
                      <w:vertAlign w:val="baseline"/>
                      <w:lang w:val="en-US" w:eastAsia="zh-CN"/>
                    </w:rPr>
                    <w:t>排放浓度/(mg/L)</w:t>
                  </w:r>
                </w:p>
              </w:tc>
              <w:tc>
                <w:tcPr>
                  <w:tcW w:w="895" w:type="dxa"/>
                  <w:gridSpan w:val="2"/>
                  <w:tcBorders>
                    <w:tl2br w:val="nil"/>
                    <w:tr2bl w:val="nil"/>
                  </w:tcBorders>
                  <w:vAlign w:val="center"/>
                </w:tcPr>
                <w:p w14:paraId="0624B06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pacing w:val="0"/>
                      <w:sz w:val="21"/>
                      <w:szCs w:val="21"/>
                      <w:vertAlign w:val="baseline"/>
                      <w:lang w:val="en-US" w:eastAsia="zh-CN"/>
                    </w:rPr>
                  </w:pPr>
                  <w:r>
                    <w:rPr>
                      <w:rFonts w:hint="eastAsia" w:ascii="Times New Roman" w:hAnsi="Times New Roman" w:eastAsia="宋体" w:cs="Times New Roman"/>
                      <w:color w:val="auto"/>
                      <w:spacing w:val="0"/>
                      <w:sz w:val="21"/>
                      <w:szCs w:val="21"/>
                      <w:vertAlign w:val="baseline"/>
                      <w:lang w:val="en-US" w:eastAsia="zh-CN"/>
                    </w:rPr>
                    <w:t>6-9</w:t>
                  </w:r>
                </w:p>
              </w:tc>
              <w:tc>
                <w:tcPr>
                  <w:tcW w:w="811" w:type="dxa"/>
                  <w:tcBorders>
                    <w:tl2br w:val="nil"/>
                    <w:tr2bl w:val="nil"/>
                  </w:tcBorders>
                  <w:vAlign w:val="center"/>
                </w:tcPr>
                <w:p w14:paraId="1E2867C6">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cs="Times New Roman"/>
                      <w:color w:val="auto"/>
                      <w:spacing w:val="0"/>
                      <w:sz w:val="21"/>
                      <w:szCs w:val="21"/>
                      <w:vertAlign w:val="baseline"/>
                      <w:lang w:val="en-US" w:eastAsia="zh-CN"/>
                    </w:rPr>
                    <w:t>385</w:t>
                  </w:r>
                </w:p>
              </w:tc>
              <w:tc>
                <w:tcPr>
                  <w:tcW w:w="816" w:type="dxa"/>
                  <w:tcBorders>
                    <w:tl2br w:val="nil"/>
                    <w:tr2bl w:val="nil"/>
                  </w:tcBorders>
                  <w:vAlign w:val="center"/>
                </w:tcPr>
                <w:p w14:paraId="16B2841D">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cs="Times New Roman"/>
                      <w:color w:val="auto"/>
                      <w:spacing w:val="0"/>
                      <w:sz w:val="21"/>
                      <w:szCs w:val="21"/>
                      <w:vertAlign w:val="baseline"/>
                      <w:lang w:val="en-US" w:eastAsia="zh-CN"/>
                    </w:rPr>
                    <w:t>275</w:t>
                  </w:r>
                </w:p>
              </w:tc>
              <w:tc>
                <w:tcPr>
                  <w:tcW w:w="823" w:type="dxa"/>
                  <w:tcBorders>
                    <w:tl2br w:val="nil"/>
                    <w:tr2bl w:val="nil"/>
                  </w:tcBorders>
                  <w:vAlign w:val="center"/>
                </w:tcPr>
                <w:p w14:paraId="5F4ED01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cs="Times New Roman"/>
                      <w:color w:val="auto"/>
                      <w:spacing w:val="0"/>
                      <w:sz w:val="21"/>
                      <w:szCs w:val="21"/>
                      <w:vertAlign w:val="baseline"/>
                      <w:lang w:val="en-US" w:eastAsia="zh-CN"/>
                    </w:rPr>
                    <w:t>40</w:t>
                  </w:r>
                </w:p>
              </w:tc>
              <w:tc>
                <w:tcPr>
                  <w:tcW w:w="934" w:type="dxa"/>
                  <w:tcBorders>
                    <w:tl2br w:val="nil"/>
                    <w:tr2bl w:val="nil"/>
                  </w:tcBorders>
                  <w:vAlign w:val="center"/>
                </w:tcPr>
                <w:p w14:paraId="4B7FF27F">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cs="Times New Roman"/>
                      <w:color w:val="auto"/>
                      <w:spacing w:val="0"/>
                      <w:sz w:val="21"/>
                      <w:szCs w:val="21"/>
                      <w:vertAlign w:val="baseline"/>
                      <w:lang w:val="en-US" w:eastAsia="zh-CN"/>
                    </w:rPr>
                    <w:t>32.3</w:t>
                  </w:r>
                </w:p>
              </w:tc>
            </w:tr>
            <w:tr w14:paraId="695DB6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926" w:type="dxa"/>
                  <w:vMerge w:val="continue"/>
                  <w:tcBorders>
                    <w:tl2br w:val="nil"/>
                    <w:tr2bl w:val="nil"/>
                  </w:tcBorders>
                  <w:vAlign w:val="center"/>
                </w:tcPr>
                <w:p w14:paraId="68CDE18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pacing w:val="0"/>
                      <w:sz w:val="21"/>
                      <w:szCs w:val="21"/>
                      <w:vertAlign w:val="baseline"/>
                      <w:lang w:val="en-US" w:eastAsia="zh-CN"/>
                    </w:rPr>
                  </w:pPr>
                </w:p>
              </w:tc>
              <w:tc>
                <w:tcPr>
                  <w:tcW w:w="1328" w:type="dxa"/>
                  <w:vMerge w:val="continue"/>
                  <w:tcBorders>
                    <w:tl2br w:val="nil"/>
                    <w:tr2bl w:val="nil"/>
                  </w:tcBorders>
                  <w:vAlign w:val="center"/>
                </w:tcPr>
                <w:p w14:paraId="4DF450D3">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pacing w:val="0"/>
                      <w:sz w:val="21"/>
                      <w:szCs w:val="21"/>
                      <w:vertAlign w:val="baseline"/>
                      <w:lang w:val="en-US" w:eastAsia="zh-CN"/>
                    </w:rPr>
                  </w:pPr>
                </w:p>
              </w:tc>
              <w:tc>
                <w:tcPr>
                  <w:tcW w:w="1423" w:type="dxa"/>
                  <w:tcBorders>
                    <w:tl2br w:val="nil"/>
                    <w:tr2bl w:val="nil"/>
                  </w:tcBorders>
                  <w:vAlign w:val="center"/>
                </w:tcPr>
                <w:p w14:paraId="0C8D568A">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default" w:ascii="Times New Roman" w:hAnsi="Times New Roman" w:eastAsia="宋体" w:cs="Times New Roman"/>
                      <w:color w:val="auto"/>
                      <w:spacing w:val="0"/>
                      <w:sz w:val="21"/>
                      <w:szCs w:val="21"/>
                      <w:vertAlign w:val="baseline"/>
                      <w:lang w:val="en-US" w:eastAsia="zh-CN"/>
                    </w:rPr>
                  </w:pPr>
                  <w:r>
                    <w:rPr>
                      <w:rFonts w:hint="eastAsia" w:ascii="Times New Roman" w:hAnsi="Times New Roman" w:eastAsia="宋体" w:cs="Times New Roman"/>
                      <w:color w:val="auto"/>
                      <w:spacing w:val="0"/>
                      <w:sz w:val="21"/>
                      <w:szCs w:val="21"/>
                      <w:vertAlign w:val="baseline"/>
                      <w:lang w:val="en-US" w:eastAsia="zh-CN"/>
                    </w:rPr>
                    <w:t>污染物排放量/(t/a)</w:t>
                  </w:r>
                </w:p>
              </w:tc>
              <w:tc>
                <w:tcPr>
                  <w:tcW w:w="895" w:type="dxa"/>
                  <w:gridSpan w:val="2"/>
                  <w:tcBorders>
                    <w:tl2br w:val="nil"/>
                    <w:tr2bl w:val="nil"/>
                  </w:tcBorders>
                  <w:vAlign w:val="center"/>
                </w:tcPr>
                <w:p w14:paraId="3838686E">
                  <w:pPr>
                    <w:keepNext w:val="0"/>
                    <w:keepLines w:val="0"/>
                    <w:pageBreakBefore w:val="0"/>
                    <w:widowControl/>
                    <w:kinsoku/>
                    <w:wordWrap/>
                    <w:overflowPunct/>
                    <w:topLinePunct w:val="0"/>
                    <w:autoSpaceDE w:val="0"/>
                    <w:autoSpaceDN w:val="0"/>
                    <w:bidi w:val="0"/>
                    <w:adjustRightInd/>
                    <w:snapToGrid/>
                    <w:spacing w:line="240" w:lineRule="auto"/>
                    <w:jc w:val="center"/>
                    <w:textAlignment w:val="baseline"/>
                    <w:rPr>
                      <w:rFonts w:hint="eastAsia" w:ascii="Times New Roman" w:hAnsi="Times New Roman" w:eastAsia="宋体" w:cs="Times New Roman"/>
                      <w:color w:val="auto"/>
                      <w:spacing w:val="0"/>
                      <w:sz w:val="21"/>
                      <w:szCs w:val="21"/>
                      <w:vertAlign w:val="baseline"/>
                      <w:lang w:val="en-US" w:eastAsia="zh-CN"/>
                    </w:rPr>
                  </w:pPr>
                  <w:r>
                    <w:rPr>
                      <w:rFonts w:hint="eastAsia" w:ascii="Times New Roman" w:hAnsi="Times New Roman" w:eastAsia="宋体" w:cs="Times New Roman"/>
                      <w:color w:val="auto"/>
                      <w:spacing w:val="0"/>
                      <w:sz w:val="21"/>
                      <w:szCs w:val="21"/>
                      <w:vertAlign w:val="baseline"/>
                      <w:lang w:val="en-US" w:eastAsia="zh-CN"/>
                    </w:rPr>
                    <w:t>/</w:t>
                  </w:r>
                </w:p>
              </w:tc>
              <w:tc>
                <w:tcPr>
                  <w:tcW w:w="811" w:type="dxa"/>
                  <w:tcBorders>
                    <w:tl2br w:val="nil"/>
                    <w:tr2bl w:val="nil"/>
                  </w:tcBorders>
                  <w:vAlign w:val="center"/>
                </w:tcPr>
                <w:p w14:paraId="479D4CBD">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eastAsiaTheme="minorEastAsia"/>
                      <w:color w:val="auto"/>
                      <w:kern w:val="0"/>
                      <w:szCs w:val="21"/>
                      <w:highlight w:val="none"/>
                      <w:lang w:val="en-US" w:eastAsia="zh-CN" w:bidi="ar"/>
                    </w:rPr>
                    <w:t>0.220</w:t>
                  </w:r>
                </w:p>
              </w:tc>
              <w:tc>
                <w:tcPr>
                  <w:tcW w:w="816" w:type="dxa"/>
                  <w:tcBorders>
                    <w:tl2br w:val="nil"/>
                    <w:tr2bl w:val="nil"/>
                  </w:tcBorders>
                  <w:vAlign w:val="center"/>
                </w:tcPr>
                <w:p w14:paraId="0DCDB2F0">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eastAsiaTheme="minorEastAsia"/>
                      <w:color w:val="auto"/>
                      <w:kern w:val="0"/>
                      <w:szCs w:val="21"/>
                      <w:highlight w:val="none"/>
                      <w:lang w:val="en-US" w:eastAsia="zh-CN" w:bidi="ar"/>
                    </w:rPr>
                    <w:t>0.157</w:t>
                  </w:r>
                </w:p>
              </w:tc>
              <w:tc>
                <w:tcPr>
                  <w:tcW w:w="823" w:type="dxa"/>
                  <w:tcBorders>
                    <w:tl2br w:val="nil"/>
                    <w:tr2bl w:val="nil"/>
                  </w:tcBorders>
                  <w:vAlign w:val="center"/>
                </w:tcPr>
                <w:p w14:paraId="1A34B54A">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eastAsiaTheme="minorEastAsia"/>
                      <w:color w:val="auto"/>
                      <w:kern w:val="0"/>
                      <w:szCs w:val="21"/>
                      <w:highlight w:val="none"/>
                      <w:lang w:val="en-US" w:eastAsia="zh-CN" w:bidi="ar"/>
                    </w:rPr>
                    <w:t>0.02</w:t>
                  </w:r>
                  <w:r>
                    <w:rPr>
                      <w:rFonts w:hint="eastAsia" w:cs="Times New Roman" w:eastAsiaTheme="minorEastAsia"/>
                      <w:color w:val="auto"/>
                      <w:kern w:val="0"/>
                      <w:szCs w:val="21"/>
                      <w:highlight w:val="none"/>
                      <w:lang w:val="en-US" w:eastAsia="zh-CN" w:bidi="ar"/>
                    </w:rPr>
                    <w:t>3</w:t>
                  </w:r>
                </w:p>
              </w:tc>
              <w:tc>
                <w:tcPr>
                  <w:tcW w:w="934" w:type="dxa"/>
                  <w:tcBorders>
                    <w:tl2br w:val="nil"/>
                    <w:tr2bl w:val="nil"/>
                  </w:tcBorders>
                  <w:vAlign w:val="center"/>
                </w:tcPr>
                <w:p w14:paraId="2387F2FB">
                  <w:pPr>
                    <w:keepNext w:val="0"/>
                    <w:keepLines w:val="0"/>
                    <w:pageBreakBefore w:val="0"/>
                    <w:widowControl/>
                    <w:kinsoku/>
                    <w:wordWrap/>
                    <w:overflowPunct/>
                    <w:topLinePunct w:val="0"/>
                    <w:bidi w:val="0"/>
                    <w:adjustRightInd/>
                    <w:snapToGrid/>
                    <w:spacing w:line="240" w:lineRule="auto"/>
                    <w:jc w:val="center"/>
                    <w:textAlignment w:val="bottom"/>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eastAsiaTheme="minorEastAsia"/>
                      <w:color w:val="auto"/>
                      <w:kern w:val="0"/>
                      <w:szCs w:val="21"/>
                      <w:highlight w:val="none"/>
                      <w:lang w:val="en-US" w:eastAsia="zh-CN" w:bidi="ar"/>
                    </w:rPr>
                    <w:t>0.019</w:t>
                  </w:r>
                </w:p>
              </w:tc>
            </w:tr>
          </w:tbl>
          <w:p w14:paraId="354643A3">
            <w:pPr>
              <w:pStyle w:val="75"/>
              <w:keepNext w:val="0"/>
              <w:keepLines w:val="0"/>
              <w:pageBreakBefore w:val="0"/>
              <w:widowControl w:val="0"/>
              <w:kinsoku/>
              <w:wordWrap/>
              <w:overflowPunct/>
              <w:topLinePunct w:val="0"/>
              <w:bidi w:val="0"/>
              <w:spacing w:line="360" w:lineRule="auto"/>
              <w:ind w:firstLine="482" w:firstLineChars="200"/>
              <w:rPr>
                <w:rFonts w:ascii="Times New Roman" w:cs="Times New Roman"/>
                <w:b/>
                <w:bCs/>
                <w:smallCaps/>
                <w:color w:val="auto"/>
                <w:highlight w:val="none"/>
              </w:rPr>
            </w:pPr>
            <w:r>
              <w:rPr>
                <w:rFonts w:hint="eastAsia" w:ascii="Times New Roman" w:hAnsi="Times New Roman" w:eastAsia="宋体" w:cs="Times New Roman"/>
                <w:b/>
                <w:bCs/>
                <w:smallCaps/>
                <w:color w:val="auto"/>
                <w:kern w:val="2"/>
                <w:sz w:val="24"/>
                <w:szCs w:val="24"/>
                <w:highlight w:val="none"/>
                <w:lang w:val="en-US" w:eastAsia="zh-CN" w:bidi="ar-SA"/>
              </w:rPr>
              <w:t>4.3.5废水监测计划</w:t>
            </w:r>
          </w:p>
          <w:p w14:paraId="2E84D29A">
            <w:pPr>
              <w:pStyle w:val="8"/>
              <w:keepNext w:val="0"/>
              <w:keepLines w:val="0"/>
              <w:pageBreakBefore w:val="0"/>
              <w:widowControl w:val="0"/>
              <w:kinsoku/>
              <w:wordWrap/>
              <w:overflowPunct/>
              <w:topLinePunct w:val="0"/>
              <w:bidi w:val="0"/>
              <w:spacing w:line="360" w:lineRule="auto"/>
              <w:ind w:firstLine="480" w:firstLineChars="200"/>
              <w:jc w:val="both"/>
              <w:rPr>
                <w:rFonts w:hint="eastAsia"/>
                <w:smallCaps/>
                <w:color w:val="auto"/>
                <w:highlight w:val="none"/>
                <w:lang w:eastAsia="zh-CN"/>
              </w:rPr>
            </w:pPr>
            <w:r>
              <w:rPr>
                <w:smallCaps/>
                <w:color w:val="auto"/>
                <w:highlight w:val="none"/>
              </w:rPr>
              <w:t>本项目</w:t>
            </w:r>
            <w:r>
              <w:rPr>
                <w:rFonts w:hint="eastAsia"/>
                <w:smallCaps/>
                <w:color w:val="auto"/>
                <w:highlight w:val="none"/>
              </w:rPr>
              <w:t>废水排放</w:t>
            </w:r>
            <w:r>
              <w:rPr>
                <w:rFonts w:hint="eastAsia"/>
                <w:color w:val="auto"/>
                <w:highlight w:val="none"/>
              </w:rPr>
              <w:t>依托</w:t>
            </w:r>
            <w:r>
              <w:rPr>
                <w:rFonts w:hint="eastAsia"/>
                <w:color w:val="auto"/>
                <w:highlight w:val="none"/>
                <w:lang w:val="en-US" w:eastAsia="zh-CN"/>
              </w:rPr>
              <w:t>核工业二0三研究所</w:t>
            </w:r>
            <w:r>
              <w:rPr>
                <w:rFonts w:hint="eastAsia"/>
                <w:color w:val="auto"/>
                <w:highlight w:val="none"/>
              </w:rPr>
              <w:t>排放口，</w:t>
            </w:r>
            <w:r>
              <w:rPr>
                <w:rFonts w:hint="default" w:ascii="Times New Roman" w:hAnsi="Times New Roman" w:eastAsia="宋体" w:cs="Times New Roman"/>
                <w:smallCaps/>
                <w:color w:val="auto"/>
                <w:kern w:val="0"/>
                <w:sz w:val="24"/>
                <w:szCs w:val="20"/>
                <w:highlight w:val="none"/>
                <w:lang w:val="en-US" w:eastAsia="zh-CN" w:bidi="ar-SA"/>
              </w:rPr>
              <w:t>废水监测计划统计如下</w:t>
            </w:r>
            <w:r>
              <w:rPr>
                <w:rFonts w:hint="eastAsia"/>
                <w:smallCaps/>
                <w:color w:val="auto"/>
                <w:highlight w:val="none"/>
                <w:lang w:eastAsia="zh-CN"/>
              </w:rPr>
              <w:t>。</w:t>
            </w:r>
          </w:p>
          <w:p w14:paraId="49F2B083">
            <w:pPr>
              <w:pStyle w:val="110"/>
              <w:numPr>
                <w:ilvl w:val="0"/>
                <w:numId w:val="0"/>
              </w:numPr>
              <w:rPr>
                <w:rFonts w:hint="eastAsia"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表4-1</w:t>
            </w:r>
            <w:r>
              <w:rPr>
                <w:rFonts w:hint="eastAsia" w:cs="Times New Roman"/>
                <w:b/>
                <w:color w:val="auto"/>
                <w:kern w:val="0"/>
                <w:sz w:val="21"/>
                <w:szCs w:val="21"/>
                <w:highlight w:val="none"/>
                <w:lang w:val="en-US" w:eastAsia="zh-CN" w:bidi="ar-SA"/>
              </w:rPr>
              <w:t>5</w:t>
            </w:r>
            <w:r>
              <w:rPr>
                <w:rFonts w:hint="eastAsia" w:ascii="Times New Roman" w:hAnsi="Times New Roman" w:eastAsia="宋体" w:cs="Times New Roman"/>
                <w:b/>
                <w:color w:val="auto"/>
                <w:kern w:val="0"/>
                <w:sz w:val="21"/>
                <w:szCs w:val="21"/>
                <w:highlight w:val="none"/>
                <w:lang w:val="en-US" w:eastAsia="zh-CN" w:bidi="ar-SA"/>
              </w:rPr>
              <w:t xml:space="preserve">  废水监测方案</w:t>
            </w:r>
          </w:p>
          <w:tbl>
            <w:tblPr>
              <w:tblStyle w:val="27"/>
              <w:tblW w:w="4996"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89"/>
              <w:gridCol w:w="850"/>
              <w:gridCol w:w="774"/>
              <w:gridCol w:w="3569"/>
            </w:tblGrid>
            <w:tr w14:paraId="5B284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31" w:hRule="atLeast"/>
              </w:trPr>
              <w:tc>
                <w:tcPr>
                  <w:tcW w:w="603" w:type="pct"/>
                  <w:tcBorders>
                    <w:tl2br w:val="nil"/>
                    <w:tr2bl w:val="nil"/>
                  </w:tcBorders>
                  <w:noWrap w:val="0"/>
                  <w:vAlign w:val="center"/>
                </w:tcPr>
                <w:p w14:paraId="3CBBCD5C">
                  <w:pPr>
                    <w:pageBreakBefore w:val="0"/>
                    <w:kinsoku/>
                    <w:wordWrap/>
                    <w:topLinePunct w:val="0"/>
                    <w:bidi w:val="0"/>
                    <w:adjustRightInd w:val="0"/>
                    <w:snapToGrid w:val="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1126" w:type="pct"/>
                  <w:tcBorders>
                    <w:tl2br w:val="nil"/>
                    <w:tr2bl w:val="nil"/>
                  </w:tcBorders>
                  <w:noWrap w:val="0"/>
                  <w:vAlign w:val="center"/>
                </w:tcPr>
                <w:p w14:paraId="6DA9BACE">
                  <w:pPr>
                    <w:pageBreakBefore w:val="0"/>
                    <w:kinsoku/>
                    <w:wordWrap/>
                    <w:topLinePunct w:val="0"/>
                    <w:bidi w:val="0"/>
                    <w:adjustRightInd w:val="0"/>
                    <w:snapToGrid w:val="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监测项目</w:t>
                  </w:r>
                </w:p>
              </w:tc>
              <w:tc>
                <w:tcPr>
                  <w:tcW w:w="535" w:type="pct"/>
                  <w:tcBorders>
                    <w:tl2br w:val="nil"/>
                    <w:tr2bl w:val="nil"/>
                  </w:tcBorders>
                  <w:noWrap w:val="0"/>
                  <w:vAlign w:val="center"/>
                </w:tcPr>
                <w:p w14:paraId="293DADE7">
                  <w:pPr>
                    <w:pageBreakBefore w:val="0"/>
                    <w:kinsoku/>
                    <w:wordWrap/>
                    <w:topLinePunct w:val="0"/>
                    <w:bidi w:val="0"/>
                    <w:adjustRightInd w:val="0"/>
                    <w:snapToGrid w:val="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监测点位</w:t>
                  </w:r>
                </w:p>
              </w:tc>
              <w:tc>
                <w:tcPr>
                  <w:tcW w:w="487" w:type="pct"/>
                  <w:tcBorders>
                    <w:tl2br w:val="nil"/>
                    <w:tr2bl w:val="nil"/>
                  </w:tcBorders>
                  <w:noWrap w:val="0"/>
                  <w:vAlign w:val="center"/>
                </w:tcPr>
                <w:p w14:paraId="03359381">
                  <w:pPr>
                    <w:pageBreakBefore w:val="0"/>
                    <w:kinsoku/>
                    <w:wordWrap/>
                    <w:topLinePunct w:val="0"/>
                    <w:bidi w:val="0"/>
                    <w:adjustRightInd w:val="0"/>
                    <w:snapToGrid w:val="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监测频率</w:t>
                  </w:r>
                </w:p>
              </w:tc>
              <w:tc>
                <w:tcPr>
                  <w:tcW w:w="2247" w:type="pct"/>
                  <w:tcBorders>
                    <w:tl2br w:val="nil"/>
                    <w:tr2bl w:val="nil"/>
                  </w:tcBorders>
                  <w:noWrap w:val="0"/>
                  <w:vAlign w:val="center"/>
                </w:tcPr>
                <w:p w14:paraId="567089A3">
                  <w:pPr>
                    <w:pageBreakBefore w:val="0"/>
                    <w:kinsoku/>
                    <w:wordWrap/>
                    <w:topLinePunct w:val="0"/>
                    <w:bidi w:val="0"/>
                    <w:adjustRightInd w:val="0"/>
                    <w:snapToGrid w:val="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执行标准</w:t>
                  </w:r>
                </w:p>
              </w:tc>
            </w:tr>
            <w:tr w14:paraId="3ADEE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603" w:type="pct"/>
                  <w:tcBorders>
                    <w:tl2br w:val="nil"/>
                    <w:tr2bl w:val="nil"/>
                  </w:tcBorders>
                  <w:noWrap w:val="0"/>
                  <w:vAlign w:val="center"/>
                </w:tcPr>
                <w:p w14:paraId="64A2C45B">
                  <w:pPr>
                    <w:pageBreakBefore w:val="0"/>
                    <w:widowControl/>
                    <w:kinsoku/>
                    <w:wordWrap/>
                    <w:topLinePunct w:val="0"/>
                    <w:bidi w:val="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DW001</w:t>
                  </w:r>
                </w:p>
              </w:tc>
              <w:tc>
                <w:tcPr>
                  <w:tcW w:w="1126" w:type="pct"/>
                  <w:tcBorders>
                    <w:tl2br w:val="nil"/>
                    <w:tr2bl w:val="nil"/>
                  </w:tcBorders>
                  <w:noWrap w:val="0"/>
                  <w:vAlign w:val="center"/>
                </w:tcPr>
                <w:p w14:paraId="7C7981D2">
                  <w:pPr>
                    <w:pageBreakBefore w:val="0"/>
                    <w:kinsoku/>
                    <w:wordWrap/>
                    <w:topLinePunct w:val="0"/>
                    <w:bidi w:val="0"/>
                    <w:jc w:val="center"/>
                    <w:rPr>
                      <w:rFonts w:hint="default" w:ascii="Times New Roman" w:hAnsi="Times New Roman" w:cs="Times New Roman" w:eastAsiaTheme="minorEastAsia"/>
                      <w:color w:val="auto"/>
                      <w:sz w:val="21"/>
                      <w:szCs w:val="21"/>
                      <w:highlight w:val="none"/>
                      <w:lang w:val="en-US"/>
                    </w:rPr>
                  </w:pPr>
                  <w:r>
                    <w:rPr>
                      <w:rFonts w:hint="default" w:ascii="Times New Roman" w:hAnsi="Times New Roman" w:cs="Times New Roman" w:eastAsiaTheme="minorEastAsia"/>
                      <w:color w:val="auto"/>
                      <w:sz w:val="21"/>
                      <w:szCs w:val="21"/>
                      <w:highlight w:val="none"/>
                    </w:rPr>
                    <w:t>流量、</w:t>
                  </w:r>
                  <w:r>
                    <w:rPr>
                      <w:rFonts w:hint="default" w:ascii="Times New Roman" w:hAnsi="Times New Roman" w:cs="Times New Roman" w:eastAsiaTheme="minorEastAsia"/>
                      <w:color w:val="auto"/>
                      <w:sz w:val="21"/>
                      <w:szCs w:val="21"/>
                      <w:highlight w:val="none"/>
                      <w:lang w:val="en-US" w:eastAsia="zh-CN"/>
                    </w:rPr>
                    <w:t>pH、COD、BOD</w:t>
                  </w:r>
                  <w:r>
                    <w:rPr>
                      <w:rFonts w:hint="default" w:ascii="Times New Roman" w:hAnsi="Times New Roman" w:cs="Times New Roman" w:eastAsiaTheme="minorEastAsia"/>
                      <w:color w:val="auto"/>
                      <w:sz w:val="21"/>
                      <w:szCs w:val="21"/>
                      <w:highlight w:val="none"/>
                      <w:vertAlign w:val="subscript"/>
                      <w:lang w:val="en-US" w:eastAsia="zh-CN"/>
                    </w:rPr>
                    <w:t>5</w:t>
                  </w:r>
                  <w:r>
                    <w:rPr>
                      <w:rFonts w:hint="default" w:ascii="Times New Roman" w:hAnsi="Times New Roman" w:cs="Times New Roman" w:eastAsiaTheme="minorEastAsia"/>
                      <w:color w:val="auto"/>
                      <w:sz w:val="21"/>
                      <w:szCs w:val="21"/>
                      <w:highlight w:val="none"/>
                      <w:lang w:val="en-US" w:eastAsia="zh-CN"/>
                    </w:rPr>
                    <w:t>、SS、NH</w:t>
                  </w:r>
                  <w:r>
                    <w:rPr>
                      <w:rFonts w:hint="default" w:ascii="Times New Roman" w:hAnsi="Times New Roman" w:cs="Times New Roman" w:eastAsiaTheme="minorEastAsia"/>
                      <w:color w:val="auto"/>
                      <w:sz w:val="21"/>
                      <w:szCs w:val="21"/>
                      <w:highlight w:val="none"/>
                      <w:vertAlign w:val="subscript"/>
                      <w:lang w:val="en-US" w:eastAsia="zh-CN"/>
                    </w:rPr>
                    <w:t>3</w:t>
                  </w:r>
                  <w:r>
                    <w:rPr>
                      <w:rFonts w:hint="default" w:ascii="Times New Roman" w:hAnsi="Times New Roman" w:cs="Times New Roman" w:eastAsiaTheme="minorEastAsia"/>
                      <w:color w:val="auto"/>
                      <w:sz w:val="21"/>
                      <w:szCs w:val="21"/>
                      <w:highlight w:val="none"/>
                      <w:lang w:val="en-US" w:eastAsia="zh-CN"/>
                    </w:rPr>
                    <w:t>-N</w:t>
                  </w:r>
                  <w:r>
                    <w:rPr>
                      <w:rFonts w:hint="eastAsia" w:ascii="Times New Roman" w:hAnsi="Times New Roman" w:cs="Times New Roman" w:eastAsiaTheme="minorEastAsia"/>
                      <w:color w:val="auto"/>
                      <w:sz w:val="21"/>
                      <w:szCs w:val="21"/>
                      <w:highlight w:val="none"/>
                      <w:lang w:val="en-US" w:eastAsia="zh-CN"/>
                    </w:rPr>
                    <w:t>、总磷、动植物油</w:t>
                  </w:r>
                </w:p>
              </w:tc>
              <w:tc>
                <w:tcPr>
                  <w:tcW w:w="535" w:type="pct"/>
                  <w:tcBorders>
                    <w:tl2br w:val="nil"/>
                    <w:tr2bl w:val="nil"/>
                  </w:tcBorders>
                  <w:noWrap w:val="0"/>
                  <w:vAlign w:val="center"/>
                </w:tcPr>
                <w:p w14:paraId="5C32C0B3">
                  <w:pPr>
                    <w:pageBreakBefore w:val="0"/>
                    <w:widowControl/>
                    <w:kinsoku/>
                    <w:wordWrap/>
                    <w:topLinePunct w:val="0"/>
                    <w:bidi w:val="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废水总排放口</w:t>
                  </w:r>
                </w:p>
              </w:tc>
              <w:tc>
                <w:tcPr>
                  <w:tcW w:w="487" w:type="pct"/>
                  <w:tcBorders>
                    <w:tl2br w:val="nil"/>
                    <w:tr2bl w:val="nil"/>
                  </w:tcBorders>
                  <w:noWrap w:val="0"/>
                  <w:vAlign w:val="center"/>
                </w:tcPr>
                <w:p w14:paraId="07C6DB21">
                  <w:pPr>
                    <w:pageBreakBefore w:val="0"/>
                    <w:widowControl/>
                    <w:kinsoku/>
                    <w:wordWrap/>
                    <w:topLinePunct w:val="0"/>
                    <w:bidi w:val="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一次/年</w:t>
                  </w:r>
                </w:p>
              </w:tc>
              <w:tc>
                <w:tcPr>
                  <w:tcW w:w="2247" w:type="pct"/>
                  <w:tcBorders>
                    <w:tl2br w:val="nil"/>
                    <w:tr2bl w:val="nil"/>
                  </w:tcBorders>
                  <w:noWrap w:val="0"/>
                  <w:vAlign w:val="center"/>
                </w:tcPr>
                <w:p w14:paraId="16AB810E">
                  <w:pPr>
                    <w:pageBreakBefore w:val="0"/>
                    <w:kinsoku/>
                    <w:wordWrap/>
                    <w:topLinePunct w:val="0"/>
                    <w:bidi w:val="0"/>
                    <w:spacing w:line="240" w:lineRule="exact"/>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执行《污水综合排放标准》(GB8978-1996)中的三级标准及《污水排入城镇下水道水质标准》（GB/T31962-2015）中</w:t>
                  </w:r>
                  <w:r>
                    <w:rPr>
                      <w:rFonts w:hint="eastAsia" w:ascii="Times New Roman" w:hAnsi="Times New Roman" w:cs="Times New Roman" w:eastAsiaTheme="minorEastAsia"/>
                      <w:color w:val="auto"/>
                      <w:sz w:val="21"/>
                      <w:szCs w:val="21"/>
                      <w:highlight w:val="none"/>
                      <w:lang w:val="en-US" w:eastAsia="zh-CN"/>
                    </w:rPr>
                    <w:t>A</w:t>
                  </w:r>
                  <w:r>
                    <w:rPr>
                      <w:rFonts w:hint="default" w:ascii="Times New Roman" w:hAnsi="Times New Roman" w:cs="Times New Roman" w:eastAsiaTheme="minorEastAsia"/>
                      <w:color w:val="auto"/>
                      <w:sz w:val="21"/>
                      <w:szCs w:val="21"/>
                      <w:highlight w:val="none"/>
                    </w:rPr>
                    <w:t>级标准。</w:t>
                  </w:r>
                </w:p>
              </w:tc>
            </w:tr>
          </w:tbl>
          <w:p w14:paraId="07920B28">
            <w:pPr>
              <w:numPr>
                <w:ilvl w:val="0"/>
                <w:numId w:val="0"/>
              </w:numPr>
              <w:adjustRightInd w:val="0"/>
              <w:snapToGrid w:val="0"/>
              <w:spacing w:line="360" w:lineRule="auto"/>
              <w:ind w:firstLine="482" w:firstLineChars="200"/>
              <w:rPr>
                <w:b/>
                <w:color w:val="auto"/>
                <w:sz w:val="24"/>
                <w:highlight w:val="none"/>
              </w:rPr>
            </w:pPr>
            <w:r>
              <w:rPr>
                <w:b/>
                <w:color w:val="auto"/>
                <w:sz w:val="24"/>
                <w:highlight w:val="none"/>
              </w:rPr>
              <w:t>4</w:t>
            </w:r>
            <w:r>
              <w:rPr>
                <w:rFonts w:hint="eastAsia"/>
                <w:b/>
                <w:color w:val="auto"/>
                <w:sz w:val="24"/>
                <w:highlight w:val="none"/>
              </w:rPr>
              <w:t>.</w:t>
            </w:r>
            <w:r>
              <w:rPr>
                <w:b/>
                <w:color w:val="auto"/>
                <w:sz w:val="24"/>
                <w:highlight w:val="none"/>
              </w:rPr>
              <w:t>4</w:t>
            </w:r>
            <w:r>
              <w:rPr>
                <w:rFonts w:hAnsi="宋体"/>
                <w:b/>
                <w:color w:val="auto"/>
                <w:sz w:val="24"/>
                <w:highlight w:val="none"/>
              </w:rPr>
              <w:t>固体废物</w:t>
            </w:r>
            <w:r>
              <w:rPr>
                <w:rFonts w:hint="eastAsia" w:hAnsi="宋体"/>
                <w:b/>
                <w:color w:val="auto"/>
                <w:sz w:val="24"/>
                <w:highlight w:val="none"/>
              </w:rPr>
              <w:t>环境影响和保护措施</w:t>
            </w:r>
          </w:p>
          <w:p w14:paraId="2EB47CC0">
            <w:pPr>
              <w:pStyle w:val="85"/>
              <w:ind w:firstLine="482"/>
              <w:rPr>
                <w:b/>
                <w:bCs/>
                <w:color w:val="auto"/>
                <w:szCs w:val="24"/>
                <w:highlight w:val="none"/>
              </w:rPr>
            </w:pPr>
            <w:r>
              <w:rPr>
                <w:rFonts w:hint="eastAsia"/>
                <w:b/>
                <w:bCs/>
                <w:color w:val="auto"/>
                <w:szCs w:val="24"/>
                <w:highlight w:val="none"/>
              </w:rPr>
              <w:t>4.</w:t>
            </w:r>
            <w:r>
              <w:rPr>
                <w:b/>
                <w:bCs/>
                <w:color w:val="auto"/>
                <w:szCs w:val="24"/>
                <w:highlight w:val="none"/>
              </w:rPr>
              <w:t>4.1</w:t>
            </w:r>
            <w:r>
              <w:rPr>
                <w:rFonts w:hint="eastAsia"/>
                <w:b/>
                <w:bCs/>
                <w:color w:val="auto"/>
                <w:szCs w:val="24"/>
                <w:highlight w:val="none"/>
              </w:rPr>
              <w:t>固体废物产生、处置情况</w:t>
            </w:r>
          </w:p>
          <w:p w14:paraId="47618BB9">
            <w:pPr>
              <w:shd w:val="clear" w:color="auto" w:fill="auto"/>
              <w:adjustRightInd w:val="0"/>
              <w:snapToGrid w:val="0"/>
              <w:spacing w:line="360" w:lineRule="auto"/>
              <w:ind w:firstLine="480" w:firstLineChars="200"/>
              <w:rPr>
                <w:color w:val="auto"/>
                <w:sz w:val="24"/>
                <w:highlight w:val="none"/>
              </w:rPr>
            </w:pPr>
            <w:r>
              <w:rPr>
                <w:color w:val="auto"/>
                <w:sz w:val="24"/>
                <w:highlight w:val="none"/>
              </w:rPr>
              <w:t>运营期固体废弃物包括</w:t>
            </w:r>
            <w:r>
              <w:rPr>
                <w:rFonts w:hint="eastAsia"/>
                <w:color w:val="auto"/>
                <w:sz w:val="24"/>
                <w:highlight w:val="none"/>
              </w:rPr>
              <w:t>职工生活垃圾、一般工业固体废物和危险废物</w:t>
            </w:r>
            <w:r>
              <w:rPr>
                <w:rFonts w:hint="eastAsia"/>
                <w:color w:val="auto"/>
                <w:sz w:val="24"/>
                <w:highlight w:val="none"/>
                <w:lang w:eastAsia="zh-CN"/>
              </w:rPr>
              <w:t>，</w:t>
            </w:r>
            <w:r>
              <w:rPr>
                <w:rFonts w:hint="eastAsia"/>
                <w:bCs/>
                <w:color w:val="auto"/>
                <w:sz w:val="24"/>
                <w:highlight w:val="none"/>
                <w:lang w:val="en-US" w:eastAsia="zh-CN"/>
              </w:rPr>
              <w:t>危险废物根据《实验室危险废物污染控制技术规范》（DB61/T1716-2023）相关要求进行识别</w:t>
            </w:r>
            <w:r>
              <w:rPr>
                <w:rFonts w:hint="eastAsia"/>
                <w:color w:val="auto"/>
                <w:sz w:val="24"/>
                <w:highlight w:val="none"/>
              </w:rPr>
              <w:t>。</w:t>
            </w:r>
          </w:p>
          <w:p w14:paraId="28D5A689">
            <w:pPr>
              <w:shd w:val="clear" w:color="auto" w:fill="auto"/>
              <w:tabs>
                <w:tab w:val="left" w:pos="5175"/>
              </w:tabs>
              <w:adjustRightInd w:val="0"/>
              <w:snapToGrid w:val="0"/>
              <w:spacing w:line="360" w:lineRule="auto"/>
              <w:ind w:firstLine="482" w:firstLineChars="200"/>
              <w:rPr>
                <w:b/>
                <w:bCs/>
                <w:color w:val="auto"/>
                <w:sz w:val="24"/>
                <w:highlight w:val="none"/>
              </w:rPr>
            </w:pPr>
            <w:r>
              <w:rPr>
                <w:rFonts w:hint="eastAsia"/>
                <w:b/>
                <w:bCs/>
                <w:color w:val="auto"/>
                <w:sz w:val="24"/>
                <w:highlight w:val="none"/>
              </w:rPr>
              <w:t>（1）生活垃圾</w:t>
            </w:r>
          </w:p>
          <w:p w14:paraId="08185D34">
            <w:pPr>
              <w:shd w:val="clear" w:color="auto" w:fill="auto"/>
              <w:adjustRightInd w:val="0"/>
              <w:snapToGrid w:val="0"/>
              <w:spacing w:line="360" w:lineRule="auto"/>
              <w:ind w:firstLine="480" w:firstLineChars="200"/>
              <w:rPr>
                <w:rFonts w:hint="eastAsia"/>
                <w:snapToGrid w:val="0"/>
                <w:color w:val="auto"/>
                <w:kern w:val="0"/>
                <w:sz w:val="24"/>
                <w:highlight w:val="none"/>
                <w:lang w:val="en-US" w:eastAsia="zh-CN"/>
              </w:rPr>
            </w:pPr>
            <w:r>
              <w:rPr>
                <w:rFonts w:hint="eastAsia"/>
                <w:snapToGrid w:val="0"/>
                <w:color w:val="auto"/>
                <w:kern w:val="0"/>
                <w:sz w:val="24"/>
                <w:highlight w:val="none"/>
                <w:lang w:val="en-US" w:eastAsia="zh-CN"/>
              </w:rPr>
              <w:t>本次扩建工程不新增劳动定员，故不新增生活垃圾。</w:t>
            </w:r>
          </w:p>
          <w:p w14:paraId="421B139D">
            <w:pPr>
              <w:shd w:val="clear" w:color="auto" w:fill="auto"/>
              <w:adjustRightInd w:val="0"/>
              <w:snapToGrid w:val="0"/>
              <w:spacing w:line="360" w:lineRule="auto"/>
              <w:ind w:firstLine="482" w:firstLineChars="200"/>
              <w:rPr>
                <w:b/>
                <w:bCs/>
                <w:color w:val="auto"/>
                <w:sz w:val="24"/>
                <w:highlight w:val="none"/>
              </w:rPr>
            </w:pPr>
            <w:r>
              <w:rPr>
                <w:rFonts w:hint="eastAsia"/>
                <w:b/>
                <w:bCs/>
                <w:color w:val="auto"/>
                <w:sz w:val="24"/>
                <w:highlight w:val="none"/>
              </w:rPr>
              <w:t>（2）一般工业固体废物</w:t>
            </w:r>
          </w:p>
          <w:p w14:paraId="2AD46AD5">
            <w:pPr>
              <w:shd w:val="clear" w:color="auto" w:fill="auto"/>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项目运营过程产生的一般固体废物主要为废样品、废纸屑及未被污染的废包装材料、收尘灰、废滤芯、灭菌后的废培养皿、污泥。</w:t>
            </w:r>
          </w:p>
          <w:p w14:paraId="3712633E">
            <w:pPr>
              <w:shd w:val="clear" w:color="auto" w:fill="auto"/>
              <w:spacing w:line="360" w:lineRule="auto"/>
              <w:ind w:firstLine="480" w:firstLineChars="200"/>
              <w:rPr>
                <w:rFonts w:hint="eastAsia" w:eastAsia="宋体"/>
                <w:color w:val="auto"/>
                <w:sz w:val="24"/>
                <w:highlight w:val="none"/>
                <w:lang w:eastAsia="zh-CN"/>
              </w:rPr>
            </w:pPr>
            <w:r>
              <w:rPr>
                <w:rFonts w:hint="eastAsia"/>
                <w:color w:val="auto"/>
                <w:sz w:val="24"/>
                <w:highlight w:val="none"/>
                <w:lang w:val="en-US" w:eastAsia="zh-CN"/>
              </w:rPr>
              <w:t>废样</w:t>
            </w:r>
            <w:r>
              <w:rPr>
                <w:rFonts w:hint="eastAsia"/>
                <w:color w:val="auto"/>
                <w:sz w:val="24"/>
                <w:highlight w:val="none"/>
              </w:rPr>
              <w:t>品：</w:t>
            </w:r>
            <w:r>
              <w:rPr>
                <w:rFonts w:hint="eastAsia"/>
                <w:color w:val="auto"/>
                <w:sz w:val="24"/>
                <w:highlight w:val="none"/>
                <w:lang w:val="en-US" w:eastAsia="zh-CN"/>
              </w:rPr>
              <w:t>实验</w:t>
            </w:r>
            <w:r>
              <w:rPr>
                <w:rFonts w:hint="eastAsia"/>
                <w:color w:val="auto"/>
                <w:sz w:val="24"/>
                <w:highlight w:val="none"/>
              </w:rPr>
              <w:t>过程中可能会产生部分</w:t>
            </w:r>
            <w:r>
              <w:rPr>
                <w:rFonts w:hint="eastAsia"/>
                <w:color w:val="auto"/>
                <w:sz w:val="24"/>
                <w:highlight w:val="none"/>
                <w:lang w:val="en-US" w:eastAsia="zh-CN"/>
              </w:rPr>
              <w:t>矿石碎渣</w:t>
            </w:r>
            <w:r>
              <w:rPr>
                <w:rFonts w:hint="eastAsia"/>
                <w:color w:val="auto"/>
                <w:sz w:val="24"/>
                <w:highlight w:val="none"/>
              </w:rPr>
              <w:t>，产生量</w:t>
            </w:r>
            <w:r>
              <w:rPr>
                <w:rFonts w:hint="eastAsia"/>
                <w:color w:val="auto"/>
                <w:sz w:val="24"/>
                <w:highlight w:val="none"/>
                <w:lang w:val="en-US" w:eastAsia="zh-CN"/>
              </w:rPr>
              <w:t>较小，约1t/a</w:t>
            </w:r>
            <w:r>
              <w:rPr>
                <w:rFonts w:hint="eastAsia"/>
                <w:color w:val="auto"/>
                <w:sz w:val="24"/>
                <w:highlight w:val="none"/>
              </w:rPr>
              <w:t>，</w:t>
            </w:r>
            <w:r>
              <w:rPr>
                <w:rFonts w:hint="eastAsia"/>
                <w:color w:val="auto"/>
                <w:sz w:val="24"/>
                <w:highlight w:val="none"/>
                <w:lang w:val="en-US" w:eastAsia="zh-CN"/>
              </w:rPr>
              <w:t>收集后</w:t>
            </w:r>
            <w:r>
              <w:rPr>
                <w:rFonts w:hint="eastAsia"/>
                <w:color w:val="auto"/>
                <w:sz w:val="24"/>
                <w:highlight w:val="none"/>
              </w:rPr>
              <w:t>定期</w:t>
            </w:r>
            <w:r>
              <w:rPr>
                <w:rFonts w:hint="eastAsia"/>
                <w:color w:val="auto"/>
                <w:sz w:val="24"/>
                <w:highlight w:val="none"/>
                <w:lang w:val="en-US" w:eastAsia="zh-CN"/>
              </w:rPr>
              <w:t>委托物资回收单位处理</w:t>
            </w:r>
            <w:r>
              <w:rPr>
                <w:rFonts w:hint="eastAsia"/>
                <w:color w:val="auto"/>
                <w:sz w:val="24"/>
                <w:highlight w:val="none"/>
                <w:lang w:eastAsia="zh-CN"/>
              </w:rPr>
              <w:t>。</w:t>
            </w:r>
          </w:p>
          <w:p w14:paraId="2EE549BA">
            <w:pPr>
              <w:shd w:val="clear" w:color="auto" w:fill="auto"/>
              <w:spacing w:line="360" w:lineRule="auto"/>
              <w:ind w:firstLine="480" w:firstLineChars="200"/>
              <w:rPr>
                <w:color w:val="auto"/>
                <w:sz w:val="24"/>
                <w:highlight w:val="none"/>
              </w:rPr>
            </w:pPr>
            <w:r>
              <w:rPr>
                <w:rFonts w:hint="eastAsia"/>
                <w:color w:val="auto"/>
                <w:sz w:val="24"/>
                <w:highlight w:val="none"/>
              </w:rPr>
              <w:t>废</w:t>
            </w:r>
            <w:r>
              <w:rPr>
                <w:rFonts w:hint="eastAsia"/>
                <w:color w:val="auto"/>
                <w:sz w:val="24"/>
                <w:highlight w:val="none"/>
                <w:lang w:val="en-US" w:eastAsia="zh-CN"/>
              </w:rPr>
              <w:t>纸</w:t>
            </w:r>
            <w:r>
              <w:rPr>
                <w:rFonts w:hint="eastAsia"/>
                <w:color w:val="auto"/>
                <w:sz w:val="24"/>
                <w:highlight w:val="none"/>
              </w:rPr>
              <w:t>屑</w:t>
            </w:r>
            <w:r>
              <w:rPr>
                <w:rFonts w:hint="eastAsia"/>
                <w:color w:val="auto"/>
                <w:sz w:val="24"/>
                <w:highlight w:val="none"/>
                <w:lang w:val="en-US" w:eastAsia="zh-CN"/>
              </w:rPr>
              <w:t>及</w:t>
            </w:r>
            <w:r>
              <w:rPr>
                <w:rFonts w:hint="eastAsia"/>
                <w:color w:val="auto"/>
                <w:sz w:val="24"/>
                <w:highlight w:val="none"/>
              </w:rPr>
              <w:t>废包装材料：根据建设单位提供资料，原辅材料拆封时会产生一定废弃包装材料，产生量为</w:t>
            </w:r>
            <w:r>
              <w:rPr>
                <w:rFonts w:hint="eastAsia"/>
                <w:color w:val="auto"/>
                <w:sz w:val="24"/>
                <w:highlight w:val="none"/>
                <w:lang w:val="en-US" w:eastAsia="zh-CN"/>
              </w:rPr>
              <w:t>1</w:t>
            </w:r>
            <w:r>
              <w:rPr>
                <w:rFonts w:hint="eastAsia"/>
                <w:color w:val="auto"/>
                <w:sz w:val="24"/>
                <w:highlight w:val="none"/>
              </w:rPr>
              <w:t>t/a，收集后交废品回收站回收处理。</w:t>
            </w:r>
          </w:p>
          <w:p w14:paraId="2DF37C5C">
            <w:pPr>
              <w:shd w:val="clear" w:color="auto" w:fill="auto"/>
              <w:spacing w:line="360" w:lineRule="auto"/>
              <w:ind w:firstLine="480" w:firstLineChars="200"/>
              <w:rPr>
                <w:rFonts w:hint="eastAsia"/>
                <w:color w:val="auto"/>
                <w:sz w:val="24"/>
                <w:highlight w:val="none"/>
                <w:lang w:val="en-US" w:eastAsia="zh-CN"/>
              </w:rPr>
            </w:pPr>
            <w:r>
              <w:rPr>
                <w:rFonts w:hint="eastAsia"/>
                <w:color w:val="auto"/>
                <w:sz w:val="24"/>
                <w:highlight w:val="none"/>
              </w:rPr>
              <w:t>收尘灰：项目生产过程产生的粉尘经除尘器处理后收集，根据工程分析计算，收尘灰量为</w:t>
            </w:r>
            <w:r>
              <w:rPr>
                <w:rFonts w:hint="eastAsia"/>
                <w:color w:val="auto"/>
                <w:sz w:val="24"/>
                <w:highlight w:val="none"/>
                <w:lang w:val="en-US" w:eastAsia="zh-CN"/>
              </w:rPr>
              <w:t>1.97</w:t>
            </w:r>
            <w:r>
              <w:rPr>
                <w:rFonts w:hint="eastAsia"/>
                <w:color w:val="auto"/>
                <w:sz w:val="24"/>
                <w:highlight w:val="none"/>
              </w:rPr>
              <w:t>t/a，</w:t>
            </w:r>
            <w:r>
              <w:rPr>
                <w:rFonts w:hint="eastAsia"/>
                <w:color w:val="auto"/>
                <w:sz w:val="24"/>
                <w:highlight w:val="none"/>
                <w:lang w:val="en-US" w:eastAsia="zh-CN"/>
              </w:rPr>
              <w:t>收集后</w:t>
            </w:r>
            <w:r>
              <w:rPr>
                <w:rFonts w:hint="eastAsia"/>
                <w:color w:val="auto"/>
                <w:sz w:val="24"/>
                <w:highlight w:val="none"/>
              </w:rPr>
              <w:t>定期</w:t>
            </w:r>
            <w:r>
              <w:rPr>
                <w:rFonts w:hint="eastAsia"/>
                <w:color w:val="auto"/>
                <w:sz w:val="24"/>
                <w:highlight w:val="none"/>
                <w:lang w:val="en-US" w:eastAsia="zh-CN"/>
              </w:rPr>
              <w:t>委托物资回收单位处理。</w:t>
            </w:r>
          </w:p>
          <w:p w14:paraId="1890C6EB">
            <w:pPr>
              <w:shd w:val="clear" w:color="auto" w:fill="auto"/>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废滤芯：项目纯水机使用的滤芯约3个月更换一次，废滤芯产生量约为0.01t/次，则年产生量约为0.04t/a，废滤芯由纯水机厂家更换后带走处置。</w:t>
            </w:r>
          </w:p>
          <w:p w14:paraId="6A9331B1">
            <w:pPr>
              <w:shd w:val="clear" w:color="auto" w:fill="auto"/>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灭菌后的废培养基：项目微生物实验过程会产生废培养基，产生量约为0.01t/a。废培养基灭菌处理后为一般固废，收集后由环卫部门定期清运。</w:t>
            </w:r>
          </w:p>
          <w:p w14:paraId="5B796AFC">
            <w:pPr>
              <w:pStyle w:val="98"/>
              <w:rPr>
                <w:rFonts w:hint="eastAsia"/>
                <w:color w:val="auto"/>
                <w:sz w:val="24"/>
                <w:highlight w:val="none"/>
                <w:lang w:val="en-US" w:eastAsia="zh-CN"/>
              </w:rPr>
            </w:pPr>
            <w:r>
              <w:rPr>
                <w:rFonts w:hint="eastAsia"/>
                <w:color w:val="auto"/>
                <w:sz w:val="24"/>
                <w:highlight w:val="none"/>
                <w:lang w:val="en-US" w:eastAsia="zh-CN"/>
              </w:rPr>
              <w:t>污泥：本项目针对实验废水设置酸碱中和池+混凝沉淀预处理系统，废水处理过程中会产生一定量的污泥，参考《集中式污染治理设施产排污系数手册》（2010年）中工业废水集中处理设施的污泥产生系数，含水污泥产生系数取6吨/万吨污水处理量，本项目废水处理站处理废水806m</w:t>
            </w:r>
            <w:r>
              <w:rPr>
                <w:rFonts w:hint="eastAsia"/>
                <w:color w:val="auto"/>
                <w:sz w:val="24"/>
                <w:highlight w:val="none"/>
                <w:vertAlign w:val="superscript"/>
                <w:lang w:val="en-US" w:eastAsia="zh-CN"/>
              </w:rPr>
              <w:t>3</w:t>
            </w:r>
            <w:r>
              <w:rPr>
                <w:rFonts w:hint="eastAsia"/>
                <w:color w:val="auto"/>
                <w:sz w:val="24"/>
                <w:highlight w:val="none"/>
                <w:lang w:val="en-US" w:eastAsia="zh-CN"/>
              </w:rPr>
              <w:t>/a，则产生的污泥量约为0.48t/a，收集后由环卫部门定期清运至垃圾填埋场进行处理。</w:t>
            </w:r>
          </w:p>
          <w:p w14:paraId="7F62AC09">
            <w:pPr>
              <w:shd w:val="clear" w:color="auto" w:fill="auto"/>
              <w:spacing w:line="360" w:lineRule="auto"/>
              <w:ind w:firstLine="482" w:firstLineChars="200"/>
              <w:rPr>
                <w:b/>
                <w:bCs/>
                <w:color w:val="auto"/>
                <w:sz w:val="24"/>
                <w:highlight w:val="none"/>
              </w:rPr>
            </w:pPr>
            <w:r>
              <w:rPr>
                <w:rFonts w:hint="eastAsia"/>
                <w:b/>
                <w:bCs/>
                <w:color w:val="auto"/>
                <w:sz w:val="24"/>
                <w:highlight w:val="none"/>
              </w:rPr>
              <w:t>（3）危险废物</w:t>
            </w:r>
          </w:p>
          <w:p w14:paraId="78D2CE09">
            <w:pPr>
              <w:shd w:val="clear" w:color="auto" w:fill="auto"/>
              <w:spacing w:line="360" w:lineRule="auto"/>
              <w:ind w:firstLine="480" w:firstLineChars="200"/>
              <w:rPr>
                <w:rFonts w:hint="default"/>
                <w:color w:val="auto"/>
                <w:sz w:val="24"/>
                <w:highlight w:val="none"/>
                <w:lang w:val="en-US"/>
              </w:rPr>
            </w:pPr>
            <w:r>
              <w:rPr>
                <w:rFonts w:hint="eastAsia"/>
                <w:color w:val="auto"/>
                <w:sz w:val="24"/>
                <w:highlight w:val="none"/>
              </w:rPr>
              <w:t>本项目产生的危险废物主要包括</w:t>
            </w:r>
            <w:r>
              <w:rPr>
                <w:rFonts w:hint="eastAsia"/>
                <w:color w:val="auto"/>
                <w:sz w:val="24"/>
                <w:highlight w:val="none"/>
                <w:lang w:val="en-US" w:eastAsia="zh-CN"/>
              </w:rPr>
              <w:t>实验室废液、废试剂包装物等沾染物、废活性炭、废试剂、废过滤介质</w:t>
            </w:r>
            <w:r>
              <w:rPr>
                <w:rFonts w:hint="eastAsia"/>
                <w:color w:val="auto"/>
                <w:sz w:val="24"/>
                <w:highlight w:val="none"/>
              </w:rPr>
              <w:t>。</w:t>
            </w:r>
            <w:r>
              <w:rPr>
                <w:rFonts w:hint="eastAsia"/>
                <w:color w:val="auto"/>
                <w:sz w:val="24"/>
                <w:highlight w:val="none"/>
                <w:lang w:val="en-US" w:eastAsia="zh-CN"/>
              </w:rPr>
              <w:t>废试剂包装物等沾染物、废过滤介质、废活性炭依托原有危废贮存库（</w:t>
            </w:r>
            <w:r>
              <w:rPr>
                <w:rFonts w:hint="eastAsia" w:hAnsi="Times New Roman"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B座</w:t>
            </w:r>
            <w:r>
              <w:rPr>
                <w:rFonts w:hint="eastAsia"/>
                <w:color w:val="auto"/>
                <w:sz w:val="24"/>
                <w:highlight w:val="none"/>
                <w:lang w:val="en-US" w:eastAsia="zh-CN"/>
              </w:rPr>
              <w:t>负一层）进行贮存，新增实验室废液、废试剂收集于本次新建危废贮存库（</w:t>
            </w:r>
            <w:r>
              <w:rPr>
                <w:rFonts w:hint="eastAsia" w:hAnsi="Times New Roman" w:cs="Times New Roman"/>
                <w:color w:val="auto"/>
                <w:sz w:val="24"/>
                <w:szCs w:val="24"/>
                <w:highlight w:val="none"/>
                <w:lang w:val="en-US" w:eastAsia="zh-CN"/>
              </w:rPr>
              <w:t>科技综合楼</w:t>
            </w:r>
            <w:r>
              <w:rPr>
                <w:rFonts w:hint="eastAsia" w:ascii="Times New Roman" w:hAnsi="Times New Roman" w:eastAsia="宋体" w:cs="Times New Roman"/>
                <w:color w:val="auto"/>
                <w:sz w:val="24"/>
                <w:szCs w:val="24"/>
                <w:highlight w:val="none"/>
                <w:lang w:val="en-US" w:eastAsia="zh-CN"/>
              </w:rPr>
              <w:t>B座</w:t>
            </w:r>
            <w:r>
              <w:rPr>
                <w:rFonts w:hint="eastAsia"/>
                <w:color w:val="auto"/>
                <w:sz w:val="24"/>
                <w:highlight w:val="none"/>
                <w:lang w:val="en-US" w:eastAsia="zh-CN"/>
              </w:rPr>
              <w:t>五层）。</w:t>
            </w:r>
          </w:p>
          <w:p w14:paraId="41913561">
            <w:pPr>
              <w:pStyle w:val="98"/>
              <w:shd w:val="clear" w:color="auto" w:fill="auto"/>
              <w:rPr>
                <w:rFonts w:hint="eastAsia"/>
                <w:color w:val="auto"/>
                <w:sz w:val="24"/>
                <w:highlight w:val="none"/>
              </w:rPr>
            </w:pPr>
            <w:r>
              <w:rPr>
                <w:rFonts w:hint="eastAsia"/>
                <w:color w:val="auto"/>
                <w:sz w:val="24"/>
                <w:highlight w:val="none"/>
              </w:rPr>
              <w:t>实验室废液</w:t>
            </w:r>
            <w:r>
              <w:rPr>
                <w:rFonts w:hint="eastAsia"/>
                <w:color w:val="auto"/>
                <w:sz w:val="24"/>
                <w:highlight w:val="none"/>
                <w:lang w:eastAsia="zh-CN"/>
              </w:rPr>
              <w:t>：</w:t>
            </w:r>
            <w:r>
              <w:rPr>
                <w:rFonts w:hint="eastAsia"/>
                <w:color w:val="auto"/>
                <w:sz w:val="24"/>
                <w:highlight w:val="none"/>
              </w:rPr>
              <w:t>本项目</w:t>
            </w:r>
            <w:r>
              <w:rPr>
                <w:bCs/>
                <w:color w:val="auto"/>
                <w:sz w:val="24"/>
                <w:highlight w:val="none"/>
              </w:rPr>
              <w:t>实验过程会产生含废酸、金属离子、有机溶剂及其他试剂的实验室废液，收集至实验室废液收集桶内</w:t>
            </w:r>
            <w:r>
              <w:rPr>
                <w:rFonts w:hint="eastAsia"/>
                <w:bCs/>
                <w:color w:val="auto"/>
                <w:sz w:val="24"/>
                <w:highlight w:val="none"/>
                <w:lang w:eastAsia="zh-CN"/>
              </w:rPr>
              <w:t>，</w:t>
            </w:r>
            <w:r>
              <w:rPr>
                <w:rFonts w:hint="eastAsia"/>
                <w:color w:val="0000FF"/>
                <w:sz w:val="24"/>
                <w:highlight w:val="none"/>
              </w:rPr>
              <w:t>产生量约为</w:t>
            </w:r>
            <w:r>
              <w:rPr>
                <w:rFonts w:hint="eastAsia"/>
                <w:color w:val="0000FF"/>
                <w:sz w:val="24"/>
                <w:highlight w:val="none"/>
                <w:lang w:val="en-US" w:eastAsia="zh-CN"/>
              </w:rPr>
              <w:t>52</w:t>
            </w:r>
            <w:r>
              <w:rPr>
                <w:rFonts w:hint="eastAsia"/>
                <w:color w:val="0000FF"/>
                <w:sz w:val="24"/>
                <w:highlight w:val="none"/>
              </w:rPr>
              <w:t>t/a，</w:t>
            </w:r>
            <w:r>
              <w:rPr>
                <w:bCs/>
                <w:color w:val="auto"/>
                <w:sz w:val="24"/>
                <w:highlight w:val="none"/>
              </w:rPr>
              <w:t>根据</w:t>
            </w:r>
            <w:r>
              <w:rPr>
                <w:rFonts w:hint="eastAsia"/>
                <w:bCs/>
                <w:color w:val="auto"/>
                <w:sz w:val="24"/>
                <w:highlight w:val="none"/>
                <w:lang w:val="en-US" w:eastAsia="zh-CN"/>
              </w:rPr>
              <w:t>《实验室危险废物污染控制技术规范》（DB61/T1716-2023）</w:t>
            </w:r>
            <w:r>
              <w:rPr>
                <w:bCs/>
                <w:color w:val="auto"/>
                <w:sz w:val="24"/>
                <w:highlight w:val="none"/>
              </w:rPr>
              <w:t>，实验室废液属于危险废物，废物代码为900-047-49，</w:t>
            </w:r>
            <w:r>
              <w:rPr>
                <w:rFonts w:hint="eastAsia"/>
                <w:bCs/>
                <w:color w:val="auto"/>
                <w:sz w:val="24"/>
                <w:highlight w:val="none"/>
                <w:lang w:val="en-US" w:eastAsia="zh-CN"/>
              </w:rPr>
              <w:t>收集后暂存于</w:t>
            </w:r>
            <w:r>
              <w:rPr>
                <w:bCs/>
                <w:color w:val="auto"/>
                <w:sz w:val="24"/>
                <w:highlight w:val="none"/>
              </w:rPr>
              <w:t>危险废物贮存库，定期交有资质单位处置</w:t>
            </w:r>
            <w:r>
              <w:rPr>
                <w:rFonts w:hint="eastAsia"/>
                <w:color w:val="auto"/>
                <w:sz w:val="24"/>
                <w:highlight w:val="none"/>
              </w:rPr>
              <w:t>。</w:t>
            </w:r>
          </w:p>
          <w:p w14:paraId="2CAE1032">
            <w:pPr>
              <w:pStyle w:val="98"/>
              <w:shd w:val="clear" w:color="auto" w:fill="auto"/>
              <w:rPr>
                <w:rFonts w:hint="eastAsia"/>
                <w:color w:val="auto"/>
                <w:sz w:val="24"/>
                <w:highlight w:val="none"/>
              </w:rPr>
            </w:pPr>
            <w:r>
              <w:rPr>
                <w:rFonts w:hint="eastAsia"/>
                <w:color w:val="auto"/>
                <w:sz w:val="24"/>
                <w:highlight w:val="none"/>
                <w:lang w:val="en-US" w:eastAsia="zh-CN"/>
              </w:rPr>
              <w:t>废试剂包装物等沾染物</w:t>
            </w:r>
            <w:r>
              <w:rPr>
                <w:rFonts w:hint="eastAsia"/>
                <w:color w:val="auto"/>
                <w:sz w:val="24"/>
                <w:highlight w:val="none"/>
              </w:rPr>
              <w:t>（包括吸头、离心管、反应管、实验服等一次性耗材）</w:t>
            </w:r>
            <w:r>
              <w:rPr>
                <w:rFonts w:hint="eastAsia"/>
                <w:color w:val="auto"/>
                <w:sz w:val="24"/>
                <w:highlight w:val="none"/>
                <w:lang w:eastAsia="zh-CN"/>
              </w:rPr>
              <w:t>：</w:t>
            </w:r>
            <w:r>
              <w:rPr>
                <w:rFonts w:hint="eastAsia"/>
                <w:color w:val="auto"/>
                <w:sz w:val="24"/>
                <w:highlight w:val="none"/>
              </w:rPr>
              <w:t>本项目运营期</w:t>
            </w:r>
            <w:r>
              <w:rPr>
                <w:rFonts w:hint="eastAsia"/>
                <w:color w:val="auto"/>
                <w:sz w:val="24"/>
                <w:highlight w:val="none"/>
                <w:lang w:val="en-US" w:eastAsia="zh-CN"/>
              </w:rPr>
              <w:t>废试剂包装物等沾染物</w:t>
            </w:r>
            <w:r>
              <w:rPr>
                <w:rFonts w:hint="eastAsia"/>
                <w:color w:val="auto"/>
                <w:sz w:val="24"/>
                <w:highlight w:val="none"/>
              </w:rPr>
              <w:t>属于危险废物，产生量约为0.0</w:t>
            </w:r>
            <w:r>
              <w:rPr>
                <w:rFonts w:hint="eastAsia"/>
                <w:color w:val="auto"/>
                <w:sz w:val="24"/>
                <w:highlight w:val="none"/>
                <w:lang w:val="en-US" w:eastAsia="zh-CN"/>
              </w:rPr>
              <w:t>2</w:t>
            </w:r>
            <w:r>
              <w:rPr>
                <w:rFonts w:hint="eastAsia"/>
                <w:color w:val="auto"/>
                <w:sz w:val="24"/>
                <w:highlight w:val="none"/>
              </w:rPr>
              <w:t>t/a，</w:t>
            </w:r>
            <w:r>
              <w:rPr>
                <w:bCs/>
                <w:color w:val="auto"/>
                <w:sz w:val="24"/>
                <w:highlight w:val="none"/>
              </w:rPr>
              <w:t>根据</w:t>
            </w:r>
            <w:r>
              <w:rPr>
                <w:rFonts w:hint="eastAsia"/>
                <w:bCs/>
                <w:color w:val="auto"/>
                <w:sz w:val="24"/>
                <w:highlight w:val="none"/>
                <w:lang w:val="en-US" w:eastAsia="zh-CN"/>
              </w:rPr>
              <w:t>《实验室危险废物污染控制技术规范》（DB61/T1716-2023）</w:t>
            </w:r>
            <w:r>
              <w:rPr>
                <w:bCs/>
                <w:color w:val="auto"/>
                <w:sz w:val="24"/>
                <w:highlight w:val="none"/>
              </w:rPr>
              <w:t>，</w:t>
            </w:r>
            <w:r>
              <w:rPr>
                <w:rFonts w:hint="eastAsia"/>
                <w:bCs/>
                <w:color w:val="auto"/>
                <w:sz w:val="24"/>
                <w:highlight w:val="none"/>
                <w:lang w:val="en-US" w:eastAsia="zh-CN"/>
              </w:rPr>
              <w:t>判定</w:t>
            </w:r>
            <w:r>
              <w:rPr>
                <w:bCs/>
                <w:color w:val="auto"/>
                <w:sz w:val="24"/>
                <w:highlight w:val="none"/>
              </w:rPr>
              <w:t>为危险废物，废物代码为900-04</w:t>
            </w:r>
            <w:r>
              <w:rPr>
                <w:rFonts w:hint="eastAsia"/>
                <w:bCs/>
                <w:color w:val="auto"/>
                <w:sz w:val="24"/>
                <w:highlight w:val="none"/>
                <w:lang w:val="en-US" w:eastAsia="zh-CN"/>
              </w:rPr>
              <w:t>1</w:t>
            </w:r>
            <w:r>
              <w:rPr>
                <w:bCs/>
                <w:color w:val="auto"/>
                <w:sz w:val="24"/>
                <w:highlight w:val="none"/>
              </w:rPr>
              <w:t>-49，</w:t>
            </w:r>
            <w:r>
              <w:rPr>
                <w:rFonts w:ascii="宋体" w:hAnsi="宋体"/>
                <w:color w:val="auto"/>
                <w:sz w:val="24"/>
                <w:highlight w:val="none"/>
              </w:rPr>
              <w:t>收集</w:t>
            </w:r>
            <w:r>
              <w:rPr>
                <w:rFonts w:hint="eastAsia" w:ascii="宋体" w:hAnsi="宋体"/>
                <w:color w:val="auto"/>
                <w:sz w:val="24"/>
                <w:highlight w:val="none"/>
                <w:lang w:val="en-US" w:eastAsia="zh-CN"/>
              </w:rPr>
              <w:t>后暂存于</w:t>
            </w:r>
            <w:r>
              <w:rPr>
                <w:rFonts w:hint="eastAsia" w:ascii="宋体" w:hAnsi="宋体"/>
                <w:color w:val="auto"/>
                <w:kern w:val="0"/>
                <w:sz w:val="24"/>
                <w:highlight w:val="none"/>
              </w:rPr>
              <w:t>危险废物贮存库</w:t>
            </w:r>
            <w:r>
              <w:rPr>
                <w:rFonts w:ascii="宋体" w:hAnsi="宋体"/>
                <w:color w:val="auto"/>
                <w:kern w:val="0"/>
                <w:sz w:val="24"/>
                <w:highlight w:val="none"/>
              </w:rPr>
              <w:t>，定期交有资质单位处置</w:t>
            </w:r>
            <w:r>
              <w:rPr>
                <w:rFonts w:hint="eastAsia" w:ascii="宋体" w:hAnsi="宋体"/>
                <w:color w:val="auto"/>
                <w:kern w:val="0"/>
                <w:sz w:val="24"/>
                <w:highlight w:val="none"/>
                <w:lang w:eastAsia="zh-CN"/>
              </w:rPr>
              <w:t>。</w:t>
            </w:r>
          </w:p>
          <w:p w14:paraId="56FAF55D">
            <w:pPr>
              <w:pStyle w:val="98"/>
              <w:shd w:val="clear" w:color="auto" w:fill="auto"/>
              <w:rPr>
                <w:rFonts w:hint="eastAsia"/>
                <w:color w:val="auto"/>
                <w:sz w:val="24"/>
                <w:highlight w:val="none"/>
              </w:rPr>
            </w:pPr>
            <w:r>
              <w:rPr>
                <w:rFonts w:hint="eastAsia"/>
                <w:color w:val="auto"/>
                <w:sz w:val="24"/>
                <w:highlight w:val="none"/>
              </w:rPr>
              <w:t>废活性炭</w:t>
            </w:r>
            <w:r>
              <w:rPr>
                <w:rFonts w:hint="eastAsia"/>
                <w:color w:val="auto"/>
                <w:sz w:val="24"/>
                <w:highlight w:val="none"/>
                <w:lang w:eastAsia="zh-CN"/>
              </w:rPr>
              <w:t>：</w:t>
            </w:r>
            <w:r>
              <w:rPr>
                <w:rFonts w:hint="eastAsia"/>
                <w:color w:val="auto"/>
                <w:sz w:val="24"/>
                <w:highlight w:val="none"/>
              </w:rPr>
              <w:t>本项目运营期活性炭预计每季度更换1次，</w:t>
            </w:r>
            <w:r>
              <w:rPr>
                <w:rFonts w:hint="eastAsia"/>
                <w:color w:val="0000FF"/>
                <w:sz w:val="24"/>
                <w:highlight w:val="none"/>
              </w:rPr>
              <w:t>活性炭的装填量</w:t>
            </w:r>
            <w:r>
              <w:rPr>
                <w:rFonts w:hint="eastAsia"/>
                <w:color w:val="0000FF"/>
                <w:sz w:val="24"/>
                <w:highlight w:val="none"/>
                <w:lang w:val="en-US" w:eastAsia="zh-CN"/>
              </w:rPr>
              <w:t>约1.5</w:t>
            </w:r>
            <w:r>
              <w:rPr>
                <w:rFonts w:hint="eastAsia"/>
                <w:color w:val="0000FF"/>
                <w:sz w:val="24"/>
                <w:highlight w:val="none"/>
              </w:rPr>
              <w:t>t，</w:t>
            </w:r>
            <w:r>
              <w:rPr>
                <w:rFonts w:hint="eastAsia"/>
                <w:color w:val="0000FF"/>
                <w:sz w:val="24"/>
                <w:highlight w:val="none"/>
                <w:lang w:val="en-US" w:eastAsia="zh-CN"/>
              </w:rPr>
              <w:t>因此</w:t>
            </w:r>
            <w:r>
              <w:rPr>
                <w:rFonts w:hint="eastAsia"/>
                <w:color w:val="0000FF"/>
                <w:sz w:val="24"/>
                <w:highlight w:val="none"/>
              </w:rPr>
              <w:t>废活性炭产生量约为</w:t>
            </w:r>
            <w:r>
              <w:rPr>
                <w:rFonts w:hint="eastAsia"/>
                <w:color w:val="0000FF"/>
                <w:sz w:val="24"/>
                <w:highlight w:val="none"/>
                <w:lang w:val="en-US" w:eastAsia="zh-CN"/>
              </w:rPr>
              <w:t>6</w:t>
            </w:r>
            <w:r>
              <w:rPr>
                <w:rFonts w:hint="eastAsia"/>
                <w:color w:val="0000FF"/>
                <w:sz w:val="24"/>
                <w:highlight w:val="none"/>
              </w:rPr>
              <w:t>t/a，</w:t>
            </w:r>
            <w:r>
              <w:rPr>
                <w:rFonts w:hint="eastAsia"/>
                <w:bCs/>
                <w:color w:val="auto"/>
                <w:sz w:val="24"/>
                <w:highlight w:val="none"/>
                <w:vertAlign w:val="baseline"/>
                <w:lang w:val="en-US" w:eastAsia="zh-CN"/>
              </w:rPr>
              <w:t>根据</w:t>
            </w:r>
            <w:r>
              <w:rPr>
                <w:rFonts w:hint="eastAsia"/>
                <w:bCs/>
                <w:color w:val="auto"/>
                <w:sz w:val="24"/>
                <w:highlight w:val="none"/>
                <w:lang w:val="en-US" w:eastAsia="zh-CN"/>
              </w:rPr>
              <w:t>《实验室危险废物污染控制技术规范》（DB61/T1716-2023），判定为</w:t>
            </w:r>
            <w:r>
              <w:rPr>
                <w:rFonts w:hint="eastAsia"/>
                <w:bCs/>
                <w:color w:val="auto"/>
                <w:sz w:val="24"/>
                <w:highlight w:val="none"/>
                <w:vertAlign w:val="baseline"/>
                <w:lang w:val="en-US" w:eastAsia="zh-CN"/>
              </w:rPr>
              <w:t>危险废物，废物代码为900-039-49</w:t>
            </w:r>
            <w:r>
              <w:rPr>
                <w:rFonts w:hint="eastAsia"/>
                <w:color w:val="auto"/>
                <w:sz w:val="24"/>
                <w:highlight w:val="none"/>
              </w:rPr>
              <w:t>，收集后委托</w:t>
            </w:r>
            <w:r>
              <w:rPr>
                <w:rFonts w:hint="eastAsia"/>
                <w:color w:val="auto"/>
                <w:sz w:val="24"/>
                <w:highlight w:val="none"/>
                <w:lang w:val="en-US" w:eastAsia="zh-CN"/>
              </w:rPr>
              <w:t>有资质单位</w:t>
            </w:r>
            <w:r>
              <w:rPr>
                <w:rFonts w:hint="eastAsia"/>
                <w:color w:val="auto"/>
                <w:sz w:val="24"/>
                <w:highlight w:val="none"/>
              </w:rPr>
              <w:t>处置。</w:t>
            </w:r>
          </w:p>
          <w:p w14:paraId="1AA0D9C2">
            <w:pPr>
              <w:pStyle w:val="98"/>
              <w:shd w:val="clear" w:color="auto" w:fill="auto"/>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废试剂</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项目在运营过程中会产生过期的废试剂，根据项目实验规模，其产生量约为0.01t/a，根据</w:t>
            </w:r>
            <w:r>
              <w:rPr>
                <w:rFonts w:hint="eastAsia" w:ascii="Times New Roman" w:hAnsi="Times New Roman" w:eastAsia="宋体" w:cs="Times New Roman"/>
                <w:color w:val="auto"/>
                <w:sz w:val="24"/>
                <w:highlight w:val="none"/>
                <w:lang w:val="en-US" w:eastAsia="zh-CN"/>
              </w:rPr>
              <w:t>《实验室危险废物污染控制技术规范》（DB61/T1716-2023）</w:t>
            </w:r>
            <w:r>
              <w:rPr>
                <w:rFonts w:hint="eastAsia" w:ascii="Times New Roman" w:hAnsi="Times New Roman" w:eastAsia="宋体" w:cs="Times New Roman"/>
                <w:color w:val="auto"/>
                <w:sz w:val="24"/>
                <w:highlight w:val="none"/>
              </w:rPr>
              <w:t>中规定，</w:t>
            </w:r>
            <w:r>
              <w:rPr>
                <w:rFonts w:hint="eastAsia" w:ascii="Times New Roman" w:hAnsi="Times New Roman" w:eastAsia="宋体" w:cs="Times New Roman"/>
                <w:color w:val="auto"/>
                <w:sz w:val="24"/>
                <w:highlight w:val="none"/>
                <w:lang w:val="en-US" w:eastAsia="zh-CN"/>
              </w:rPr>
              <w:t>判定为危险废物，</w:t>
            </w:r>
            <w:r>
              <w:rPr>
                <w:rFonts w:hint="eastAsia" w:ascii="Times New Roman" w:hAnsi="Times New Roman" w:eastAsia="宋体" w:cs="Times New Roman"/>
                <w:color w:val="0000FF"/>
                <w:sz w:val="24"/>
                <w:highlight w:val="none"/>
              </w:rPr>
              <w:t>废物代码为900-</w:t>
            </w:r>
            <w:r>
              <w:rPr>
                <w:bCs/>
                <w:color w:val="0000FF"/>
                <w:sz w:val="24"/>
                <w:highlight w:val="none"/>
              </w:rPr>
              <w:t>0</w:t>
            </w:r>
            <w:r>
              <w:rPr>
                <w:rFonts w:hint="eastAsia"/>
                <w:bCs/>
                <w:color w:val="0000FF"/>
                <w:sz w:val="24"/>
                <w:highlight w:val="none"/>
                <w:lang w:val="en-US" w:eastAsia="zh-CN"/>
              </w:rPr>
              <w:t>02</w:t>
            </w:r>
            <w:r>
              <w:rPr>
                <w:bCs/>
                <w:color w:val="0000FF"/>
                <w:sz w:val="24"/>
                <w:highlight w:val="none"/>
              </w:rPr>
              <w:t>-</w:t>
            </w:r>
            <w:r>
              <w:rPr>
                <w:rFonts w:hint="eastAsia"/>
                <w:bCs/>
                <w:color w:val="0000FF"/>
                <w:sz w:val="24"/>
                <w:highlight w:val="none"/>
                <w:lang w:val="en-US" w:eastAsia="zh-CN"/>
              </w:rPr>
              <w:t>03</w:t>
            </w:r>
            <w:r>
              <w:rPr>
                <w:rFonts w:hint="eastAsia" w:ascii="Times New Roman" w:hAnsi="Times New Roman" w:eastAsia="宋体" w:cs="Times New Roman"/>
                <w:color w:val="0000FF"/>
                <w:sz w:val="24"/>
                <w:highlight w:val="none"/>
              </w:rPr>
              <w:t>，</w:t>
            </w:r>
            <w:r>
              <w:rPr>
                <w:rFonts w:hint="eastAsia" w:ascii="Times New Roman" w:hAnsi="Times New Roman" w:eastAsia="宋体" w:cs="Times New Roman"/>
                <w:color w:val="auto"/>
                <w:sz w:val="24"/>
                <w:highlight w:val="none"/>
              </w:rPr>
              <w:t>收集</w:t>
            </w:r>
            <w:r>
              <w:rPr>
                <w:rFonts w:hint="eastAsia" w:ascii="Times New Roman" w:hAnsi="Times New Roman" w:eastAsia="宋体" w:cs="Times New Roman"/>
                <w:color w:val="auto"/>
                <w:sz w:val="24"/>
                <w:highlight w:val="none"/>
                <w:lang w:val="en-US" w:eastAsia="zh-CN"/>
              </w:rPr>
              <w:t>后暂存于</w:t>
            </w:r>
            <w:r>
              <w:rPr>
                <w:rFonts w:hint="eastAsia" w:ascii="Times New Roman" w:hAnsi="Times New Roman" w:eastAsia="宋体" w:cs="Times New Roman"/>
                <w:color w:val="auto"/>
                <w:sz w:val="24"/>
                <w:highlight w:val="none"/>
              </w:rPr>
              <w:t>危险废物贮存库，定期交有资质单位处置。</w:t>
            </w:r>
          </w:p>
          <w:p w14:paraId="55E24154">
            <w:pPr>
              <w:pStyle w:val="98"/>
              <w:shd w:val="clear" w:color="auto" w:fill="auto"/>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废过滤介质</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项目</w:t>
            </w:r>
            <w:r>
              <w:rPr>
                <w:rFonts w:hint="eastAsia" w:ascii="Times New Roman" w:hAnsi="Times New Roman" w:eastAsia="宋体" w:cs="Times New Roman"/>
                <w:color w:val="auto"/>
                <w:sz w:val="24"/>
                <w:highlight w:val="none"/>
                <w:lang w:val="en-US" w:eastAsia="zh-CN"/>
              </w:rPr>
              <w:t>微生物实验室</w:t>
            </w:r>
            <w:r>
              <w:rPr>
                <w:rFonts w:hint="eastAsia" w:ascii="Times New Roman" w:hAnsi="Times New Roman" w:eastAsia="宋体" w:cs="Times New Roman"/>
                <w:color w:val="auto"/>
                <w:sz w:val="24"/>
                <w:highlight w:val="none"/>
              </w:rPr>
              <w:t>的空气净化系统过滤介质需定期更换，废过滤介质产生量约0.0</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rPr>
              <w:t>t/a，根据</w:t>
            </w:r>
            <w:r>
              <w:rPr>
                <w:rFonts w:hint="eastAsia" w:ascii="Times New Roman" w:hAnsi="Times New Roman" w:eastAsia="宋体" w:cs="Times New Roman"/>
                <w:color w:val="auto"/>
                <w:sz w:val="24"/>
                <w:highlight w:val="none"/>
                <w:lang w:val="en-US" w:eastAsia="zh-CN"/>
              </w:rPr>
              <w:t>《实验室危险废物污染控制技术规范》（DB61/T1716-2023）</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判定为</w:t>
            </w:r>
            <w:r>
              <w:rPr>
                <w:rFonts w:hint="eastAsia" w:ascii="Times New Roman" w:hAnsi="Times New Roman" w:eastAsia="宋体" w:cs="Times New Roman"/>
                <w:color w:val="auto"/>
                <w:sz w:val="24"/>
                <w:highlight w:val="none"/>
              </w:rPr>
              <w:t>危险废物，</w:t>
            </w:r>
            <w:r>
              <w:rPr>
                <w:rFonts w:hint="eastAsia" w:ascii="Times New Roman" w:hAnsi="Times New Roman" w:eastAsia="宋体" w:cs="Times New Roman"/>
                <w:color w:val="auto"/>
                <w:sz w:val="24"/>
                <w:highlight w:val="none"/>
                <w:lang w:val="en-US" w:eastAsia="zh-CN"/>
              </w:rPr>
              <w:t>废物</w:t>
            </w:r>
            <w:r>
              <w:rPr>
                <w:rFonts w:hint="eastAsia" w:ascii="Times New Roman" w:hAnsi="Times New Roman" w:eastAsia="宋体" w:cs="Times New Roman"/>
                <w:color w:val="auto"/>
                <w:sz w:val="24"/>
                <w:highlight w:val="none"/>
              </w:rPr>
              <w:t>代码为900-0</w:t>
            </w:r>
            <w:r>
              <w:rPr>
                <w:rFonts w:hint="eastAsia" w:ascii="Times New Roman" w:hAnsi="Times New Roman" w:eastAsia="宋体" w:cs="Times New Roman"/>
                <w:color w:val="auto"/>
                <w:sz w:val="24"/>
                <w:highlight w:val="none"/>
                <w:lang w:val="en-US" w:eastAsia="zh-CN"/>
              </w:rPr>
              <w:t>41</w:t>
            </w:r>
            <w:r>
              <w:rPr>
                <w:rFonts w:hint="eastAsia" w:ascii="Times New Roman" w:hAnsi="Times New Roman" w:eastAsia="宋体" w:cs="Times New Roman"/>
                <w:color w:val="auto"/>
                <w:sz w:val="24"/>
                <w:highlight w:val="none"/>
              </w:rPr>
              <w:t>-49，收集</w:t>
            </w:r>
            <w:r>
              <w:rPr>
                <w:rFonts w:hint="eastAsia" w:ascii="Times New Roman" w:hAnsi="Times New Roman" w:eastAsia="宋体" w:cs="Times New Roman"/>
                <w:color w:val="auto"/>
                <w:sz w:val="24"/>
                <w:highlight w:val="none"/>
                <w:lang w:val="en-US" w:eastAsia="zh-CN"/>
              </w:rPr>
              <w:t>后暂存于</w:t>
            </w:r>
            <w:r>
              <w:rPr>
                <w:rFonts w:hint="eastAsia" w:ascii="Times New Roman" w:hAnsi="Times New Roman" w:eastAsia="宋体" w:cs="Times New Roman"/>
                <w:color w:val="auto"/>
                <w:sz w:val="24"/>
                <w:highlight w:val="none"/>
              </w:rPr>
              <w:t>危险废物贮存库，定期交有资质单位处置</w:t>
            </w:r>
            <w:r>
              <w:rPr>
                <w:rFonts w:hint="eastAsia" w:ascii="Times New Roman" w:hAnsi="Times New Roman" w:eastAsia="宋体" w:cs="Times New Roman"/>
                <w:color w:val="auto"/>
                <w:sz w:val="24"/>
                <w:highlight w:val="none"/>
                <w:lang w:eastAsia="zh-CN"/>
              </w:rPr>
              <w:t>。</w:t>
            </w:r>
          </w:p>
          <w:p w14:paraId="1F6F2490">
            <w:pPr>
              <w:pStyle w:val="98"/>
              <w:rPr>
                <w:b/>
                <w:color w:val="auto"/>
                <w:sz w:val="21"/>
                <w:szCs w:val="21"/>
                <w:highlight w:val="none"/>
              </w:rPr>
            </w:pPr>
            <w:r>
              <w:rPr>
                <w:rFonts w:hint="eastAsia"/>
                <w:color w:val="auto"/>
                <w:sz w:val="24"/>
                <w:highlight w:val="none"/>
              </w:rPr>
              <w:t>各污染物产生量见下表。</w:t>
            </w:r>
          </w:p>
          <w:p w14:paraId="22F14458">
            <w:pPr>
              <w:pStyle w:val="110"/>
              <w:numPr>
                <w:ilvl w:val="0"/>
                <w:numId w:val="0"/>
              </w:numPr>
              <w:rPr>
                <w:rFonts w:ascii="Times New Roman" w:hAnsi="Times New Roman" w:eastAsia="宋体" w:cs="Times New Roman"/>
                <w:b/>
                <w:color w:val="auto"/>
                <w:kern w:val="0"/>
                <w:sz w:val="21"/>
                <w:szCs w:val="21"/>
                <w:highlight w:val="none"/>
                <w:lang w:val="en-US" w:eastAsia="zh-CN" w:bidi="ar-SA"/>
              </w:rPr>
            </w:pPr>
            <w:r>
              <w:rPr>
                <w:rFonts w:ascii="Times New Roman" w:hAnsi="Times New Roman" w:eastAsia="宋体" w:cs="Times New Roman"/>
                <w:b/>
                <w:color w:val="auto"/>
                <w:kern w:val="0"/>
                <w:sz w:val="21"/>
                <w:szCs w:val="21"/>
                <w:highlight w:val="none"/>
                <w:lang w:val="en-US" w:eastAsia="zh-CN" w:bidi="ar-SA"/>
              </w:rPr>
              <w:t>表</w:t>
            </w:r>
            <w:r>
              <w:rPr>
                <w:rFonts w:hint="eastAsia" w:ascii="Times New Roman" w:hAnsi="Times New Roman" w:eastAsia="宋体" w:cs="Times New Roman"/>
                <w:b/>
                <w:color w:val="auto"/>
                <w:kern w:val="0"/>
                <w:sz w:val="21"/>
                <w:szCs w:val="21"/>
                <w:highlight w:val="none"/>
                <w:lang w:val="en-US" w:eastAsia="zh-CN" w:bidi="ar-SA"/>
              </w:rPr>
              <w:t>4</w:t>
            </w:r>
            <w:r>
              <w:rPr>
                <w:rFonts w:ascii="Times New Roman" w:hAnsi="Times New Roman" w:eastAsia="宋体" w:cs="Times New Roman"/>
                <w:b/>
                <w:color w:val="auto"/>
                <w:kern w:val="0"/>
                <w:sz w:val="21"/>
                <w:szCs w:val="21"/>
                <w:highlight w:val="none"/>
                <w:lang w:val="en-US" w:eastAsia="zh-CN" w:bidi="ar-SA"/>
              </w:rPr>
              <w:t>-</w:t>
            </w:r>
            <w:r>
              <w:rPr>
                <w:rFonts w:hint="eastAsia" w:cs="Times New Roman"/>
                <w:b/>
                <w:color w:val="auto"/>
                <w:kern w:val="0"/>
                <w:sz w:val="21"/>
                <w:szCs w:val="21"/>
                <w:highlight w:val="none"/>
                <w:lang w:val="en-US" w:eastAsia="zh-CN" w:bidi="ar-SA"/>
              </w:rPr>
              <w:t xml:space="preserve">16 </w:t>
            </w:r>
            <w:r>
              <w:rPr>
                <w:rFonts w:ascii="Times New Roman" w:hAnsi="Times New Roman" w:eastAsia="宋体" w:cs="Times New Roman"/>
                <w:b/>
                <w:color w:val="auto"/>
                <w:kern w:val="0"/>
                <w:sz w:val="21"/>
                <w:szCs w:val="21"/>
                <w:highlight w:val="none"/>
                <w:lang w:val="en-US" w:eastAsia="zh-CN" w:bidi="ar-SA"/>
              </w:rPr>
              <w:t xml:space="preserve">  固体废物产生量一览表</w:t>
            </w:r>
          </w:p>
          <w:tbl>
            <w:tblPr>
              <w:tblStyle w:val="27"/>
              <w:tblW w:w="495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879"/>
              <w:gridCol w:w="2306"/>
              <w:gridCol w:w="1113"/>
              <w:gridCol w:w="1916"/>
            </w:tblGrid>
            <w:tr w14:paraId="7FA8A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18" w:type="pct"/>
                  <w:noWrap w:val="0"/>
                  <w:vAlign w:val="center"/>
                </w:tcPr>
                <w:p w14:paraId="7C6D287A">
                  <w:pPr>
                    <w:adjustRightInd w:val="0"/>
                    <w:snapToGrid w:val="0"/>
                    <w:jc w:val="center"/>
                    <w:rPr>
                      <w:b/>
                      <w:bCs/>
                      <w:color w:val="auto"/>
                      <w:szCs w:val="21"/>
                      <w:highlight w:val="none"/>
                    </w:rPr>
                  </w:pPr>
                  <w:r>
                    <w:rPr>
                      <w:b/>
                      <w:bCs/>
                      <w:color w:val="auto"/>
                      <w:szCs w:val="21"/>
                      <w:highlight w:val="none"/>
                    </w:rPr>
                    <w:t>序号</w:t>
                  </w:r>
                </w:p>
              </w:tc>
              <w:tc>
                <w:tcPr>
                  <w:tcW w:w="1193" w:type="pct"/>
                  <w:noWrap w:val="0"/>
                  <w:vAlign w:val="center"/>
                </w:tcPr>
                <w:p w14:paraId="03BE7535">
                  <w:pPr>
                    <w:adjustRightInd w:val="0"/>
                    <w:snapToGrid w:val="0"/>
                    <w:jc w:val="center"/>
                    <w:rPr>
                      <w:b/>
                      <w:bCs/>
                      <w:color w:val="auto"/>
                      <w:szCs w:val="21"/>
                      <w:highlight w:val="none"/>
                    </w:rPr>
                  </w:pPr>
                  <w:r>
                    <w:rPr>
                      <w:b/>
                      <w:bCs/>
                      <w:color w:val="auto"/>
                      <w:szCs w:val="21"/>
                      <w:highlight w:val="none"/>
                    </w:rPr>
                    <w:t>项目</w:t>
                  </w:r>
                </w:p>
              </w:tc>
              <w:tc>
                <w:tcPr>
                  <w:tcW w:w="1464" w:type="pct"/>
                  <w:noWrap w:val="0"/>
                  <w:vAlign w:val="center"/>
                </w:tcPr>
                <w:p w14:paraId="76884CE1">
                  <w:pPr>
                    <w:adjustRightInd w:val="0"/>
                    <w:snapToGrid w:val="0"/>
                    <w:jc w:val="center"/>
                    <w:rPr>
                      <w:b/>
                      <w:bCs/>
                      <w:color w:val="auto"/>
                      <w:szCs w:val="21"/>
                      <w:highlight w:val="none"/>
                    </w:rPr>
                  </w:pPr>
                  <w:r>
                    <w:rPr>
                      <w:b/>
                      <w:bCs/>
                      <w:color w:val="auto"/>
                      <w:szCs w:val="21"/>
                      <w:highlight w:val="none"/>
                    </w:rPr>
                    <w:t>类别</w:t>
                  </w:r>
                </w:p>
              </w:tc>
              <w:tc>
                <w:tcPr>
                  <w:tcW w:w="706" w:type="pct"/>
                  <w:noWrap w:val="0"/>
                  <w:vAlign w:val="center"/>
                </w:tcPr>
                <w:p w14:paraId="7F9FE421">
                  <w:pPr>
                    <w:adjustRightInd w:val="0"/>
                    <w:snapToGrid w:val="0"/>
                    <w:jc w:val="center"/>
                    <w:rPr>
                      <w:b/>
                      <w:bCs/>
                      <w:color w:val="auto"/>
                      <w:szCs w:val="21"/>
                      <w:highlight w:val="none"/>
                    </w:rPr>
                  </w:pPr>
                  <w:r>
                    <w:rPr>
                      <w:b/>
                      <w:bCs/>
                      <w:color w:val="auto"/>
                      <w:szCs w:val="21"/>
                      <w:highlight w:val="none"/>
                    </w:rPr>
                    <w:t>产生量</w:t>
                  </w:r>
                </w:p>
              </w:tc>
              <w:tc>
                <w:tcPr>
                  <w:tcW w:w="1216" w:type="pct"/>
                  <w:noWrap w:val="0"/>
                  <w:vAlign w:val="center"/>
                </w:tcPr>
                <w:p w14:paraId="135A4CE3">
                  <w:pPr>
                    <w:adjustRightInd w:val="0"/>
                    <w:snapToGrid w:val="0"/>
                    <w:jc w:val="center"/>
                    <w:rPr>
                      <w:b/>
                      <w:bCs/>
                      <w:color w:val="auto"/>
                      <w:szCs w:val="21"/>
                      <w:highlight w:val="none"/>
                    </w:rPr>
                  </w:pPr>
                  <w:r>
                    <w:rPr>
                      <w:b/>
                      <w:bCs/>
                      <w:color w:val="auto"/>
                      <w:szCs w:val="21"/>
                      <w:highlight w:val="none"/>
                    </w:rPr>
                    <w:t>处理处置措施</w:t>
                  </w:r>
                </w:p>
              </w:tc>
            </w:tr>
            <w:tr w14:paraId="4F7467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418" w:type="pct"/>
                  <w:noWrap w:val="0"/>
                  <w:vAlign w:val="center"/>
                </w:tcPr>
                <w:p w14:paraId="34F5A060">
                  <w:pPr>
                    <w:adjustRightInd w:val="0"/>
                    <w:snapToGrid w:val="0"/>
                    <w:jc w:val="center"/>
                    <w:rPr>
                      <w:rFonts w:hint="eastAsia" w:eastAsia="宋体"/>
                      <w:color w:val="auto"/>
                      <w:szCs w:val="21"/>
                      <w:highlight w:val="none"/>
                      <w:lang w:eastAsia="zh-CN"/>
                    </w:rPr>
                  </w:pPr>
                  <w:r>
                    <w:rPr>
                      <w:rFonts w:hint="eastAsia"/>
                      <w:color w:val="auto"/>
                      <w:szCs w:val="21"/>
                      <w:highlight w:val="none"/>
                      <w:lang w:val="en-US" w:eastAsia="zh-CN"/>
                    </w:rPr>
                    <w:t>1</w:t>
                  </w:r>
                </w:p>
              </w:tc>
              <w:tc>
                <w:tcPr>
                  <w:tcW w:w="1193" w:type="pct"/>
                  <w:noWrap w:val="0"/>
                  <w:vAlign w:val="center"/>
                </w:tcPr>
                <w:p w14:paraId="1BD62FFC">
                  <w:pPr>
                    <w:adjustRightInd w:val="0"/>
                    <w:snapToGrid w:val="0"/>
                    <w:jc w:val="center"/>
                    <w:rPr>
                      <w:color w:val="auto"/>
                      <w:szCs w:val="21"/>
                      <w:highlight w:val="none"/>
                    </w:rPr>
                  </w:pPr>
                  <w:r>
                    <w:rPr>
                      <w:rFonts w:hint="eastAsia"/>
                      <w:color w:val="auto"/>
                      <w:szCs w:val="21"/>
                      <w:highlight w:val="none"/>
                      <w:lang w:val="en-US" w:eastAsia="zh-CN"/>
                    </w:rPr>
                    <w:t>废样</w:t>
                  </w:r>
                  <w:r>
                    <w:rPr>
                      <w:rFonts w:hint="eastAsia"/>
                      <w:color w:val="auto"/>
                      <w:szCs w:val="21"/>
                      <w:highlight w:val="none"/>
                    </w:rPr>
                    <w:t>品</w:t>
                  </w:r>
                </w:p>
              </w:tc>
              <w:tc>
                <w:tcPr>
                  <w:tcW w:w="1464" w:type="pct"/>
                  <w:noWrap w:val="0"/>
                  <w:vAlign w:val="center"/>
                </w:tcPr>
                <w:p w14:paraId="42A2CA5C">
                  <w:pPr>
                    <w:adjustRightInd w:val="0"/>
                    <w:snapToGrid w:val="0"/>
                    <w:jc w:val="center"/>
                    <w:rPr>
                      <w:rFonts w:hint="eastAsia"/>
                      <w:color w:val="auto"/>
                      <w:szCs w:val="21"/>
                      <w:highlight w:val="none"/>
                    </w:rPr>
                  </w:pPr>
                  <w:r>
                    <w:rPr>
                      <w:rFonts w:hint="eastAsia"/>
                      <w:color w:val="auto"/>
                      <w:szCs w:val="21"/>
                      <w:highlight w:val="none"/>
                    </w:rPr>
                    <w:t>SW92实验室固体废物</w:t>
                  </w:r>
                </w:p>
                <w:p w14:paraId="08CA631D">
                  <w:pPr>
                    <w:adjustRightInd w:val="0"/>
                    <w:snapToGrid w:val="0"/>
                    <w:jc w:val="center"/>
                    <w:rPr>
                      <w:color w:val="auto"/>
                      <w:szCs w:val="21"/>
                      <w:highlight w:val="none"/>
                    </w:rPr>
                  </w:pPr>
                  <w:r>
                    <w:rPr>
                      <w:rFonts w:hint="eastAsia"/>
                      <w:color w:val="auto"/>
                      <w:szCs w:val="21"/>
                      <w:highlight w:val="none"/>
                    </w:rPr>
                    <w:t>900-001-S92</w:t>
                  </w:r>
                </w:p>
              </w:tc>
              <w:tc>
                <w:tcPr>
                  <w:tcW w:w="706" w:type="pct"/>
                  <w:noWrap w:val="0"/>
                  <w:vAlign w:val="center"/>
                </w:tcPr>
                <w:p w14:paraId="353D09A4">
                  <w:pPr>
                    <w:adjustRightInd w:val="0"/>
                    <w:snapToGrid w:val="0"/>
                    <w:jc w:val="center"/>
                    <w:rPr>
                      <w:color w:val="auto"/>
                      <w:szCs w:val="21"/>
                      <w:highlight w:val="none"/>
                    </w:rPr>
                  </w:pPr>
                  <w:r>
                    <w:rPr>
                      <w:rFonts w:hint="eastAsia"/>
                      <w:color w:val="auto"/>
                      <w:szCs w:val="21"/>
                      <w:highlight w:val="none"/>
                      <w:lang w:val="en-US" w:eastAsia="zh-CN"/>
                    </w:rPr>
                    <w:t>1</w:t>
                  </w:r>
                  <w:r>
                    <w:rPr>
                      <w:color w:val="auto"/>
                      <w:szCs w:val="21"/>
                      <w:highlight w:val="none"/>
                    </w:rPr>
                    <w:t>t/a</w:t>
                  </w:r>
                </w:p>
              </w:tc>
              <w:tc>
                <w:tcPr>
                  <w:tcW w:w="1216" w:type="pct"/>
                  <w:vMerge w:val="restart"/>
                  <w:noWrap w:val="0"/>
                  <w:vAlign w:val="center"/>
                </w:tcPr>
                <w:p w14:paraId="6EEB379D">
                  <w:pPr>
                    <w:adjustRightInd w:val="0"/>
                    <w:snapToGrid w:val="0"/>
                    <w:jc w:val="center"/>
                    <w:rPr>
                      <w:color w:val="auto"/>
                      <w:szCs w:val="21"/>
                      <w:highlight w:val="none"/>
                    </w:rPr>
                  </w:pPr>
                  <w:r>
                    <w:rPr>
                      <w:rFonts w:hint="eastAsia"/>
                      <w:color w:val="auto"/>
                      <w:szCs w:val="21"/>
                      <w:highlight w:val="none"/>
                    </w:rPr>
                    <w:t>收集后定期委托物资回收单位处理</w:t>
                  </w:r>
                </w:p>
              </w:tc>
            </w:tr>
            <w:tr w14:paraId="0E11E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noWrap w:val="0"/>
                  <w:vAlign w:val="center"/>
                </w:tcPr>
                <w:p w14:paraId="48F80D3E">
                  <w:pPr>
                    <w:adjustRightInd w:val="0"/>
                    <w:snapToGrid w:val="0"/>
                    <w:jc w:val="center"/>
                    <w:rPr>
                      <w:rFonts w:hint="eastAsia" w:eastAsia="宋体"/>
                      <w:color w:val="auto"/>
                      <w:szCs w:val="21"/>
                      <w:highlight w:val="none"/>
                      <w:lang w:eastAsia="zh-CN"/>
                    </w:rPr>
                  </w:pPr>
                  <w:r>
                    <w:rPr>
                      <w:rFonts w:hint="eastAsia"/>
                      <w:color w:val="auto"/>
                      <w:szCs w:val="21"/>
                      <w:highlight w:val="none"/>
                      <w:lang w:val="en-US" w:eastAsia="zh-CN"/>
                    </w:rPr>
                    <w:t>2</w:t>
                  </w:r>
                </w:p>
              </w:tc>
              <w:tc>
                <w:tcPr>
                  <w:tcW w:w="1193" w:type="pct"/>
                  <w:shd w:val="clear" w:color="auto" w:fill="auto"/>
                  <w:noWrap w:val="0"/>
                  <w:vAlign w:val="center"/>
                </w:tcPr>
                <w:p w14:paraId="3781EBA4">
                  <w:pPr>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收尘灰</w:t>
                  </w:r>
                </w:p>
              </w:tc>
              <w:tc>
                <w:tcPr>
                  <w:tcW w:w="1464" w:type="pct"/>
                  <w:shd w:val="clear" w:color="auto" w:fill="auto"/>
                  <w:noWrap w:val="0"/>
                  <w:vAlign w:val="center"/>
                </w:tcPr>
                <w:p w14:paraId="306A7B03">
                  <w:pPr>
                    <w:adjustRightInd w:val="0"/>
                    <w:snapToGrid w:val="0"/>
                    <w:jc w:val="center"/>
                    <w:rPr>
                      <w:rFonts w:hint="eastAsia"/>
                      <w:color w:val="auto"/>
                      <w:szCs w:val="21"/>
                      <w:highlight w:val="none"/>
                    </w:rPr>
                  </w:pPr>
                  <w:r>
                    <w:rPr>
                      <w:rFonts w:hint="eastAsia"/>
                      <w:color w:val="auto"/>
                      <w:szCs w:val="21"/>
                      <w:highlight w:val="none"/>
                    </w:rPr>
                    <w:t>SW92实验室固体废物</w:t>
                  </w:r>
                </w:p>
                <w:p w14:paraId="78E0A02D">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900-001-S92</w:t>
                  </w:r>
                </w:p>
              </w:tc>
              <w:tc>
                <w:tcPr>
                  <w:tcW w:w="706" w:type="pct"/>
                  <w:shd w:val="clear" w:color="auto" w:fill="auto"/>
                  <w:noWrap w:val="0"/>
                  <w:vAlign w:val="center"/>
                </w:tcPr>
                <w:p w14:paraId="73AB5EF8">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1.97</w:t>
                  </w:r>
                  <w:r>
                    <w:rPr>
                      <w:rFonts w:hint="eastAsia"/>
                      <w:color w:val="auto"/>
                      <w:szCs w:val="21"/>
                      <w:highlight w:val="none"/>
                    </w:rPr>
                    <w:t>t/a</w:t>
                  </w:r>
                </w:p>
              </w:tc>
              <w:tc>
                <w:tcPr>
                  <w:tcW w:w="1216" w:type="pct"/>
                  <w:vMerge w:val="continue"/>
                  <w:noWrap w:val="0"/>
                  <w:vAlign w:val="center"/>
                </w:tcPr>
                <w:p w14:paraId="0378C20D">
                  <w:pPr>
                    <w:adjustRightInd w:val="0"/>
                    <w:snapToGrid w:val="0"/>
                    <w:jc w:val="center"/>
                    <w:rPr>
                      <w:color w:val="auto"/>
                      <w:szCs w:val="21"/>
                      <w:highlight w:val="none"/>
                    </w:rPr>
                  </w:pPr>
                </w:p>
              </w:tc>
            </w:tr>
            <w:tr w14:paraId="3E2222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noWrap w:val="0"/>
                  <w:vAlign w:val="center"/>
                </w:tcPr>
                <w:p w14:paraId="670573ED">
                  <w:pPr>
                    <w:adjustRightInd w:val="0"/>
                    <w:snapToGrid w:val="0"/>
                    <w:jc w:val="center"/>
                    <w:rPr>
                      <w:rFonts w:hint="eastAsia" w:eastAsia="宋体"/>
                      <w:color w:val="auto"/>
                      <w:szCs w:val="21"/>
                      <w:highlight w:val="none"/>
                      <w:lang w:eastAsia="zh-CN"/>
                    </w:rPr>
                  </w:pPr>
                  <w:r>
                    <w:rPr>
                      <w:rFonts w:hint="eastAsia"/>
                      <w:color w:val="auto"/>
                      <w:szCs w:val="21"/>
                      <w:highlight w:val="none"/>
                      <w:lang w:val="en-US" w:eastAsia="zh-CN"/>
                    </w:rPr>
                    <w:t>3</w:t>
                  </w:r>
                </w:p>
              </w:tc>
              <w:tc>
                <w:tcPr>
                  <w:tcW w:w="1193" w:type="pct"/>
                  <w:shd w:val="clear" w:color="auto" w:fill="auto"/>
                  <w:noWrap w:val="0"/>
                  <w:vAlign w:val="center"/>
                </w:tcPr>
                <w:p w14:paraId="69386038">
                  <w:pPr>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废纸屑及</w:t>
                  </w:r>
                  <w:r>
                    <w:rPr>
                      <w:rFonts w:hint="eastAsia"/>
                      <w:color w:val="auto"/>
                      <w:szCs w:val="21"/>
                      <w:highlight w:val="none"/>
                      <w:lang w:val="en-US" w:eastAsia="zh-CN"/>
                    </w:rPr>
                    <w:t>未被污染的</w:t>
                  </w:r>
                  <w:r>
                    <w:rPr>
                      <w:rFonts w:hint="eastAsia"/>
                      <w:color w:val="auto"/>
                      <w:szCs w:val="21"/>
                      <w:highlight w:val="none"/>
                    </w:rPr>
                    <w:t>废包装材料</w:t>
                  </w:r>
                </w:p>
              </w:tc>
              <w:tc>
                <w:tcPr>
                  <w:tcW w:w="1464" w:type="pct"/>
                  <w:shd w:val="clear" w:color="auto" w:fill="auto"/>
                  <w:noWrap w:val="0"/>
                  <w:vAlign w:val="center"/>
                </w:tcPr>
                <w:p w14:paraId="0ABAEAFE">
                  <w:pPr>
                    <w:adjustRightInd w:val="0"/>
                    <w:snapToGrid w:val="0"/>
                    <w:jc w:val="center"/>
                    <w:rPr>
                      <w:rFonts w:hint="eastAsia"/>
                      <w:color w:val="auto"/>
                      <w:szCs w:val="21"/>
                      <w:highlight w:val="none"/>
                    </w:rPr>
                  </w:pPr>
                  <w:r>
                    <w:rPr>
                      <w:rFonts w:hint="eastAsia"/>
                      <w:color w:val="auto"/>
                      <w:szCs w:val="21"/>
                      <w:highlight w:val="none"/>
                    </w:rPr>
                    <w:t>SW17可再生类废物</w:t>
                  </w:r>
                </w:p>
                <w:p w14:paraId="3D464803">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900-099-S17</w:t>
                  </w:r>
                </w:p>
              </w:tc>
              <w:tc>
                <w:tcPr>
                  <w:tcW w:w="706" w:type="pct"/>
                  <w:shd w:val="clear" w:color="auto" w:fill="auto"/>
                  <w:noWrap w:val="0"/>
                  <w:vAlign w:val="center"/>
                </w:tcPr>
                <w:p w14:paraId="3CAC6E50">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r>
                    <w:rPr>
                      <w:color w:val="auto"/>
                      <w:szCs w:val="21"/>
                      <w:highlight w:val="none"/>
                    </w:rPr>
                    <w:t>t/a</w:t>
                  </w:r>
                </w:p>
              </w:tc>
              <w:tc>
                <w:tcPr>
                  <w:tcW w:w="1216" w:type="pct"/>
                  <w:noWrap w:val="0"/>
                  <w:vAlign w:val="center"/>
                </w:tcPr>
                <w:p w14:paraId="017C0DCF">
                  <w:pPr>
                    <w:adjustRightInd w:val="0"/>
                    <w:snapToGrid w:val="0"/>
                    <w:jc w:val="center"/>
                    <w:rPr>
                      <w:color w:val="auto"/>
                      <w:szCs w:val="21"/>
                      <w:highlight w:val="none"/>
                    </w:rPr>
                  </w:pPr>
                  <w:r>
                    <w:rPr>
                      <w:rFonts w:hint="eastAsia"/>
                      <w:color w:val="auto"/>
                      <w:szCs w:val="21"/>
                      <w:highlight w:val="none"/>
                    </w:rPr>
                    <w:t>收集后交废品回收站回收处理</w:t>
                  </w:r>
                </w:p>
              </w:tc>
            </w:tr>
            <w:tr w14:paraId="58691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noWrap w:val="0"/>
                  <w:vAlign w:val="center"/>
                </w:tcPr>
                <w:p w14:paraId="2892787B">
                  <w:pPr>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4</w:t>
                  </w:r>
                </w:p>
              </w:tc>
              <w:tc>
                <w:tcPr>
                  <w:tcW w:w="1193" w:type="pct"/>
                  <w:noWrap w:val="0"/>
                  <w:vAlign w:val="center"/>
                </w:tcPr>
                <w:p w14:paraId="7B670195">
                  <w:pPr>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废滤芯</w:t>
                  </w:r>
                </w:p>
              </w:tc>
              <w:tc>
                <w:tcPr>
                  <w:tcW w:w="1464" w:type="pct"/>
                  <w:noWrap w:val="0"/>
                  <w:vAlign w:val="center"/>
                </w:tcPr>
                <w:p w14:paraId="71CA7023">
                  <w:pPr>
                    <w:adjustRightInd w:val="0"/>
                    <w:snapToGrid w:val="0"/>
                    <w:jc w:val="center"/>
                    <w:rPr>
                      <w:rFonts w:hint="eastAsia"/>
                      <w:color w:val="auto"/>
                      <w:szCs w:val="21"/>
                      <w:highlight w:val="none"/>
                    </w:rPr>
                  </w:pPr>
                  <w:r>
                    <w:rPr>
                      <w:rFonts w:hint="eastAsia"/>
                      <w:color w:val="auto"/>
                      <w:szCs w:val="21"/>
                      <w:highlight w:val="none"/>
                    </w:rPr>
                    <w:t>SW59可再生类废物</w:t>
                  </w:r>
                </w:p>
                <w:p w14:paraId="0A14A317">
                  <w:pPr>
                    <w:adjustRightInd w:val="0"/>
                    <w:snapToGrid w:val="0"/>
                    <w:jc w:val="center"/>
                    <w:rPr>
                      <w:rFonts w:hint="eastAsia"/>
                      <w:color w:val="auto"/>
                      <w:szCs w:val="21"/>
                      <w:highlight w:val="none"/>
                    </w:rPr>
                  </w:pPr>
                  <w:r>
                    <w:rPr>
                      <w:rFonts w:hint="eastAsia"/>
                      <w:color w:val="auto"/>
                      <w:szCs w:val="21"/>
                      <w:highlight w:val="none"/>
                    </w:rPr>
                    <w:t>900-009-S59</w:t>
                  </w:r>
                </w:p>
              </w:tc>
              <w:tc>
                <w:tcPr>
                  <w:tcW w:w="706" w:type="pct"/>
                  <w:noWrap w:val="0"/>
                  <w:vAlign w:val="center"/>
                </w:tcPr>
                <w:p w14:paraId="0886FFBA">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0.04t/a</w:t>
                  </w:r>
                </w:p>
              </w:tc>
              <w:tc>
                <w:tcPr>
                  <w:tcW w:w="1216" w:type="pct"/>
                  <w:noWrap w:val="0"/>
                  <w:vAlign w:val="center"/>
                </w:tcPr>
                <w:p w14:paraId="0501849A">
                  <w:pPr>
                    <w:adjustRightInd w:val="0"/>
                    <w:snapToGrid w:val="0"/>
                    <w:jc w:val="center"/>
                    <w:rPr>
                      <w:color w:val="auto"/>
                      <w:szCs w:val="21"/>
                      <w:highlight w:val="none"/>
                    </w:rPr>
                  </w:pPr>
                  <w:r>
                    <w:rPr>
                      <w:rFonts w:hint="eastAsia"/>
                      <w:color w:val="auto"/>
                      <w:szCs w:val="21"/>
                      <w:highlight w:val="none"/>
                    </w:rPr>
                    <w:t>由纯水机厂家更换后带走处置</w:t>
                  </w:r>
                </w:p>
              </w:tc>
            </w:tr>
            <w:tr w14:paraId="47DA9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noWrap w:val="0"/>
                  <w:vAlign w:val="center"/>
                </w:tcPr>
                <w:p w14:paraId="03937F08">
                  <w:pPr>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5</w:t>
                  </w:r>
                </w:p>
              </w:tc>
              <w:tc>
                <w:tcPr>
                  <w:tcW w:w="1193" w:type="pct"/>
                  <w:noWrap w:val="0"/>
                  <w:vAlign w:val="center"/>
                </w:tcPr>
                <w:p w14:paraId="138D4DFD">
                  <w:pPr>
                    <w:snapToGrid w:val="0"/>
                    <w:jc w:val="center"/>
                    <w:rPr>
                      <w:rFonts w:hint="eastAsia"/>
                      <w:color w:val="auto"/>
                      <w:szCs w:val="21"/>
                      <w:highlight w:val="none"/>
                      <w:lang w:val="en-US" w:eastAsia="zh-CN"/>
                    </w:rPr>
                  </w:pPr>
                  <w:r>
                    <w:rPr>
                      <w:rFonts w:hint="eastAsia"/>
                      <w:color w:val="auto"/>
                      <w:szCs w:val="21"/>
                      <w:highlight w:val="none"/>
                      <w:lang w:val="en-US" w:eastAsia="zh-CN"/>
                    </w:rPr>
                    <w:t>灭菌后的废培养基</w:t>
                  </w:r>
                </w:p>
              </w:tc>
              <w:tc>
                <w:tcPr>
                  <w:tcW w:w="1464" w:type="pct"/>
                  <w:noWrap w:val="0"/>
                  <w:vAlign w:val="center"/>
                </w:tcPr>
                <w:p w14:paraId="1E4FB8D4">
                  <w:pPr>
                    <w:adjustRightInd w:val="0"/>
                    <w:snapToGrid w:val="0"/>
                    <w:jc w:val="center"/>
                    <w:rPr>
                      <w:rFonts w:hint="eastAsia"/>
                      <w:color w:val="auto"/>
                      <w:szCs w:val="21"/>
                      <w:highlight w:val="none"/>
                    </w:rPr>
                  </w:pPr>
                  <w:r>
                    <w:rPr>
                      <w:rFonts w:hint="eastAsia"/>
                      <w:color w:val="auto"/>
                      <w:szCs w:val="21"/>
                      <w:highlight w:val="none"/>
                    </w:rPr>
                    <w:t>SW92实验室固体废物</w:t>
                  </w:r>
                </w:p>
                <w:p w14:paraId="6B46DB54">
                  <w:pPr>
                    <w:adjustRightInd w:val="0"/>
                    <w:snapToGrid w:val="0"/>
                    <w:jc w:val="center"/>
                    <w:rPr>
                      <w:rFonts w:hint="eastAsia"/>
                      <w:color w:val="auto"/>
                      <w:szCs w:val="21"/>
                      <w:highlight w:val="none"/>
                    </w:rPr>
                  </w:pPr>
                  <w:r>
                    <w:rPr>
                      <w:rFonts w:hint="eastAsia"/>
                      <w:color w:val="auto"/>
                      <w:szCs w:val="21"/>
                      <w:highlight w:val="none"/>
                    </w:rPr>
                    <w:t xml:space="preserve">900-001-S92 </w:t>
                  </w:r>
                </w:p>
              </w:tc>
              <w:tc>
                <w:tcPr>
                  <w:tcW w:w="706" w:type="pct"/>
                  <w:noWrap w:val="0"/>
                  <w:vAlign w:val="center"/>
                </w:tcPr>
                <w:p w14:paraId="68C8611F">
                  <w:pPr>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0.01t/a</w:t>
                  </w:r>
                </w:p>
              </w:tc>
              <w:tc>
                <w:tcPr>
                  <w:tcW w:w="1216" w:type="pct"/>
                  <w:vMerge w:val="restart"/>
                  <w:noWrap w:val="0"/>
                  <w:vAlign w:val="center"/>
                </w:tcPr>
                <w:p w14:paraId="4AD200EB">
                  <w:pPr>
                    <w:adjustRightInd w:val="0"/>
                    <w:snapToGrid w:val="0"/>
                    <w:jc w:val="center"/>
                    <w:rPr>
                      <w:rFonts w:hint="eastAsia"/>
                      <w:color w:val="auto"/>
                      <w:szCs w:val="21"/>
                      <w:highlight w:val="none"/>
                    </w:rPr>
                  </w:pPr>
                  <w:r>
                    <w:rPr>
                      <w:rFonts w:hint="eastAsia"/>
                      <w:color w:val="auto"/>
                      <w:szCs w:val="21"/>
                      <w:highlight w:val="none"/>
                    </w:rPr>
                    <w:t>收集后由环卫部门定期清运</w:t>
                  </w:r>
                </w:p>
              </w:tc>
            </w:tr>
            <w:tr w14:paraId="449AD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shd w:val="clear" w:color="auto" w:fill="auto"/>
                  <w:noWrap w:val="0"/>
                  <w:vAlign w:val="center"/>
                </w:tcPr>
                <w:p w14:paraId="5301BAAF">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6</w:t>
                  </w:r>
                </w:p>
              </w:tc>
              <w:tc>
                <w:tcPr>
                  <w:tcW w:w="1193" w:type="pct"/>
                  <w:shd w:val="clear" w:color="auto" w:fill="auto"/>
                  <w:noWrap w:val="0"/>
                  <w:vAlign w:val="center"/>
                </w:tcPr>
                <w:p w14:paraId="68BBDD3F">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污泥</w:t>
                  </w:r>
                </w:p>
              </w:tc>
              <w:tc>
                <w:tcPr>
                  <w:tcW w:w="1464" w:type="pct"/>
                  <w:shd w:val="clear" w:color="auto" w:fill="auto"/>
                  <w:noWrap w:val="0"/>
                  <w:vAlign w:val="center"/>
                </w:tcPr>
                <w:p w14:paraId="68D80B73">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SW07污泥</w:t>
                  </w:r>
                </w:p>
                <w:p w14:paraId="2EF42EA8">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900</w:t>
                  </w:r>
                  <w:r>
                    <w:rPr>
                      <w:rFonts w:hint="eastAsia"/>
                      <w:color w:val="auto"/>
                      <w:szCs w:val="21"/>
                      <w:highlight w:val="none"/>
                    </w:rPr>
                    <w:t>-0</w:t>
                  </w:r>
                  <w:r>
                    <w:rPr>
                      <w:rFonts w:hint="eastAsia"/>
                      <w:color w:val="auto"/>
                      <w:szCs w:val="21"/>
                      <w:highlight w:val="none"/>
                      <w:lang w:val="en-US" w:eastAsia="zh-CN"/>
                    </w:rPr>
                    <w:t>99</w:t>
                  </w:r>
                  <w:r>
                    <w:rPr>
                      <w:rFonts w:hint="eastAsia"/>
                      <w:color w:val="auto"/>
                      <w:szCs w:val="21"/>
                      <w:highlight w:val="none"/>
                    </w:rPr>
                    <w:t>-</w:t>
                  </w:r>
                  <w:r>
                    <w:rPr>
                      <w:rFonts w:hint="eastAsia"/>
                      <w:color w:val="auto"/>
                      <w:szCs w:val="21"/>
                      <w:highlight w:val="none"/>
                      <w:lang w:val="en-US" w:eastAsia="zh-CN"/>
                    </w:rPr>
                    <w:t>S07</w:t>
                  </w:r>
                </w:p>
              </w:tc>
              <w:tc>
                <w:tcPr>
                  <w:tcW w:w="706" w:type="pct"/>
                  <w:shd w:val="clear" w:color="auto" w:fill="auto"/>
                  <w:noWrap w:val="0"/>
                  <w:vAlign w:val="center"/>
                </w:tcPr>
                <w:p w14:paraId="2CF9063C">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0.48t/a</w:t>
                  </w:r>
                </w:p>
              </w:tc>
              <w:tc>
                <w:tcPr>
                  <w:tcW w:w="1216" w:type="pct"/>
                  <w:vMerge w:val="continue"/>
                  <w:noWrap w:val="0"/>
                  <w:vAlign w:val="center"/>
                </w:tcPr>
                <w:p w14:paraId="67AD1777">
                  <w:pPr>
                    <w:adjustRightInd w:val="0"/>
                    <w:snapToGrid w:val="0"/>
                    <w:jc w:val="center"/>
                    <w:rPr>
                      <w:rFonts w:hint="eastAsia"/>
                      <w:color w:val="auto"/>
                      <w:szCs w:val="21"/>
                      <w:highlight w:val="none"/>
                    </w:rPr>
                  </w:pPr>
                </w:p>
              </w:tc>
            </w:tr>
            <w:tr w14:paraId="505F2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shd w:val="clear" w:color="auto" w:fill="auto"/>
                  <w:noWrap w:val="0"/>
                  <w:vAlign w:val="center"/>
                </w:tcPr>
                <w:p w14:paraId="0977F73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7</w:t>
                  </w:r>
                </w:p>
              </w:tc>
              <w:tc>
                <w:tcPr>
                  <w:tcW w:w="1193" w:type="pct"/>
                  <w:noWrap w:val="0"/>
                  <w:vAlign w:val="center"/>
                </w:tcPr>
                <w:p w14:paraId="662E734B">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实验室废液</w:t>
                  </w:r>
                </w:p>
              </w:tc>
              <w:tc>
                <w:tcPr>
                  <w:tcW w:w="1464" w:type="pct"/>
                  <w:noWrap w:val="0"/>
                  <w:vAlign w:val="center"/>
                </w:tcPr>
                <w:p w14:paraId="00415C32">
                  <w:pPr>
                    <w:adjustRightInd w:val="0"/>
                    <w:snapToGrid w:val="0"/>
                    <w:jc w:val="center"/>
                    <w:rPr>
                      <w:color w:val="auto"/>
                      <w:szCs w:val="21"/>
                      <w:highlight w:val="none"/>
                    </w:rPr>
                  </w:pPr>
                  <w:r>
                    <w:rPr>
                      <w:rFonts w:hint="eastAsia"/>
                      <w:color w:val="auto"/>
                      <w:szCs w:val="21"/>
                      <w:highlight w:val="none"/>
                    </w:rPr>
                    <w:t>危险废物</w:t>
                  </w:r>
                </w:p>
                <w:p w14:paraId="1C45D108">
                  <w:pPr>
                    <w:adjustRightInd w:val="0"/>
                    <w:snapToGrid w:val="0"/>
                    <w:jc w:val="center"/>
                    <w:rPr>
                      <w:rFonts w:hint="eastAsia"/>
                      <w:color w:val="auto"/>
                      <w:szCs w:val="21"/>
                      <w:highlight w:val="none"/>
                    </w:rPr>
                  </w:pPr>
                  <w:r>
                    <w:rPr>
                      <w:rFonts w:hint="eastAsia"/>
                      <w:color w:val="auto"/>
                      <w:szCs w:val="21"/>
                      <w:highlight w:val="none"/>
                    </w:rPr>
                    <w:t>900-047-49</w:t>
                  </w:r>
                </w:p>
              </w:tc>
              <w:tc>
                <w:tcPr>
                  <w:tcW w:w="706" w:type="pct"/>
                  <w:noWrap w:val="0"/>
                  <w:vAlign w:val="center"/>
                </w:tcPr>
                <w:p w14:paraId="1E5FEA21">
                  <w:pPr>
                    <w:adjustRightInd w:val="0"/>
                    <w:snapToGrid w:val="0"/>
                    <w:jc w:val="center"/>
                    <w:rPr>
                      <w:rFonts w:hint="eastAsia"/>
                      <w:color w:val="auto"/>
                      <w:szCs w:val="21"/>
                      <w:highlight w:val="none"/>
                    </w:rPr>
                  </w:pPr>
                  <w:r>
                    <w:rPr>
                      <w:rFonts w:hint="eastAsia"/>
                      <w:color w:val="0000FF"/>
                      <w:szCs w:val="21"/>
                      <w:highlight w:val="none"/>
                      <w:lang w:val="en-US" w:eastAsia="zh-CN"/>
                    </w:rPr>
                    <w:t>52</w:t>
                  </w:r>
                  <w:r>
                    <w:rPr>
                      <w:rFonts w:hint="eastAsia"/>
                      <w:color w:val="0000FF"/>
                      <w:szCs w:val="21"/>
                      <w:highlight w:val="none"/>
                    </w:rPr>
                    <w:t>t/a</w:t>
                  </w:r>
                </w:p>
              </w:tc>
              <w:tc>
                <w:tcPr>
                  <w:tcW w:w="1216" w:type="pct"/>
                  <w:vMerge w:val="restart"/>
                  <w:noWrap w:val="0"/>
                  <w:vAlign w:val="center"/>
                </w:tcPr>
                <w:p w14:paraId="527BE323">
                  <w:pPr>
                    <w:adjustRightInd w:val="0"/>
                    <w:snapToGrid w:val="0"/>
                    <w:jc w:val="center"/>
                    <w:rPr>
                      <w:color w:val="auto"/>
                      <w:szCs w:val="21"/>
                      <w:highlight w:val="none"/>
                    </w:rPr>
                  </w:pPr>
                  <w:r>
                    <w:rPr>
                      <w:rFonts w:hint="eastAsia"/>
                      <w:color w:val="auto"/>
                      <w:szCs w:val="21"/>
                      <w:highlight w:val="none"/>
                    </w:rPr>
                    <w:t>分类暂存于危废贮存库，定期交由有资质单位处置</w:t>
                  </w:r>
                </w:p>
              </w:tc>
            </w:tr>
            <w:tr w14:paraId="34275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shd w:val="clear" w:color="auto" w:fill="auto"/>
                  <w:noWrap w:val="0"/>
                  <w:vAlign w:val="center"/>
                </w:tcPr>
                <w:p w14:paraId="5DC590CA">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8</w:t>
                  </w:r>
                </w:p>
              </w:tc>
              <w:tc>
                <w:tcPr>
                  <w:tcW w:w="1193" w:type="pct"/>
                  <w:shd w:val="clear" w:color="auto" w:fill="auto"/>
                  <w:noWrap w:val="0"/>
                  <w:vAlign w:val="center"/>
                </w:tcPr>
                <w:p w14:paraId="5AC454A8">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废试剂包装物等沾染物</w:t>
                  </w:r>
                </w:p>
              </w:tc>
              <w:tc>
                <w:tcPr>
                  <w:tcW w:w="1464" w:type="pct"/>
                  <w:shd w:val="clear" w:color="auto" w:fill="auto"/>
                  <w:noWrap w:val="0"/>
                  <w:vAlign w:val="center"/>
                </w:tcPr>
                <w:p w14:paraId="2F6CD420">
                  <w:pPr>
                    <w:adjustRightInd w:val="0"/>
                    <w:snapToGrid w:val="0"/>
                    <w:jc w:val="center"/>
                    <w:rPr>
                      <w:color w:val="auto"/>
                      <w:szCs w:val="21"/>
                      <w:highlight w:val="none"/>
                    </w:rPr>
                  </w:pPr>
                  <w:r>
                    <w:rPr>
                      <w:rFonts w:hint="eastAsia"/>
                      <w:color w:val="auto"/>
                      <w:szCs w:val="21"/>
                      <w:highlight w:val="none"/>
                    </w:rPr>
                    <w:t>危险废物</w:t>
                  </w:r>
                </w:p>
                <w:p w14:paraId="65294B13">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900-04</w:t>
                  </w:r>
                  <w:r>
                    <w:rPr>
                      <w:rFonts w:hint="eastAsia"/>
                      <w:color w:val="auto"/>
                      <w:szCs w:val="21"/>
                      <w:highlight w:val="none"/>
                      <w:lang w:val="en-US" w:eastAsia="zh-CN"/>
                    </w:rPr>
                    <w:t>1</w:t>
                  </w:r>
                  <w:r>
                    <w:rPr>
                      <w:rFonts w:hint="eastAsia"/>
                      <w:color w:val="auto"/>
                      <w:szCs w:val="21"/>
                      <w:highlight w:val="none"/>
                    </w:rPr>
                    <w:t>-49</w:t>
                  </w:r>
                </w:p>
              </w:tc>
              <w:tc>
                <w:tcPr>
                  <w:tcW w:w="706" w:type="pct"/>
                  <w:shd w:val="clear" w:color="auto" w:fill="auto"/>
                  <w:noWrap w:val="0"/>
                  <w:vAlign w:val="center"/>
                </w:tcPr>
                <w:p w14:paraId="7D531B2B">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0.02</w:t>
                  </w:r>
                  <w:r>
                    <w:rPr>
                      <w:rFonts w:hint="eastAsia"/>
                      <w:color w:val="auto"/>
                      <w:szCs w:val="21"/>
                      <w:highlight w:val="none"/>
                    </w:rPr>
                    <w:t>t/a</w:t>
                  </w:r>
                </w:p>
              </w:tc>
              <w:tc>
                <w:tcPr>
                  <w:tcW w:w="1216" w:type="pct"/>
                  <w:vMerge w:val="continue"/>
                  <w:noWrap w:val="0"/>
                  <w:vAlign w:val="center"/>
                </w:tcPr>
                <w:p w14:paraId="1A4E31D7">
                  <w:pPr>
                    <w:adjustRightInd w:val="0"/>
                    <w:snapToGrid w:val="0"/>
                    <w:jc w:val="center"/>
                    <w:rPr>
                      <w:rFonts w:hint="eastAsia"/>
                      <w:color w:val="auto"/>
                      <w:szCs w:val="21"/>
                      <w:highlight w:val="none"/>
                    </w:rPr>
                  </w:pPr>
                </w:p>
              </w:tc>
            </w:tr>
            <w:tr w14:paraId="64FAD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shd w:val="clear" w:color="auto" w:fill="auto"/>
                  <w:noWrap w:val="0"/>
                  <w:vAlign w:val="center"/>
                </w:tcPr>
                <w:p w14:paraId="692058F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9</w:t>
                  </w:r>
                </w:p>
              </w:tc>
              <w:tc>
                <w:tcPr>
                  <w:tcW w:w="1193" w:type="pct"/>
                  <w:shd w:val="clear" w:color="auto" w:fill="auto"/>
                  <w:noWrap w:val="0"/>
                  <w:vAlign w:val="center"/>
                </w:tcPr>
                <w:p w14:paraId="1345FC9E">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废活性炭</w:t>
                  </w:r>
                </w:p>
              </w:tc>
              <w:tc>
                <w:tcPr>
                  <w:tcW w:w="1464" w:type="pct"/>
                  <w:shd w:val="clear" w:color="auto" w:fill="auto"/>
                  <w:noWrap w:val="0"/>
                  <w:vAlign w:val="center"/>
                </w:tcPr>
                <w:p w14:paraId="1CF67091">
                  <w:pPr>
                    <w:adjustRightInd w:val="0"/>
                    <w:snapToGrid w:val="0"/>
                    <w:jc w:val="center"/>
                    <w:rPr>
                      <w:color w:val="auto"/>
                      <w:szCs w:val="21"/>
                      <w:highlight w:val="none"/>
                    </w:rPr>
                  </w:pPr>
                  <w:r>
                    <w:rPr>
                      <w:rFonts w:hint="eastAsia"/>
                      <w:color w:val="auto"/>
                      <w:szCs w:val="21"/>
                      <w:highlight w:val="none"/>
                    </w:rPr>
                    <w:t>危险废物</w:t>
                  </w:r>
                </w:p>
                <w:p w14:paraId="3197F0F1">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900-0</w:t>
                  </w:r>
                  <w:r>
                    <w:rPr>
                      <w:rFonts w:hint="eastAsia"/>
                      <w:color w:val="auto"/>
                      <w:szCs w:val="21"/>
                      <w:highlight w:val="none"/>
                      <w:lang w:val="en-US" w:eastAsia="zh-CN"/>
                    </w:rPr>
                    <w:t>39</w:t>
                  </w:r>
                  <w:r>
                    <w:rPr>
                      <w:rFonts w:hint="eastAsia"/>
                      <w:color w:val="auto"/>
                      <w:szCs w:val="21"/>
                      <w:highlight w:val="none"/>
                    </w:rPr>
                    <w:t>-49</w:t>
                  </w:r>
                </w:p>
              </w:tc>
              <w:tc>
                <w:tcPr>
                  <w:tcW w:w="706" w:type="pct"/>
                  <w:shd w:val="clear" w:color="auto" w:fill="auto"/>
                  <w:noWrap w:val="0"/>
                  <w:vAlign w:val="center"/>
                </w:tcPr>
                <w:p w14:paraId="4492B792">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0000FF"/>
                      <w:szCs w:val="21"/>
                      <w:highlight w:val="none"/>
                      <w:lang w:val="en-US" w:eastAsia="zh-CN"/>
                    </w:rPr>
                    <w:t>6</w:t>
                  </w:r>
                  <w:r>
                    <w:rPr>
                      <w:rFonts w:hint="eastAsia"/>
                      <w:color w:val="0000FF"/>
                      <w:szCs w:val="21"/>
                      <w:highlight w:val="none"/>
                    </w:rPr>
                    <w:t>t/a</w:t>
                  </w:r>
                </w:p>
              </w:tc>
              <w:tc>
                <w:tcPr>
                  <w:tcW w:w="1216" w:type="pct"/>
                  <w:vMerge w:val="continue"/>
                  <w:noWrap w:val="0"/>
                  <w:vAlign w:val="center"/>
                </w:tcPr>
                <w:p w14:paraId="220CA760">
                  <w:pPr>
                    <w:adjustRightInd w:val="0"/>
                    <w:snapToGrid w:val="0"/>
                    <w:jc w:val="center"/>
                    <w:rPr>
                      <w:rFonts w:hint="eastAsia"/>
                      <w:color w:val="auto"/>
                      <w:szCs w:val="21"/>
                      <w:highlight w:val="none"/>
                    </w:rPr>
                  </w:pPr>
                </w:p>
              </w:tc>
            </w:tr>
            <w:tr w14:paraId="3DBF1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shd w:val="clear" w:color="auto" w:fill="auto"/>
                  <w:noWrap w:val="0"/>
                  <w:vAlign w:val="center"/>
                </w:tcPr>
                <w:p w14:paraId="7485D66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10</w:t>
                  </w:r>
                </w:p>
              </w:tc>
              <w:tc>
                <w:tcPr>
                  <w:tcW w:w="1193" w:type="pct"/>
                  <w:noWrap w:val="0"/>
                  <w:vAlign w:val="center"/>
                </w:tcPr>
                <w:p w14:paraId="67A7C724">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废试剂</w:t>
                  </w:r>
                </w:p>
              </w:tc>
              <w:tc>
                <w:tcPr>
                  <w:tcW w:w="1464" w:type="pct"/>
                  <w:noWrap w:val="0"/>
                  <w:vAlign w:val="center"/>
                </w:tcPr>
                <w:p w14:paraId="507EE8B0">
                  <w:pPr>
                    <w:adjustRightInd w:val="0"/>
                    <w:snapToGrid w:val="0"/>
                    <w:jc w:val="center"/>
                    <w:rPr>
                      <w:color w:val="auto"/>
                      <w:szCs w:val="21"/>
                      <w:highlight w:val="none"/>
                    </w:rPr>
                  </w:pPr>
                  <w:r>
                    <w:rPr>
                      <w:rFonts w:hint="eastAsia"/>
                      <w:color w:val="auto"/>
                      <w:szCs w:val="21"/>
                      <w:highlight w:val="none"/>
                    </w:rPr>
                    <w:t>危险废物</w:t>
                  </w:r>
                </w:p>
                <w:p w14:paraId="3D4F990A">
                  <w:pPr>
                    <w:adjustRightInd w:val="0"/>
                    <w:snapToGrid w:val="0"/>
                    <w:jc w:val="center"/>
                    <w:rPr>
                      <w:rFonts w:hint="default" w:eastAsia="宋体"/>
                      <w:color w:val="auto"/>
                      <w:szCs w:val="21"/>
                      <w:highlight w:val="none"/>
                      <w:lang w:val="en-US" w:eastAsia="zh-CN"/>
                    </w:rPr>
                  </w:pPr>
                  <w:r>
                    <w:rPr>
                      <w:rFonts w:hint="eastAsia"/>
                      <w:color w:val="0000FF"/>
                      <w:szCs w:val="21"/>
                      <w:highlight w:val="none"/>
                    </w:rPr>
                    <w:t>900-0</w:t>
                  </w:r>
                  <w:r>
                    <w:rPr>
                      <w:rFonts w:hint="eastAsia"/>
                      <w:color w:val="0000FF"/>
                      <w:szCs w:val="21"/>
                      <w:highlight w:val="none"/>
                      <w:lang w:val="en-US" w:eastAsia="zh-CN"/>
                    </w:rPr>
                    <w:t>02</w:t>
                  </w:r>
                  <w:r>
                    <w:rPr>
                      <w:rFonts w:hint="eastAsia"/>
                      <w:color w:val="0000FF"/>
                      <w:szCs w:val="21"/>
                      <w:highlight w:val="none"/>
                    </w:rPr>
                    <w:t>-</w:t>
                  </w:r>
                  <w:r>
                    <w:rPr>
                      <w:rFonts w:hint="eastAsia"/>
                      <w:color w:val="0000FF"/>
                      <w:szCs w:val="21"/>
                      <w:highlight w:val="none"/>
                      <w:lang w:val="en-US" w:eastAsia="zh-CN"/>
                    </w:rPr>
                    <w:t>03</w:t>
                  </w:r>
                </w:p>
              </w:tc>
              <w:tc>
                <w:tcPr>
                  <w:tcW w:w="706" w:type="pct"/>
                  <w:noWrap w:val="0"/>
                  <w:vAlign w:val="center"/>
                </w:tcPr>
                <w:p w14:paraId="29943FC2">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0.01t/a</w:t>
                  </w:r>
                </w:p>
              </w:tc>
              <w:tc>
                <w:tcPr>
                  <w:tcW w:w="1216" w:type="pct"/>
                  <w:vMerge w:val="continue"/>
                  <w:noWrap w:val="0"/>
                  <w:vAlign w:val="center"/>
                </w:tcPr>
                <w:p w14:paraId="7B0DEDFC">
                  <w:pPr>
                    <w:adjustRightInd w:val="0"/>
                    <w:snapToGrid w:val="0"/>
                    <w:jc w:val="center"/>
                    <w:rPr>
                      <w:color w:val="auto"/>
                      <w:szCs w:val="21"/>
                      <w:highlight w:val="none"/>
                    </w:rPr>
                  </w:pPr>
                </w:p>
              </w:tc>
            </w:tr>
            <w:tr w14:paraId="563A6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18" w:type="pct"/>
                  <w:noWrap w:val="0"/>
                  <w:vAlign w:val="center"/>
                </w:tcPr>
                <w:p w14:paraId="5DE57346">
                  <w:pPr>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11</w:t>
                  </w:r>
                </w:p>
              </w:tc>
              <w:tc>
                <w:tcPr>
                  <w:tcW w:w="1193" w:type="pct"/>
                  <w:noWrap w:val="0"/>
                  <w:vAlign w:val="center"/>
                </w:tcPr>
                <w:p w14:paraId="5CD0F259">
                  <w:pPr>
                    <w:adjustRightInd w:val="0"/>
                    <w:snapToGrid w:val="0"/>
                    <w:jc w:val="center"/>
                    <w:rPr>
                      <w:rFonts w:hint="eastAsia" w:eastAsia="宋体"/>
                      <w:color w:val="auto"/>
                      <w:szCs w:val="21"/>
                      <w:highlight w:val="none"/>
                      <w:lang w:val="en-US" w:eastAsia="zh-CN"/>
                    </w:rPr>
                  </w:pPr>
                  <w:r>
                    <w:rPr>
                      <w:rFonts w:hint="eastAsia" w:eastAsia="宋体"/>
                      <w:color w:val="auto"/>
                      <w:szCs w:val="21"/>
                      <w:highlight w:val="none"/>
                      <w:lang w:val="en-US" w:eastAsia="zh-CN"/>
                    </w:rPr>
                    <w:t>废过滤介质</w:t>
                  </w:r>
                </w:p>
              </w:tc>
              <w:tc>
                <w:tcPr>
                  <w:tcW w:w="1464" w:type="pct"/>
                  <w:noWrap w:val="0"/>
                  <w:vAlign w:val="center"/>
                </w:tcPr>
                <w:p w14:paraId="3E4B246B">
                  <w:pPr>
                    <w:adjustRightInd w:val="0"/>
                    <w:snapToGrid w:val="0"/>
                    <w:jc w:val="center"/>
                    <w:rPr>
                      <w:color w:val="auto"/>
                      <w:szCs w:val="21"/>
                      <w:highlight w:val="none"/>
                    </w:rPr>
                  </w:pPr>
                  <w:r>
                    <w:rPr>
                      <w:rFonts w:hint="eastAsia"/>
                      <w:color w:val="auto"/>
                      <w:szCs w:val="21"/>
                      <w:highlight w:val="none"/>
                    </w:rPr>
                    <w:t>危险废物</w:t>
                  </w:r>
                </w:p>
                <w:p w14:paraId="79620096">
                  <w:pPr>
                    <w:adjustRightInd w:val="0"/>
                    <w:snapToGrid w:val="0"/>
                    <w:jc w:val="center"/>
                    <w:rPr>
                      <w:rFonts w:hint="eastAsia"/>
                      <w:color w:val="auto"/>
                      <w:szCs w:val="21"/>
                      <w:highlight w:val="none"/>
                    </w:rPr>
                  </w:pPr>
                  <w:r>
                    <w:rPr>
                      <w:rFonts w:hint="eastAsia"/>
                      <w:color w:val="auto"/>
                      <w:szCs w:val="21"/>
                      <w:highlight w:val="none"/>
                    </w:rPr>
                    <w:t>900-04</w:t>
                  </w:r>
                  <w:r>
                    <w:rPr>
                      <w:rFonts w:hint="eastAsia"/>
                      <w:color w:val="auto"/>
                      <w:szCs w:val="21"/>
                      <w:highlight w:val="none"/>
                      <w:lang w:val="en-US" w:eastAsia="zh-CN"/>
                    </w:rPr>
                    <w:t>1</w:t>
                  </w:r>
                  <w:r>
                    <w:rPr>
                      <w:rFonts w:hint="eastAsia"/>
                      <w:color w:val="auto"/>
                      <w:szCs w:val="21"/>
                      <w:highlight w:val="none"/>
                    </w:rPr>
                    <w:t>-49</w:t>
                  </w:r>
                </w:p>
              </w:tc>
              <w:tc>
                <w:tcPr>
                  <w:tcW w:w="706" w:type="pct"/>
                  <w:noWrap w:val="0"/>
                  <w:vAlign w:val="center"/>
                </w:tcPr>
                <w:p w14:paraId="5C974CEE">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0.02t/a</w:t>
                  </w:r>
                </w:p>
              </w:tc>
              <w:tc>
                <w:tcPr>
                  <w:tcW w:w="1216" w:type="pct"/>
                  <w:vMerge w:val="continue"/>
                  <w:noWrap w:val="0"/>
                  <w:vAlign w:val="center"/>
                </w:tcPr>
                <w:p w14:paraId="461ECC45">
                  <w:pPr>
                    <w:adjustRightInd w:val="0"/>
                    <w:snapToGrid w:val="0"/>
                    <w:jc w:val="center"/>
                    <w:rPr>
                      <w:color w:val="auto"/>
                      <w:szCs w:val="21"/>
                      <w:highlight w:val="none"/>
                    </w:rPr>
                  </w:pPr>
                </w:p>
              </w:tc>
            </w:tr>
          </w:tbl>
          <w:p w14:paraId="2F1BEF7C">
            <w:pPr>
              <w:spacing w:line="360" w:lineRule="auto"/>
              <w:ind w:firstLine="482" w:firstLineChars="200"/>
              <w:rPr>
                <w:b/>
                <w:bCs/>
                <w:color w:val="auto"/>
                <w:sz w:val="24"/>
                <w:highlight w:val="none"/>
              </w:rPr>
            </w:pPr>
            <w:r>
              <w:rPr>
                <w:b/>
                <w:bCs/>
                <w:color w:val="auto"/>
                <w:sz w:val="24"/>
                <w:highlight w:val="none"/>
              </w:rPr>
              <w:t>4.4.2固体废物处理处置规范要求</w:t>
            </w:r>
          </w:p>
          <w:p w14:paraId="49BF5386">
            <w:pPr>
              <w:spacing w:line="360" w:lineRule="auto"/>
              <w:ind w:firstLine="482" w:firstLineChars="200"/>
              <w:rPr>
                <w:b/>
                <w:bCs/>
                <w:color w:val="auto"/>
                <w:sz w:val="24"/>
                <w:highlight w:val="none"/>
              </w:rPr>
            </w:pPr>
            <w:r>
              <w:rPr>
                <w:rFonts w:hint="eastAsia"/>
                <w:b/>
                <w:bCs/>
                <w:color w:val="auto"/>
                <w:sz w:val="24"/>
                <w:highlight w:val="none"/>
                <w:lang w:val="en-US" w:eastAsia="zh-CN"/>
              </w:rPr>
              <w:t>（1）</w:t>
            </w:r>
            <w:r>
              <w:rPr>
                <w:b/>
                <w:bCs/>
                <w:color w:val="auto"/>
                <w:sz w:val="24"/>
                <w:highlight w:val="none"/>
              </w:rPr>
              <w:t>一般固体废物处理处置规范要求</w:t>
            </w:r>
          </w:p>
          <w:p w14:paraId="23EB2CC1">
            <w:pPr>
              <w:adjustRightInd w:val="0"/>
              <w:snapToGrid w:val="0"/>
              <w:spacing w:line="360" w:lineRule="auto"/>
              <w:ind w:firstLine="480" w:firstLineChars="200"/>
              <w:rPr>
                <w:color w:val="auto"/>
                <w:sz w:val="24"/>
                <w:highlight w:val="none"/>
              </w:rPr>
            </w:pPr>
            <w:r>
              <w:rPr>
                <w:rFonts w:hint="eastAsia"/>
                <w:color w:val="auto"/>
                <w:sz w:val="24"/>
                <w:highlight w:val="none"/>
              </w:rPr>
              <w:t>本项目需强化废物产生、收集、贮运各环节的管理，杜绝固废在厂区内的散失、渗漏。做好固体废物在厂区内的收集和储存相关防护工作，收集后进行有效处置或者回用。建立完善的规章制度，以降低固体废物散落对周围环境的影响。</w:t>
            </w:r>
          </w:p>
          <w:p w14:paraId="65F41949">
            <w:pPr>
              <w:adjustRightInd w:val="0"/>
              <w:snapToGrid w:val="0"/>
              <w:spacing w:line="360" w:lineRule="auto"/>
              <w:ind w:firstLine="482" w:firstLineChars="200"/>
              <w:rPr>
                <w:b/>
                <w:bCs/>
                <w:color w:val="auto"/>
                <w:sz w:val="24"/>
                <w:highlight w:val="none"/>
              </w:rPr>
            </w:pPr>
            <w:r>
              <w:rPr>
                <w:rFonts w:hint="eastAsia"/>
                <w:b/>
                <w:bCs/>
                <w:color w:val="auto"/>
                <w:sz w:val="24"/>
                <w:highlight w:val="none"/>
                <w:lang w:val="en-US" w:eastAsia="zh-CN"/>
              </w:rPr>
              <w:t>（2）</w:t>
            </w:r>
            <w:r>
              <w:rPr>
                <w:b/>
                <w:bCs/>
                <w:color w:val="auto"/>
                <w:sz w:val="24"/>
                <w:highlight w:val="none"/>
              </w:rPr>
              <w:t>危险废物处理处置规范要求</w:t>
            </w:r>
          </w:p>
          <w:p w14:paraId="353AC51B">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根据《危险废物贮存污染控制标准》（GB18597-20</w:t>
            </w:r>
            <w:r>
              <w:rPr>
                <w:rFonts w:hint="eastAsia"/>
                <w:color w:val="auto"/>
                <w:sz w:val="24"/>
                <w:highlight w:val="none"/>
                <w:lang w:val="en-US" w:eastAsia="zh-CN"/>
              </w:rPr>
              <w:t>23</w:t>
            </w:r>
            <w:r>
              <w:rPr>
                <w:rFonts w:hint="eastAsia"/>
                <w:color w:val="auto"/>
                <w:sz w:val="24"/>
                <w:highlight w:val="none"/>
              </w:rPr>
              <w:t>）中要求，本环评本项目的</w:t>
            </w:r>
            <w:r>
              <w:rPr>
                <w:rFonts w:hint="eastAsia"/>
                <w:color w:val="auto"/>
                <w:sz w:val="24"/>
                <w:highlight w:val="none"/>
                <w:lang w:val="en-US" w:eastAsia="zh-CN"/>
              </w:rPr>
              <w:t>危废贮存库</w:t>
            </w:r>
            <w:r>
              <w:rPr>
                <w:rFonts w:hint="eastAsia"/>
                <w:color w:val="auto"/>
                <w:sz w:val="24"/>
                <w:highlight w:val="none"/>
              </w:rPr>
              <w:t>的设置和危险废物的管理提出以下要求。</w:t>
            </w:r>
          </w:p>
          <w:p w14:paraId="7A3C8978">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①</w:t>
            </w:r>
            <w:r>
              <w:rPr>
                <w:rFonts w:hint="eastAsia"/>
                <w:color w:val="auto"/>
                <w:sz w:val="24"/>
                <w:highlight w:val="none"/>
                <w:lang w:val="en-US" w:eastAsia="zh-CN"/>
              </w:rPr>
              <w:t>危废贮存库</w:t>
            </w:r>
            <w:r>
              <w:rPr>
                <w:rFonts w:hint="eastAsia"/>
                <w:color w:val="auto"/>
                <w:sz w:val="24"/>
                <w:highlight w:val="none"/>
              </w:rPr>
              <w:t>设置要求</w:t>
            </w:r>
          </w:p>
          <w:p w14:paraId="79F0686E">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本项目</w:t>
            </w:r>
            <w:r>
              <w:rPr>
                <w:rFonts w:hint="eastAsia"/>
                <w:color w:val="auto"/>
                <w:sz w:val="24"/>
                <w:highlight w:val="none"/>
                <w:lang w:val="en-US" w:eastAsia="zh-CN"/>
              </w:rPr>
              <w:t>新增危废贮存库</w:t>
            </w:r>
            <w:r>
              <w:rPr>
                <w:rFonts w:hint="eastAsia"/>
                <w:color w:val="auto"/>
                <w:sz w:val="24"/>
                <w:highlight w:val="none"/>
              </w:rPr>
              <w:t>应作好相应的防雨防渗防漏及防散失处理，并设置明显标志，分类收集，同时应及时、妥善清运危废，尽量减少危废临时贮存量。项目危废暂存间将严格按照《危险废物储存污染控制标准》的要求设计，做好防渗、防漏、防晒，防止二次污染。地面采用坚固、防渗、耐腐蚀的材料建造。危险废物定期由有资质单位处置。</w:t>
            </w:r>
          </w:p>
          <w:p w14:paraId="66B63837">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②危险废弃物管理要求</w:t>
            </w:r>
          </w:p>
          <w:p w14:paraId="3626EA1F">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实验室内设置相应的危险废物收集桶，各类实验废液应严格按照分类收集的原则采取不同的塑料桶收集，并对塑料桶收集容器进行规范标示；收集实验废液的塑料桶位置应固定，并在塑料桶周围设置围堰，防止塑料桶破损渗漏；对于破损的废塑料桶应一并作为危险废物交由资质单位处置；各实验室的危废塑料收集桶应设置明显标志，危废塑料收集桶内禁止混放不相容危险废物；项目产生的危险废物应由专人负责管理，并落实管理责任，建立危险废物产生、外运、处置及最终去向的详细台账。在危废暂存间内对各类危废进行分类堆存，做好危废间的防渗、防雨、防漏、防晒处理定期由供货单位统一运输。危险废物全部暂存于</w:t>
            </w:r>
            <w:r>
              <w:rPr>
                <w:rFonts w:hint="eastAsia"/>
                <w:color w:val="auto"/>
                <w:sz w:val="24"/>
                <w:highlight w:val="none"/>
                <w:lang w:val="en-US" w:eastAsia="zh-CN"/>
              </w:rPr>
              <w:t>危废贮存库</w:t>
            </w:r>
            <w:r>
              <w:rPr>
                <w:rFonts w:hint="eastAsia"/>
                <w:color w:val="auto"/>
                <w:sz w:val="24"/>
                <w:highlight w:val="none"/>
              </w:rPr>
              <w:t>内，做到防渗、防雨、防漏、防晒。</w:t>
            </w:r>
          </w:p>
          <w:p w14:paraId="033C74DC">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上述危险废弃物的收集和管理，</w:t>
            </w:r>
            <w:r>
              <w:rPr>
                <w:rFonts w:hint="eastAsia"/>
                <w:color w:val="auto"/>
                <w:sz w:val="24"/>
                <w:highlight w:val="none"/>
                <w:lang w:val="en-US" w:eastAsia="zh-CN"/>
              </w:rPr>
              <w:t>单位</w:t>
            </w:r>
            <w:r>
              <w:rPr>
                <w:rFonts w:hint="eastAsia"/>
                <w:color w:val="auto"/>
                <w:sz w:val="24"/>
                <w:highlight w:val="none"/>
              </w:rPr>
              <w:t>将委派专人负责，各种废弃物的储存容器都要有很好的密封性，危废临时储存场所按照《危险废物贮存污染控制标准》（GB18597-20</w:t>
            </w:r>
            <w:r>
              <w:rPr>
                <w:rFonts w:hint="eastAsia"/>
                <w:color w:val="auto"/>
                <w:sz w:val="24"/>
                <w:highlight w:val="none"/>
                <w:lang w:val="en-US" w:eastAsia="zh-CN"/>
              </w:rPr>
              <w:t>23</w:t>
            </w:r>
            <w:r>
              <w:rPr>
                <w:rFonts w:hint="eastAsia"/>
                <w:color w:val="auto"/>
                <w:sz w:val="24"/>
                <w:highlight w:val="none"/>
              </w:rPr>
              <w:t>）相关要求进行防渗、防雨、防漏、防晒处理，安全可靠，可有效地防止了临时存放过程中的二次污染。</w:t>
            </w:r>
          </w:p>
          <w:p w14:paraId="6CA3E73B">
            <w:pPr>
              <w:adjustRightInd w:val="0"/>
              <w:snapToGrid w:val="0"/>
              <w:spacing w:line="360" w:lineRule="auto"/>
              <w:ind w:firstLine="480" w:firstLineChars="200"/>
              <w:rPr>
                <w:color w:val="auto"/>
                <w:sz w:val="24"/>
                <w:highlight w:val="none"/>
              </w:rPr>
            </w:pPr>
            <w:r>
              <w:rPr>
                <w:color w:val="auto"/>
                <w:sz w:val="24"/>
                <w:highlight w:val="none"/>
              </w:rPr>
              <w:t>综上所述，本项目产生的固体废弃物经上述处理处置后，处理处置率达100％，符合国家固体废弃物处理处置政策，不会产生二次污染，不会对环境产生不利影响。</w:t>
            </w:r>
          </w:p>
          <w:p w14:paraId="23C81FB5">
            <w:pPr>
              <w:adjustRightInd w:val="0"/>
              <w:snapToGrid w:val="0"/>
              <w:spacing w:line="360" w:lineRule="auto"/>
              <w:ind w:firstLine="482" w:firstLineChars="200"/>
              <w:rPr>
                <w:b/>
                <w:bCs/>
                <w:color w:val="auto"/>
                <w:sz w:val="24"/>
                <w:highlight w:val="none"/>
              </w:rPr>
            </w:pPr>
            <w:r>
              <w:rPr>
                <w:b/>
                <w:bCs/>
                <w:color w:val="auto"/>
                <w:sz w:val="24"/>
                <w:highlight w:val="none"/>
              </w:rPr>
              <w:t>4.5地下水、土壤</w:t>
            </w:r>
          </w:p>
          <w:p w14:paraId="4BC62F0F">
            <w:pPr>
              <w:pStyle w:val="34"/>
              <w:ind w:firstLine="484" w:firstLineChars="200"/>
              <w:rPr>
                <w:rFonts w:hAnsi="Times New Roman"/>
                <w:color w:val="auto"/>
                <w:szCs w:val="24"/>
                <w:highlight w:val="none"/>
              </w:rPr>
            </w:pPr>
            <w:r>
              <w:rPr>
                <w:rFonts w:hAnsi="Times New Roman"/>
                <w:color w:val="auto"/>
                <w:szCs w:val="24"/>
                <w:highlight w:val="none"/>
                <w:lang w:bidi="en-US"/>
              </w:rPr>
              <w:t>本项目</w:t>
            </w:r>
            <w:r>
              <w:rPr>
                <w:rFonts w:hint="eastAsia" w:hAnsi="Times New Roman"/>
                <w:color w:val="auto"/>
                <w:szCs w:val="24"/>
                <w:highlight w:val="none"/>
                <w:lang w:val="en-US" w:eastAsia="zh-CN" w:bidi="en-US"/>
              </w:rPr>
              <w:t>实验场所</w:t>
            </w:r>
            <w:r>
              <w:rPr>
                <w:rFonts w:hAnsi="Times New Roman"/>
                <w:color w:val="auto"/>
                <w:szCs w:val="24"/>
                <w:highlight w:val="none"/>
                <w:lang w:bidi="en-US"/>
              </w:rPr>
              <w:t>地面已进行硬化处理</w:t>
            </w:r>
            <w:r>
              <w:rPr>
                <w:rFonts w:hint="eastAsia" w:hAnsi="Times New Roman"/>
                <w:color w:val="auto"/>
                <w:szCs w:val="24"/>
                <w:highlight w:val="none"/>
                <w:lang w:eastAsia="zh-CN" w:bidi="en-US"/>
              </w:rPr>
              <w:t>，</w:t>
            </w:r>
            <w:r>
              <w:rPr>
                <w:rFonts w:hAnsi="Times New Roman"/>
                <w:color w:val="auto"/>
                <w:szCs w:val="24"/>
                <w:highlight w:val="none"/>
                <w:lang w:bidi="en-US"/>
              </w:rPr>
              <w:t>本项目环评要求对</w:t>
            </w:r>
            <w:r>
              <w:rPr>
                <w:rFonts w:hint="eastAsia" w:hAnsi="Times New Roman"/>
                <w:color w:val="auto"/>
                <w:szCs w:val="24"/>
                <w:highlight w:val="none"/>
                <w:lang w:val="en-US" w:eastAsia="zh-CN" w:bidi="en-US"/>
              </w:rPr>
              <w:t>危险化学品库、</w:t>
            </w:r>
            <w:r>
              <w:rPr>
                <w:rFonts w:hAnsi="Times New Roman"/>
                <w:color w:val="auto"/>
                <w:szCs w:val="24"/>
                <w:highlight w:val="none"/>
                <w:lang w:bidi="en-US"/>
              </w:rPr>
              <w:t>危废</w:t>
            </w:r>
            <w:r>
              <w:rPr>
                <w:rFonts w:hint="eastAsia" w:hAnsi="Times New Roman"/>
                <w:color w:val="auto"/>
                <w:szCs w:val="24"/>
                <w:highlight w:val="none"/>
                <w:lang w:val="en-US" w:eastAsia="zh-CN" w:bidi="en-US"/>
              </w:rPr>
              <w:t>贮存库已按照</w:t>
            </w:r>
            <w:r>
              <w:rPr>
                <w:rFonts w:hint="eastAsia" w:ascii="Times New Roman" w:hAnsi="Times New Roman" w:eastAsia="宋体" w:cs="Times New Roman"/>
                <w:color w:val="auto"/>
                <w:spacing w:val="0"/>
                <w:sz w:val="24"/>
                <w:szCs w:val="24"/>
                <w:highlight w:val="none"/>
                <w:lang w:val="en-US" w:eastAsia="zh-CN"/>
              </w:rPr>
              <w:t>《环境影响评价技术导则地下水环境》（HJ610-2016）重点防渗区及设计要求做好了防渗防腐措施，</w:t>
            </w:r>
            <w:r>
              <w:rPr>
                <w:rFonts w:hAnsi="Times New Roman"/>
                <w:color w:val="auto"/>
                <w:szCs w:val="24"/>
                <w:highlight w:val="none"/>
                <w:lang w:bidi="en-US"/>
              </w:rPr>
              <w:t>日常运营中加强管理，严格按照危废管理制度和危废贮存要求贮存，严格按照危化品管理制度和贮存要求贮存，采取措施后，基本切断了跑、冒、滴、漏的物料进入土壤和地下水的途径，污染物一般不会直接渗入地下土壤进而污染地下水。因此，在落实以上措施后</w:t>
            </w:r>
            <w:r>
              <w:rPr>
                <w:rFonts w:hint="eastAsia" w:hAnsi="Times New Roman"/>
                <w:color w:val="auto"/>
                <w:szCs w:val="24"/>
                <w:highlight w:val="none"/>
                <w:lang w:val="en-US" w:eastAsia="zh-CN" w:bidi="en-US"/>
              </w:rPr>
              <w:t>不会对</w:t>
            </w:r>
            <w:r>
              <w:rPr>
                <w:rFonts w:hint="eastAsia" w:ascii="Times New Roman" w:hAnsi="Times New Roman" w:eastAsia="宋体" w:cs="Times New Roman"/>
                <w:color w:val="auto"/>
                <w:spacing w:val="0"/>
                <w:sz w:val="24"/>
                <w:szCs w:val="24"/>
                <w:highlight w:val="none"/>
                <w:lang w:val="en-US" w:eastAsia="zh-CN"/>
              </w:rPr>
              <w:t>区域土壤和地下水环境影响较小。</w:t>
            </w:r>
          </w:p>
          <w:p w14:paraId="44ADE1E9">
            <w:pPr>
              <w:adjustRightInd w:val="0"/>
              <w:snapToGrid w:val="0"/>
              <w:spacing w:line="360" w:lineRule="auto"/>
              <w:ind w:firstLine="482" w:firstLineChars="200"/>
              <w:rPr>
                <w:rFonts w:hint="default" w:eastAsia="宋体"/>
                <w:b/>
                <w:bCs/>
                <w:color w:val="auto"/>
                <w:sz w:val="24"/>
                <w:highlight w:val="none"/>
                <w:lang w:val="en-US" w:eastAsia="zh-CN"/>
              </w:rPr>
            </w:pPr>
            <w:r>
              <w:rPr>
                <w:b/>
                <w:bCs/>
                <w:color w:val="auto"/>
                <w:sz w:val="24"/>
                <w:highlight w:val="none"/>
              </w:rPr>
              <w:t>4.</w:t>
            </w:r>
            <w:r>
              <w:rPr>
                <w:rFonts w:hint="eastAsia"/>
                <w:b/>
                <w:bCs/>
                <w:color w:val="auto"/>
                <w:sz w:val="24"/>
                <w:highlight w:val="none"/>
                <w:lang w:val="en-US" w:eastAsia="zh-CN"/>
              </w:rPr>
              <w:t>6生态环境</w:t>
            </w:r>
          </w:p>
          <w:p w14:paraId="558A3C64">
            <w:pPr>
              <w:adjustRightInd w:val="0"/>
              <w:snapToGrid w:val="0"/>
              <w:spacing w:line="360" w:lineRule="auto"/>
              <w:ind w:firstLine="480" w:firstLineChars="200"/>
              <w:rPr>
                <w:rFonts w:hint="eastAsia" w:ascii="Times New Roman" w:hAnsi="Times New Roman" w:eastAsia="宋体" w:cs="Times New Roman"/>
                <w:color w:val="auto"/>
                <w:spacing w:val="0"/>
                <w:sz w:val="24"/>
                <w:szCs w:val="24"/>
                <w:highlight w:val="none"/>
                <w:lang w:val="en-US" w:eastAsia="zh-CN"/>
              </w:rPr>
            </w:pPr>
            <w:r>
              <w:rPr>
                <w:rFonts w:hint="eastAsia" w:ascii="Times New Roman" w:hAnsi="Times New Roman" w:eastAsia="宋体" w:cs="Times New Roman"/>
                <w:color w:val="auto"/>
                <w:spacing w:val="0"/>
                <w:sz w:val="24"/>
                <w:szCs w:val="24"/>
                <w:highlight w:val="none"/>
                <w:lang w:val="en-US" w:eastAsia="zh-CN"/>
              </w:rPr>
              <w:t>本项目占地范围内无生态环境保护目标，本次评价不做生态环境影响分析。</w:t>
            </w:r>
          </w:p>
          <w:p w14:paraId="08E8393E">
            <w:pPr>
              <w:adjustRightInd w:val="0"/>
              <w:snapToGrid w:val="0"/>
              <w:spacing w:line="360" w:lineRule="auto"/>
              <w:ind w:firstLine="482" w:firstLineChars="200"/>
              <w:rPr>
                <w:b/>
                <w:bCs/>
                <w:color w:val="auto"/>
                <w:sz w:val="24"/>
                <w:highlight w:val="none"/>
              </w:rPr>
            </w:pPr>
            <w:r>
              <w:rPr>
                <w:b/>
                <w:bCs/>
                <w:color w:val="auto"/>
                <w:sz w:val="24"/>
                <w:highlight w:val="none"/>
              </w:rPr>
              <w:t>4.</w:t>
            </w:r>
            <w:r>
              <w:rPr>
                <w:rFonts w:hint="eastAsia"/>
                <w:b/>
                <w:bCs/>
                <w:color w:val="auto"/>
                <w:sz w:val="24"/>
                <w:highlight w:val="none"/>
                <w:lang w:val="en-US" w:eastAsia="zh-CN"/>
              </w:rPr>
              <w:t>7</w:t>
            </w:r>
            <w:r>
              <w:rPr>
                <w:b/>
                <w:bCs/>
                <w:color w:val="auto"/>
                <w:sz w:val="24"/>
                <w:highlight w:val="none"/>
              </w:rPr>
              <w:t>环境风险</w:t>
            </w:r>
          </w:p>
          <w:p w14:paraId="1F31A3FB">
            <w:pPr>
              <w:adjustRightInd w:val="0"/>
              <w:spacing w:line="360" w:lineRule="auto"/>
              <w:ind w:firstLine="482" w:firstLineChars="200"/>
              <w:rPr>
                <w:b/>
                <w:bCs/>
                <w:color w:val="auto"/>
                <w:sz w:val="24"/>
                <w:highlight w:val="none"/>
              </w:rPr>
            </w:pPr>
            <w:r>
              <w:rPr>
                <w:b/>
                <w:bCs/>
                <w:color w:val="auto"/>
                <w:sz w:val="24"/>
                <w:highlight w:val="none"/>
              </w:rPr>
              <w:t>（1）风险调查</w:t>
            </w:r>
          </w:p>
          <w:p w14:paraId="5859C43B">
            <w:pPr>
              <w:adjustRightInd w:val="0"/>
              <w:snapToGrid w:val="0"/>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sz w:val="24"/>
                <w:szCs w:val="24"/>
                <w:highlight w:val="none"/>
                <w:lang w:val="en-US" w:eastAsia="zh-CN"/>
              </w:rPr>
              <w:t>按照《建设项目环境风险技术导则》（HJ 169-2018）附录中附录B中确定的突发环境事件风险物质</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kern w:val="0"/>
                <w:sz w:val="24"/>
                <w:highlight w:val="none"/>
              </w:rPr>
              <w:t>根据《建设项目环境风险评价技术导则》（HJ</w:t>
            </w:r>
            <w:r>
              <w:rPr>
                <w:rFonts w:hint="default" w:ascii="Times New Roman" w:hAnsi="Times New Roman" w:eastAsia="宋体" w:cs="Times New Roman"/>
                <w:color w:val="auto"/>
                <w:kern w:val="0"/>
                <w:sz w:val="24"/>
                <w:highlight w:val="none"/>
                <w:lang w:val="en-US" w:eastAsia="zh-CN"/>
              </w:rPr>
              <w:t xml:space="preserve"> </w:t>
            </w:r>
            <w:r>
              <w:rPr>
                <w:rFonts w:hint="default" w:ascii="Times New Roman" w:hAnsi="Times New Roman" w:eastAsia="宋体" w:cs="Times New Roman"/>
                <w:color w:val="auto"/>
                <w:kern w:val="0"/>
                <w:sz w:val="24"/>
                <w:highlight w:val="none"/>
              </w:rPr>
              <w:t>169-2018）附录C</w:t>
            </w:r>
            <w:r>
              <w:rPr>
                <w:rFonts w:hint="eastAsia"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rPr>
              <w:t>当存在多种危险物质时，按下式计算物质总量与其临界量的比值（Q）：</w:t>
            </w:r>
          </w:p>
          <w:p w14:paraId="3BE143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highlight w:val="none"/>
              </w:rPr>
            </w:pPr>
            <m:oMathPara>
              <m:oMath>
                <m:r>
                  <m:rPr/>
                  <w:rPr>
                    <w:rFonts w:ascii="Cambria Math" w:hAnsi="Cambria Math"/>
                    <w:color w:val="auto"/>
                    <w:highlight w:val="none"/>
                  </w:rPr>
                  <m:t>Q=</m:t>
                </m:r>
                <m:f>
                  <m:fPr>
                    <m:ctrlPr>
                      <w:rPr>
                        <w:rFonts w:ascii="Cambria Math" w:hAnsi="Cambria Math"/>
                        <w:i/>
                        <w:color w:val="auto"/>
                        <w:highlight w:val="none"/>
                      </w:rPr>
                    </m:ctrlPr>
                  </m:fPr>
                  <m:num>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1</m:t>
                        </m:r>
                        <m:ctrlPr>
                          <w:rPr>
                            <w:rFonts w:ascii="Cambria Math" w:hAnsi="Cambria Math"/>
                            <w:color w:val="auto"/>
                            <w:highlight w:val="none"/>
                          </w:rPr>
                        </m:ctrlPr>
                      </m:sub>
                    </m:sSub>
                    <m:ctrlPr>
                      <w:rPr>
                        <w:rFonts w:ascii="Cambria Math" w:hAnsi="Cambria Math"/>
                        <w:i/>
                        <w:color w:val="auto"/>
                        <w:highlight w:val="none"/>
                      </w:rPr>
                    </m:ctrlPr>
                  </m:num>
                  <m:den>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1</m:t>
                        </m:r>
                        <m:ctrlPr>
                          <w:rPr>
                            <w:rFonts w:ascii="Cambria Math" w:hAnsi="Cambria Math"/>
                            <w:color w:val="auto"/>
                            <w:highlight w:val="none"/>
                          </w:rPr>
                        </m:ctrlPr>
                      </m:sub>
                    </m:sSub>
                    <m:ctrlPr>
                      <w:rPr>
                        <w:rFonts w:ascii="Cambria Math" w:hAnsi="Cambria Math"/>
                        <w:i/>
                        <w:color w:val="auto"/>
                        <w:highlight w:val="none"/>
                      </w:rPr>
                    </m:ctrlPr>
                  </m:den>
                </m:f>
                <m:r>
                  <m:rPr/>
                  <w:rPr>
                    <w:rFonts w:ascii="Cambria Math" w:hAnsi="Cambria Math"/>
                    <w:color w:val="auto"/>
                    <w:highlight w:val="none"/>
                  </w:rPr>
                  <m:t>+</m:t>
                </m:r>
                <m:f>
                  <m:fPr>
                    <m:ctrlPr>
                      <w:rPr>
                        <w:rFonts w:ascii="Cambria Math" w:hAnsi="Cambria Math"/>
                        <w:i/>
                        <w:color w:val="auto"/>
                        <w:highlight w:val="none"/>
                      </w:rPr>
                    </m:ctrlPr>
                  </m:fPr>
                  <m:num>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2</m:t>
                        </m:r>
                        <m:ctrlPr>
                          <w:rPr>
                            <w:rFonts w:ascii="Cambria Math" w:hAnsi="Cambria Math"/>
                            <w:color w:val="auto"/>
                            <w:highlight w:val="none"/>
                          </w:rPr>
                        </m:ctrlPr>
                      </m:sub>
                    </m:sSub>
                    <m:ctrlPr>
                      <w:rPr>
                        <w:rFonts w:ascii="Cambria Math" w:hAnsi="Cambria Math"/>
                        <w:i/>
                        <w:color w:val="auto"/>
                        <w:highlight w:val="none"/>
                      </w:rPr>
                    </m:ctrlPr>
                  </m:num>
                  <m:den>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2</m:t>
                        </m:r>
                        <m:ctrlPr>
                          <w:rPr>
                            <w:rFonts w:ascii="Cambria Math" w:hAnsi="Cambria Math"/>
                            <w:color w:val="auto"/>
                            <w:highlight w:val="none"/>
                          </w:rPr>
                        </m:ctrlPr>
                      </m:sub>
                    </m:sSub>
                    <m:ctrlPr>
                      <w:rPr>
                        <w:rFonts w:ascii="Cambria Math" w:hAnsi="Cambria Math"/>
                        <w:i/>
                        <w:color w:val="auto"/>
                        <w:highlight w:val="none"/>
                      </w:rPr>
                    </m:ctrlPr>
                  </m:den>
                </m:f>
                <m:r>
                  <m:rPr/>
                  <w:rPr>
                    <w:rFonts w:ascii="Cambria Math" w:hAnsi="Cambria Math"/>
                    <w:color w:val="auto"/>
                    <w:highlight w:val="none"/>
                  </w:rPr>
                  <m:t>+⋯</m:t>
                </m:r>
                <m:f>
                  <m:fPr>
                    <m:ctrlPr>
                      <w:rPr>
                        <w:rFonts w:ascii="Cambria Math" w:hAnsi="Cambria Math"/>
                        <w:i/>
                        <w:color w:val="auto"/>
                        <w:highlight w:val="none"/>
                      </w:rPr>
                    </m:ctrlPr>
                  </m:fPr>
                  <m:num>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n</m:t>
                        </m:r>
                        <m:ctrlPr>
                          <w:rPr>
                            <w:rFonts w:ascii="Cambria Math" w:hAnsi="Cambria Math"/>
                            <w:color w:val="auto"/>
                            <w:highlight w:val="none"/>
                          </w:rPr>
                        </m:ctrlPr>
                      </m:sub>
                    </m:sSub>
                    <m:ctrlPr>
                      <w:rPr>
                        <w:rFonts w:ascii="Cambria Math" w:hAnsi="Cambria Math"/>
                        <w:i/>
                        <w:color w:val="auto"/>
                        <w:highlight w:val="none"/>
                      </w:rPr>
                    </m:ctrlPr>
                  </m:num>
                  <m:den>
                    <m:sSub>
                      <m:sSubPr>
                        <m:ctrlPr>
                          <w:rPr>
                            <w:rFonts w:ascii="Cambria Math" w:hAnsi="Cambria Math"/>
                            <w:i/>
                            <w:color w:val="auto"/>
                            <w:highlight w:val="none"/>
                          </w:rPr>
                        </m:ctrlPr>
                      </m:sSubPr>
                      <m:e>
                        <m:r>
                          <m:rPr/>
                          <w:rPr>
                            <w:rFonts w:ascii="Cambria Math" w:hAnsi="Cambria Math"/>
                            <w:color w:val="auto"/>
                            <w:highlight w:val="none"/>
                          </w:rPr>
                          <m:t>Q</m:t>
                        </m:r>
                        <m:ctrlPr>
                          <w:rPr>
                            <w:rFonts w:ascii="Cambria Math" w:hAnsi="Cambria Math"/>
                            <w:color w:val="auto"/>
                            <w:highlight w:val="none"/>
                          </w:rPr>
                        </m:ctrlPr>
                      </m:e>
                      <m:sub>
                        <m:r>
                          <m:rPr/>
                          <w:rPr>
                            <w:rFonts w:ascii="Cambria Math" w:hAnsi="Cambria Math"/>
                            <w:color w:val="auto"/>
                            <w:highlight w:val="none"/>
                          </w:rPr>
                          <m:t>n</m:t>
                        </m:r>
                        <m:ctrlPr>
                          <w:rPr>
                            <w:rFonts w:ascii="Cambria Math" w:hAnsi="Cambria Math"/>
                            <w:color w:val="auto"/>
                            <w:highlight w:val="none"/>
                          </w:rPr>
                        </m:ctrlPr>
                      </m:sub>
                    </m:sSub>
                    <m:ctrlPr>
                      <w:rPr>
                        <w:rFonts w:ascii="Cambria Math" w:hAnsi="Cambria Math"/>
                        <w:i/>
                        <w:color w:val="auto"/>
                        <w:highlight w:val="none"/>
                      </w:rPr>
                    </m:ctrlPr>
                  </m:den>
                </m:f>
              </m:oMath>
            </m:oMathPara>
          </w:p>
          <w:p w14:paraId="0F930A2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1</w:t>
            </w: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2</w:t>
            </w: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n</w:t>
            </w:r>
            <w:r>
              <w:rPr>
                <w:rFonts w:hint="default" w:ascii="Times New Roman" w:hAnsi="Times New Roman" w:eastAsia="宋体" w:cs="Times New Roman"/>
                <w:color w:val="auto"/>
                <w:sz w:val="24"/>
                <w:highlight w:val="none"/>
              </w:rPr>
              <w:t>—每种危险物质的最大存在量，t；</w:t>
            </w:r>
          </w:p>
          <w:p w14:paraId="217D5F43">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1</w:t>
            </w: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2</w:t>
            </w:r>
            <w:r>
              <w:rPr>
                <w:rFonts w:hint="default" w:ascii="Times New Roman" w:hAnsi="Times New Roman" w:eastAsia="宋体" w:cs="Times New Roman"/>
                <w:i/>
                <w:color w:val="auto"/>
                <w:sz w:val="24"/>
                <w:highlight w:val="none"/>
              </w:rPr>
              <w:t>,…Q</w:t>
            </w:r>
            <w:r>
              <w:rPr>
                <w:rFonts w:hint="default" w:ascii="Times New Roman" w:hAnsi="Times New Roman" w:eastAsia="宋体" w:cs="Times New Roman"/>
                <w:i/>
                <w:color w:val="auto"/>
                <w:sz w:val="24"/>
                <w:highlight w:val="none"/>
                <w:vertAlign w:val="subscript"/>
              </w:rPr>
              <w:t>n</w:t>
            </w:r>
            <w:r>
              <w:rPr>
                <w:rFonts w:hint="default" w:ascii="Times New Roman" w:hAnsi="Times New Roman" w:eastAsia="宋体" w:cs="Times New Roman"/>
                <w:color w:val="auto"/>
                <w:sz w:val="24"/>
                <w:highlight w:val="none"/>
              </w:rPr>
              <w:t>—每种危险物质的临界量，t。</w:t>
            </w:r>
          </w:p>
          <w:p w14:paraId="15742C33">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当Q＜1时，该项目环境风险潜势为Ⅰ。</w:t>
            </w:r>
          </w:p>
          <w:p w14:paraId="56896030">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当Q≥1时，将Q值划分为：1≤Q＜10；10≤Q＜100；Q≥100。</w:t>
            </w:r>
          </w:p>
          <w:p w14:paraId="3EDC92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环境风险判别结果见表4-</w:t>
            </w:r>
            <w:r>
              <w:rPr>
                <w:rFonts w:hint="eastAsia"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lang w:val="en-US" w:eastAsia="zh-CN"/>
              </w:rPr>
              <w:t>。</w:t>
            </w:r>
          </w:p>
          <w:p w14:paraId="64EAD028">
            <w:pPr>
              <w:pStyle w:val="110"/>
              <w:numPr>
                <w:ilvl w:val="0"/>
                <w:numId w:val="0"/>
              </w:numP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表4-</w:t>
            </w:r>
            <w:r>
              <w:rPr>
                <w:rFonts w:hint="eastAsia" w:ascii="Times New Roman" w:hAnsi="Times New Roman" w:eastAsia="宋体" w:cs="Times New Roman"/>
                <w:b/>
                <w:color w:val="auto"/>
                <w:kern w:val="0"/>
                <w:sz w:val="21"/>
                <w:szCs w:val="21"/>
                <w:highlight w:val="none"/>
                <w:lang w:val="en-US" w:eastAsia="zh-CN" w:bidi="ar-SA"/>
              </w:rPr>
              <w:t>1</w:t>
            </w:r>
            <w:r>
              <w:rPr>
                <w:rFonts w:hint="eastAsia" w:cs="Times New Roman"/>
                <w:b/>
                <w:color w:val="auto"/>
                <w:kern w:val="0"/>
                <w:sz w:val="21"/>
                <w:szCs w:val="21"/>
                <w:highlight w:val="none"/>
                <w:lang w:val="en-US" w:eastAsia="zh-CN" w:bidi="ar-SA"/>
              </w:rPr>
              <w:t>7</w:t>
            </w:r>
            <w:r>
              <w:rPr>
                <w:rFonts w:hint="default" w:ascii="Times New Roman" w:hAnsi="Times New Roman" w:eastAsia="宋体" w:cs="Times New Roman"/>
                <w:b/>
                <w:color w:val="auto"/>
                <w:kern w:val="0"/>
                <w:sz w:val="21"/>
                <w:szCs w:val="21"/>
                <w:highlight w:val="none"/>
                <w:lang w:val="en-US" w:eastAsia="zh-CN" w:bidi="ar-SA"/>
              </w:rPr>
              <w:t xml:space="preserve">    环境风险判别结果表</w:t>
            </w:r>
          </w:p>
          <w:tbl>
            <w:tblPr>
              <w:tblStyle w:val="27"/>
              <w:tblW w:w="79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2319"/>
              <w:gridCol w:w="1697"/>
              <w:gridCol w:w="1985"/>
            </w:tblGrid>
            <w:tr w14:paraId="4A9DD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0731230D">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风险物质名称</w:t>
                  </w:r>
                </w:p>
              </w:tc>
              <w:tc>
                <w:tcPr>
                  <w:tcW w:w="2319" w:type="dxa"/>
                  <w:tcBorders>
                    <w:tl2br w:val="nil"/>
                    <w:tr2bl w:val="nil"/>
                  </w:tcBorders>
                  <w:noWrap w:val="0"/>
                  <w:vAlign w:val="center"/>
                </w:tcPr>
                <w:p w14:paraId="12AEF2E5">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厂内最大</w:t>
                  </w:r>
                  <w:r>
                    <w:rPr>
                      <w:rFonts w:hint="eastAsia" w:ascii="Times New Roman" w:cs="Times New Roman"/>
                      <w:b/>
                      <w:bCs/>
                      <w:color w:val="auto"/>
                      <w:sz w:val="21"/>
                      <w:szCs w:val="21"/>
                      <w:highlight w:val="none"/>
                      <w:lang w:val="en-US" w:eastAsia="zh-CN"/>
                    </w:rPr>
                    <w:t>在线</w:t>
                  </w:r>
                  <w:r>
                    <w:rPr>
                      <w:rFonts w:hint="default" w:ascii="Times New Roman" w:hAnsi="Times New Roman" w:eastAsia="宋体" w:cs="Times New Roman"/>
                      <w:b/>
                      <w:bCs/>
                      <w:color w:val="auto"/>
                      <w:sz w:val="21"/>
                      <w:szCs w:val="21"/>
                      <w:highlight w:val="none"/>
                      <w:lang w:val="en-US" w:eastAsia="zh-CN"/>
                    </w:rPr>
                    <w:t>量q（t）</w:t>
                  </w:r>
                </w:p>
              </w:tc>
              <w:tc>
                <w:tcPr>
                  <w:tcW w:w="1697" w:type="dxa"/>
                  <w:tcBorders>
                    <w:tl2br w:val="nil"/>
                    <w:tr2bl w:val="nil"/>
                  </w:tcBorders>
                  <w:noWrap w:val="0"/>
                  <w:vAlign w:val="center"/>
                </w:tcPr>
                <w:p w14:paraId="2B8D15B3">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临界量Q（t）</w:t>
                  </w:r>
                </w:p>
              </w:tc>
              <w:tc>
                <w:tcPr>
                  <w:tcW w:w="1985" w:type="dxa"/>
                  <w:tcBorders>
                    <w:tl2br w:val="nil"/>
                    <w:tr2bl w:val="nil"/>
                  </w:tcBorders>
                  <w:noWrap w:val="0"/>
                  <w:vAlign w:val="center"/>
                </w:tcPr>
                <w:p w14:paraId="4E460761">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q/Q</w:t>
                  </w:r>
                </w:p>
              </w:tc>
            </w:tr>
            <w:tr w14:paraId="17CD0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7106690C">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盐酸</w:t>
                  </w:r>
                </w:p>
              </w:tc>
              <w:tc>
                <w:tcPr>
                  <w:tcW w:w="2319" w:type="dxa"/>
                  <w:tcBorders>
                    <w:tl2br w:val="nil"/>
                    <w:tr2bl w:val="nil"/>
                  </w:tcBorders>
                  <w:noWrap w:val="0"/>
                  <w:vAlign w:val="center"/>
                </w:tcPr>
                <w:p w14:paraId="5C942D3B">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0.595</w:t>
                  </w:r>
                </w:p>
              </w:tc>
              <w:tc>
                <w:tcPr>
                  <w:tcW w:w="1697" w:type="dxa"/>
                  <w:tcBorders>
                    <w:tl2br w:val="nil"/>
                    <w:tr2bl w:val="nil"/>
                  </w:tcBorders>
                  <w:noWrap w:val="0"/>
                  <w:vAlign w:val="center"/>
                </w:tcPr>
                <w:p w14:paraId="1B658965">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234C4A85">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0.0595</w:t>
                  </w:r>
                </w:p>
              </w:tc>
            </w:tr>
            <w:tr w14:paraId="0101A9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1C9412DA">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硫酸</w:t>
                  </w:r>
                </w:p>
              </w:tc>
              <w:tc>
                <w:tcPr>
                  <w:tcW w:w="2319" w:type="dxa"/>
                  <w:tcBorders>
                    <w:tl2br w:val="nil"/>
                    <w:tr2bl w:val="nil"/>
                  </w:tcBorders>
                  <w:noWrap w:val="0"/>
                  <w:vAlign w:val="center"/>
                </w:tcPr>
                <w:p w14:paraId="6D207D1C">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0.0366</w:t>
                  </w:r>
                </w:p>
              </w:tc>
              <w:tc>
                <w:tcPr>
                  <w:tcW w:w="1697" w:type="dxa"/>
                  <w:tcBorders>
                    <w:tl2br w:val="nil"/>
                    <w:tr2bl w:val="nil"/>
                  </w:tcBorders>
                  <w:noWrap w:val="0"/>
                  <w:vAlign w:val="center"/>
                </w:tcPr>
                <w:p w14:paraId="146E98E5">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029D3A87">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0.00366</w:t>
                  </w:r>
                </w:p>
              </w:tc>
            </w:tr>
            <w:tr w14:paraId="1917E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46793D3E">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硝酸</w:t>
                  </w:r>
                </w:p>
              </w:tc>
              <w:tc>
                <w:tcPr>
                  <w:tcW w:w="2319" w:type="dxa"/>
                  <w:tcBorders>
                    <w:tl2br w:val="nil"/>
                    <w:tr2bl w:val="nil"/>
                  </w:tcBorders>
                  <w:noWrap w:val="0"/>
                  <w:vAlign w:val="center"/>
                </w:tcPr>
                <w:p w14:paraId="63CAB779">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0.28</w:t>
                  </w:r>
                </w:p>
              </w:tc>
              <w:tc>
                <w:tcPr>
                  <w:tcW w:w="1697" w:type="dxa"/>
                  <w:tcBorders>
                    <w:tl2br w:val="nil"/>
                    <w:tr2bl w:val="nil"/>
                  </w:tcBorders>
                  <w:noWrap w:val="0"/>
                  <w:vAlign w:val="center"/>
                </w:tcPr>
                <w:p w14:paraId="5CF22277">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7.5</w:t>
                  </w:r>
                </w:p>
              </w:tc>
              <w:tc>
                <w:tcPr>
                  <w:tcW w:w="1985" w:type="dxa"/>
                  <w:tcBorders>
                    <w:tl2br w:val="nil"/>
                    <w:tr2bl w:val="nil"/>
                  </w:tcBorders>
                  <w:noWrap w:val="0"/>
                  <w:vAlign w:val="center"/>
                </w:tcPr>
                <w:p w14:paraId="254D4C94">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0.03733</w:t>
                  </w:r>
                </w:p>
              </w:tc>
            </w:tr>
            <w:tr w14:paraId="11EB2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446C73C2">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氢氟酸</w:t>
                  </w:r>
                </w:p>
              </w:tc>
              <w:tc>
                <w:tcPr>
                  <w:tcW w:w="2319" w:type="dxa"/>
                  <w:tcBorders>
                    <w:tl2br w:val="nil"/>
                    <w:tr2bl w:val="nil"/>
                  </w:tcBorders>
                  <w:noWrap w:val="0"/>
                  <w:vAlign w:val="center"/>
                </w:tcPr>
                <w:p w14:paraId="3D0E068F">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0.063</w:t>
                  </w:r>
                </w:p>
              </w:tc>
              <w:tc>
                <w:tcPr>
                  <w:tcW w:w="1697" w:type="dxa"/>
                  <w:tcBorders>
                    <w:tl2br w:val="nil"/>
                    <w:tr2bl w:val="nil"/>
                  </w:tcBorders>
                  <w:noWrap w:val="0"/>
                  <w:vAlign w:val="center"/>
                </w:tcPr>
                <w:p w14:paraId="517624EC">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1985" w:type="dxa"/>
                  <w:tcBorders>
                    <w:tl2br w:val="nil"/>
                    <w:tr2bl w:val="nil"/>
                  </w:tcBorders>
                  <w:noWrap w:val="0"/>
                  <w:vAlign w:val="center"/>
                </w:tcPr>
                <w:p w14:paraId="18D2CE8C">
                  <w:pPr>
                    <w:keepNext w:val="0"/>
                    <w:keepLines w:val="0"/>
                    <w:widowControl/>
                    <w:suppressLineNumbers w:val="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0.063</w:t>
                  </w:r>
                </w:p>
              </w:tc>
            </w:tr>
            <w:tr w14:paraId="3866E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14164B7A">
                  <w:pPr>
                    <w:keepNext w:val="0"/>
                    <w:keepLines w:val="0"/>
                    <w:widowControl/>
                    <w:suppressLineNumbers w:val="0"/>
                    <w:jc w:val="center"/>
                    <w:textAlignment w:val="center"/>
                    <w:rPr>
                      <w:rFonts w:hint="eastAsia"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氨水</w:t>
                  </w:r>
                </w:p>
              </w:tc>
              <w:tc>
                <w:tcPr>
                  <w:tcW w:w="2319" w:type="dxa"/>
                  <w:tcBorders>
                    <w:tl2br w:val="nil"/>
                    <w:tr2bl w:val="nil"/>
                  </w:tcBorders>
                  <w:noWrap w:val="0"/>
                  <w:vAlign w:val="center"/>
                </w:tcPr>
                <w:p w14:paraId="6BDC02DF">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0.0092</w:t>
                  </w:r>
                </w:p>
              </w:tc>
              <w:tc>
                <w:tcPr>
                  <w:tcW w:w="1697" w:type="dxa"/>
                  <w:tcBorders>
                    <w:tl2br w:val="nil"/>
                    <w:tr2bl w:val="nil"/>
                  </w:tcBorders>
                  <w:noWrap w:val="0"/>
                  <w:vAlign w:val="center"/>
                </w:tcPr>
                <w:p w14:paraId="3FCD10A9">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19695A3F">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0.00092</w:t>
                  </w:r>
                </w:p>
              </w:tc>
            </w:tr>
            <w:tr w14:paraId="575576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34B5AEE1">
                  <w:pPr>
                    <w:keepNext w:val="0"/>
                    <w:keepLines w:val="0"/>
                    <w:widowControl/>
                    <w:suppressLineNumbers w:val="0"/>
                    <w:jc w:val="center"/>
                    <w:textAlignment w:val="center"/>
                    <w:rPr>
                      <w:rFonts w:hint="eastAsia"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甲醇</w:t>
                  </w:r>
                </w:p>
              </w:tc>
              <w:tc>
                <w:tcPr>
                  <w:tcW w:w="2319" w:type="dxa"/>
                  <w:tcBorders>
                    <w:tl2br w:val="nil"/>
                    <w:tr2bl w:val="nil"/>
                  </w:tcBorders>
                  <w:noWrap w:val="0"/>
                  <w:vAlign w:val="center"/>
                </w:tcPr>
                <w:p w14:paraId="3F42BC95">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0.000791</w:t>
                  </w:r>
                </w:p>
              </w:tc>
              <w:tc>
                <w:tcPr>
                  <w:tcW w:w="1697" w:type="dxa"/>
                  <w:tcBorders>
                    <w:tl2br w:val="nil"/>
                    <w:tr2bl w:val="nil"/>
                  </w:tcBorders>
                  <w:noWrap w:val="0"/>
                  <w:vAlign w:val="center"/>
                </w:tcPr>
                <w:p w14:paraId="3E22B0F8">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54FD18AE">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0.0000791</w:t>
                  </w:r>
                </w:p>
              </w:tc>
            </w:tr>
            <w:tr w14:paraId="6431A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783DBE33">
                  <w:pPr>
                    <w:keepNext w:val="0"/>
                    <w:keepLines w:val="0"/>
                    <w:widowControl/>
                    <w:suppressLineNumbers w:val="0"/>
                    <w:jc w:val="center"/>
                    <w:textAlignment w:val="center"/>
                    <w:rPr>
                      <w:rFonts w:hint="eastAsia" w:ascii="Times New Roman" w:cs="Times New Roman"/>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异丙醇</w:t>
                  </w:r>
                </w:p>
              </w:tc>
              <w:tc>
                <w:tcPr>
                  <w:tcW w:w="2319" w:type="dxa"/>
                  <w:tcBorders>
                    <w:tl2br w:val="nil"/>
                    <w:tr2bl w:val="nil"/>
                  </w:tcBorders>
                  <w:noWrap w:val="0"/>
                  <w:vAlign w:val="center"/>
                </w:tcPr>
                <w:p w14:paraId="20574DBB">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0.00785</w:t>
                  </w:r>
                </w:p>
              </w:tc>
              <w:tc>
                <w:tcPr>
                  <w:tcW w:w="1697" w:type="dxa"/>
                  <w:tcBorders>
                    <w:tl2br w:val="nil"/>
                    <w:tr2bl w:val="nil"/>
                  </w:tcBorders>
                  <w:noWrap w:val="0"/>
                  <w:vAlign w:val="center"/>
                </w:tcPr>
                <w:p w14:paraId="5D70D6A0">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4A2C5BE2">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0.000785</w:t>
                  </w:r>
                </w:p>
              </w:tc>
            </w:tr>
            <w:tr w14:paraId="19904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51B0ED04">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三氯甲烷</w:t>
                  </w:r>
                </w:p>
              </w:tc>
              <w:tc>
                <w:tcPr>
                  <w:tcW w:w="2319" w:type="dxa"/>
                  <w:tcBorders>
                    <w:tl2br w:val="nil"/>
                    <w:tr2bl w:val="nil"/>
                  </w:tcBorders>
                  <w:noWrap w:val="0"/>
                  <w:vAlign w:val="center"/>
                </w:tcPr>
                <w:p w14:paraId="79A2A70B">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0.0015</w:t>
                  </w:r>
                </w:p>
              </w:tc>
              <w:tc>
                <w:tcPr>
                  <w:tcW w:w="1697" w:type="dxa"/>
                  <w:tcBorders>
                    <w:tl2br w:val="nil"/>
                    <w:tr2bl w:val="nil"/>
                  </w:tcBorders>
                  <w:noWrap w:val="0"/>
                  <w:vAlign w:val="center"/>
                </w:tcPr>
                <w:p w14:paraId="52F8D485">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4291228E">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0.00015</w:t>
                  </w:r>
                </w:p>
              </w:tc>
            </w:tr>
            <w:tr w14:paraId="617F07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2DB73297">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四氯化碳</w:t>
                  </w:r>
                </w:p>
              </w:tc>
              <w:tc>
                <w:tcPr>
                  <w:tcW w:w="2319" w:type="dxa"/>
                  <w:tcBorders>
                    <w:tl2br w:val="nil"/>
                    <w:tr2bl w:val="nil"/>
                  </w:tcBorders>
                  <w:noWrap w:val="0"/>
                  <w:vAlign w:val="center"/>
                </w:tcPr>
                <w:p w14:paraId="663AC938">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0.01594</w:t>
                  </w:r>
                </w:p>
              </w:tc>
              <w:tc>
                <w:tcPr>
                  <w:tcW w:w="1697" w:type="dxa"/>
                  <w:tcBorders>
                    <w:tl2br w:val="nil"/>
                    <w:tr2bl w:val="nil"/>
                  </w:tcBorders>
                  <w:noWrap w:val="0"/>
                  <w:vAlign w:val="center"/>
                </w:tcPr>
                <w:p w14:paraId="10F7DD33">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7.5</w:t>
                  </w:r>
                </w:p>
              </w:tc>
              <w:tc>
                <w:tcPr>
                  <w:tcW w:w="1985" w:type="dxa"/>
                  <w:tcBorders>
                    <w:tl2br w:val="nil"/>
                    <w:tr2bl w:val="nil"/>
                  </w:tcBorders>
                  <w:noWrap w:val="0"/>
                  <w:vAlign w:val="center"/>
                </w:tcPr>
                <w:p w14:paraId="61852EAE">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0.002125</w:t>
                  </w:r>
                </w:p>
              </w:tc>
            </w:tr>
            <w:tr w14:paraId="0D91B0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64428B25">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二氯甲烷</w:t>
                  </w:r>
                </w:p>
              </w:tc>
              <w:tc>
                <w:tcPr>
                  <w:tcW w:w="2319" w:type="dxa"/>
                  <w:tcBorders>
                    <w:tl2br w:val="nil"/>
                    <w:tr2bl w:val="nil"/>
                  </w:tcBorders>
                  <w:noWrap w:val="0"/>
                  <w:vAlign w:val="center"/>
                </w:tcPr>
                <w:p w14:paraId="3623B8C5">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0.00133</w:t>
                  </w:r>
                </w:p>
              </w:tc>
              <w:tc>
                <w:tcPr>
                  <w:tcW w:w="1697" w:type="dxa"/>
                  <w:tcBorders>
                    <w:tl2br w:val="nil"/>
                    <w:tr2bl w:val="nil"/>
                  </w:tcBorders>
                  <w:noWrap w:val="0"/>
                  <w:vAlign w:val="center"/>
                </w:tcPr>
                <w:p w14:paraId="76406236">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1A800445">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0.000133</w:t>
                  </w:r>
                </w:p>
              </w:tc>
            </w:tr>
            <w:tr w14:paraId="5C38BF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09FDDDCD">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甲苯</w:t>
                  </w:r>
                </w:p>
              </w:tc>
              <w:tc>
                <w:tcPr>
                  <w:tcW w:w="2319" w:type="dxa"/>
                  <w:tcBorders>
                    <w:tl2br w:val="nil"/>
                    <w:tr2bl w:val="nil"/>
                  </w:tcBorders>
                  <w:noWrap w:val="0"/>
                  <w:vAlign w:val="center"/>
                </w:tcPr>
                <w:p w14:paraId="17ADA70B">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0.00436</w:t>
                  </w:r>
                </w:p>
              </w:tc>
              <w:tc>
                <w:tcPr>
                  <w:tcW w:w="1697" w:type="dxa"/>
                  <w:tcBorders>
                    <w:tl2br w:val="nil"/>
                    <w:tr2bl w:val="nil"/>
                  </w:tcBorders>
                  <w:noWrap w:val="0"/>
                  <w:vAlign w:val="center"/>
                </w:tcPr>
                <w:p w14:paraId="42B9DEEC">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576C57D0">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0.000436</w:t>
                  </w:r>
                </w:p>
              </w:tc>
            </w:tr>
            <w:tr w14:paraId="6E11DC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28DD8235">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正己烷</w:t>
                  </w:r>
                </w:p>
              </w:tc>
              <w:tc>
                <w:tcPr>
                  <w:tcW w:w="2319" w:type="dxa"/>
                  <w:tcBorders>
                    <w:tl2br w:val="nil"/>
                    <w:tr2bl w:val="nil"/>
                  </w:tcBorders>
                  <w:noWrap w:val="0"/>
                  <w:vAlign w:val="center"/>
                </w:tcPr>
                <w:p w14:paraId="5D4AA0BF">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0.0264</w:t>
                  </w:r>
                </w:p>
              </w:tc>
              <w:tc>
                <w:tcPr>
                  <w:tcW w:w="1697" w:type="dxa"/>
                  <w:tcBorders>
                    <w:tl2br w:val="nil"/>
                    <w:tr2bl w:val="nil"/>
                  </w:tcBorders>
                  <w:noWrap w:val="0"/>
                  <w:vAlign w:val="center"/>
                </w:tcPr>
                <w:p w14:paraId="199E720E">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6A4AC8BC">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0.00264</w:t>
                  </w:r>
                </w:p>
              </w:tc>
            </w:tr>
            <w:tr w14:paraId="3E254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3C3E91BB">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丙酮</w:t>
                  </w:r>
                </w:p>
              </w:tc>
              <w:tc>
                <w:tcPr>
                  <w:tcW w:w="2319" w:type="dxa"/>
                  <w:tcBorders>
                    <w:tl2br w:val="nil"/>
                    <w:tr2bl w:val="nil"/>
                  </w:tcBorders>
                  <w:noWrap w:val="0"/>
                  <w:vAlign w:val="center"/>
                </w:tcPr>
                <w:p w14:paraId="466CD01F">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0.0158</w:t>
                  </w:r>
                </w:p>
              </w:tc>
              <w:tc>
                <w:tcPr>
                  <w:tcW w:w="1697" w:type="dxa"/>
                  <w:tcBorders>
                    <w:tl2br w:val="nil"/>
                    <w:tr2bl w:val="nil"/>
                  </w:tcBorders>
                  <w:noWrap w:val="0"/>
                  <w:vAlign w:val="center"/>
                </w:tcPr>
                <w:p w14:paraId="111B1767">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48FAC04D">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0.00158</w:t>
                  </w:r>
                </w:p>
              </w:tc>
            </w:tr>
            <w:tr w14:paraId="583FEB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4D685144">
                  <w:pPr>
                    <w:keepNext w:val="0"/>
                    <w:keepLines w:val="0"/>
                    <w:widowControl/>
                    <w:suppressLineNumbers w:val="0"/>
                    <w:jc w:val="center"/>
                    <w:textAlignment w:val="center"/>
                    <w:rPr>
                      <w:rFonts w:hint="default"/>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乙腈</w:t>
                  </w:r>
                </w:p>
              </w:tc>
              <w:tc>
                <w:tcPr>
                  <w:tcW w:w="2319" w:type="dxa"/>
                  <w:tcBorders>
                    <w:tl2br w:val="nil"/>
                    <w:tr2bl w:val="nil"/>
                  </w:tcBorders>
                  <w:noWrap w:val="0"/>
                  <w:vAlign w:val="center"/>
                </w:tcPr>
                <w:p w14:paraId="70E1B5C6">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0.009432</w:t>
                  </w:r>
                </w:p>
              </w:tc>
              <w:tc>
                <w:tcPr>
                  <w:tcW w:w="1697" w:type="dxa"/>
                  <w:tcBorders>
                    <w:tl2br w:val="nil"/>
                    <w:tr2bl w:val="nil"/>
                  </w:tcBorders>
                  <w:noWrap w:val="0"/>
                  <w:vAlign w:val="center"/>
                </w:tcPr>
                <w:p w14:paraId="0A1A7D32">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5C1CAE02">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0.0009432</w:t>
                  </w:r>
                </w:p>
              </w:tc>
            </w:tr>
            <w:tr w14:paraId="48EF02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20066F2B">
                  <w:pPr>
                    <w:keepNext w:val="0"/>
                    <w:keepLines w:val="0"/>
                    <w:widowControl/>
                    <w:suppressLineNumbers w:val="0"/>
                    <w:jc w:val="center"/>
                    <w:textAlignment w:val="center"/>
                    <w:rPr>
                      <w:rFonts w:hint="default"/>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石油醚</w:t>
                  </w:r>
                </w:p>
              </w:tc>
              <w:tc>
                <w:tcPr>
                  <w:tcW w:w="2319" w:type="dxa"/>
                  <w:tcBorders>
                    <w:tl2br w:val="nil"/>
                    <w:tr2bl w:val="nil"/>
                  </w:tcBorders>
                  <w:noWrap w:val="0"/>
                  <w:vAlign w:val="center"/>
                </w:tcPr>
                <w:p w14:paraId="414DC11B">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0.0033</w:t>
                  </w:r>
                </w:p>
              </w:tc>
              <w:tc>
                <w:tcPr>
                  <w:tcW w:w="1697" w:type="dxa"/>
                  <w:tcBorders>
                    <w:tl2br w:val="nil"/>
                    <w:tr2bl w:val="nil"/>
                  </w:tcBorders>
                  <w:noWrap w:val="0"/>
                  <w:vAlign w:val="center"/>
                </w:tcPr>
                <w:p w14:paraId="5DB0C69D">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3C4668C1">
                  <w:pPr>
                    <w:keepNext w:val="0"/>
                    <w:keepLines w:val="0"/>
                    <w:widowControl/>
                    <w:suppressLineNumbers w:val="0"/>
                    <w:jc w:val="center"/>
                    <w:textAlignment w:val="bottom"/>
                    <w:rPr>
                      <w:rFonts w:hint="default"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0.00033</w:t>
                  </w:r>
                </w:p>
              </w:tc>
            </w:tr>
            <w:tr w14:paraId="4A5A9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36" w:type="dxa"/>
                  <w:tcBorders>
                    <w:tl2br w:val="nil"/>
                    <w:tr2bl w:val="nil"/>
                  </w:tcBorders>
                  <w:noWrap w:val="0"/>
                  <w:vAlign w:val="center"/>
                </w:tcPr>
                <w:p w14:paraId="47E60A11">
                  <w:pPr>
                    <w:keepNext w:val="0"/>
                    <w:keepLines w:val="0"/>
                    <w:widowControl/>
                    <w:suppressLineNumbers w:val="0"/>
                    <w:jc w:val="center"/>
                    <w:textAlignment w:val="center"/>
                    <w:rPr>
                      <w:rFonts w:hint="eastAsia"/>
                      <w:bCs/>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乙炔</w:t>
                  </w:r>
                </w:p>
              </w:tc>
              <w:tc>
                <w:tcPr>
                  <w:tcW w:w="2319" w:type="dxa"/>
                  <w:tcBorders>
                    <w:tl2br w:val="nil"/>
                    <w:tr2bl w:val="nil"/>
                  </w:tcBorders>
                  <w:noWrap w:val="0"/>
                  <w:vAlign w:val="center"/>
                </w:tcPr>
                <w:p w14:paraId="3772AE3E">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0.032</w:t>
                  </w:r>
                </w:p>
              </w:tc>
              <w:tc>
                <w:tcPr>
                  <w:tcW w:w="1697" w:type="dxa"/>
                  <w:tcBorders>
                    <w:tl2br w:val="nil"/>
                    <w:tr2bl w:val="nil"/>
                  </w:tcBorders>
                  <w:noWrap w:val="0"/>
                  <w:vAlign w:val="center"/>
                </w:tcPr>
                <w:p w14:paraId="5F796549">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985" w:type="dxa"/>
                  <w:tcBorders>
                    <w:tl2br w:val="nil"/>
                    <w:tr2bl w:val="nil"/>
                  </w:tcBorders>
                  <w:noWrap w:val="0"/>
                  <w:vAlign w:val="center"/>
                </w:tcPr>
                <w:p w14:paraId="072B4573">
                  <w:pPr>
                    <w:keepNext w:val="0"/>
                    <w:keepLines w:val="0"/>
                    <w:widowControl/>
                    <w:suppressLineNumbers w:val="0"/>
                    <w:jc w:val="center"/>
                    <w:textAlignment w:val="bottom"/>
                    <w:rPr>
                      <w:rFonts w:hint="eastAsia" w:asci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0.0032</w:t>
                  </w:r>
                </w:p>
              </w:tc>
            </w:tr>
            <w:tr w14:paraId="11B5BA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52" w:type="dxa"/>
                  <w:gridSpan w:val="3"/>
                  <w:tcBorders>
                    <w:tl2br w:val="nil"/>
                    <w:tr2bl w:val="nil"/>
                  </w:tcBorders>
                  <w:noWrap w:val="0"/>
                  <w:vAlign w:val="center"/>
                </w:tcPr>
                <w:p w14:paraId="13A89C08">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合计</w:t>
                  </w:r>
                </w:p>
              </w:tc>
              <w:tc>
                <w:tcPr>
                  <w:tcW w:w="1985" w:type="dxa"/>
                  <w:tcBorders>
                    <w:tl2br w:val="nil"/>
                    <w:tr2bl w:val="nil"/>
                  </w:tcBorders>
                  <w:noWrap w:val="0"/>
                  <w:vAlign w:val="center"/>
                </w:tcPr>
                <w:p w14:paraId="6C6E65CA">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ascii="Times New Roman" w:cs="Times New Roman"/>
                      <w:color w:val="auto"/>
                      <w:sz w:val="21"/>
                      <w:szCs w:val="21"/>
                      <w:highlight w:val="none"/>
                      <w:lang w:val="en-US" w:eastAsia="zh-CN"/>
                    </w:rPr>
                    <w:t>1768</w:t>
                  </w:r>
                </w:p>
              </w:tc>
            </w:tr>
          </w:tbl>
          <w:p w14:paraId="13353C01">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根据《建设项目环境风险评价技术导则》（HJ169-2018）附录C，当Q＜1时，该项目环境风险潜势为</w:t>
            </w:r>
            <w:r>
              <w:rPr>
                <w:rFonts w:hint="default" w:ascii="Times New Roman" w:hAnsi="Times New Roman" w:eastAsia="宋体" w:cs="Times New Roman"/>
                <w:color w:val="auto"/>
                <w:sz w:val="24"/>
                <w:highlight w:val="none"/>
              </w:rPr>
              <w:fldChar w:fldCharType="begin"/>
            </w:r>
            <w:r>
              <w:rPr>
                <w:rFonts w:hint="default" w:ascii="Times New Roman" w:hAnsi="Times New Roman" w:eastAsia="宋体" w:cs="Times New Roman"/>
                <w:color w:val="auto"/>
                <w:sz w:val="24"/>
                <w:highlight w:val="none"/>
              </w:rPr>
              <w:instrText xml:space="preserve"> = 1 \* ROMAN \* MERGEFORMAT </w:instrText>
            </w:r>
            <w:r>
              <w:rPr>
                <w:rFonts w:hint="default" w:ascii="Times New Roman" w:hAnsi="Times New Roman" w:eastAsia="宋体" w:cs="Times New Roman"/>
                <w:color w:val="auto"/>
                <w:sz w:val="24"/>
                <w:highlight w:val="none"/>
              </w:rPr>
              <w:fldChar w:fldCharType="separate"/>
            </w:r>
            <w:r>
              <w:rPr>
                <w:rFonts w:hint="default" w:ascii="Times New Roman" w:hAnsi="Times New Roman" w:eastAsia="宋体" w:cs="Times New Roman"/>
                <w:color w:val="auto"/>
                <w:sz w:val="24"/>
                <w:highlight w:val="none"/>
              </w:rPr>
              <w:t>I</w:t>
            </w:r>
            <w:r>
              <w:rPr>
                <w:rFonts w:hint="default" w:ascii="Times New Roman" w:hAnsi="Times New Roman" w:eastAsia="宋体" w:cs="Times New Roman"/>
                <w:color w:val="auto"/>
                <w:sz w:val="24"/>
                <w:highlight w:val="none"/>
              </w:rPr>
              <w:fldChar w:fldCharType="end"/>
            </w:r>
            <w:r>
              <w:rPr>
                <w:rFonts w:hint="default" w:ascii="Times New Roman" w:hAnsi="Times New Roman" w:eastAsia="宋体" w:cs="Times New Roman"/>
                <w:color w:val="auto"/>
                <w:sz w:val="24"/>
                <w:highlight w:val="none"/>
              </w:rPr>
              <w:t>。</w:t>
            </w:r>
          </w:p>
          <w:p w14:paraId="53B434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评价等级划分依据见表</w:t>
            </w:r>
            <w:r>
              <w:rPr>
                <w:rFonts w:hint="default" w:ascii="Times New Roman" w:hAnsi="Times New Roman" w:eastAsia="宋体" w:cs="Times New Roman"/>
                <w:color w:val="auto"/>
                <w:sz w:val="24"/>
                <w:highlight w:val="none"/>
                <w:lang w:val="en-US" w:eastAsia="zh-CN"/>
              </w:rPr>
              <w:t>4-</w:t>
            </w:r>
            <w:r>
              <w:rPr>
                <w:rFonts w:hint="eastAsia" w:cs="Times New Roman"/>
                <w:color w:val="auto"/>
                <w:sz w:val="24"/>
                <w:highlight w:val="none"/>
                <w:lang w:val="en-US" w:eastAsia="zh-CN"/>
              </w:rPr>
              <w:t>18</w:t>
            </w:r>
            <w:r>
              <w:rPr>
                <w:rFonts w:hint="default" w:ascii="Times New Roman" w:hAnsi="Times New Roman" w:eastAsia="宋体" w:cs="Times New Roman"/>
                <w:color w:val="auto"/>
                <w:sz w:val="24"/>
                <w:highlight w:val="none"/>
                <w:lang w:val="en-US" w:eastAsia="zh-CN"/>
              </w:rPr>
              <w:t>。</w:t>
            </w:r>
          </w:p>
          <w:p w14:paraId="72EAC370">
            <w:pPr>
              <w:pStyle w:val="110"/>
              <w:numPr>
                <w:ilvl w:val="0"/>
                <w:numId w:val="0"/>
              </w:numP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表4-</w:t>
            </w:r>
            <w:r>
              <w:rPr>
                <w:rFonts w:hint="eastAsia" w:ascii="Times New Roman" w:hAnsi="Times New Roman" w:eastAsia="宋体" w:cs="Times New Roman"/>
                <w:b/>
                <w:color w:val="auto"/>
                <w:kern w:val="0"/>
                <w:sz w:val="21"/>
                <w:szCs w:val="21"/>
                <w:highlight w:val="none"/>
                <w:lang w:val="en-US" w:eastAsia="zh-CN" w:bidi="ar-SA"/>
              </w:rPr>
              <w:t>1</w:t>
            </w:r>
            <w:r>
              <w:rPr>
                <w:rFonts w:hint="eastAsia" w:cs="Times New Roman"/>
                <w:b/>
                <w:color w:val="auto"/>
                <w:kern w:val="0"/>
                <w:sz w:val="21"/>
                <w:szCs w:val="21"/>
                <w:highlight w:val="none"/>
                <w:lang w:val="en-US" w:eastAsia="zh-CN" w:bidi="ar-SA"/>
              </w:rPr>
              <w:t>8</w:t>
            </w:r>
            <w:r>
              <w:rPr>
                <w:rFonts w:hint="default" w:ascii="Times New Roman" w:hAnsi="Times New Roman" w:eastAsia="宋体" w:cs="Times New Roman"/>
                <w:b/>
                <w:color w:val="auto"/>
                <w:kern w:val="0"/>
                <w:sz w:val="21"/>
                <w:szCs w:val="21"/>
                <w:highlight w:val="none"/>
                <w:lang w:val="en-US" w:eastAsia="zh-CN" w:bidi="ar-SA"/>
              </w:rPr>
              <w:t xml:space="preserve">    评价等级划分</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1627"/>
              <w:gridCol w:w="1585"/>
              <w:gridCol w:w="1587"/>
              <w:gridCol w:w="1589"/>
            </w:tblGrid>
            <w:tr w14:paraId="3AF77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1549" w:type="dxa"/>
                  <w:tcBorders>
                    <w:tl2br w:val="nil"/>
                    <w:tr2bl w:val="nil"/>
                  </w:tcBorders>
                  <w:noWrap w:val="0"/>
                  <w:vAlign w:val="center"/>
                </w:tcPr>
                <w:p w14:paraId="7128B801">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环境风险潜势</w:t>
                  </w:r>
                </w:p>
              </w:tc>
              <w:tc>
                <w:tcPr>
                  <w:tcW w:w="1627" w:type="dxa"/>
                  <w:tcBorders>
                    <w:tl2br w:val="nil"/>
                    <w:tr2bl w:val="nil"/>
                  </w:tcBorders>
                  <w:noWrap w:val="0"/>
                  <w:vAlign w:val="center"/>
                </w:tcPr>
                <w:p w14:paraId="6ECDC5C0">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4 \* ROMAN</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IV</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4 \* ROMAN</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IV</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vertAlign w:val="superscript"/>
                    </w:rPr>
                    <w:t>+</w:t>
                  </w:r>
                </w:p>
              </w:tc>
              <w:tc>
                <w:tcPr>
                  <w:tcW w:w="1585" w:type="dxa"/>
                  <w:tcBorders>
                    <w:tl2br w:val="nil"/>
                    <w:tr2bl w:val="nil"/>
                  </w:tcBorders>
                  <w:noWrap w:val="0"/>
                  <w:vAlign w:val="center"/>
                </w:tcPr>
                <w:p w14:paraId="46033317">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3 \* ROMAN</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III</w:t>
                  </w:r>
                  <w:r>
                    <w:rPr>
                      <w:rFonts w:hint="default" w:ascii="Times New Roman" w:hAnsi="Times New Roman" w:eastAsia="宋体" w:cs="Times New Roman"/>
                      <w:color w:val="auto"/>
                      <w:sz w:val="21"/>
                      <w:szCs w:val="21"/>
                      <w:highlight w:val="none"/>
                    </w:rPr>
                    <w:fldChar w:fldCharType="end"/>
                  </w:r>
                </w:p>
              </w:tc>
              <w:tc>
                <w:tcPr>
                  <w:tcW w:w="1587" w:type="dxa"/>
                  <w:tcBorders>
                    <w:tl2br w:val="nil"/>
                    <w:tr2bl w:val="nil"/>
                  </w:tcBorders>
                  <w:noWrap w:val="0"/>
                  <w:vAlign w:val="center"/>
                </w:tcPr>
                <w:p w14:paraId="4555CC82">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2 \* ROMAN</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II</w:t>
                  </w:r>
                  <w:r>
                    <w:rPr>
                      <w:rFonts w:hint="default" w:ascii="Times New Roman" w:hAnsi="Times New Roman" w:eastAsia="宋体" w:cs="Times New Roman"/>
                      <w:color w:val="auto"/>
                      <w:sz w:val="21"/>
                      <w:szCs w:val="21"/>
                      <w:highlight w:val="none"/>
                    </w:rPr>
                    <w:fldChar w:fldCharType="end"/>
                  </w:r>
                </w:p>
              </w:tc>
              <w:tc>
                <w:tcPr>
                  <w:tcW w:w="1589" w:type="dxa"/>
                  <w:tcBorders>
                    <w:tl2br w:val="nil"/>
                    <w:tr2bl w:val="nil"/>
                  </w:tcBorders>
                  <w:noWrap w:val="0"/>
                  <w:vAlign w:val="center"/>
                </w:tcPr>
                <w:p w14:paraId="3864C949">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1 \* ROMAN</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I</w:t>
                  </w:r>
                  <w:r>
                    <w:rPr>
                      <w:rFonts w:hint="default" w:ascii="Times New Roman" w:hAnsi="Times New Roman" w:eastAsia="宋体" w:cs="Times New Roman"/>
                      <w:color w:val="auto"/>
                      <w:sz w:val="21"/>
                      <w:szCs w:val="21"/>
                      <w:highlight w:val="none"/>
                    </w:rPr>
                    <w:fldChar w:fldCharType="end"/>
                  </w:r>
                </w:p>
              </w:tc>
            </w:tr>
            <w:tr w14:paraId="04EBF4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4" w:hRule="atLeast"/>
                <w:jc w:val="center"/>
              </w:trPr>
              <w:tc>
                <w:tcPr>
                  <w:tcW w:w="1549" w:type="dxa"/>
                  <w:tcBorders>
                    <w:tl2br w:val="nil"/>
                    <w:tr2bl w:val="nil"/>
                  </w:tcBorders>
                  <w:noWrap w:val="0"/>
                  <w:vAlign w:val="center"/>
                </w:tcPr>
                <w:p w14:paraId="392737F0">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评价工作等级</w:t>
                  </w:r>
                </w:p>
              </w:tc>
              <w:tc>
                <w:tcPr>
                  <w:tcW w:w="1627" w:type="dxa"/>
                  <w:tcBorders>
                    <w:tl2br w:val="nil"/>
                    <w:tr2bl w:val="nil"/>
                  </w:tcBorders>
                  <w:noWrap w:val="0"/>
                  <w:vAlign w:val="center"/>
                </w:tcPr>
                <w:p w14:paraId="776C9E4F">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w:t>
                  </w:r>
                </w:p>
              </w:tc>
              <w:tc>
                <w:tcPr>
                  <w:tcW w:w="1585" w:type="dxa"/>
                  <w:tcBorders>
                    <w:tl2br w:val="nil"/>
                    <w:tr2bl w:val="nil"/>
                  </w:tcBorders>
                  <w:noWrap w:val="0"/>
                  <w:vAlign w:val="center"/>
                </w:tcPr>
                <w:p w14:paraId="254AB584">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w:t>
                  </w:r>
                </w:p>
              </w:tc>
              <w:tc>
                <w:tcPr>
                  <w:tcW w:w="1587" w:type="dxa"/>
                  <w:tcBorders>
                    <w:tl2br w:val="nil"/>
                    <w:tr2bl w:val="nil"/>
                  </w:tcBorders>
                  <w:noWrap w:val="0"/>
                  <w:vAlign w:val="center"/>
                </w:tcPr>
                <w:p w14:paraId="6ABE3ECB">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w:t>
                  </w:r>
                </w:p>
              </w:tc>
              <w:tc>
                <w:tcPr>
                  <w:tcW w:w="1589" w:type="dxa"/>
                  <w:tcBorders>
                    <w:tl2br w:val="nil"/>
                    <w:tr2bl w:val="nil"/>
                  </w:tcBorders>
                  <w:noWrap w:val="0"/>
                  <w:vAlign w:val="center"/>
                </w:tcPr>
                <w:p w14:paraId="677A816A">
                  <w:pPr>
                    <w:pStyle w:val="67"/>
                    <w:keepNext w:val="0"/>
                    <w:keepLines w:val="0"/>
                    <w:pageBreakBefore w:val="0"/>
                    <w:widowControl/>
                    <w:kinsoku/>
                    <w:wordWrap/>
                    <w:overflowPunct/>
                    <w:topLinePunct w:val="0"/>
                    <w:autoSpaceDE w:val="0"/>
                    <w:autoSpaceDN w:val="0"/>
                    <w:bidi w:val="0"/>
                    <w:adjustRightInd w:val="0"/>
                    <w:snapToGrid/>
                    <w:spacing w:line="0" w:lineRule="atLeast"/>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简单分析</w:t>
                  </w:r>
                  <w:r>
                    <w:rPr>
                      <w:rFonts w:hint="default" w:ascii="Times New Roman" w:hAnsi="Times New Roman" w:eastAsia="宋体" w:cs="Times New Roman"/>
                      <w:color w:val="auto"/>
                      <w:sz w:val="21"/>
                      <w:szCs w:val="21"/>
                      <w:highlight w:val="none"/>
                      <w:vertAlign w:val="superscript"/>
                      <w:lang w:val="en-US" w:eastAsia="zh-CN"/>
                    </w:rPr>
                    <w:t>a</w:t>
                  </w:r>
                </w:p>
              </w:tc>
            </w:tr>
            <w:tr w14:paraId="36E34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37" w:type="dxa"/>
                  <w:gridSpan w:val="5"/>
                  <w:tcBorders>
                    <w:tl2br w:val="nil"/>
                    <w:tr2bl w:val="nil"/>
                  </w:tcBorders>
                  <w:noWrap w:val="0"/>
                  <w:vAlign w:val="center"/>
                </w:tcPr>
                <w:p w14:paraId="263C8502">
                  <w:pPr>
                    <w:pStyle w:val="67"/>
                    <w:keepNext w:val="0"/>
                    <w:keepLines w:val="0"/>
                    <w:pageBreakBefore w:val="0"/>
                    <w:widowControl/>
                    <w:kinsoku/>
                    <w:wordWrap/>
                    <w:overflowPunct/>
                    <w:topLinePunct w:val="0"/>
                    <w:autoSpaceDE w:val="0"/>
                    <w:autoSpaceDN w:val="0"/>
                    <w:bidi w:val="0"/>
                    <w:adjustRightInd w:val="0"/>
                    <w:snapToGrid/>
                    <w:spacing w:line="0" w:lineRule="atLeast"/>
                    <w:jc w:val="left"/>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vertAlign w:val="superscript"/>
                      <w:lang w:val="en-US" w:eastAsia="zh-CN"/>
                    </w:rPr>
                    <w:t>a</w:t>
                  </w:r>
                  <w:r>
                    <w:rPr>
                      <w:rFonts w:hint="default" w:ascii="Times New Roman" w:hAnsi="Times New Roman" w:eastAsia="宋体" w:cs="Times New Roman"/>
                      <w:color w:val="auto"/>
                      <w:sz w:val="21"/>
                      <w:szCs w:val="21"/>
                      <w:highlight w:val="none"/>
                      <w:lang w:val="en-US" w:eastAsia="zh-CN"/>
                    </w:rPr>
                    <w:t>是相对于详细评价工作内容而言，在描述危险物质、环境影响途径、环境危害后果、风险防范措施等方面给出定性的说明。</w:t>
                  </w:r>
                </w:p>
              </w:tc>
            </w:tr>
          </w:tbl>
          <w:p w14:paraId="396C8D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根据《建设项目环境风险评价技术导则》（HJ169-2018）中4.3评价工作等级划分，环境风险潜势为I时，按照附录A环境风险仅需进行简单分析即可。</w:t>
            </w:r>
          </w:p>
          <w:p w14:paraId="3B1D7E9D">
            <w:pPr>
              <w:adjustRightIn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（2）风险识别及影响途径</w:t>
            </w:r>
          </w:p>
          <w:p w14:paraId="040BD97C">
            <w:pPr>
              <w:keepNext w:val="0"/>
              <w:keepLines w:val="0"/>
              <w:pageBreakBefore w:val="0"/>
              <w:widowControl/>
              <w:kinsoku/>
              <w:wordWrap/>
              <w:overflowPunct/>
              <w:topLinePunct w:val="0"/>
              <w:autoSpaceDE w:val="0"/>
              <w:autoSpaceDN w:val="0"/>
              <w:bidi w:val="0"/>
              <w:adjustRightInd/>
              <w:snapToGrid/>
              <w:spacing w:line="360" w:lineRule="auto"/>
              <w:ind w:left="0" w:firstLine="480" w:firstLineChars="200"/>
              <w:textAlignment w:val="baseline"/>
              <w:rPr>
                <w:rFonts w:hint="eastAsia" w:ascii="Times New Roman" w:hAnsi="Times New Roman" w:eastAsia="宋体" w:cs="Times New Roman"/>
                <w:color w:val="auto"/>
                <w:spacing w:val="0"/>
                <w:sz w:val="24"/>
                <w:szCs w:val="24"/>
                <w:highlight w:val="none"/>
                <w:lang w:val="en-US" w:eastAsia="zh-CN"/>
              </w:rPr>
            </w:pPr>
            <w:r>
              <w:rPr>
                <w:rFonts w:hint="eastAsia" w:ascii="Times New Roman" w:hAnsi="Times New Roman" w:eastAsia="宋体" w:cs="Times New Roman"/>
                <w:color w:val="auto"/>
                <w:spacing w:val="0"/>
                <w:sz w:val="24"/>
                <w:szCs w:val="24"/>
                <w:highlight w:val="none"/>
                <w:lang w:val="en-US" w:eastAsia="zh-CN"/>
              </w:rPr>
              <w:t>根据项目建设内容及工艺，项目运营期可能出现环境风险因素及影响途径见表4-1</w:t>
            </w:r>
            <w:r>
              <w:rPr>
                <w:rFonts w:hint="eastAsia" w:cs="Times New Roman"/>
                <w:color w:val="auto"/>
                <w:spacing w:val="0"/>
                <w:sz w:val="24"/>
                <w:szCs w:val="24"/>
                <w:highlight w:val="none"/>
                <w:lang w:val="en-US" w:eastAsia="zh-CN"/>
              </w:rPr>
              <w:t>9</w:t>
            </w:r>
            <w:r>
              <w:rPr>
                <w:rFonts w:hint="eastAsia" w:ascii="Times New Roman" w:hAnsi="Times New Roman" w:eastAsia="宋体" w:cs="Times New Roman"/>
                <w:color w:val="auto"/>
                <w:spacing w:val="0"/>
                <w:sz w:val="24"/>
                <w:szCs w:val="24"/>
                <w:highlight w:val="none"/>
                <w:lang w:val="en-US" w:eastAsia="zh-CN"/>
              </w:rPr>
              <w:t>。</w:t>
            </w:r>
          </w:p>
          <w:p w14:paraId="1D00FD25">
            <w:pPr>
              <w:pStyle w:val="110"/>
              <w:numPr>
                <w:ilvl w:val="0"/>
                <w:numId w:val="0"/>
              </w:numPr>
              <w:rPr>
                <w:rFonts w:hint="eastAsia"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表4-1</w:t>
            </w:r>
            <w:r>
              <w:rPr>
                <w:rFonts w:hint="eastAsia" w:cs="Times New Roman"/>
                <w:b/>
                <w:color w:val="auto"/>
                <w:kern w:val="0"/>
                <w:sz w:val="21"/>
                <w:szCs w:val="21"/>
                <w:highlight w:val="none"/>
                <w:lang w:val="en-US" w:eastAsia="zh-CN" w:bidi="ar-SA"/>
              </w:rPr>
              <w:t xml:space="preserve">9 </w:t>
            </w:r>
            <w:r>
              <w:rPr>
                <w:rFonts w:hint="eastAsia" w:ascii="Times New Roman" w:hAnsi="Times New Roman" w:eastAsia="宋体" w:cs="Times New Roman"/>
                <w:b/>
                <w:color w:val="auto"/>
                <w:kern w:val="0"/>
                <w:sz w:val="21"/>
                <w:szCs w:val="21"/>
                <w:highlight w:val="none"/>
                <w:lang w:val="en-US" w:eastAsia="zh-CN" w:bidi="ar-SA"/>
              </w:rPr>
              <w:t xml:space="preserve">  项目主要环境风险因素及影响途径表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730"/>
              <w:gridCol w:w="1925"/>
              <w:gridCol w:w="3481"/>
            </w:tblGrid>
            <w:tr w14:paraId="5563F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41" w:type="dxa"/>
                  <w:tcBorders>
                    <w:tl2br w:val="nil"/>
                    <w:tr2bl w:val="nil"/>
                  </w:tcBorders>
                  <w:vAlign w:val="center"/>
                </w:tcPr>
                <w:p w14:paraId="580AE713">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1730" w:type="dxa"/>
                  <w:tcBorders>
                    <w:tl2br w:val="nil"/>
                    <w:tr2bl w:val="nil"/>
                  </w:tcBorders>
                  <w:vAlign w:val="center"/>
                </w:tcPr>
                <w:p w14:paraId="627CA441">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风险源</w:t>
                  </w:r>
                </w:p>
              </w:tc>
              <w:tc>
                <w:tcPr>
                  <w:tcW w:w="1925" w:type="dxa"/>
                  <w:tcBorders>
                    <w:tl2br w:val="nil"/>
                    <w:tr2bl w:val="nil"/>
                  </w:tcBorders>
                  <w:vAlign w:val="center"/>
                </w:tcPr>
                <w:p w14:paraId="383CEA31">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环境风险因素</w:t>
                  </w:r>
                </w:p>
              </w:tc>
              <w:tc>
                <w:tcPr>
                  <w:tcW w:w="3481" w:type="dxa"/>
                  <w:tcBorders>
                    <w:tl2br w:val="nil"/>
                    <w:tr2bl w:val="nil"/>
                  </w:tcBorders>
                  <w:vAlign w:val="center"/>
                </w:tcPr>
                <w:p w14:paraId="461C4E8A">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环境影响途径</w:t>
                  </w:r>
                </w:p>
              </w:tc>
            </w:tr>
            <w:tr w14:paraId="72E1D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41" w:type="dxa"/>
                  <w:tcBorders>
                    <w:tl2br w:val="nil"/>
                    <w:tr2bl w:val="nil"/>
                  </w:tcBorders>
                  <w:vAlign w:val="center"/>
                </w:tcPr>
                <w:p w14:paraId="49BEB65D">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730" w:type="dxa"/>
                  <w:tcBorders>
                    <w:tl2br w:val="nil"/>
                    <w:tr2bl w:val="nil"/>
                  </w:tcBorders>
                  <w:vAlign w:val="center"/>
                </w:tcPr>
                <w:p w14:paraId="6FBAA451">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试剂间</w:t>
                  </w:r>
                </w:p>
              </w:tc>
              <w:tc>
                <w:tcPr>
                  <w:tcW w:w="1925" w:type="dxa"/>
                  <w:tcBorders>
                    <w:tl2br w:val="nil"/>
                    <w:tr2bl w:val="nil"/>
                  </w:tcBorders>
                  <w:vAlign w:val="center"/>
                </w:tcPr>
                <w:p w14:paraId="763C1BA2">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试剂</w:t>
                  </w:r>
                  <w:r>
                    <w:rPr>
                      <w:rFonts w:hint="default" w:ascii="Times New Roman" w:hAnsi="Times New Roman" w:eastAsia="宋体" w:cs="Times New Roman"/>
                      <w:snapToGrid w:val="0"/>
                      <w:color w:val="auto"/>
                      <w:kern w:val="0"/>
                      <w:sz w:val="21"/>
                      <w:szCs w:val="21"/>
                      <w:highlight w:val="none"/>
                      <w:lang w:val="en-US" w:eastAsia="zh-CN" w:bidi="ar"/>
                    </w:rPr>
                    <w:t>泄漏及引发的火灾和爆炸</w:t>
                  </w:r>
                </w:p>
              </w:tc>
              <w:tc>
                <w:tcPr>
                  <w:tcW w:w="3481" w:type="dxa"/>
                  <w:vMerge w:val="restart"/>
                  <w:tcBorders>
                    <w:tl2br w:val="nil"/>
                    <w:tr2bl w:val="nil"/>
                  </w:tcBorders>
                  <w:vAlign w:val="center"/>
                </w:tcPr>
                <w:p w14:paraId="5F449582">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napToGrid w:val="0"/>
                      <w:color w:val="auto"/>
                      <w:kern w:val="0"/>
                      <w:sz w:val="21"/>
                      <w:szCs w:val="21"/>
                      <w:highlight w:val="none"/>
                      <w:lang w:val="en-US" w:eastAsia="zh-CN" w:bidi="ar"/>
                    </w:rPr>
                    <w:t>泄漏产生的大量有害气体对周围环境、工作人员的身体健康带来较大威胁。</w:t>
                  </w:r>
                </w:p>
                <w:p w14:paraId="4FCC14E4">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jc w:val="left"/>
                    <w:textAlignment w:val="baseline"/>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snapToGrid w:val="0"/>
                      <w:color w:val="auto"/>
                      <w:kern w:val="0"/>
                      <w:sz w:val="21"/>
                      <w:szCs w:val="21"/>
                      <w:highlight w:val="none"/>
                      <w:lang w:val="en-US" w:eastAsia="zh-CN" w:bidi="ar"/>
                    </w:rPr>
                    <w:t>遇明火后带来的火灾、爆炸等产生的大量有害气体对周围环境、工作人员的身体健康带来较大威胁。</w:t>
                  </w:r>
                </w:p>
              </w:tc>
            </w:tr>
            <w:tr w14:paraId="79AE49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41" w:type="dxa"/>
                  <w:tcBorders>
                    <w:tl2br w:val="nil"/>
                    <w:tr2bl w:val="nil"/>
                  </w:tcBorders>
                  <w:vAlign w:val="center"/>
                </w:tcPr>
                <w:p w14:paraId="193B56F3">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1730" w:type="dxa"/>
                  <w:tcBorders>
                    <w:tl2br w:val="nil"/>
                    <w:tr2bl w:val="nil"/>
                  </w:tcBorders>
                  <w:vAlign w:val="center"/>
                </w:tcPr>
                <w:p w14:paraId="01909A60">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危废</w:t>
                  </w:r>
                  <w:r>
                    <w:rPr>
                      <w:rFonts w:hint="eastAsia" w:cs="Times New Roman"/>
                      <w:color w:val="auto"/>
                      <w:sz w:val="21"/>
                      <w:szCs w:val="21"/>
                      <w:highlight w:val="none"/>
                      <w:vertAlign w:val="baseline"/>
                      <w:lang w:val="en-US" w:eastAsia="zh-CN"/>
                    </w:rPr>
                    <w:t>贮存</w:t>
                  </w:r>
                  <w:r>
                    <w:rPr>
                      <w:rFonts w:hint="default" w:ascii="Times New Roman" w:hAnsi="Times New Roman" w:eastAsia="宋体" w:cs="Times New Roman"/>
                      <w:color w:val="auto"/>
                      <w:sz w:val="21"/>
                      <w:szCs w:val="21"/>
                      <w:highlight w:val="none"/>
                      <w:vertAlign w:val="baseline"/>
                      <w:lang w:val="en-US" w:eastAsia="zh-CN"/>
                    </w:rPr>
                    <w:t>库</w:t>
                  </w:r>
                </w:p>
              </w:tc>
              <w:tc>
                <w:tcPr>
                  <w:tcW w:w="1925" w:type="dxa"/>
                  <w:tcBorders>
                    <w:tl2br w:val="nil"/>
                    <w:tr2bl w:val="nil"/>
                  </w:tcBorders>
                  <w:vAlign w:val="center"/>
                </w:tcPr>
                <w:p w14:paraId="11D8EF84">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snapToGrid w:val="0"/>
                      <w:color w:val="auto"/>
                      <w:kern w:val="0"/>
                      <w:sz w:val="21"/>
                      <w:szCs w:val="21"/>
                      <w:highlight w:val="none"/>
                      <w:lang w:val="en-US" w:eastAsia="zh-CN" w:bidi="ar"/>
                    </w:rPr>
                    <w:t>泄漏、火灾、爆炸</w:t>
                  </w:r>
                </w:p>
              </w:tc>
              <w:tc>
                <w:tcPr>
                  <w:tcW w:w="3481" w:type="dxa"/>
                  <w:vMerge w:val="continue"/>
                  <w:tcBorders>
                    <w:tl2br w:val="nil"/>
                    <w:tr2bl w:val="nil"/>
                  </w:tcBorders>
                  <w:vAlign w:val="center"/>
                </w:tcPr>
                <w:p w14:paraId="77B5E94E">
                  <w:pPr>
                    <w:keepNext w:val="0"/>
                    <w:keepLines w:val="0"/>
                    <w:pageBreakBefore w:val="0"/>
                    <w:widowControl/>
                    <w:kinsoku/>
                    <w:wordWrap/>
                    <w:overflowPunct/>
                    <w:topLinePunct w:val="0"/>
                    <w:autoSpaceDE w:val="0"/>
                    <w:autoSpaceDN w:val="0"/>
                    <w:bidi w:val="0"/>
                    <w:adjustRightInd w:val="0"/>
                    <w:snapToGrid w:val="0"/>
                    <w:spacing w:line="240" w:lineRule="auto"/>
                    <w:ind w:right="103"/>
                    <w:jc w:val="center"/>
                    <w:textAlignment w:val="baseline"/>
                    <w:rPr>
                      <w:rFonts w:hint="default" w:ascii="Times New Roman" w:hAnsi="Times New Roman" w:eastAsia="宋体" w:cs="Times New Roman"/>
                      <w:color w:val="auto"/>
                      <w:sz w:val="21"/>
                      <w:szCs w:val="21"/>
                      <w:highlight w:val="none"/>
                      <w:vertAlign w:val="baseline"/>
                    </w:rPr>
                  </w:pPr>
                </w:p>
              </w:tc>
            </w:tr>
          </w:tbl>
          <w:p w14:paraId="4F65F883">
            <w:pPr>
              <w:adjustRightIn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w:t>
            </w:r>
            <w:r>
              <w:rPr>
                <w:rFonts w:hint="eastAsia"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）风险</w:t>
            </w:r>
            <w:r>
              <w:rPr>
                <w:rFonts w:hint="eastAsia" w:ascii="Times New Roman" w:hAnsi="Times New Roman" w:eastAsia="宋体" w:cs="Times New Roman"/>
                <w:b/>
                <w:bCs/>
                <w:color w:val="auto"/>
                <w:sz w:val="24"/>
                <w:highlight w:val="none"/>
                <w:lang w:val="en-US" w:eastAsia="zh-CN"/>
              </w:rPr>
              <w:t>防范措施</w:t>
            </w:r>
          </w:p>
          <w:p w14:paraId="66941A28">
            <w:pPr>
              <w:keepNext w:val="0"/>
              <w:keepLines w:val="0"/>
              <w:pageBreakBefore w:val="0"/>
              <w:widowControl w:val="0"/>
              <w:tabs>
                <w:tab w:val="left" w:pos="8607"/>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A、危险废物泄漏风险</w:t>
            </w:r>
            <w:r>
              <w:rPr>
                <w:rFonts w:hint="default" w:ascii="Times New Roman" w:hAnsi="Times New Roman" w:eastAsia="宋体" w:cs="Times New Roman"/>
                <w:color w:val="auto"/>
                <w:kern w:val="2"/>
                <w:sz w:val="24"/>
                <w:szCs w:val="24"/>
                <w:highlight w:val="none"/>
                <w:lang w:val="zh-CN" w:eastAsia="zh-CN" w:bidi="ar-SA"/>
              </w:rPr>
              <w:t>防范措施</w:t>
            </w:r>
            <w:r>
              <w:rPr>
                <w:rFonts w:hint="eastAsia" w:cs="Times New Roman"/>
                <w:color w:val="auto"/>
                <w:kern w:val="2"/>
                <w:sz w:val="24"/>
                <w:szCs w:val="24"/>
                <w:highlight w:val="none"/>
                <w:lang w:val="zh-CN" w:eastAsia="zh-CN" w:bidi="ar-SA"/>
              </w:rPr>
              <w:t>：</w:t>
            </w:r>
          </w:p>
          <w:p w14:paraId="549E1206">
            <w:pPr>
              <w:keepNext w:val="0"/>
              <w:keepLines w:val="0"/>
              <w:pageBreakBefore w:val="0"/>
              <w:widowControl w:val="0"/>
              <w:tabs>
                <w:tab w:val="left" w:pos="8607"/>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en-US" w:bidi="ar-SA"/>
              </w:rPr>
              <w:t>严格按照《危险废物贮存污染控制标准》（GB18597-2023）贮存本项目产生的危险废物</w:t>
            </w:r>
            <w:r>
              <w:rPr>
                <w:rFonts w:hint="eastAsia" w:cs="Times New Roman"/>
                <w:color w:val="auto"/>
                <w:kern w:val="2"/>
                <w:sz w:val="24"/>
                <w:szCs w:val="24"/>
                <w:highlight w:val="none"/>
                <w:lang w:val="en-US" w:eastAsia="zh-CN" w:bidi="ar-SA"/>
              </w:rPr>
              <w:t>，建立危废责任制度，明确责任人，设立专人日常管理企业内部危废收集、运输和装卸工作，并建立台账制度，明确危废出入库名称、种类、数量、时间和交接人签字等内容，具体</w:t>
            </w:r>
            <w:r>
              <w:rPr>
                <w:rFonts w:hint="eastAsia"/>
                <w:b w:val="0"/>
                <w:bCs/>
                <w:color w:val="auto"/>
                <w:sz w:val="24"/>
                <w:highlight w:val="none"/>
                <w:lang w:val="en-US" w:eastAsia="zh-CN"/>
              </w:rPr>
              <w:t>管理要求如下</w:t>
            </w:r>
            <w:r>
              <w:rPr>
                <w:rFonts w:hint="eastAsia" w:cs="Times New Roman"/>
                <w:color w:val="auto"/>
                <w:kern w:val="2"/>
                <w:sz w:val="24"/>
                <w:szCs w:val="24"/>
                <w:highlight w:val="none"/>
                <w:lang w:val="en-US" w:eastAsia="zh-CN" w:bidi="ar-SA"/>
              </w:rPr>
              <w:t>。</w:t>
            </w:r>
          </w:p>
          <w:p w14:paraId="1B460734">
            <w:pPr>
              <w:keepNext w:val="0"/>
              <w:keepLines w:val="0"/>
              <w:pageBreakBefore w:val="0"/>
              <w:widowControl w:val="0"/>
              <w:tabs>
                <w:tab w:val="left" w:pos="8607"/>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eastAsia="en-US"/>
              </w:rPr>
            </w:pPr>
            <w:r>
              <w:rPr>
                <w:rFonts w:hint="default" w:ascii="Times New Roman" w:hAnsi="Times New Roman" w:eastAsia="宋体" w:cs="Times New Roman"/>
                <w:color w:val="auto"/>
                <w:kern w:val="2"/>
                <w:sz w:val="24"/>
                <w:szCs w:val="24"/>
                <w:highlight w:val="none"/>
                <w:lang w:val="en-US" w:eastAsia="en-US" w:bidi="ar-SA"/>
              </w:rPr>
              <w:t>①</w:t>
            </w:r>
            <w:r>
              <w:rPr>
                <w:rFonts w:hint="default"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sz w:val="24"/>
                <w:highlight w:val="none"/>
                <w:lang w:eastAsia="en-US"/>
              </w:rPr>
              <w:t>在常温常压下不易水解、不易挥发的固态危险废物可分类堆放贮存，其他固态危险废物应装入容器或包装物内贮存</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必须</w:t>
            </w:r>
            <w:r>
              <w:rPr>
                <w:rFonts w:hint="default" w:ascii="Times New Roman" w:hAnsi="Times New Roman" w:eastAsia="宋体" w:cs="Times New Roman"/>
                <w:color w:val="auto"/>
                <w:kern w:val="2"/>
                <w:sz w:val="24"/>
                <w:szCs w:val="24"/>
                <w:highlight w:val="none"/>
                <w:lang w:val="en-US" w:eastAsia="en-US" w:bidi="ar-SA"/>
              </w:rPr>
              <w:t>包装完整、不渗漏</w:t>
            </w:r>
            <w:r>
              <w:rPr>
                <w:rFonts w:hint="default" w:ascii="Times New Roman" w:hAnsi="Times New Roman" w:eastAsia="宋体" w:cs="Times New Roman"/>
                <w:color w:val="auto"/>
                <w:sz w:val="24"/>
                <w:highlight w:val="none"/>
                <w:lang w:eastAsia="en-US"/>
              </w:rPr>
              <w:t>。</w:t>
            </w:r>
          </w:p>
          <w:p w14:paraId="6E29E830">
            <w:pPr>
              <w:keepNext w:val="0"/>
              <w:keepLines w:val="0"/>
              <w:widowControl w:val="0"/>
              <w:suppressLineNumbers w:val="0"/>
              <w:tabs>
                <w:tab w:val="left" w:pos="8607"/>
              </w:tabs>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en-US" w:bidi="ar-SA"/>
              </w:rPr>
              <w:t>②</w:t>
            </w:r>
            <w:r>
              <w:rPr>
                <w:rFonts w:hint="default"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sz w:val="24"/>
                <w:highlight w:val="none"/>
              </w:rPr>
              <w:t>贮存设施或场所、容器和包装物应按HJ 1276要求设置危险废物贮存设施或场所标志、危险废物贮存分区标志和危险废物标签等危险废物识别标志。</w:t>
            </w:r>
          </w:p>
          <w:p w14:paraId="7D90E9DC">
            <w:pPr>
              <w:keepNext w:val="0"/>
              <w:keepLines w:val="0"/>
              <w:widowControl w:val="0"/>
              <w:suppressLineNumbers w:val="0"/>
              <w:tabs>
                <w:tab w:val="left" w:pos="8607"/>
              </w:tabs>
              <w:spacing w:line="360" w:lineRule="auto"/>
              <w:ind w:firstLine="480" w:firstLineChars="200"/>
              <w:jc w:val="left"/>
              <w:rPr>
                <w:rFonts w:hint="default" w:ascii="Times New Roman" w:hAnsi="Times New Roman" w:eastAsia="宋体" w:cs="Times New Roman"/>
                <w:color w:val="auto"/>
                <w:kern w:val="2"/>
                <w:sz w:val="24"/>
                <w:szCs w:val="24"/>
                <w:highlight w:val="none"/>
                <w:lang w:val="en-US" w:eastAsia="en-US" w:bidi="ar"/>
              </w:rPr>
            </w:pPr>
            <w:r>
              <w:rPr>
                <w:rFonts w:hint="default" w:ascii="Times New Roman" w:hAnsi="Times New Roman" w:eastAsia="宋体" w:cs="Times New Roman"/>
                <w:color w:val="auto"/>
                <w:kern w:val="2"/>
                <w:sz w:val="24"/>
                <w:szCs w:val="24"/>
                <w:highlight w:val="none"/>
                <w:lang w:val="en-US" w:eastAsia="en-US" w:bidi="ar-SA"/>
              </w:rPr>
              <w:t>③</w:t>
            </w:r>
            <w:r>
              <w:rPr>
                <w:rFonts w:hint="default"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kern w:val="2"/>
                <w:sz w:val="24"/>
                <w:szCs w:val="24"/>
                <w:highlight w:val="none"/>
                <w:lang w:val="en-US" w:eastAsia="en-US" w:bidi="ar"/>
              </w:rPr>
              <w:t>危险废物存入贮存设施前应对危险废物类别和特性与危险废物标签等危险废物识别标志的一致性进行核验，不一致的或类别、特性不明的不应存入。</w:t>
            </w:r>
          </w:p>
          <w:p w14:paraId="25738B9E">
            <w:pPr>
              <w:keepNext w:val="0"/>
              <w:keepLines w:val="0"/>
              <w:widowControl w:val="0"/>
              <w:suppressLineNumbers w:val="0"/>
              <w:tabs>
                <w:tab w:val="left" w:pos="8607"/>
              </w:tabs>
              <w:spacing w:line="360" w:lineRule="auto"/>
              <w:ind w:firstLine="480" w:firstLineChars="200"/>
              <w:jc w:val="left"/>
              <w:rPr>
                <w:rFonts w:hint="default" w:ascii="Times New Roman" w:hAnsi="Times New Roman" w:eastAsia="宋体" w:cs="Times New Roman"/>
                <w:color w:val="auto"/>
                <w:sz w:val="24"/>
                <w:szCs w:val="24"/>
                <w:highlight w:val="none"/>
                <w:lang w:eastAsia="en-US" w:bidi="ar"/>
              </w:rPr>
            </w:pPr>
            <w:r>
              <w:rPr>
                <w:rFonts w:hint="default" w:ascii="Times New Roman" w:hAnsi="Times New Roman" w:eastAsia="宋体" w:cs="Times New Roman"/>
                <w:color w:val="auto"/>
                <w:kern w:val="2"/>
                <w:sz w:val="24"/>
                <w:szCs w:val="24"/>
                <w:highlight w:val="none"/>
                <w:lang w:val="en-US" w:eastAsia="en-US" w:bidi="ar-SA"/>
              </w:rPr>
              <w:t>④</w:t>
            </w:r>
            <w:r>
              <w:rPr>
                <w:rFonts w:hint="default"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sz w:val="24"/>
                <w:highlight w:val="none"/>
                <w:lang w:eastAsia="en-US" w:bidi="ar"/>
              </w:rPr>
              <w:t>应定期检查危险废物的贮存状况，及时清理贮存设施地面，更换破损泄漏的危险废物贮存容器和包装物，保证堆存危险废物的防雨、防风、防扬尘等设施功能完好。</w:t>
            </w:r>
          </w:p>
          <w:p w14:paraId="72B31C3F">
            <w:pPr>
              <w:keepNext w:val="0"/>
              <w:keepLines w:val="0"/>
              <w:widowControl w:val="0"/>
              <w:suppressLineNumbers w:val="0"/>
              <w:tabs>
                <w:tab w:val="left" w:pos="8607"/>
              </w:tabs>
              <w:spacing w:line="360" w:lineRule="auto"/>
              <w:ind w:firstLine="480" w:firstLineChars="200"/>
              <w:jc w:val="left"/>
              <w:rPr>
                <w:rFonts w:hint="default" w:ascii="Times New Roman" w:hAnsi="Times New Roman" w:eastAsia="宋体" w:cs="Times New Roman"/>
                <w:color w:val="auto"/>
                <w:sz w:val="24"/>
                <w:szCs w:val="24"/>
                <w:highlight w:val="none"/>
                <w:lang w:eastAsia="en-US" w:bidi="ar"/>
              </w:rPr>
            </w:pPr>
            <w:r>
              <w:rPr>
                <w:rFonts w:hint="default" w:ascii="Times New Roman" w:hAnsi="Times New Roman" w:eastAsia="宋体" w:cs="Times New Roman"/>
                <w:color w:val="auto"/>
                <w:kern w:val="2"/>
                <w:sz w:val="24"/>
                <w:szCs w:val="24"/>
                <w:highlight w:val="none"/>
                <w:lang w:val="en-US" w:eastAsia="en-US" w:bidi="ar-SA"/>
              </w:rPr>
              <w:t>⑤</w:t>
            </w:r>
            <w:r>
              <w:rPr>
                <w:rFonts w:hint="default"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sz w:val="24"/>
                <w:highlight w:val="none"/>
                <w:lang w:eastAsia="en-US" w:bidi="ar"/>
              </w:rPr>
              <w:t>贮存</w:t>
            </w:r>
            <w:r>
              <w:rPr>
                <w:rFonts w:hint="default" w:ascii="Times New Roman" w:hAnsi="Times New Roman" w:eastAsia="宋体" w:cs="Times New Roman"/>
                <w:color w:val="auto"/>
                <w:sz w:val="24"/>
                <w:szCs w:val="24"/>
                <w:highlight w:val="none"/>
                <w:lang w:val="en-US" w:eastAsia="zh-CN" w:bidi="ar"/>
              </w:rPr>
              <w:t>库</w:t>
            </w:r>
            <w:r>
              <w:rPr>
                <w:rFonts w:hint="default" w:ascii="Times New Roman" w:hAnsi="Times New Roman" w:eastAsia="宋体" w:cs="Times New Roman"/>
                <w:color w:val="auto"/>
                <w:sz w:val="24"/>
                <w:highlight w:val="none"/>
                <w:lang w:eastAsia="en-US" w:bidi="ar"/>
              </w:rPr>
              <w:t>应及时清运贮存的危险废物，实时贮存量不应超过3吨。</w:t>
            </w:r>
          </w:p>
          <w:p w14:paraId="36A8D013">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sz w:val="24"/>
                <w:szCs w:val="24"/>
                <w:highlight w:val="none"/>
                <w:lang w:eastAsia="en-US" w:bidi="ar"/>
              </w:rPr>
              <w:t>⑥</w:t>
            </w:r>
            <w:r>
              <w:rPr>
                <w:rFonts w:hint="default" w:ascii="Times New Roman" w:hAnsi="Times New Roman" w:eastAsia="宋体" w:cs="Times New Roman"/>
                <w:color w:val="auto"/>
                <w:sz w:val="24"/>
                <w:szCs w:val="24"/>
                <w:highlight w:val="none"/>
                <w:lang w:val="en-US" w:eastAsia="zh-CN" w:bidi="ar"/>
              </w:rPr>
              <w:t xml:space="preserve"> </w:t>
            </w:r>
            <w:r>
              <w:rPr>
                <w:rFonts w:hint="default" w:ascii="Times New Roman" w:hAnsi="Times New Roman" w:eastAsia="宋体" w:cs="Times New Roman"/>
                <w:color w:val="auto"/>
                <w:sz w:val="24"/>
                <w:szCs w:val="24"/>
                <w:highlight w:val="none"/>
              </w:rPr>
              <w:t>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14:paraId="6D4E4F96">
            <w:pPr>
              <w:keepNext w:val="0"/>
              <w:keepLines w:val="0"/>
              <w:widowControl w:val="0"/>
              <w:suppressLineNumbers w:val="0"/>
              <w:tabs>
                <w:tab w:val="left" w:pos="8607"/>
              </w:tabs>
              <w:spacing w:line="360" w:lineRule="auto"/>
              <w:ind w:firstLine="480" w:firstLineChars="200"/>
              <w:jc w:val="left"/>
              <w:rPr>
                <w:rFonts w:hint="default" w:ascii="Times New Roman" w:hAnsi="Times New Roman" w:eastAsia="宋体" w:cs="Times New Roman"/>
                <w:color w:val="auto"/>
                <w:sz w:val="24"/>
                <w:szCs w:val="24"/>
                <w:highlight w:val="none"/>
                <w:lang w:eastAsia="en-US" w:bidi="ar"/>
              </w:rPr>
            </w:pPr>
            <w:r>
              <w:rPr>
                <w:rFonts w:hint="default" w:ascii="Times New Roman" w:hAnsi="Times New Roman" w:eastAsia="宋体" w:cs="Times New Roman"/>
                <w:color w:val="auto"/>
                <w:sz w:val="24"/>
                <w:szCs w:val="24"/>
                <w:highlight w:val="none"/>
                <w:lang w:eastAsia="en-US" w:bidi="ar"/>
              </w:rPr>
              <w:t>⑦</w:t>
            </w:r>
            <w:r>
              <w:rPr>
                <w:rFonts w:hint="default" w:ascii="Times New Roman" w:hAnsi="Times New Roman" w:eastAsia="宋体" w:cs="Times New Roman"/>
                <w:color w:val="auto"/>
                <w:sz w:val="24"/>
                <w:highlight w:val="none"/>
                <w:lang w:eastAsia="en-US" w:bidi="ar"/>
              </w:rPr>
              <w:t>贮存设施所有者或运营者应按照国家有关规定编制突发环境事件应急预案，定期开展必要的培训和环境应急演练，并做好培训、演练记录。应配备满足其突发环境事件应急要求的应急人员、装备和物资，并应设置应急照明系统。</w:t>
            </w:r>
          </w:p>
          <w:p w14:paraId="21DA909A">
            <w:pPr>
              <w:adjustRightInd w:val="0"/>
              <w:snapToGrid w:val="0"/>
              <w:spacing w:line="360" w:lineRule="auto"/>
              <w:ind w:firstLine="480" w:firstLineChars="200"/>
              <w:rPr>
                <w:rFonts w:hint="eastAsia" w:cs="Times New Roman"/>
                <w:color w:val="auto"/>
                <w:sz w:val="24"/>
                <w:highlight w:val="none"/>
                <w:lang w:eastAsia="zh-CN" w:bidi="ar"/>
              </w:rPr>
            </w:pPr>
            <w:r>
              <w:rPr>
                <w:rFonts w:hint="default" w:ascii="Times New Roman" w:hAnsi="Times New Roman" w:eastAsia="宋体" w:cs="Times New Roman"/>
                <w:color w:val="auto"/>
                <w:sz w:val="24"/>
                <w:szCs w:val="24"/>
                <w:highlight w:val="none"/>
                <w:lang w:eastAsia="en-US" w:bidi="ar"/>
              </w:rPr>
              <w:t>⑧</w:t>
            </w:r>
            <w:r>
              <w:rPr>
                <w:rFonts w:hint="default" w:ascii="Times New Roman" w:hAnsi="Times New Roman" w:eastAsia="宋体" w:cs="Times New Roman"/>
                <w:color w:val="auto"/>
                <w:sz w:val="24"/>
                <w:highlight w:val="none"/>
                <w:lang w:eastAsia="en-US" w:bidi="ar"/>
              </w:rPr>
              <w:t>贮存设施运行期间，应按国家有关标准和规定建立危险废物管理台账并保存</w:t>
            </w:r>
            <w:r>
              <w:rPr>
                <w:rFonts w:hint="eastAsia" w:cs="Times New Roman"/>
                <w:color w:val="auto"/>
                <w:sz w:val="24"/>
                <w:highlight w:val="none"/>
                <w:lang w:eastAsia="zh-CN" w:bidi="ar"/>
              </w:rPr>
              <w:t>。</w:t>
            </w:r>
          </w:p>
          <w:p w14:paraId="4C56E09B">
            <w:pPr>
              <w:adjustRightInd w:val="0"/>
              <w:snapToGrid w:val="0"/>
              <w:spacing w:line="360" w:lineRule="auto"/>
              <w:ind w:firstLine="480" w:firstLineChars="200"/>
              <w:rPr>
                <w:rFonts w:hint="eastAsia" w:cs="Times New Roman"/>
                <w:color w:val="auto"/>
                <w:kern w:val="2"/>
                <w:sz w:val="24"/>
                <w:szCs w:val="24"/>
                <w:highlight w:val="none"/>
                <w:lang w:val="zh-CN" w:eastAsia="zh-CN" w:bidi="ar-SA"/>
              </w:rPr>
            </w:pPr>
            <w:r>
              <w:rPr>
                <w:rFonts w:hint="eastAsia"/>
                <w:color w:val="auto"/>
                <w:sz w:val="24"/>
                <w:highlight w:val="none"/>
                <w:lang w:val="en-US" w:eastAsia="zh-CN"/>
              </w:rPr>
              <w:t>B、试剂间风险</w:t>
            </w:r>
            <w:r>
              <w:rPr>
                <w:rFonts w:hint="default" w:ascii="Times New Roman" w:hAnsi="Times New Roman" w:eastAsia="宋体" w:cs="Times New Roman"/>
                <w:color w:val="auto"/>
                <w:kern w:val="2"/>
                <w:sz w:val="24"/>
                <w:szCs w:val="24"/>
                <w:highlight w:val="none"/>
                <w:lang w:val="zh-CN" w:eastAsia="zh-CN" w:bidi="ar-SA"/>
              </w:rPr>
              <w:t>防范措施</w:t>
            </w:r>
            <w:r>
              <w:rPr>
                <w:rFonts w:hint="eastAsia" w:cs="Times New Roman"/>
                <w:color w:val="auto"/>
                <w:kern w:val="2"/>
                <w:sz w:val="24"/>
                <w:szCs w:val="24"/>
                <w:highlight w:val="none"/>
                <w:lang w:val="zh-CN" w:eastAsia="zh-CN" w:bidi="ar-SA"/>
              </w:rPr>
              <w:t>：</w:t>
            </w:r>
          </w:p>
          <w:p w14:paraId="2874DAAE">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本项目在生产过程中将使用到多种常见化学试剂，如硫酸、硝酸、盐酸、甲醇、三氯甲烷、二氯甲烷等，所有危险化学品集中存储于试剂间，不存在重大风险源。实验室药品管理要求如下：</w:t>
            </w:r>
          </w:p>
          <w:p w14:paraId="7DF1CD34">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①贮存区应有与生产规模相适应的面积和空间用于存放试剂，避免差错和交叉污染，易燃易爆试剂设置防爆安全柜存放；</w:t>
            </w:r>
          </w:p>
          <w:p w14:paraId="067DE984">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②化学试剂应指定专人保管，并有账目。在固体试剂和液体试剂及化学性质不同或灭火方法相抵触的化学试剂应分柜存放。剧毒试剂应专柜存放，双人双锁保管。试剂使用应有记录，剧毒试剂的领用需实验室负责人签字。项目液体试剂存放柜内设有托盘，将液体试剂存放于托盘上，避免试剂破损后的泄漏产生；</w:t>
            </w:r>
          </w:p>
          <w:p w14:paraId="40A7910B">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③配制的试剂应贴标识，注明试剂名称、浓度、配制时间、有效期及配制人，配制的试剂除有特殊规定外，存放期不应超过三个月。定期检查试剂是否过期，过期试剂应及时妥善处置；</w:t>
            </w:r>
          </w:p>
          <w:p w14:paraId="15272780">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④化学药品必须根据性质分类存放，易燃、易爆、剧毒性、强腐蚀品不得混放。化学药品要存放在专用橱（柜）内，有存放专用橱(柜)的储藏室。易燃易爆物应远离火源。易挥发试剂应贮放在有通风设备的房间内；特别要加强剧毒品、易燃易爆、易制毒品的使用和管理，采取可靠的防范措施，做好详细记录，所有药品均有详细的药品动态台账；</w:t>
            </w:r>
          </w:p>
          <w:p w14:paraId="71BC9883">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⑤危险物品的采购和提运按公安部门和交通运输部门的有关规定办理。危险物品要单独存放，由双人双锁专人管理。存放剧毒物品的药品柜应坚固、保险，要健全严格的领取使用登记；</w:t>
            </w:r>
          </w:p>
          <w:p w14:paraId="47D66A12">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⑥要经常检查危险物品，防止因变质、分解造成自燃、自爆事故。对剧毒物品的容器、变质料、废渣及废水等应予妥善处理。</w:t>
            </w:r>
          </w:p>
          <w:p w14:paraId="0A4EBF24">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 xml:space="preserve">C、火灾危害的防范措施 </w:t>
            </w:r>
          </w:p>
          <w:p w14:paraId="6DEB51C4">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①按照消防部门要求设置防火设施，发生燃烧、爆炸事故时及时处置，危险化学品泄漏时或发生火灾时，根据性状及时采取吸收、清洁、稀释、中和、喷淋等措施防止事故进一步扩大；</w:t>
            </w:r>
          </w:p>
          <w:p w14:paraId="1816CC1A">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②在房间、走廊以及过道中应设置显著的火警标志，以及紧急通道标志，并应备有辅助出口确保人员可从实验室安全撤离；</w:t>
            </w:r>
          </w:p>
          <w:p w14:paraId="2D9B0DCF">
            <w:pPr>
              <w:adjustRightInd w:val="0"/>
              <w:snapToGri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③要加强对火源的管理。化学药品储藏室(橱)周围及内部严禁火源；实验室的火源要远离易燃、易爆物品，有火源时，不能离人；</w:t>
            </w:r>
          </w:p>
          <w:p w14:paraId="26D6B46D">
            <w:pPr>
              <w:adjustRightInd w:val="0"/>
              <w:spacing w:line="360" w:lineRule="auto"/>
              <w:ind w:firstLine="480" w:firstLineChars="200"/>
              <w:rPr>
                <w:rFonts w:hint="eastAsia"/>
                <w:b w:val="0"/>
                <w:bCs/>
                <w:color w:val="auto"/>
                <w:sz w:val="24"/>
                <w:highlight w:val="none"/>
                <w:lang w:val="en-US" w:eastAsia="zh-CN"/>
              </w:rPr>
            </w:pPr>
            <w:r>
              <w:rPr>
                <w:rFonts w:hint="eastAsia"/>
                <w:b w:val="0"/>
                <w:bCs/>
                <w:color w:val="auto"/>
                <w:sz w:val="24"/>
                <w:highlight w:val="none"/>
                <w:lang w:val="en-US" w:eastAsia="zh-CN"/>
              </w:rPr>
              <w:t>④实验室内建立严格的防火制度，严防火灾发生。发生火灾时及时扑灭初期火灾，不能自控时，请求社会力量支援。发生事故时，对产生的消防废水进行堵截、收集处理，防止外溢污染环境。加强区域环境风险联防联控，及时应对环境风险事故。事故结束后，应消除环境影响。</w:t>
            </w:r>
          </w:p>
          <w:p w14:paraId="72423279">
            <w:pPr>
              <w:adjustRightInd w:val="0"/>
              <w:spacing w:line="360" w:lineRule="auto"/>
              <w:ind w:firstLine="482"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（4）结论</w:t>
            </w:r>
          </w:p>
          <w:p w14:paraId="6AAFB927">
            <w:pPr>
              <w:adjustRightInd w:val="0"/>
              <w:snapToGrid w:val="0"/>
              <w:spacing w:line="360" w:lineRule="auto"/>
              <w:ind w:firstLine="480" w:firstLineChars="200"/>
              <w:rPr>
                <w:rFonts w:hint="eastAsia"/>
                <w:b w:val="0"/>
                <w:bCs/>
                <w:color w:val="auto"/>
                <w:sz w:val="24"/>
                <w:highlight w:val="none"/>
                <w:lang w:val="en-US" w:eastAsia="zh-CN"/>
              </w:rPr>
            </w:pPr>
            <w:r>
              <w:rPr>
                <w:rFonts w:hint="eastAsia" w:ascii="Times New Roman" w:hAnsi="Times New Roman" w:eastAsia="宋体" w:cs="Times New Roman"/>
                <w:color w:val="auto"/>
                <w:spacing w:val="0"/>
                <w:sz w:val="24"/>
                <w:szCs w:val="24"/>
                <w:highlight w:val="none"/>
                <w:lang w:val="en-US" w:eastAsia="zh-CN"/>
              </w:rPr>
              <w:t>本项目涉及的危险物质为盐酸、硝酸、硫酸、氢氟酸、甲醇、丙酮、甲苯、实验废液等，对环境的影响途径主要是风险物质泄漏对大气、地下水、土壤环境的影响，以及泄漏引发火灾爆炸风险。项目须严格按相关要求建设，做好应急预案相关工作，贯彻防治结合、以防为主的安全生产原则，制定和落实环境风险防范措施。在采取以上措施后，建设项目环境风险可以防控。</w:t>
            </w:r>
          </w:p>
          <w:p w14:paraId="1ED6FD2D">
            <w:pPr>
              <w:pStyle w:val="110"/>
              <w:numPr>
                <w:ilvl w:val="0"/>
                <w:numId w:val="0"/>
              </w:numPr>
              <w:rPr>
                <w:rFonts w:hint="eastAsia"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表</w:t>
            </w:r>
            <w:r>
              <w:rPr>
                <w:rFonts w:hint="default" w:ascii="Times New Roman" w:hAnsi="Times New Roman" w:eastAsia="宋体" w:cs="Times New Roman"/>
                <w:b/>
                <w:color w:val="auto"/>
                <w:kern w:val="0"/>
                <w:sz w:val="21"/>
                <w:szCs w:val="21"/>
                <w:highlight w:val="none"/>
                <w:lang w:val="en-US" w:eastAsia="zh-CN" w:bidi="ar-SA"/>
              </w:rPr>
              <w:t>4-</w:t>
            </w:r>
            <w:r>
              <w:rPr>
                <w:rFonts w:hint="eastAsia" w:cs="Times New Roman"/>
                <w:b/>
                <w:color w:val="auto"/>
                <w:kern w:val="0"/>
                <w:sz w:val="21"/>
                <w:szCs w:val="21"/>
                <w:highlight w:val="none"/>
                <w:lang w:val="en-US" w:eastAsia="zh-CN" w:bidi="ar-SA"/>
              </w:rPr>
              <w:t xml:space="preserve">20 </w:t>
            </w:r>
            <w:r>
              <w:rPr>
                <w:rFonts w:hint="eastAsia" w:ascii="Times New Roman" w:hAnsi="Times New Roman" w:eastAsia="宋体" w:cs="Times New Roman"/>
                <w:b/>
                <w:color w:val="auto"/>
                <w:kern w:val="0"/>
                <w:sz w:val="21"/>
                <w:szCs w:val="21"/>
                <w:highlight w:val="none"/>
                <w:lang w:val="en-US" w:eastAsia="zh-CN" w:bidi="ar-SA"/>
              </w:rPr>
              <w:t xml:space="preserve">  项目风险评价分析表</w:t>
            </w:r>
          </w:p>
          <w:tbl>
            <w:tblPr>
              <w:tblStyle w:val="108"/>
              <w:tblW w:w="7959"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626"/>
              <w:gridCol w:w="1671"/>
              <w:gridCol w:w="1812"/>
              <w:gridCol w:w="638"/>
              <w:gridCol w:w="2212"/>
            </w:tblGrid>
            <w:tr w14:paraId="1F598CEA">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5" w:hRule="atLeast"/>
                <w:jc w:val="center"/>
              </w:trPr>
              <w:tc>
                <w:tcPr>
                  <w:tcW w:w="1626" w:type="dxa"/>
                  <w:tcBorders>
                    <w:tl2br w:val="nil"/>
                    <w:tr2bl w:val="nil"/>
                  </w:tcBorders>
                  <w:vAlign w:val="center"/>
                </w:tcPr>
                <w:p w14:paraId="69506246">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pacing w:val="9"/>
                      <w:sz w:val="21"/>
                      <w:szCs w:val="21"/>
                      <w:highlight w:val="none"/>
                    </w:rPr>
                  </w:pPr>
                  <w:r>
                    <w:rPr>
                      <w:rFonts w:hint="default" w:ascii="Times New Roman" w:hAnsi="Times New Roman" w:eastAsia="宋体" w:cs="Times New Roman"/>
                      <w:color w:val="auto"/>
                      <w:spacing w:val="9"/>
                      <w:sz w:val="21"/>
                      <w:szCs w:val="21"/>
                      <w:highlight w:val="none"/>
                    </w:rPr>
                    <w:t>建设项目名称</w:t>
                  </w:r>
                </w:p>
              </w:tc>
              <w:tc>
                <w:tcPr>
                  <w:tcW w:w="6333" w:type="dxa"/>
                  <w:gridSpan w:val="4"/>
                  <w:tcBorders>
                    <w:tl2br w:val="nil"/>
                    <w:tr2bl w:val="nil"/>
                  </w:tcBorders>
                  <w:vAlign w:val="center"/>
                </w:tcPr>
                <w:p w14:paraId="02DFFE8B">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pacing w:val="9"/>
                      <w:sz w:val="21"/>
                      <w:szCs w:val="21"/>
                      <w:highlight w:val="none"/>
                    </w:rPr>
                  </w:pPr>
                  <w:r>
                    <w:rPr>
                      <w:rFonts w:hint="default" w:ascii="Times New Roman" w:hAnsi="Times New Roman" w:eastAsia="宋体" w:cs="Times New Roman"/>
                      <w:color w:val="auto"/>
                      <w:spacing w:val="9"/>
                      <w:sz w:val="21"/>
                      <w:szCs w:val="21"/>
                      <w:highlight w:val="none"/>
                    </w:rPr>
                    <w:t>核工业二0三研究所分析测试中心扩建项目</w:t>
                  </w:r>
                </w:p>
              </w:tc>
            </w:tr>
            <w:tr w14:paraId="68D86185">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1626" w:type="dxa"/>
                  <w:tcBorders>
                    <w:tl2br w:val="nil"/>
                    <w:tr2bl w:val="nil"/>
                  </w:tcBorders>
                  <w:vAlign w:val="center"/>
                </w:tcPr>
                <w:p w14:paraId="1AE45DB8">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建</w:t>
                  </w:r>
                  <w:r>
                    <w:rPr>
                      <w:rFonts w:hint="default" w:ascii="Times New Roman" w:hAnsi="Times New Roman" w:eastAsia="宋体" w:cs="Times New Roman"/>
                      <w:color w:val="auto"/>
                      <w:spacing w:val="6"/>
                      <w:sz w:val="21"/>
                      <w:szCs w:val="21"/>
                      <w:highlight w:val="none"/>
                    </w:rPr>
                    <w:t>设地点</w:t>
                  </w:r>
                </w:p>
              </w:tc>
              <w:tc>
                <w:tcPr>
                  <w:tcW w:w="6333" w:type="dxa"/>
                  <w:gridSpan w:val="4"/>
                  <w:tcBorders>
                    <w:tl2br w:val="nil"/>
                    <w:tr2bl w:val="nil"/>
                  </w:tcBorders>
                  <w:vAlign w:val="center"/>
                </w:tcPr>
                <w:p w14:paraId="3002D709">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陕西省西咸新区沣东新城科源三路869号核工业二0三研究所科技综合楼B座</w:t>
                  </w:r>
                </w:p>
              </w:tc>
            </w:tr>
            <w:tr w14:paraId="543A1FC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26" w:type="dxa"/>
                  <w:tcBorders>
                    <w:tl2br w:val="nil"/>
                    <w:tr2bl w:val="nil"/>
                  </w:tcBorders>
                  <w:vAlign w:val="center"/>
                </w:tcPr>
                <w:p w14:paraId="766EE609">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8"/>
                      <w:sz w:val="21"/>
                      <w:szCs w:val="21"/>
                      <w:highlight w:val="none"/>
                    </w:rPr>
                    <w:t>地</w:t>
                  </w:r>
                  <w:r>
                    <w:rPr>
                      <w:rFonts w:hint="default" w:ascii="Times New Roman" w:hAnsi="Times New Roman" w:eastAsia="宋体" w:cs="Times New Roman"/>
                      <w:color w:val="auto"/>
                      <w:spacing w:val="7"/>
                      <w:sz w:val="21"/>
                      <w:szCs w:val="21"/>
                      <w:highlight w:val="none"/>
                    </w:rPr>
                    <w:t>理坐标</w:t>
                  </w:r>
                </w:p>
              </w:tc>
              <w:tc>
                <w:tcPr>
                  <w:tcW w:w="1671" w:type="dxa"/>
                  <w:tcBorders>
                    <w:tl2br w:val="nil"/>
                    <w:tr2bl w:val="nil"/>
                  </w:tcBorders>
                  <w:vAlign w:val="center"/>
                </w:tcPr>
                <w:p w14:paraId="6320C9E0">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4"/>
                      <w:sz w:val="21"/>
                      <w:szCs w:val="21"/>
                      <w:highlight w:val="none"/>
                    </w:rPr>
                    <w:t>经</w:t>
                  </w:r>
                  <w:r>
                    <w:rPr>
                      <w:rFonts w:hint="default" w:ascii="Times New Roman" w:hAnsi="Times New Roman" w:eastAsia="宋体" w:cs="Times New Roman"/>
                      <w:color w:val="auto"/>
                      <w:spacing w:val="3"/>
                      <w:sz w:val="21"/>
                      <w:szCs w:val="21"/>
                      <w:highlight w:val="none"/>
                    </w:rPr>
                    <w:t>度</w:t>
                  </w:r>
                </w:p>
              </w:tc>
              <w:tc>
                <w:tcPr>
                  <w:tcW w:w="1812" w:type="dxa"/>
                  <w:tcBorders>
                    <w:tl2br w:val="nil"/>
                    <w:tr2bl w:val="nil"/>
                  </w:tcBorders>
                  <w:vAlign w:val="center"/>
                </w:tcPr>
                <w:p w14:paraId="7014333E">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z w:val="21"/>
                      <w:szCs w:val="21"/>
                      <w:highlight w:val="none"/>
                    </w:rPr>
                    <w:t>108°46′1.823″</w:t>
                  </w:r>
                </w:p>
              </w:tc>
              <w:tc>
                <w:tcPr>
                  <w:tcW w:w="638" w:type="dxa"/>
                  <w:tcBorders>
                    <w:tl2br w:val="nil"/>
                    <w:tr2bl w:val="nil"/>
                  </w:tcBorders>
                  <w:vAlign w:val="center"/>
                </w:tcPr>
                <w:p w14:paraId="67C21F50">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4"/>
                      <w:sz w:val="21"/>
                      <w:szCs w:val="21"/>
                      <w:highlight w:val="none"/>
                    </w:rPr>
                    <w:t>纬度</w:t>
                  </w:r>
                </w:p>
              </w:tc>
              <w:tc>
                <w:tcPr>
                  <w:tcW w:w="2212" w:type="dxa"/>
                  <w:tcBorders>
                    <w:tl2br w:val="nil"/>
                    <w:tr2bl w:val="nil"/>
                  </w:tcBorders>
                  <w:vAlign w:val="center"/>
                </w:tcPr>
                <w:p w14:paraId="69EE7869">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z w:val="21"/>
                      <w:szCs w:val="21"/>
                      <w:highlight w:val="none"/>
                    </w:rPr>
                    <w:t>34°15′45.815″</w:t>
                  </w:r>
                </w:p>
              </w:tc>
            </w:tr>
            <w:tr w14:paraId="24C19D3A">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1" w:hRule="atLeast"/>
                <w:jc w:val="center"/>
              </w:trPr>
              <w:tc>
                <w:tcPr>
                  <w:tcW w:w="1626" w:type="dxa"/>
                  <w:tcBorders>
                    <w:tl2br w:val="nil"/>
                    <w:tr2bl w:val="nil"/>
                  </w:tcBorders>
                  <w:vAlign w:val="center"/>
                </w:tcPr>
                <w:p w14:paraId="09627F3B">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8"/>
                      <w:sz w:val="21"/>
                      <w:szCs w:val="21"/>
                      <w:highlight w:val="none"/>
                    </w:rPr>
                    <w:t>主要危险物</w:t>
                  </w:r>
                  <w:r>
                    <w:rPr>
                      <w:rFonts w:hint="default" w:ascii="Times New Roman" w:hAnsi="Times New Roman" w:eastAsia="宋体" w:cs="Times New Roman"/>
                      <w:color w:val="auto"/>
                      <w:spacing w:val="7"/>
                      <w:sz w:val="21"/>
                      <w:szCs w:val="21"/>
                      <w:highlight w:val="none"/>
                    </w:rPr>
                    <w:t>质及分布</w:t>
                  </w:r>
                </w:p>
              </w:tc>
              <w:tc>
                <w:tcPr>
                  <w:tcW w:w="6333" w:type="dxa"/>
                  <w:gridSpan w:val="4"/>
                  <w:tcBorders>
                    <w:tl2br w:val="nil"/>
                    <w:tr2bl w:val="nil"/>
                  </w:tcBorders>
                  <w:vAlign w:val="center"/>
                </w:tcPr>
                <w:p w14:paraId="57C54776">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9"/>
                      <w:sz w:val="21"/>
                      <w:szCs w:val="21"/>
                      <w:highlight w:val="none"/>
                      <w:lang w:val="en-US" w:eastAsia="zh-CN"/>
                    </w:rPr>
                    <w:t>试剂间</w:t>
                  </w:r>
                  <w:r>
                    <w:rPr>
                      <w:rFonts w:hint="default" w:ascii="Times New Roman" w:hAnsi="Times New Roman" w:eastAsia="宋体" w:cs="Times New Roman"/>
                      <w:color w:val="auto"/>
                      <w:spacing w:val="9"/>
                      <w:sz w:val="21"/>
                      <w:szCs w:val="21"/>
                      <w:highlight w:val="none"/>
                    </w:rPr>
                    <w:t>、危废贮存库</w:t>
                  </w:r>
                </w:p>
              </w:tc>
            </w:tr>
            <w:tr w14:paraId="5EEFA142">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16" w:hRule="atLeast"/>
                <w:jc w:val="center"/>
              </w:trPr>
              <w:tc>
                <w:tcPr>
                  <w:tcW w:w="1626" w:type="dxa"/>
                  <w:tcBorders>
                    <w:tl2br w:val="nil"/>
                    <w:tr2bl w:val="nil"/>
                  </w:tcBorders>
                  <w:vAlign w:val="center"/>
                </w:tcPr>
                <w:p w14:paraId="31533FF2">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Times New Roman"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环</w:t>
                  </w:r>
                  <w:r>
                    <w:rPr>
                      <w:rFonts w:hint="default" w:ascii="Times New Roman" w:hAnsi="Times New Roman" w:eastAsia="宋体" w:cs="Times New Roman"/>
                      <w:color w:val="auto"/>
                      <w:spacing w:val="8"/>
                      <w:sz w:val="21"/>
                      <w:szCs w:val="21"/>
                      <w:highlight w:val="none"/>
                    </w:rPr>
                    <w:t>境影响途径</w:t>
                  </w:r>
                  <w:r>
                    <w:rPr>
                      <w:rFonts w:hint="default" w:ascii="Times New Roman" w:hAnsi="Times New Roman" w:eastAsia="宋体" w:cs="Times New Roman"/>
                      <w:color w:val="auto"/>
                      <w:spacing w:val="9"/>
                      <w:sz w:val="21"/>
                      <w:szCs w:val="21"/>
                      <w:highlight w:val="none"/>
                    </w:rPr>
                    <w:t>及</w:t>
                  </w:r>
                  <w:r>
                    <w:rPr>
                      <w:rFonts w:hint="default" w:ascii="Times New Roman" w:hAnsi="Times New Roman" w:eastAsia="宋体" w:cs="Times New Roman"/>
                      <w:color w:val="auto"/>
                      <w:spacing w:val="8"/>
                      <w:sz w:val="21"/>
                      <w:szCs w:val="21"/>
                      <w:highlight w:val="none"/>
                    </w:rPr>
                    <w:t>危害后果</w:t>
                  </w:r>
                  <w:r>
                    <w:rPr>
                      <w:rFonts w:hint="default" w:ascii="Times New Roman" w:hAnsi="Times New Roman" w:eastAsia="Times New Roman" w:cs="Times New Roman"/>
                      <w:color w:val="auto"/>
                      <w:spacing w:val="-7"/>
                      <w:position w:val="2"/>
                      <w:sz w:val="21"/>
                      <w:szCs w:val="21"/>
                      <w:highlight w:val="none"/>
                    </w:rPr>
                    <w:t>(</w:t>
                  </w:r>
                  <w:r>
                    <w:rPr>
                      <w:rFonts w:hint="default" w:ascii="Times New Roman" w:hAnsi="Times New Roman" w:eastAsia="宋体" w:cs="Times New Roman"/>
                      <w:color w:val="auto"/>
                      <w:spacing w:val="-4"/>
                      <w:position w:val="2"/>
                      <w:sz w:val="21"/>
                      <w:szCs w:val="21"/>
                      <w:highlight w:val="none"/>
                    </w:rPr>
                    <w:t>大气、地表水、</w:t>
                  </w:r>
                  <w:r>
                    <w:rPr>
                      <w:rFonts w:hint="default" w:ascii="Times New Roman" w:hAnsi="Times New Roman" w:eastAsia="宋体" w:cs="Times New Roman"/>
                      <w:color w:val="auto"/>
                      <w:spacing w:val="6"/>
                      <w:position w:val="2"/>
                      <w:sz w:val="21"/>
                      <w:szCs w:val="21"/>
                      <w:highlight w:val="none"/>
                    </w:rPr>
                    <w:t>地下水</w:t>
                  </w:r>
                  <w:r>
                    <w:rPr>
                      <w:rFonts w:hint="default" w:ascii="Times New Roman" w:hAnsi="Times New Roman" w:eastAsia="Times New Roman" w:cs="Times New Roman"/>
                      <w:color w:val="auto"/>
                      <w:spacing w:val="5"/>
                      <w:position w:val="2"/>
                      <w:sz w:val="21"/>
                      <w:szCs w:val="21"/>
                      <w:highlight w:val="none"/>
                    </w:rPr>
                    <w:t>)</w:t>
                  </w:r>
                </w:p>
              </w:tc>
              <w:tc>
                <w:tcPr>
                  <w:tcW w:w="6333" w:type="dxa"/>
                  <w:gridSpan w:val="4"/>
                  <w:tcBorders>
                    <w:tl2br w:val="nil"/>
                    <w:tr2bl w:val="nil"/>
                  </w:tcBorders>
                  <w:vAlign w:val="center"/>
                </w:tcPr>
                <w:p w14:paraId="5899E4B9">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盐酸、硫酸、硝酸等试剂储运过程中发生泄漏后对环境空气、土壤、地下水污染，以及实验室含酸碱等废液等危废泄漏后造成人体健康伤</w:t>
                  </w:r>
                  <w:r>
                    <w:rPr>
                      <w:rFonts w:hint="default" w:ascii="Times New Roman" w:hAnsi="Times New Roman" w:eastAsia="宋体" w:cs="Times New Roman"/>
                      <w:color w:val="auto"/>
                      <w:spacing w:val="5"/>
                      <w:sz w:val="21"/>
                      <w:szCs w:val="21"/>
                      <w:highlight w:val="none"/>
                    </w:rPr>
                    <w:t>害</w:t>
                  </w:r>
                  <w:r>
                    <w:rPr>
                      <w:rFonts w:hint="default" w:ascii="Times New Roman" w:hAnsi="Times New Roman" w:eastAsia="宋体" w:cs="Times New Roman"/>
                      <w:color w:val="auto"/>
                      <w:spacing w:val="4"/>
                      <w:sz w:val="21"/>
                      <w:szCs w:val="21"/>
                      <w:highlight w:val="none"/>
                    </w:rPr>
                    <w:t>等</w:t>
                  </w:r>
                </w:p>
              </w:tc>
            </w:tr>
            <w:tr w14:paraId="5B1D9219">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79" w:hRule="atLeast"/>
                <w:jc w:val="center"/>
              </w:trPr>
              <w:tc>
                <w:tcPr>
                  <w:tcW w:w="1626" w:type="dxa"/>
                  <w:tcBorders>
                    <w:tl2br w:val="nil"/>
                    <w:tr2bl w:val="nil"/>
                  </w:tcBorders>
                  <w:vAlign w:val="center"/>
                </w:tcPr>
                <w:p w14:paraId="67EF0435">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8"/>
                      <w:sz w:val="21"/>
                      <w:szCs w:val="21"/>
                      <w:highlight w:val="none"/>
                    </w:rPr>
                    <w:t>风险防范措施</w:t>
                  </w:r>
                  <w:r>
                    <w:rPr>
                      <w:rFonts w:hint="default" w:ascii="Times New Roman" w:hAnsi="Times New Roman" w:eastAsia="宋体" w:cs="Times New Roman"/>
                      <w:color w:val="auto"/>
                      <w:spacing w:val="4"/>
                      <w:sz w:val="21"/>
                      <w:szCs w:val="21"/>
                      <w:highlight w:val="none"/>
                    </w:rPr>
                    <w:t>要求</w:t>
                  </w:r>
                </w:p>
              </w:tc>
              <w:tc>
                <w:tcPr>
                  <w:tcW w:w="6333" w:type="dxa"/>
                  <w:gridSpan w:val="4"/>
                  <w:tcBorders>
                    <w:tl2br w:val="nil"/>
                    <w:tr2bl w:val="nil"/>
                  </w:tcBorders>
                  <w:vAlign w:val="center"/>
                </w:tcPr>
                <w:p w14:paraId="22E20EBB">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1"/>
                      <w:sz w:val="21"/>
                      <w:szCs w:val="21"/>
                      <w:highlight w:val="none"/>
                    </w:rPr>
                    <w:t>①</w:t>
                  </w:r>
                  <w:r>
                    <w:rPr>
                      <w:rFonts w:hint="default" w:ascii="Times New Roman" w:hAnsi="Times New Roman" w:eastAsia="宋体" w:cs="Times New Roman"/>
                      <w:color w:val="auto"/>
                      <w:spacing w:val="9"/>
                      <w:sz w:val="21"/>
                      <w:szCs w:val="21"/>
                      <w:highlight w:val="none"/>
                    </w:rPr>
                    <w:t>原料从厂家运输和转运至本项目所在地的过程中，需由专人全程监控，转运</w:t>
                  </w:r>
                  <w:r>
                    <w:rPr>
                      <w:rFonts w:hint="default" w:ascii="Times New Roman" w:hAnsi="Times New Roman" w:eastAsia="宋体" w:cs="Times New Roman"/>
                      <w:color w:val="auto"/>
                      <w:spacing w:val="18"/>
                      <w:sz w:val="21"/>
                      <w:szCs w:val="21"/>
                      <w:highlight w:val="none"/>
                    </w:rPr>
                    <w:t>过</w:t>
                  </w:r>
                  <w:r>
                    <w:rPr>
                      <w:rFonts w:hint="default" w:ascii="Times New Roman" w:hAnsi="Times New Roman" w:eastAsia="宋体" w:cs="Times New Roman"/>
                      <w:color w:val="auto"/>
                      <w:spacing w:val="9"/>
                      <w:sz w:val="21"/>
                      <w:szCs w:val="21"/>
                      <w:highlight w:val="none"/>
                    </w:rPr>
                    <w:t>程由专用容器储存，并放置本项目指定地点储存，严禁随意搁置。</w:t>
                  </w:r>
                </w:p>
                <w:p w14:paraId="0A34905F">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2"/>
                      <w:sz w:val="21"/>
                      <w:szCs w:val="21"/>
                      <w:highlight w:val="none"/>
                    </w:rPr>
                    <w:t>②</w:t>
                  </w:r>
                  <w:r>
                    <w:rPr>
                      <w:rFonts w:hint="default" w:ascii="Times New Roman" w:hAnsi="Times New Roman" w:eastAsia="宋体" w:cs="Times New Roman"/>
                      <w:color w:val="auto"/>
                      <w:spacing w:val="9"/>
                      <w:sz w:val="21"/>
                      <w:szCs w:val="21"/>
                      <w:highlight w:val="none"/>
                    </w:rPr>
                    <w:t>本次评价要求试剂</w:t>
                  </w:r>
                  <w:r>
                    <w:rPr>
                      <w:rFonts w:hint="eastAsia" w:ascii="Times New Roman" w:hAnsi="Times New Roman" w:eastAsia="宋体" w:cs="Times New Roman"/>
                      <w:color w:val="auto"/>
                      <w:spacing w:val="9"/>
                      <w:sz w:val="21"/>
                      <w:szCs w:val="21"/>
                      <w:highlight w:val="none"/>
                      <w:lang w:val="en-US" w:eastAsia="zh-CN"/>
                    </w:rPr>
                    <w:t>间</w:t>
                  </w:r>
                  <w:r>
                    <w:rPr>
                      <w:rFonts w:hint="default" w:ascii="Times New Roman" w:hAnsi="Times New Roman" w:eastAsia="宋体" w:cs="Times New Roman"/>
                      <w:color w:val="auto"/>
                      <w:spacing w:val="9"/>
                      <w:sz w:val="21"/>
                      <w:szCs w:val="21"/>
                      <w:highlight w:val="none"/>
                    </w:rPr>
                    <w:t>、危废</w:t>
                  </w:r>
                  <w:r>
                    <w:rPr>
                      <w:rFonts w:hint="eastAsia" w:ascii="Times New Roman" w:hAnsi="Times New Roman" w:eastAsia="宋体" w:cs="Times New Roman"/>
                      <w:color w:val="auto"/>
                      <w:spacing w:val="9"/>
                      <w:sz w:val="21"/>
                      <w:szCs w:val="21"/>
                      <w:highlight w:val="none"/>
                      <w:lang w:val="en-US" w:eastAsia="zh-CN"/>
                    </w:rPr>
                    <w:t>贮存库</w:t>
                  </w:r>
                  <w:r>
                    <w:rPr>
                      <w:rFonts w:hint="default" w:ascii="Times New Roman" w:hAnsi="Times New Roman" w:eastAsia="宋体" w:cs="Times New Roman"/>
                      <w:color w:val="auto"/>
                      <w:spacing w:val="9"/>
                      <w:sz w:val="21"/>
                      <w:szCs w:val="21"/>
                      <w:highlight w:val="none"/>
                    </w:rPr>
                    <w:t>所在地面硬化，并采取重点防渗，设置围</w:t>
                  </w:r>
                  <w:r>
                    <w:rPr>
                      <w:rFonts w:hint="default" w:ascii="Times New Roman" w:hAnsi="Times New Roman" w:eastAsia="宋体" w:cs="Times New Roman"/>
                      <w:color w:val="auto"/>
                      <w:spacing w:val="14"/>
                      <w:sz w:val="21"/>
                      <w:szCs w:val="21"/>
                      <w:highlight w:val="none"/>
                    </w:rPr>
                    <w:t>堰</w:t>
                  </w:r>
                  <w:r>
                    <w:rPr>
                      <w:rFonts w:hint="default" w:ascii="Times New Roman" w:hAnsi="Times New Roman" w:eastAsia="宋体" w:cs="Times New Roman"/>
                      <w:color w:val="auto"/>
                      <w:spacing w:val="9"/>
                      <w:sz w:val="21"/>
                      <w:szCs w:val="21"/>
                      <w:highlight w:val="none"/>
                    </w:rPr>
                    <w:t>、托盘或其他防泄漏措施。其他试验区域地面需硬化防渗。</w:t>
                  </w:r>
                </w:p>
                <w:p w14:paraId="6682038D">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6"/>
                      <w:sz w:val="21"/>
                      <w:szCs w:val="21"/>
                      <w:highlight w:val="none"/>
                    </w:rPr>
                    <w:t>③</w:t>
                  </w:r>
                  <w:r>
                    <w:rPr>
                      <w:rFonts w:hint="default" w:ascii="Times New Roman" w:hAnsi="Times New Roman" w:eastAsia="宋体" w:cs="Times New Roman"/>
                      <w:color w:val="auto"/>
                      <w:spacing w:val="9"/>
                      <w:sz w:val="21"/>
                      <w:szCs w:val="21"/>
                      <w:highlight w:val="none"/>
                    </w:rPr>
                    <w:t>试剂</w:t>
                  </w:r>
                  <w:r>
                    <w:rPr>
                      <w:rFonts w:hint="eastAsia" w:ascii="Times New Roman" w:hAnsi="Times New Roman" w:eastAsia="宋体" w:cs="Times New Roman"/>
                      <w:color w:val="auto"/>
                      <w:spacing w:val="9"/>
                      <w:sz w:val="21"/>
                      <w:szCs w:val="21"/>
                      <w:highlight w:val="none"/>
                      <w:lang w:val="en-US" w:eastAsia="zh-CN"/>
                    </w:rPr>
                    <w:t>间</w:t>
                  </w:r>
                  <w:r>
                    <w:rPr>
                      <w:rFonts w:hint="default" w:ascii="Times New Roman" w:hAnsi="Times New Roman" w:eastAsia="宋体" w:cs="Times New Roman"/>
                      <w:color w:val="auto"/>
                      <w:spacing w:val="9"/>
                      <w:sz w:val="21"/>
                      <w:szCs w:val="21"/>
                      <w:highlight w:val="none"/>
                    </w:rPr>
                    <w:t>、危废</w:t>
                  </w:r>
                  <w:r>
                    <w:rPr>
                      <w:rFonts w:hint="eastAsia" w:ascii="Times New Roman" w:hAnsi="Times New Roman" w:eastAsia="宋体" w:cs="Times New Roman"/>
                      <w:color w:val="auto"/>
                      <w:spacing w:val="9"/>
                      <w:sz w:val="21"/>
                      <w:szCs w:val="21"/>
                      <w:highlight w:val="none"/>
                      <w:lang w:val="en-US" w:eastAsia="zh-CN"/>
                    </w:rPr>
                    <w:t>贮存库</w:t>
                  </w:r>
                  <w:r>
                    <w:rPr>
                      <w:rFonts w:hint="default" w:ascii="Times New Roman" w:hAnsi="Times New Roman" w:eastAsia="宋体" w:cs="Times New Roman"/>
                      <w:color w:val="auto"/>
                      <w:spacing w:val="6"/>
                      <w:sz w:val="21"/>
                      <w:szCs w:val="21"/>
                      <w:highlight w:val="none"/>
                    </w:rPr>
                    <w:t>等风险区域应由专人管理，并有相应的防护和防盗措施</w:t>
                  </w:r>
                  <w:r>
                    <w:rPr>
                      <w:rFonts w:hint="default" w:ascii="Times New Roman" w:hAnsi="Times New Roman" w:eastAsia="宋体" w:cs="Times New Roman"/>
                      <w:color w:val="auto"/>
                      <w:sz w:val="21"/>
                      <w:szCs w:val="21"/>
                      <w:highlight w:val="none"/>
                    </w:rPr>
                    <w:t>。</w:t>
                  </w:r>
                </w:p>
                <w:p w14:paraId="191D48CD">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2"/>
                      <w:sz w:val="21"/>
                      <w:szCs w:val="21"/>
                      <w:highlight w:val="none"/>
                    </w:rPr>
                    <w:t>④</w:t>
                  </w:r>
                  <w:r>
                    <w:rPr>
                      <w:rFonts w:hint="default" w:ascii="Times New Roman" w:hAnsi="Times New Roman" w:eastAsia="宋体" w:cs="Times New Roman"/>
                      <w:color w:val="auto"/>
                      <w:spacing w:val="9"/>
                      <w:sz w:val="21"/>
                      <w:szCs w:val="21"/>
                      <w:highlight w:val="none"/>
                    </w:rPr>
                    <w:t>试剂</w:t>
                  </w:r>
                  <w:r>
                    <w:rPr>
                      <w:rFonts w:hint="eastAsia" w:ascii="Times New Roman" w:hAnsi="Times New Roman" w:eastAsia="宋体" w:cs="Times New Roman"/>
                      <w:color w:val="auto"/>
                      <w:spacing w:val="9"/>
                      <w:sz w:val="21"/>
                      <w:szCs w:val="21"/>
                      <w:highlight w:val="none"/>
                      <w:lang w:val="en-US" w:eastAsia="zh-CN"/>
                    </w:rPr>
                    <w:t>间</w:t>
                  </w:r>
                  <w:r>
                    <w:rPr>
                      <w:rFonts w:hint="default" w:ascii="Times New Roman" w:hAnsi="Times New Roman" w:eastAsia="宋体" w:cs="Times New Roman"/>
                      <w:color w:val="auto"/>
                      <w:spacing w:val="9"/>
                      <w:sz w:val="21"/>
                      <w:szCs w:val="21"/>
                      <w:highlight w:val="none"/>
                    </w:rPr>
                    <w:t>、危废</w:t>
                  </w:r>
                  <w:r>
                    <w:rPr>
                      <w:rFonts w:hint="eastAsia" w:ascii="Times New Roman" w:hAnsi="Times New Roman" w:eastAsia="宋体" w:cs="Times New Roman"/>
                      <w:color w:val="auto"/>
                      <w:spacing w:val="9"/>
                      <w:sz w:val="21"/>
                      <w:szCs w:val="21"/>
                      <w:highlight w:val="none"/>
                      <w:lang w:val="en-US" w:eastAsia="zh-CN"/>
                    </w:rPr>
                    <w:t>贮存库</w:t>
                  </w:r>
                  <w:r>
                    <w:rPr>
                      <w:rFonts w:hint="default" w:ascii="Times New Roman" w:hAnsi="Times New Roman" w:eastAsia="宋体" w:cs="Times New Roman"/>
                      <w:color w:val="auto"/>
                      <w:spacing w:val="9"/>
                      <w:sz w:val="21"/>
                      <w:szCs w:val="21"/>
                      <w:highlight w:val="none"/>
                    </w:rPr>
                    <w:t>应远离火源、热源，保持容器密封，保持阴凉干燥，设有</w:t>
                  </w:r>
                  <w:r>
                    <w:rPr>
                      <w:rFonts w:hint="default" w:ascii="Times New Roman" w:hAnsi="Times New Roman" w:eastAsia="宋体" w:cs="Times New Roman"/>
                      <w:color w:val="auto"/>
                      <w:spacing w:val="6"/>
                      <w:sz w:val="21"/>
                      <w:szCs w:val="21"/>
                      <w:highlight w:val="none"/>
                    </w:rPr>
                    <w:t>通风设施。</w:t>
                  </w:r>
                </w:p>
                <w:p w14:paraId="39C8642F">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8"/>
                      <w:sz w:val="21"/>
                      <w:szCs w:val="21"/>
                      <w:highlight w:val="none"/>
                    </w:rPr>
                    <w:t>⑤酸、碱、氧</w:t>
                  </w:r>
                  <w:r>
                    <w:rPr>
                      <w:rFonts w:hint="default" w:ascii="Times New Roman" w:hAnsi="Times New Roman" w:eastAsia="宋体" w:cs="Times New Roman"/>
                      <w:color w:val="auto"/>
                      <w:spacing w:val="5"/>
                      <w:sz w:val="21"/>
                      <w:szCs w:val="21"/>
                      <w:highlight w:val="none"/>
                    </w:rPr>
                    <w:t>化</w:t>
                  </w:r>
                  <w:r>
                    <w:rPr>
                      <w:rFonts w:hint="default" w:ascii="Times New Roman" w:hAnsi="Times New Roman" w:eastAsia="宋体" w:cs="Times New Roman"/>
                      <w:color w:val="auto"/>
                      <w:spacing w:val="4"/>
                      <w:sz w:val="21"/>
                      <w:szCs w:val="21"/>
                      <w:highlight w:val="none"/>
                    </w:rPr>
                    <w:t>物、强反应性物质等易发生反应的物质应分区存放，严禁混放，</w:t>
                  </w:r>
                  <w:r>
                    <w:rPr>
                      <w:rFonts w:hint="default" w:ascii="Times New Roman" w:hAnsi="Times New Roman" w:eastAsia="宋体" w:cs="Times New Roman"/>
                      <w:color w:val="auto"/>
                      <w:spacing w:val="11"/>
                      <w:sz w:val="21"/>
                      <w:szCs w:val="21"/>
                      <w:highlight w:val="none"/>
                    </w:rPr>
                    <w:t>针</w:t>
                  </w:r>
                  <w:r>
                    <w:rPr>
                      <w:rFonts w:hint="default" w:ascii="Times New Roman" w:hAnsi="Times New Roman" w:eastAsia="宋体" w:cs="Times New Roman"/>
                      <w:color w:val="auto"/>
                      <w:spacing w:val="9"/>
                      <w:sz w:val="21"/>
                      <w:szCs w:val="21"/>
                      <w:highlight w:val="none"/>
                    </w:rPr>
                    <w:t>对领用各类有毒有害试剂的人员应加强培训试剂的危险特性，避免误操作引</w:t>
                  </w:r>
                  <w:r>
                    <w:rPr>
                      <w:rFonts w:hint="default" w:ascii="Times New Roman" w:hAnsi="Times New Roman" w:eastAsia="宋体" w:cs="Times New Roman"/>
                      <w:color w:val="auto"/>
                      <w:spacing w:val="5"/>
                      <w:sz w:val="21"/>
                      <w:szCs w:val="21"/>
                      <w:highlight w:val="none"/>
                    </w:rPr>
                    <w:t>发事故。</w:t>
                  </w:r>
                </w:p>
                <w:p w14:paraId="34951292">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2"/>
                      <w:sz w:val="21"/>
                      <w:szCs w:val="21"/>
                      <w:highlight w:val="none"/>
                    </w:rPr>
                    <w:t>⑥</w:t>
                  </w:r>
                  <w:r>
                    <w:rPr>
                      <w:rFonts w:hint="default" w:ascii="Times New Roman" w:hAnsi="Times New Roman" w:eastAsia="宋体" w:cs="Times New Roman"/>
                      <w:color w:val="auto"/>
                      <w:spacing w:val="10"/>
                      <w:sz w:val="21"/>
                      <w:szCs w:val="21"/>
                      <w:highlight w:val="none"/>
                    </w:rPr>
                    <w:t>建</w:t>
                  </w:r>
                  <w:r>
                    <w:rPr>
                      <w:rFonts w:hint="default" w:ascii="Times New Roman" w:hAnsi="Times New Roman" w:eastAsia="宋体" w:cs="Times New Roman"/>
                      <w:color w:val="auto"/>
                      <w:spacing w:val="9"/>
                      <w:sz w:val="21"/>
                      <w:szCs w:val="21"/>
                      <w:highlight w:val="none"/>
                    </w:rPr>
                    <w:t>立健全安全、环境管理体系，制定严格的安全管理制度；</w:t>
                  </w:r>
                </w:p>
                <w:p w14:paraId="0A61F6D9">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left"/>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8"/>
                      <w:sz w:val="21"/>
                      <w:szCs w:val="21"/>
                      <w:highlight w:val="none"/>
                    </w:rPr>
                    <w:t>⑦</w:t>
                  </w:r>
                  <w:r>
                    <w:rPr>
                      <w:rFonts w:hint="default" w:ascii="Times New Roman" w:hAnsi="Times New Roman" w:eastAsia="宋体" w:cs="Times New Roman"/>
                      <w:color w:val="auto"/>
                      <w:spacing w:val="10"/>
                      <w:sz w:val="21"/>
                      <w:szCs w:val="21"/>
                      <w:highlight w:val="none"/>
                    </w:rPr>
                    <w:t>编</w:t>
                  </w:r>
                  <w:r>
                    <w:rPr>
                      <w:rFonts w:hint="default" w:ascii="Times New Roman" w:hAnsi="Times New Roman" w:eastAsia="宋体" w:cs="Times New Roman"/>
                      <w:color w:val="auto"/>
                      <w:spacing w:val="9"/>
                      <w:sz w:val="21"/>
                      <w:szCs w:val="21"/>
                      <w:highlight w:val="none"/>
                    </w:rPr>
                    <w:t>制应急救援预案，建立应急救援组织，定期进行预案演练。</w:t>
                  </w:r>
                </w:p>
              </w:tc>
            </w:tr>
            <w:tr w14:paraId="4AD1B728">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17" w:hRule="atLeast"/>
                <w:jc w:val="center"/>
              </w:trPr>
              <w:tc>
                <w:tcPr>
                  <w:tcW w:w="1626" w:type="dxa"/>
                  <w:tcBorders>
                    <w:tl2br w:val="nil"/>
                    <w:tr2bl w:val="nil"/>
                  </w:tcBorders>
                  <w:vAlign w:val="center"/>
                </w:tcPr>
                <w:p w14:paraId="1C93085A">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Times New Roman"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填表说明(列出相关信息及评价说明)</w:t>
                  </w:r>
                </w:p>
              </w:tc>
              <w:tc>
                <w:tcPr>
                  <w:tcW w:w="6333" w:type="dxa"/>
                  <w:gridSpan w:val="4"/>
                  <w:tcBorders>
                    <w:tl2br w:val="nil"/>
                    <w:tr2bl w:val="nil"/>
                  </w:tcBorders>
                  <w:vAlign w:val="center"/>
                </w:tcPr>
                <w:p w14:paraId="28ACAD60">
                  <w:pPr>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pacing w:val="2"/>
                      <w:position w:val="2"/>
                      <w:sz w:val="21"/>
                      <w:szCs w:val="21"/>
                      <w:highlight w:val="none"/>
                    </w:rPr>
                    <w:t>/</w:t>
                  </w:r>
                </w:p>
              </w:tc>
            </w:tr>
          </w:tbl>
          <w:p w14:paraId="28B7DF21">
            <w:pPr>
              <w:tabs>
                <w:tab w:val="left" w:pos="312"/>
              </w:tabs>
              <w:adjustRightInd w:val="0"/>
              <w:snapToGrid w:val="0"/>
              <w:spacing w:line="360" w:lineRule="auto"/>
              <w:ind w:firstLine="482" w:firstLineChars="200"/>
              <w:rPr>
                <w:b/>
                <w:bCs/>
                <w:color w:val="auto"/>
                <w:sz w:val="24"/>
                <w:highlight w:val="none"/>
              </w:rPr>
            </w:pPr>
            <w:r>
              <w:rPr>
                <w:b/>
                <w:bCs/>
                <w:color w:val="auto"/>
                <w:sz w:val="24"/>
                <w:highlight w:val="none"/>
              </w:rPr>
              <w:t>4.</w:t>
            </w:r>
            <w:r>
              <w:rPr>
                <w:rFonts w:hint="eastAsia"/>
                <w:b/>
                <w:bCs/>
                <w:color w:val="auto"/>
                <w:sz w:val="24"/>
                <w:highlight w:val="none"/>
                <w:lang w:val="en-US" w:eastAsia="zh-CN"/>
              </w:rPr>
              <w:t>8</w:t>
            </w:r>
            <w:r>
              <w:rPr>
                <w:b/>
                <w:bCs/>
                <w:color w:val="auto"/>
                <w:sz w:val="24"/>
                <w:highlight w:val="none"/>
              </w:rPr>
              <w:t>环境保护投资</w:t>
            </w:r>
          </w:p>
          <w:p w14:paraId="19614C4A">
            <w:pPr>
              <w:adjustRightInd w:val="0"/>
              <w:snapToGrid w:val="0"/>
              <w:spacing w:line="360" w:lineRule="auto"/>
              <w:ind w:firstLine="480" w:firstLineChars="200"/>
              <w:rPr>
                <w:color w:val="auto"/>
                <w:szCs w:val="21"/>
                <w:highlight w:val="none"/>
              </w:rPr>
            </w:pPr>
            <w:r>
              <w:rPr>
                <w:color w:val="auto"/>
                <w:sz w:val="24"/>
                <w:highlight w:val="none"/>
              </w:rPr>
              <w:t>项目总投资为</w:t>
            </w:r>
            <w:r>
              <w:rPr>
                <w:rFonts w:hint="eastAsia" w:eastAsia="楷体_GB2312"/>
                <w:color w:val="auto"/>
                <w:spacing w:val="-20"/>
                <w:sz w:val="24"/>
                <w:highlight w:val="none"/>
                <w:lang w:val="en-US" w:eastAsia="zh-CN"/>
              </w:rPr>
              <w:t>2000</w:t>
            </w:r>
            <w:r>
              <w:rPr>
                <w:color w:val="auto"/>
                <w:sz w:val="24"/>
                <w:highlight w:val="none"/>
              </w:rPr>
              <w:t>万元，环保投资</w:t>
            </w:r>
            <w:r>
              <w:rPr>
                <w:rFonts w:hint="eastAsia"/>
                <w:color w:val="auto"/>
                <w:sz w:val="24"/>
                <w:highlight w:val="none"/>
                <w:lang w:val="en-US" w:eastAsia="zh-CN"/>
              </w:rPr>
              <w:t>57</w:t>
            </w:r>
            <w:r>
              <w:rPr>
                <w:color w:val="auto"/>
                <w:sz w:val="24"/>
                <w:highlight w:val="none"/>
              </w:rPr>
              <w:t>万元，占项目投资总额的</w:t>
            </w:r>
            <w:r>
              <w:rPr>
                <w:rFonts w:hint="eastAsia"/>
                <w:color w:val="auto"/>
                <w:sz w:val="24"/>
                <w:highlight w:val="none"/>
                <w:lang w:val="en-US" w:eastAsia="zh-CN"/>
              </w:rPr>
              <w:t>2.85</w:t>
            </w:r>
            <w:r>
              <w:rPr>
                <w:color w:val="auto"/>
                <w:sz w:val="24"/>
                <w:highlight w:val="none"/>
              </w:rPr>
              <w:t>%。环保投资估算见表4-</w:t>
            </w:r>
            <w:r>
              <w:rPr>
                <w:rFonts w:hint="eastAsia"/>
                <w:color w:val="auto"/>
                <w:sz w:val="24"/>
                <w:highlight w:val="none"/>
                <w:lang w:val="en-US" w:eastAsia="zh-CN"/>
              </w:rPr>
              <w:t>21</w:t>
            </w:r>
            <w:r>
              <w:rPr>
                <w:color w:val="auto"/>
                <w:sz w:val="24"/>
                <w:highlight w:val="none"/>
              </w:rPr>
              <w:t>。</w:t>
            </w:r>
          </w:p>
          <w:p w14:paraId="0F5DA177">
            <w:pPr>
              <w:tabs>
                <w:tab w:val="left" w:pos="780"/>
              </w:tabs>
              <w:jc w:val="center"/>
              <w:rPr>
                <w:b/>
                <w:color w:val="auto"/>
                <w:szCs w:val="21"/>
                <w:highlight w:val="none"/>
              </w:rPr>
            </w:pPr>
            <w:r>
              <w:rPr>
                <w:b/>
                <w:color w:val="auto"/>
                <w:szCs w:val="21"/>
                <w:highlight w:val="none"/>
              </w:rPr>
              <w:t>表4-</w:t>
            </w:r>
            <w:r>
              <w:rPr>
                <w:rFonts w:hint="eastAsia"/>
                <w:b/>
                <w:color w:val="auto"/>
                <w:szCs w:val="21"/>
                <w:highlight w:val="none"/>
                <w:lang w:val="en-US" w:eastAsia="zh-CN"/>
              </w:rPr>
              <w:t xml:space="preserve">21 </w:t>
            </w:r>
            <w:r>
              <w:rPr>
                <w:b/>
                <w:color w:val="auto"/>
                <w:szCs w:val="21"/>
                <w:highlight w:val="none"/>
              </w:rPr>
              <w:t xml:space="preserve">  项目环境保护投资估算表</w:t>
            </w:r>
          </w:p>
          <w:tbl>
            <w:tblPr>
              <w:tblStyle w:val="27"/>
              <w:tblW w:w="79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968"/>
              <w:gridCol w:w="4223"/>
              <w:gridCol w:w="988"/>
            </w:tblGrid>
            <w:tr w14:paraId="7C642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0" w:type="dxa"/>
                  <w:tcBorders>
                    <w:tl2br w:val="nil"/>
                    <w:tr2bl w:val="nil"/>
                  </w:tcBorders>
                  <w:noWrap w:val="0"/>
                  <w:vAlign w:val="center"/>
                </w:tcPr>
                <w:p w14:paraId="311F603D">
                  <w:pPr>
                    <w:autoSpaceDE w:val="0"/>
                    <w:autoSpaceDN w:val="0"/>
                    <w:jc w:val="center"/>
                    <w:rPr>
                      <w:b/>
                      <w:bCs w:val="0"/>
                      <w:color w:val="auto"/>
                      <w:szCs w:val="21"/>
                      <w:highlight w:val="none"/>
                    </w:rPr>
                  </w:pPr>
                  <w:r>
                    <w:rPr>
                      <w:b/>
                      <w:bCs w:val="0"/>
                      <w:color w:val="auto"/>
                      <w:szCs w:val="21"/>
                      <w:highlight w:val="none"/>
                    </w:rPr>
                    <w:t>污染</w:t>
                  </w:r>
                </w:p>
                <w:p w14:paraId="09EED289">
                  <w:pPr>
                    <w:autoSpaceDE w:val="0"/>
                    <w:autoSpaceDN w:val="0"/>
                    <w:jc w:val="center"/>
                    <w:rPr>
                      <w:b/>
                      <w:bCs w:val="0"/>
                      <w:color w:val="auto"/>
                      <w:szCs w:val="21"/>
                      <w:highlight w:val="none"/>
                    </w:rPr>
                  </w:pPr>
                  <w:r>
                    <w:rPr>
                      <w:b/>
                      <w:bCs w:val="0"/>
                      <w:color w:val="auto"/>
                      <w:szCs w:val="21"/>
                      <w:highlight w:val="none"/>
                    </w:rPr>
                    <w:t>类别</w:t>
                  </w:r>
                </w:p>
              </w:tc>
              <w:tc>
                <w:tcPr>
                  <w:tcW w:w="1968" w:type="dxa"/>
                  <w:tcBorders>
                    <w:tl2br w:val="nil"/>
                    <w:tr2bl w:val="nil"/>
                  </w:tcBorders>
                  <w:noWrap w:val="0"/>
                  <w:vAlign w:val="center"/>
                </w:tcPr>
                <w:p w14:paraId="1F62C1D5">
                  <w:pPr>
                    <w:autoSpaceDE w:val="0"/>
                    <w:autoSpaceDN w:val="0"/>
                    <w:jc w:val="center"/>
                    <w:rPr>
                      <w:b/>
                      <w:bCs w:val="0"/>
                      <w:color w:val="auto"/>
                      <w:szCs w:val="21"/>
                      <w:highlight w:val="none"/>
                    </w:rPr>
                  </w:pPr>
                  <w:r>
                    <w:rPr>
                      <w:b/>
                      <w:bCs w:val="0"/>
                      <w:color w:val="auto"/>
                      <w:szCs w:val="21"/>
                      <w:highlight w:val="none"/>
                    </w:rPr>
                    <w:t>污染源</w:t>
                  </w:r>
                </w:p>
              </w:tc>
              <w:tc>
                <w:tcPr>
                  <w:tcW w:w="4223" w:type="dxa"/>
                  <w:tcBorders>
                    <w:tl2br w:val="nil"/>
                    <w:tr2bl w:val="nil"/>
                  </w:tcBorders>
                  <w:noWrap w:val="0"/>
                  <w:vAlign w:val="center"/>
                </w:tcPr>
                <w:p w14:paraId="54C3228F">
                  <w:pPr>
                    <w:autoSpaceDE w:val="0"/>
                    <w:autoSpaceDN w:val="0"/>
                    <w:jc w:val="center"/>
                    <w:rPr>
                      <w:b/>
                      <w:bCs w:val="0"/>
                      <w:color w:val="auto"/>
                      <w:szCs w:val="21"/>
                      <w:highlight w:val="none"/>
                    </w:rPr>
                  </w:pPr>
                  <w:r>
                    <w:rPr>
                      <w:b/>
                      <w:bCs w:val="0"/>
                      <w:color w:val="auto"/>
                      <w:szCs w:val="21"/>
                      <w:highlight w:val="none"/>
                    </w:rPr>
                    <w:t>环保设施名称及处理工艺</w:t>
                  </w:r>
                </w:p>
              </w:tc>
              <w:tc>
                <w:tcPr>
                  <w:tcW w:w="988" w:type="dxa"/>
                  <w:tcBorders>
                    <w:tl2br w:val="nil"/>
                    <w:tr2bl w:val="nil"/>
                  </w:tcBorders>
                  <w:noWrap w:val="0"/>
                  <w:vAlign w:val="center"/>
                </w:tcPr>
                <w:p w14:paraId="4792396C">
                  <w:pPr>
                    <w:autoSpaceDE w:val="0"/>
                    <w:autoSpaceDN w:val="0"/>
                    <w:jc w:val="center"/>
                    <w:rPr>
                      <w:b/>
                      <w:bCs w:val="0"/>
                      <w:color w:val="auto"/>
                      <w:szCs w:val="21"/>
                      <w:highlight w:val="none"/>
                    </w:rPr>
                  </w:pPr>
                  <w:r>
                    <w:rPr>
                      <w:b/>
                      <w:bCs w:val="0"/>
                      <w:color w:val="auto"/>
                      <w:szCs w:val="21"/>
                      <w:highlight w:val="none"/>
                    </w:rPr>
                    <w:t>投资（万）</w:t>
                  </w:r>
                </w:p>
              </w:tc>
            </w:tr>
            <w:tr w14:paraId="0F9C3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0" w:type="dxa"/>
                  <w:vMerge w:val="restart"/>
                  <w:tcBorders>
                    <w:tl2br w:val="nil"/>
                    <w:tr2bl w:val="nil"/>
                  </w:tcBorders>
                  <w:noWrap w:val="0"/>
                  <w:vAlign w:val="center"/>
                </w:tcPr>
                <w:p w14:paraId="1D188D72">
                  <w:pPr>
                    <w:autoSpaceDE w:val="0"/>
                    <w:autoSpaceDN w:val="0"/>
                    <w:jc w:val="center"/>
                    <w:rPr>
                      <w:bCs/>
                      <w:color w:val="auto"/>
                      <w:szCs w:val="21"/>
                      <w:highlight w:val="none"/>
                    </w:rPr>
                  </w:pPr>
                  <w:r>
                    <w:rPr>
                      <w:bCs/>
                      <w:color w:val="auto"/>
                      <w:szCs w:val="21"/>
                      <w:highlight w:val="none"/>
                    </w:rPr>
                    <w:t>废气</w:t>
                  </w:r>
                </w:p>
              </w:tc>
              <w:tc>
                <w:tcPr>
                  <w:tcW w:w="1968" w:type="dxa"/>
                  <w:tcBorders>
                    <w:tl2br w:val="nil"/>
                    <w:tr2bl w:val="nil"/>
                  </w:tcBorders>
                  <w:noWrap w:val="0"/>
                  <w:vAlign w:val="center"/>
                </w:tcPr>
                <w:p w14:paraId="14CEADD2">
                  <w:pPr>
                    <w:adjustRightInd w:val="0"/>
                    <w:snapToGrid w:val="0"/>
                    <w:jc w:val="center"/>
                    <w:rPr>
                      <w:rFonts w:hint="eastAsia" w:eastAsia="宋体"/>
                      <w:color w:val="auto"/>
                      <w:szCs w:val="21"/>
                      <w:highlight w:val="none"/>
                      <w:lang w:eastAsia="zh-CN"/>
                    </w:rPr>
                  </w:pPr>
                  <w:r>
                    <w:rPr>
                      <w:rFonts w:hint="eastAsia"/>
                      <w:color w:val="auto"/>
                      <w:szCs w:val="21"/>
                      <w:highlight w:val="none"/>
                    </w:rPr>
                    <w:t>碎样间</w:t>
                  </w:r>
                  <w:r>
                    <w:rPr>
                      <w:rFonts w:hint="eastAsia"/>
                      <w:color w:val="auto"/>
                      <w:szCs w:val="21"/>
                      <w:highlight w:val="none"/>
                      <w:lang w:val="en-US" w:eastAsia="zh-CN"/>
                    </w:rPr>
                    <w:t>废气</w:t>
                  </w:r>
                </w:p>
              </w:tc>
              <w:tc>
                <w:tcPr>
                  <w:tcW w:w="4223" w:type="dxa"/>
                  <w:tcBorders>
                    <w:tl2br w:val="nil"/>
                    <w:tr2bl w:val="nil"/>
                  </w:tcBorders>
                  <w:noWrap w:val="0"/>
                  <w:vAlign w:val="center"/>
                </w:tcPr>
                <w:p w14:paraId="5DBC9E95">
                  <w:pPr>
                    <w:pStyle w:val="9"/>
                    <w:spacing w:after="0"/>
                    <w:ind w:left="0" w:leftChars="0"/>
                    <w:jc w:val="center"/>
                    <w:rPr>
                      <w:rFonts w:hint="eastAsia" w:eastAsia="宋体"/>
                      <w:color w:val="auto"/>
                      <w:highlight w:val="none"/>
                      <w:lang w:eastAsia="zh-CN"/>
                    </w:rPr>
                  </w:pPr>
                  <w:r>
                    <w:rPr>
                      <w:rFonts w:hint="eastAsia"/>
                      <w:color w:val="auto"/>
                      <w:sz w:val="21"/>
                      <w:szCs w:val="16"/>
                      <w:highlight w:val="none"/>
                      <w:lang w:val="en-US" w:eastAsia="zh-CN"/>
                    </w:rPr>
                    <w:t>三面围挡集气罩</w:t>
                  </w:r>
                  <w:r>
                    <w:rPr>
                      <w:rFonts w:hint="eastAsia"/>
                      <w:color w:val="auto"/>
                      <w:sz w:val="21"/>
                      <w:szCs w:val="16"/>
                      <w:highlight w:val="none"/>
                    </w:rPr>
                    <w:t>+</w:t>
                  </w:r>
                  <w:r>
                    <w:rPr>
                      <w:rFonts w:hint="eastAsia"/>
                      <w:color w:val="auto"/>
                      <w:sz w:val="21"/>
                      <w:szCs w:val="16"/>
                      <w:highlight w:val="none"/>
                      <w:lang w:val="en-US" w:eastAsia="zh-CN"/>
                    </w:rPr>
                    <w:t>布袋</w:t>
                  </w:r>
                  <w:r>
                    <w:rPr>
                      <w:rFonts w:hint="eastAsia"/>
                      <w:color w:val="auto"/>
                      <w:sz w:val="21"/>
                      <w:szCs w:val="16"/>
                      <w:highlight w:val="none"/>
                    </w:rPr>
                    <w:t>除尘器+</w:t>
                  </w:r>
                  <w:r>
                    <w:rPr>
                      <w:rFonts w:hint="eastAsia"/>
                      <w:color w:val="auto"/>
                      <w:sz w:val="21"/>
                      <w:szCs w:val="16"/>
                      <w:highlight w:val="none"/>
                      <w:lang w:val="en-US" w:eastAsia="zh-CN"/>
                    </w:rPr>
                    <w:t>23m高</w:t>
                  </w:r>
                  <w:r>
                    <w:rPr>
                      <w:rFonts w:hint="eastAsia"/>
                      <w:color w:val="auto"/>
                      <w:sz w:val="21"/>
                      <w:szCs w:val="16"/>
                      <w:highlight w:val="none"/>
                    </w:rPr>
                    <w:t>排气筒</w:t>
                  </w:r>
                  <w:r>
                    <w:rPr>
                      <w:rFonts w:hint="eastAsia"/>
                      <w:color w:val="auto"/>
                      <w:sz w:val="21"/>
                      <w:szCs w:val="16"/>
                      <w:highlight w:val="none"/>
                      <w:lang w:eastAsia="zh-CN"/>
                    </w:rPr>
                    <w:t>（</w:t>
                  </w:r>
                  <w:r>
                    <w:rPr>
                      <w:rFonts w:hint="eastAsia"/>
                      <w:color w:val="auto"/>
                      <w:sz w:val="21"/>
                      <w:szCs w:val="16"/>
                      <w:highlight w:val="none"/>
                      <w:lang w:val="en-US" w:eastAsia="zh-CN"/>
                    </w:rPr>
                    <w:t>DA015</w:t>
                  </w:r>
                  <w:r>
                    <w:rPr>
                      <w:rFonts w:hint="eastAsia"/>
                      <w:color w:val="auto"/>
                      <w:sz w:val="21"/>
                      <w:szCs w:val="16"/>
                      <w:highlight w:val="none"/>
                      <w:lang w:eastAsia="zh-CN"/>
                    </w:rPr>
                    <w:t>）</w:t>
                  </w:r>
                </w:p>
              </w:tc>
              <w:tc>
                <w:tcPr>
                  <w:tcW w:w="988" w:type="dxa"/>
                  <w:tcBorders>
                    <w:tl2br w:val="nil"/>
                    <w:tr2bl w:val="nil"/>
                  </w:tcBorders>
                  <w:noWrap w:val="0"/>
                  <w:vAlign w:val="center"/>
                </w:tcPr>
                <w:p w14:paraId="3D4F0C9A">
                  <w:pPr>
                    <w:autoSpaceDE w:val="0"/>
                    <w:autoSpaceDN w:val="0"/>
                    <w:jc w:val="center"/>
                    <w:rPr>
                      <w:rFonts w:hint="default"/>
                      <w:bCs/>
                      <w:color w:val="auto"/>
                      <w:szCs w:val="21"/>
                      <w:highlight w:val="none"/>
                      <w:lang w:val="en-US"/>
                    </w:rPr>
                  </w:pPr>
                  <w:r>
                    <w:rPr>
                      <w:rFonts w:hint="eastAsia"/>
                      <w:bCs/>
                      <w:color w:val="auto"/>
                      <w:szCs w:val="21"/>
                      <w:highlight w:val="none"/>
                      <w:lang w:val="en-US" w:eastAsia="zh-CN"/>
                    </w:rPr>
                    <w:t>20</w:t>
                  </w:r>
                </w:p>
              </w:tc>
            </w:tr>
            <w:tr w14:paraId="18631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0" w:type="dxa"/>
                  <w:vMerge w:val="continue"/>
                  <w:tcBorders>
                    <w:tl2br w:val="nil"/>
                    <w:tr2bl w:val="nil"/>
                  </w:tcBorders>
                  <w:noWrap w:val="0"/>
                  <w:vAlign w:val="center"/>
                </w:tcPr>
                <w:p w14:paraId="5ECCD1AE">
                  <w:pPr>
                    <w:autoSpaceDE w:val="0"/>
                    <w:autoSpaceDN w:val="0"/>
                    <w:jc w:val="center"/>
                    <w:rPr>
                      <w:bCs/>
                      <w:color w:val="auto"/>
                      <w:szCs w:val="21"/>
                      <w:highlight w:val="none"/>
                    </w:rPr>
                  </w:pPr>
                </w:p>
              </w:tc>
              <w:tc>
                <w:tcPr>
                  <w:tcW w:w="1968" w:type="dxa"/>
                  <w:tcBorders>
                    <w:tl2br w:val="nil"/>
                    <w:tr2bl w:val="nil"/>
                  </w:tcBorders>
                  <w:noWrap w:val="0"/>
                  <w:vAlign w:val="center"/>
                </w:tcPr>
                <w:p w14:paraId="6B6B5CE3">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无机酸性废气</w:t>
                  </w:r>
                </w:p>
              </w:tc>
              <w:tc>
                <w:tcPr>
                  <w:tcW w:w="4223" w:type="dxa"/>
                  <w:tcBorders>
                    <w:tl2br w:val="nil"/>
                    <w:tr2bl w:val="nil"/>
                  </w:tcBorders>
                  <w:noWrap w:val="0"/>
                  <w:vAlign w:val="center"/>
                </w:tcPr>
                <w:p w14:paraId="33705008">
                  <w:pPr>
                    <w:pStyle w:val="9"/>
                    <w:spacing w:after="0"/>
                    <w:ind w:left="0" w:leftChars="0"/>
                    <w:jc w:val="center"/>
                    <w:rPr>
                      <w:rFonts w:hint="eastAsia"/>
                      <w:color w:val="auto"/>
                      <w:sz w:val="21"/>
                      <w:szCs w:val="16"/>
                      <w:highlight w:val="none"/>
                      <w:lang w:val="en-US" w:eastAsia="zh-CN"/>
                    </w:rPr>
                  </w:pPr>
                  <w:r>
                    <w:rPr>
                      <w:rFonts w:hint="eastAsia"/>
                      <w:color w:val="auto"/>
                      <w:sz w:val="21"/>
                      <w:szCs w:val="16"/>
                      <w:highlight w:val="none"/>
                      <w:lang w:val="en-US" w:eastAsia="zh-CN"/>
                    </w:rPr>
                    <w:t>依托现有操作台通风橱收集后，通过10套碱液洗涤塔处理，经10根23m高的排气筒排放（DA001~DA010）</w:t>
                  </w:r>
                </w:p>
              </w:tc>
              <w:tc>
                <w:tcPr>
                  <w:tcW w:w="988" w:type="dxa"/>
                  <w:tcBorders>
                    <w:tl2br w:val="nil"/>
                    <w:tr2bl w:val="nil"/>
                  </w:tcBorders>
                  <w:noWrap w:val="0"/>
                  <w:vAlign w:val="center"/>
                </w:tcPr>
                <w:p w14:paraId="04E6C30E">
                  <w:pPr>
                    <w:autoSpaceDE w:val="0"/>
                    <w:autoSpaceDN w:val="0"/>
                    <w:jc w:val="center"/>
                    <w:rPr>
                      <w:rFonts w:hint="default"/>
                      <w:bCs/>
                      <w:color w:val="auto"/>
                      <w:szCs w:val="21"/>
                      <w:highlight w:val="none"/>
                      <w:lang w:val="en-US" w:eastAsia="zh-CN"/>
                    </w:rPr>
                  </w:pPr>
                  <w:r>
                    <w:rPr>
                      <w:rFonts w:hint="eastAsia"/>
                      <w:bCs/>
                      <w:color w:val="auto"/>
                      <w:szCs w:val="21"/>
                      <w:highlight w:val="none"/>
                      <w:lang w:val="en-US" w:eastAsia="zh-CN"/>
                    </w:rPr>
                    <w:t>/</w:t>
                  </w:r>
                </w:p>
              </w:tc>
            </w:tr>
            <w:tr w14:paraId="1D23B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800" w:type="dxa"/>
                  <w:vMerge w:val="continue"/>
                  <w:tcBorders>
                    <w:tl2br w:val="nil"/>
                    <w:tr2bl w:val="nil"/>
                  </w:tcBorders>
                  <w:noWrap w:val="0"/>
                  <w:vAlign w:val="center"/>
                </w:tcPr>
                <w:p w14:paraId="05423D5F">
                  <w:pPr>
                    <w:autoSpaceDE w:val="0"/>
                    <w:autoSpaceDN w:val="0"/>
                    <w:jc w:val="center"/>
                    <w:rPr>
                      <w:bCs/>
                      <w:color w:val="auto"/>
                      <w:szCs w:val="21"/>
                      <w:highlight w:val="none"/>
                    </w:rPr>
                  </w:pPr>
                </w:p>
              </w:tc>
              <w:tc>
                <w:tcPr>
                  <w:tcW w:w="1968" w:type="dxa"/>
                  <w:tcBorders>
                    <w:tl2br w:val="nil"/>
                    <w:tr2bl w:val="nil"/>
                  </w:tcBorders>
                  <w:noWrap w:val="0"/>
                  <w:vAlign w:val="center"/>
                </w:tcPr>
                <w:p w14:paraId="4BA5F03B">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有机废气</w:t>
                  </w:r>
                </w:p>
              </w:tc>
              <w:tc>
                <w:tcPr>
                  <w:tcW w:w="4223" w:type="dxa"/>
                  <w:tcBorders>
                    <w:tl2br w:val="nil"/>
                    <w:tr2bl w:val="nil"/>
                  </w:tcBorders>
                  <w:noWrap w:val="0"/>
                  <w:vAlign w:val="center"/>
                </w:tcPr>
                <w:p w14:paraId="6EE1E825">
                  <w:pPr>
                    <w:pStyle w:val="9"/>
                    <w:spacing w:after="0"/>
                    <w:ind w:left="0" w:leftChars="0"/>
                    <w:jc w:val="center"/>
                    <w:rPr>
                      <w:rFonts w:hint="eastAsia"/>
                      <w:color w:val="auto"/>
                      <w:sz w:val="21"/>
                      <w:szCs w:val="16"/>
                      <w:highlight w:val="none"/>
                      <w:lang w:val="en-US" w:eastAsia="zh-CN"/>
                    </w:rPr>
                  </w:pPr>
                  <w:r>
                    <w:rPr>
                      <w:rFonts w:hint="eastAsia"/>
                      <w:color w:val="auto"/>
                      <w:sz w:val="21"/>
                      <w:szCs w:val="16"/>
                      <w:highlight w:val="none"/>
                      <w:lang w:val="en-US" w:eastAsia="zh-CN"/>
                    </w:rPr>
                    <w:t>依托操作台通风橱收集后，采用4套二级活性炭吸附装置处理，经4根23m高的排气筒排放（DA011~DA014）</w:t>
                  </w:r>
                </w:p>
              </w:tc>
              <w:tc>
                <w:tcPr>
                  <w:tcW w:w="988" w:type="dxa"/>
                  <w:tcBorders>
                    <w:tl2br w:val="nil"/>
                    <w:tr2bl w:val="nil"/>
                  </w:tcBorders>
                  <w:noWrap w:val="0"/>
                  <w:vAlign w:val="center"/>
                </w:tcPr>
                <w:p w14:paraId="4517B8FA">
                  <w:pPr>
                    <w:autoSpaceDE w:val="0"/>
                    <w:autoSpaceDN w:val="0"/>
                    <w:jc w:val="center"/>
                    <w:rPr>
                      <w:rFonts w:hint="default"/>
                      <w:bCs/>
                      <w:color w:val="auto"/>
                      <w:szCs w:val="21"/>
                      <w:highlight w:val="none"/>
                      <w:lang w:val="en-US" w:eastAsia="zh-CN"/>
                    </w:rPr>
                  </w:pPr>
                  <w:r>
                    <w:rPr>
                      <w:rFonts w:hint="eastAsia"/>
                      <w:bCs/>
                      <w:color w:val="auto"/>
                      <w:szCs w:val="21"/>
                      <w:highlight w:val="none"/>
                      <w:lang w:val="en-US" w:eastAsia="zh-CN"/>
                    </w:rPr>
                    <w:t>/</w:t>
                  </w:r>
                </w:p>
              </w:tc>
            </w:tr>
            <w:tr w14:paraId="62939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00" w:type="dxa"/>
                  <w:tcBorders>
                    <w:tl2br w:val="nil"/>
                    <w:tr2bl w:val="nil"/>
                  </w:tcBorders>
                  <w:noWrap w:val="0"/>
                  <w:vAlign w:val="center"/>
                </w:tcPr>
                <w:p w14:paraId="377ED820">
                  <w:pPr>
                    <w:autoSpaceDE w:val="0"/>
                    <w:autoSpaceDN w:val="0"/>
                    <w:jc w:val="center"/>
                    <w:rPr>
                      <w:bCs/>
                      <w:color w:val="auto"/>
                      <w:szCs w:val="21"/>
                      <w:highlight w:val="none"/>
                    </w:rPr>
                  </w:pPr>
                  <w:r>
                    <w:rPr>
                      <w:rFonts w:hint="eastAsia"/>
                      <w:bCs/>
                      <w:color w:val="auto"/>
                      <w:szCs w:val="21"/>
                      <w:highlight w:val="none"/>
                      <w:lang w:val="en-US" w:eastAsia="zh-CN"/>
                    </w:rPr>
                    <w:t>废水</w:t>
                  </w:r>
                </w:p>
              </w:tc>
              <w:tc>
                <w:tcPr>
                  <w:tcW w:w="1968" w:type="dxa"/>
                  <w:tcBorders>
                    <w:tl2br w:val="nil"/>
                    <w:tr2bl w:val="nil"/>
                  </w:tcBorders>
                  <w:noWrap w:val="0"/>
                  <w:vAlign w:val="center"/>
                </w:tcPr>
                <w:p w14:paraId="0A200EAD">
                  <w:pPr>
                    <w:autoSpaceDE w:val="0"/>
                    <w:autoSpaceDN w:val="0"/>
                    <w:jc w:val="center"/>
                    <w:rPr>
                      <w:rFonts w:hint="eastAsia" w:eastAsia="宋体"/>
                      <w:bCs/>
                      <w:color w:val="auto"/>
                      <w:szCs w:val="21"/>
                      <w:highlight w:val="none"/>
                      <w:lang w:val="en-US" w:eastAsia="zh-CN"/>
                    </w:rPr>
                  </w:pPr>
                  <w:r>
                    <w:rPr>
                      <w:rFonts w:hint="eastAsia"/>
                      <w:bCs/>
                      <w:color w:val="auto"/>
                      <w:szCs w:val="21"/>
                      <w:highlight w:val="none"/>
                      <w:lang w:val="en-US" w:eastAsia="zh-CN"/>
                    </w:rPr>
                    <w:t>实验废水</w:t>
                  </w:r>
                </w:p>
              </w:tc>
              <w:tc>
                <w:tcPr>
                  <w:tcW w:w="4223" w:type="dxa"/>
                  <w:tcBorders>
                    <w:tl2br w:val="nil"/>
                    <w:tr2bl w:val="nil"/>
                  </w:tcBorders>
                  <w:noWrap w:val="0"/>
                  <w:vAlign w:val="center"/>
                </w:tcPr>
                <w:p w14:paraId="4CD2B184">
                  <w:pPr>
                    <w:autoSpaceDE w:val="0"/>
                    <w:autoSpaceDN w:val="0"/>
                    <w:jc w:val="center"/>
                    <w:rPr>
                      <w:rFonts w:hint="default"/>
                      <w:bCs/>
                      <w:color w:val="auto"/>
                      <w:szCs w:val="21"/>
                      <w:highlight w:val="none"/>
                      <w:lang w:val="en-US"/>
                    </w:rPr>
                  </w:pPr>
                  <w:r>
                    <w:rPr>
                      <w:rFonts w:hint="eastAsia"/>
                      <w:color w:val="auto"/>
                      <w:spacing w:val="4"/>
                      <w:szCs w:val="21"/>
                      <w:highlight w:val="none"/>
                      <w:lang w:val="en-US" w:eastAsia="zh-CN"/>
                    </w:rPr>
                    <w:t>酸碱中和+混凝沉淀+化粪池（依托）</w:t>
                  </w:r>
                </w:p>
              </w:tc>
              <w:tc>
                <w:tcPr>
                  <w:tcW w:w="988" w:type="dxa"/>
                  <w:tcBorders>
                    <w:tl2br w:val="nil"/>
                    <w:tr2bl w:val="nil"/>
                  </w:tcBorders>
                  <w:noWrap w:val="0"/>
                  <w:vAlign w:val="center"/>
                </w:tcPr>
                <w:p w14:paraId="731810A8">
                  <w:pPr>
                    <w:autoSpaceDE w:val="0"/>
                    <w:autoSpaceDN w:val="0"/>
                    <w:jc w:val="center"/>
                    <w:rPr>
                      <w:rFonts w:hint="eastAsia" w:eastAsia="宋体"/>
                      <w:bCs/>
                      <w:color w:val="auto"/>
                      <w:szCs w:val="21"/>
                      <w:highlight w:val="none"/>
                      <w:lang w:val="en-US" w:eastAsia="zh-CN"/>
                    </w:rPr>
                  </w:pPr>
                  <w:r>
                    <w:rPr>
                      <w:rFonts w:hint="eastAsia"/>
                      <w:bCs/>
                      <w:color w:val="auto"/>
                      <w:szCs w:val="21"/>
                      <w:highlight w:val="none"/>
                      <w:lang w:val="en-US" w:eastAsia="zh-CN"/>
                    </w:rPr>
                    <w:t>/</w:t>
                  </w:r>
                </w:p>
              </w:tc>
            </w:tr>
            <w:tr w14:paraId="12CED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0" w:type="dxa"/>
                  <w:tcBorders>
                    <w:tl2br w:val="nil"/>
                    <w:tr2bl w:val="nil"/>
                  </w:tcBorders>
                  <w:shd w:val="clear" w:color="auto" w:fill="auto"/>
                  <w:noWrap w:val="0"/>
                  <w:vAlign w:val="center"/>
                </w:tcPr>
                <w:p w14:paraId="3807395E">
                  <w:pPr>
                    <w:autoSpaceDE w:val="0"/>
                    <w:autoSpaceDN w:val="0"/>
                    <w:jc w:val="center"/>
                    <w:rPr>
                      <w:rFonts w:hint="default" w:ascii="Times New Roman" w:hAnsi="Times New Roman" w:eastAsia="宋体" w:cs="Times New Roman"/>
                      <w:bCs/>
                      <w:color w:val="auto"/>
                      <w:kern w:val="2"/>
                      <w:sz w:val="21"/>
                      <w:szCs w:val="21"/>
                      <w:highlight w:val="none"/>
                      <w:lang w:val="en-US" w:eastAsia="zh-CN" w:bidi="ar-SA"/>
                    </w:rPr>
                  </w:pPr>
                  <w:r>
                    <w:rPr>
                      <w:bCs/>
                      <w:color w:val="auto"/>
                      <w:szCs w:val="21"/>
                      <w:highlight w:val="none"/>
                    </w:rPr>
                    <w:t>噪声</w:t>
                  </w:r>
                </w:p>
              </w:tc>
              <w:tc>
                <w:tcPr>
                  <w:tcW w:w="1968" w:type="dxa"/>
                  <w:tcBorders>
                    <w:tl2br w:val="nil"/>
                    <w:tr2bl w:val="nil"/>
                  </w:tcBorders>
                  <w:shd w:val="clear" w:color="auto" w:fill="auto"/>
                  <w:noWrap w:val="0"/>
                  <w:vAlign w:val="center"/>
                </w:tcPr>
                <w:p w14:paraId="75BCE2CF">
                  <w:pPr>
                    <w:autoSpaceDE w:val="0"/>
                    <w:autoSpaceDN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Cs w:val="21"/>
                      <w:highlight w:val="none"/>
                    </w:rPr>
                    <w:t>设备</w:t>
                  </w:r>
                  <w:r>
                    <w:rPr>
                      <w:bCs/>
                      <w:color w:val="auto"/>
                      <w:szCs w:val="21"/>
                      <w:highlight w:val="none"/>
                    </w:rPr>
                    <w:t>噪声</w:t>
                  </w:r>
                </w:p>
              </w:tc>
              <w:tc>
                <w:tcPr>
                  <w:tcW w:w="4223" w:type="dxa"/>
                  <w:tcBorders>
                    <w:tl2br w:val="nil"/>
                    <w:tr2bl w:val="nil"/>
                  </w:tcBorders>
                  <w:shd w:val="clear" w:color="auto" w:fill="auto"/>
                  <w:noWrap w:val="0"/>
                  <w:vAlign w:val="center"/>
                </w:tcPr>
                <w:p w14:paraId="22D32252">
                  <w:pPr>
                    <w:autoSpaceDE w:val="0"/>
                    <w:autoSpaceDN w:val="0"/>
                    <w:jc w:val="center"/>
                    <w:rPr>
                      <w:rFonts w:ascii="Times New Roman" w:hAnsi="Times New Roman" w:eastAsia="宋体" w:cs="Times New Roman"/>
                      <w:bCs/>
                      <w:color w:val="auto"/>
                      <w:kern w:val="2"/>
                      <w:sz w:val="21"/>
                      <w:szCs w:val="21"/>
                      <w:highlight w:val="none"/>
                      <w:lang w:val="en-US" w:eastAsia="zh-CN" w:bidi="ar-SA"/>
                    </w:rPr>
                  </w:pPr>
                  <w:r>
                    <w:rPr>
                      <w:bCs/>
                      <w:color w:val="auto"/>
                      <w:szCs w:val="21"/>
                      <w:highlight w:val="none"/>
                    </w:rPr>
                    <w:t>低噪声设备、基础减振、</w:t>
                  </w:r>
                  <w:r>
                    <w:rPr>
                      <w:rFonts w:hint="eastAsia"/>
                      <w:bCs/>
                      <w:color w:val="auto"/>
                      <w:szCs w:val="21"/>
                      <w:highlight w:val="none"/>
                      <w:lang w:val="en-US" w:eastAsia="zh-CN"/>
                    </w:rPr>
                    <w:t>建筑物</w:t>
                  </w:r>
                  <w:r>
                    <w:rPr>
                      <w:bCs/>
                      <w:color w:val="auto"/>
                      <w:szCs w:val="21"/>
                      <w:highlight w:val="none"/>
                    </w:rPr>
                    <w:t>隔声、合理布局等</w:t>
                  </w:r>
                </w:p>
              </w:tc>
              <w:tc>
                <w:tcPr>
                  <w:tcW w:w="988" w:type="dxa"/>
                  <w:tcBorders>
                    <w:tl2br w:val="nil"/>
                    <w:tr2bl w:val="nil"/>
                  </w:tcBorders>
                  <w:shd w:val="clear" w:color="auto" w:fill="auto"/>
                  <w:noWrap w:val="0"/>
                  <w:vAlign w:val="center"/>
                </w:tcPr>
                <w:p w14:paraId="589D54C2">
                  <w:pPr>
                    <w:autoSpaceDE w:val="0"/>
                    <w:autoSpaceDN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Cs w:val="21"/>
                      <w:highlight w:val="none"/>
                      <w:lang w:val="en-US" w:eastAsia="zh-CN"/>
                    </w:rPr>
                    <w:t>5</w:t>
                  </w:r>
                </w:p>
              </w:tc>
            </w:tr>
            <w:tr w14:paraId="387F90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00" w:type="dxa"/>
                  <w:vMerge w:val="restart"/>
                  <w:tcBorders>
                    <w:tl2br w:val="nil"/>
                    <w:tr2bl w:val="nil"/>
                  </w:tcBorders>
                  <w:noWrap w:val="0"/>
                  <w:vAlign w:val="center"/>
                </w:tcPr>
                <w:p w14:paraId="34226CAD">
                  <w:pPr>
                    <w:autoSpaceDE w:val="0"/>
                    <w:autoSpaceDN w:val="0"/>
                    <w:jc w:val="center"/>
                    <w:rPr>
                      <w:rFonts w:hint="default" w:eastAsia="宋体"/>
                      <w:bCs/>
                      <w:color w:val="auto"/>
                      <w:szCs w:val="21"/>
                      <w:highlight w:val="none"/>
                      <w:lang w:val="en-US" w:eastAsia="zh-CN"/>
                    </w:rPr>
                  </w:pPr>
                  <w:r>
                    <w:rPr>
                      <w:rFonts w:hint="eastAsia"/>
                      <w:bCs/>
                      <w:color w:val="auto"/>
                      <w:szCs w:val="21"/>
                      <w:highlight w:val="none"/>
                      <w:lang w:val="en-US" w:eastAsia="zh-CN"/>
                    </w:rPr>
                    <w:t>固废治理</w:t>
                  </w:r>
                </w:p>
              </w:tc>
              <w:tc>
                <w:tcPr>
                  <w:tcW w:w="1968" w:type="dxa"/>
                  <w:tcBorders>
                    <w:tl2br w:val="nil"/>
                    <w:tr2bl w:val="nil"/>
                  </w:tcBorders>
                  <w:noWrap w:val="0"/>
                  <w:vAlign w:val="center"/>
                </w:tcPr>
                <w:p w14:paraId="7B986B3E">
                  <w:pPr>
                    <w:autoSpaceDE w:val="0"/>
                    <w:autoSpaceDN w:val="0"/>
                    <w:jc w:val="center"/>
                    <w:rPr>
                      <w:bCs/>
                      <w:color w:val="auto"/>
                      <w:szCs w:val="21"/>
                      <w:highlight w:val="none"/>
                    </w:rPr>
                  </w:pPr>
                  <w:r>
                    <w:rPr>
                      <w:rFonts w:hint="eastAsia"/>
                      <w:bCs/>
                      <w:color w:val="auto"/>
                      <w:szCs w:val="21"/>
                      <w:highlight w:val="none"/>
                    </w:rPr>
                    <w:t>一般工业固体废物</w:t>
                  </w:r>
                </w:p>
              </w:tc>
              <w:tc>
                <w:tcPr>
                  <w:tcW w:w="4223" w:type="dxa"/>
                  <w:tcBorders>
                    <w:tl2br w:val="nil"/>
                    <w:tr2bl w:val="nil"/>
                  </w:tcBorders>
                  <w:noWrap w:val="0"/>
                  <w:vAlign w:val="center"/>
                </w:tcPr>
                <w:p w14:paraId="0C3DC6D5">
                  <w:pPr>
                    <w:autoSpaceDE w:val="0"/>
                    <w:autoSpaceDN w:val="0"/>
                    <w:jc w:val="center"/>
                    <w:rPr>
                      <w:color w:val="auto"/>
                      <w:szCs w:val="21"/>
                      <w:highlight w:val="none"/>
                    </w:rPr>
                  </w:pPr>
                  <w:r>
                    <w:rPr>
                      <w:rFonts w:hint="eastAsia"/>
                      <w:color w:val="auto"/>
                      <w:highlight w:val="none"/>
                      <w:lang w:val="en-US" w:eastAsia="zh-CN"/>
                    </w:rPr>
                    <w:t>分类收集暂存后，</w:t>
                  </w:r>
                  <w:r>
                    <w:rPr>
                      <w:rFonts w:hint="eastAsia"/>
                      <w:color w:val="auto"/>
                      <w:szCs w:val="21"/>
                      <w:highlight w:val="none"/>
                    </w:rPr>
                    <w:t>委托</w:t>
                  </w:r>
                  <w:r>
                    <w:rPr>
                      <w:rFonts w:hint="eastAsia"/>
                      <w:color w:val="auto"/>
                      <w:szCs w:val="21"/>
                      <w:highlight w:val="none"/>
                      <w:lang w:val="en-US" w:eastAsia="zh-CN"/>
                    </w:rPr>
                    <w:t>其他</w:t>
                  </w:r>
                  <w:r>
                    <w:rPr>
                      <w:rFonts w:hint="eastAsia"/>
                      <w:color w:val="auto"/>
                      <w:szCs w:val="21"/>
                      <w:highlight w:val="none"/>
                    </w:rPr>
                    <w:t>单位处理</w:t>
                  </w:r>
                </w:p>
              </w:tc>
              <w:tc>
                <w:tcPr>
                  <w:tcW w:w="988" w:type="dxa"/>
                  <w:tcBorders>
                    <w:tl2br w:val="nil"/>
                    <w:tr2bl w:val="nil"/>
                  </w:tcBorders>
                  <w:noWrap w:val="0"/>
                  <w:vAlign w:val="center"/>
                </w:tcPr>
                <w:p w14:paraId="5C027D1E">
                  <w:pPr>
                    <w:autoSpaceDE w:val="0"/>
                    <w:autoSpaceDN w:val="0"/>
                    <w:jc w:val="center"/>
                    <w:rPr>
                      <w:rFonts w:hint="eastAsia" w:eastAsia="宋体"/>
                      <w:bCs/>
                      <w:color w:val="auto"/>
                      <w:szCs w:val="21"/>
                      <w:highlight w:val="none"/>
                      <w:lang w:eastAsia="zh-CN"/>
                    </w:rPr>
                  </w:pPr>
                  <w:r>
                    <w:rPr>
                      <w:rFonts w:hint="eastAsia"/>
                      <w:bCs/>
                      <w:color w:val="auto"/>
                      <w:szCs w:val="21"/>
                      <w:highlight w:val="none"/>
                      <w:lang w:val="en-US" w:eastAsia="zh-CN"/>
                    </w:rPr>
                    <w:t>8</w:t>
                  </w:r>
                </w:p>
              </w:tc>
            </w:tr>
            <w:tr w14:paraId="211B4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0" w:type="dxa"/>
                  <w:vMerge w:val="continue"/>
                  <w:tcBorders>
                    <w:tl2br w:val="nil"/>
                    <w:tr2bl w:val="nil"/>
                  </w:tcBorders>
                  <w:noWrap w:val="0"/>
                  <w:vAlign w:val="center"/>
                </w:tcPr>
                <w:p w14:paraId="27E7D6E2">
                  <w:pPr>
                    <w:jc w:val="center"/>
                    <w:rPr>
                      <w:color w:val="auto"/>
                      <w:szCs w:val="21"/>
                      <w:highlight w:val="none"/>
                    </w:rPr>
                  </w:pPr>
                </w:p>
              </w:tc>
              <w:tc>
                <w:tcPr>
                  <w:tcW w:w="1968" w:type="dxa"/>
                  <w:tcBorders>
                    <w:tl2br w:val="nil"/>
                    <w:tr2bl w:val="nil"/>
                  </w:tcBorders>
                  <w:noWrap w:val="0"/>
                  <w:vAlign w:val="center"/>
                </w:tcPr>
                <w:p w14:paraId="5E36B5A2">
                  <w:pPr>
                    <w:jc w:val="center"/>
                    <w:rPr>
                      <w:color w:val="auto"/>
                      <w:szCs w:val="21"/>
                      <w:highlight w:val="none"/>
                    </w:rPr>
                  </w:pPr>
                  <w:r>
                    <w:rPr>
                      <w:rFonts w:hint="eastAsia"/>
                      <w:color w:val="auto"/>
                      <w:szCs w:val="21"/>
                      <w:highlight w:val="none"/>
                    </w:rPr>
                    <w:t>危险废物</w:t>
                  </w:r>
                </w:p>
              </w:tc>
              <w:tc>
                <w:tcPr>
                  <w:tcW w:w="4223" w:type="dxa"/>
                  <w:tcBorders>
                    <w:tl2br w:val="nil"/>
                    <w:tr2bl w:val="nil"/>
                  </w:tcBorders>
                  <w:noWrap w:val="0"/>
                  <w:vAlign w:val="center"/>
                </w:tcPr>
                <w:p w14:paraId="46EA5C7E">
                  <w:pPr>
                    <w:jc w:val="center"/>
                    <w:rPr>
                      <w:color w:val="auto"/>
                      <w:szCs w:val="21"/>
                      <w:highlight w:val="none"/>
                    </w:rPr>
                  </w:pPr>
                  <w:r>
                    <w:rPr>
                      <w:rFonts w:hint="eastAsia"/>
                      <w:color w:val="auto"/>
                      <w:szCs w:val="21"/>
                      <w:highlight w:val="none"/>
                      <w:lang w:val="en-US" w:eastAsia="zh-CN"/>
                    </w:rPr>
                    <w:t>新增</w:t>
                  </w:r>
                  <w:r>
                    <w:rPr>
                      <w:rFonts w:hint="eastAsia"/>
                      <w:color w:val="auto"/>
                      <w:szCs w:val="21"/>
                      <w:highlight w:val="none"/>
                    </w:rPr>
                    <w:t>危废</w:t>
                  </w:r>
                  <w:r>
                    <w:rPr>
                      <w:rFonts w:hint="eastAsia"/>
                      <w:color w:val="auto"/>
                      <w:szCs w:val="21"/>
                      <w:highlight w:val="none"/>
                      <w:lang w:val="en-US" w:eastAsia="zh-CN"/>
                    </w:rPr>
                    <w:t>贮存库1座</w:t>
                  </w:r>
                  <w:r>
                    <w:rPr>
                      <w:rFonts w:hint="eastAsia"/>
                      <w:color w:val="auto"/>
                      <w:szCs w:val="21"/>
                      <w:highlight w:val="none"/>
                    </w:rPr>
                    <w:t>，按照《危险废物贮存污染控制标准》（GB 18597-20</w:t>
                  </w:r>
                  <w:r>
                    <w:rPr>
                      <w:rFonts w:hint="eastAsia"/>
                      <w:color w:val="auto"/>
                      <w:szCs w:val="21"/>
                      <w:highlight w:val="none"/>
                      <w:lang w:val="en-US" w:eastAsia="zh-CN"/>
                    </w:rPr>
                    <w:t>23</w:t>
                  </w:r>
                  <w:r>
                    <w:rPr>
                      <w:rFonts w:hint="eastAsia"/>
                      <w:color w:val="auto"/>
                      <w:szCs w:val="21"/>
                      <w:highlight w:val="none"/>
                    </w:rPr>
                    <w:t>）配备危废贮存罐，并按照《危险废物转移联单管理办法》交予有资质单位处理。</w:t>
                  </w:r>
                </w:p>
              </w:tc>
              <w:tc>
                <w:tcPr>
                  <w:tcW w:w="988" w:type="dxa"/>
                  <w:tcBorders>
                    <w:tl2br w:val="nil"/>
                    <w:tr2bl w:val="nil"/>
                  </w:tcBorders>
                  <w:noWrap w:val="0"/>
                  <w:vAlign w:val="center"/>
                </w:tcPr>
                <w:p w14:paraId="3B89EF28">
                  <w:pPr>
                    <w:jc w:val="center"/>
                    <w:rPr>
                      <w:rFonts w:hint="default" w:eastAsia="宋体"/>
                      <w:color w:val="auto"/>
                      <w:szCs w:val="21"/>
                      <w:highlight w:val="none"/>
                      <w:lang w:val="en-US" w:eastAsia="zh-CN"/>
                    </w:rPr>
                  </w:pPr>
                  <w:r>
                    <w:rPr>
                      <w:rFonts w:hint="eastAsia"/>
                      <w:color w:val="auto"/>
                      <w:szCs w:val="21"/>
                      <w:highlight w:val="none"/>
                      <w:lang w:val="en-US" w:eastAsia="zh-CN"/>
                    </w:rPr>
                    <w:t>24</w:t>
                  </w:r>
                </w:p>
              </w:tc>
            </w:tr>
            <w:tr w14:paraId="673DF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8" w:type="dxa"/>
                  <w:gridSpan w:val="2"/>
                  <w:tcBorders>
                    <w:tl2br w:val="nil"/>
                    <w:tr2bl w:val="nil"/>
                  </w:tcBorders>
                  <w:noWrap w:val="0"/>
                  <w:vAlign w:val="center"/>
                </w:tcPr>
                <w:p w14:paraId="1A8F9C10">
                  <w:pPr>
                    <w:jc w:val="center"/>
                    <w:rPr>
                      <w:color w:val="auto"/>
                      <w:szCs w:val="21"/>
                      <w:highlight w:val="none"/>
                    </w:rPr>
                  </w:pPr>
                  <w:r>
                    <w:rPr>
                      <w:color w:val="auto"/>
                      <w:szCs w:val="21"/>
                      <w:highlight w:val="none"/>
                    </w:rPr>
                    <w:t>总计</w:t>
                  </w:r>
                </w:p>
              </w:tc>
              <w:tc>
                <w:tcPr>
                  <w:tcW w:w="4223" w:type="dxa"/>
                  <w:tcBorders>
                    <w:tl2br w:val="nil"/>
                    <w:tr2bl w:val="nil"/>
                  </w:tcBorders>
                  <w:noWrap w:val="0"/>
                  <w:vAlign w:val="center"/>
                </w:tcPr>
                <w:p w14:paraId="1B7C760D">
                  <w:pPr>
                    <w:jc w:val="center"/>
                    <w:rPr>
                      <w:color w:val="auto"/>
                      <w:szCs w:val="21"/>
                      <w:highlight w:val="none"/>
                    </w:rPr>
                  </w:pPr>
                  <w:r>
                    <w:rPr>
                      <w:color w:val="auto"/>
                      <w:szCs w:val="21"/>
                      <w:highlight w:val="none"/>
                    </w:rPr>
                    <w:t>/</w:t>
                  </w:r>
                </w:p>
              </w:tc>
              <w:tc>
                <w:tcPr>
                  <w:tcW w:w="988" w:type="dxa"/>
                  <w:tcBorders>
                    <w:tl2br w:val="nil"/>
                    <w:tr2bl w:val="nil"/>
                  </w:tcBorders>
                  <w:noWrap w:val="0"/>
                  <w:vAlign w:val="center"/>
                </w:tcPr>
                <w:p w14:paraId="2183D917">
                  <w:pPr>
                    <w:jc w:val="center"/>
                    <w:rPr>
                      <w:rFonts w:hint="default" w:eastAsia="宋体"/>
                      <w:color w:val="auto"/>
                      <w:szCs w:val="21"/>
                      <w:highlight w:val="none"/>
                      <w:lang w:val="en-US" w:eastAsia="zh-CN"/>
                    </w:rPr>
                  </w:pPr>
                  <w:r>
                    <w:rPr>
                      <w:rFonts w:hint="eastAsia"/>
                      <w:color w:val="auto"/>
                      <w:szCs w:val="21"/>
                      <w:highlight w:val="none"/>
                      <w:lang w:val="en-US" w:eastAsia="zh-CN"/>
                    </w:rPr>
                    <w:t>57</w:t>
                  </w:r>
                </w:p>
              </w:tc>
            </w:tr>
          </w:tbl>
          <w:p w14:paraId="4A561DC2">
            <w:pPr>
              <w:pStyle w:val="34"/>
              <w:ind w:left="0" w:leftChars="0" w:firstLine="0" w:firstLineChars="0"/>
              <w:rPr>
                <w:color w:val="auto"/>
                <w:highlight w:val="none"/>
              </w:rPr>
            </w:pPr>
          </w:p>
          <w:p w14:paraId="3EECFCD3">
            <w:pPr>
              <w:pStyle w:val="34"/>
              <w:ind w:left="0" w:leftChars="0" w:firstLine="0" w:firstLineChars="0"/>
              <w:rPr>
                <w:color w:val="auto"/>
                <w:highlight w:val="none"/>
              </w:rPr>
            </w:pPr>
          </w:p>
          <w:p w14:paraId="41E058C8">
            <w:pPr>
              <w:pStyle w:val="34"/>
              <w:ind w:left="0" w:leftChars="0" w:firstLine="0" w:firstLineChars="0"/>
              <w:rPr>
                <w:color w:val="auto"/>
                <w:highlight w:val="none"/>
              </w:rPr>
            </w:pPr>
          </w:p>
          <w:p w14:paraId="5CC83B03">
            <w:pPr>
              <w:pStyle w:val="34"/>
              <w:ind w:left="0" w:leftChars="0" w:firstLine="0" w:firstLineChars="0"/>
              <w:rPr>
                <w:color w:val="auto"/>
                <w:highlight w:val="none"/>
              </w:rPr>
            </w:pPr>
          </w:p>
          <w:p w14:paraId="63084FAC">
            <w:pPr>
              <w:pStyle w:val="34"/>
              <w:ind w:left="0" w:leftChars="0" w:firstLine="0" w:firstLineChars="0"/>
              <w:rPr>
                <w:color w:val="auto"/>
                <w:highlight w:val="none"/>
              </w:rPr>
            </w:pPr>
          </w:p>
          <w:p w14:paraId="56E0958B">
            <w:pPr>
              <w:pStyle w:val="34"/>
              <w:ind w:left="0" w:leftChars="0" w:firstLine="0" w:firstLineChars="0"/>
              <w:rPr>
                <w:color w:val="auto"/>
                <w:highlight w:val="none"/>
              </w:rPr>
            </w:pPr>
          </w:p>
          <w:p w14:paraId="2FA19478">
            <w:pPr>
              <w:pStyle w:val="34"/>
              <w:ind w:left="0" w:leftChars="0" w:firstLine="0" w:firstLineChars="0"/>
              <w:rPr>
                <w:color w:val="auto"/>
                <w:highlight w:val="none"/>
              </w:rPr>
            </w:pPr>
          </w:p>
          <w:p w14:paraId="3C85C4EE">
            <w:pPr>
              <w:pStyle w:val="34"/>
              <w:ind w:left="0" w:leftChars="0" w:firstLine="0" w:firstLineChars="0"/>
              <w:rPr>
                <w:color w:val="auto"/>
                <w:highlight w:val="none"/>
              </w:rPr>
            </w:pPr>
          </w:p>
          <w:p w14:paraId="0463DD5B">
            <w:pPr>
              <w:pStyle w:val="34"/>
              <w:ind w:left="0" w:leftChars="0" w:firstLine="0" w:firstLineChars="0"/>
              <w:rPr>
                <w:color w:val="auto"/>
                <w:highlight w:val="none"/>
              </w:rPr>
            </w:pPr>
          </w:p>
          <w:p w14:paraId="00F69BD9">
            <w:pPr>
              <w:pStyle w:val="34"/>
              <w:ind w:left="0" w:leftChars="0" w:firstLine="0" w:firstLineChars="0"/>
              <w:rPr>
                <w:color w:val="auto"/>
                <w:highlight w:val="none"/>
              </w:rPr>
            </w:pPr>
          </w:p>
          <w:p w14:paraId="78534CD3">
            <w:pPr>
              <w:pStyle w:val="34"/>
              <w:ind w:left="0" w:leftChars="0" w:firstLine="0" w:firstLineChars="0"/>
              <w:rPr>
                <w:color w:val="auto"/>
                <w:highlight w:val="none"/>
              </w:rPr>
            </w:pPr>
          </w:p>
          <w:p w14:paraId="5DB5A306">
            <w:pPr>
              <w:pStyle w:val="34"/>
              <w:ind w:left="0" w:leftChars="0" w:firstLine="0" w:firstLineChars="0"/>
              <w:rPr>
                <w:color w:val="auto"/>
                <w:highlight w:val="none"/>
              </w:rPr>
            </w:pPr>
          </w:p>
          <w:p w14:paraId="491BF909">
            <w:pPr>
              <w:pStyle w:val="34"/>
              <w:ind w:left="0" w:leftChars="0" w:firstLine="0" w:firstLineChars="0"/>
              <w:rPr>
                <w:color w:val="auto"/>
                <w:highlight w:val="none"/>
              </w:rPr>
            </w:pPr>
          </w:p>
          <w:p w14:paraId="64B53EB5">
            <w:pPr>
              <w:pStyle w:val="34"/>
              <w:ind w:left="0" w:leftChars="0" w:firstLine="0" w:firstLineChars="0"/>
              <w:rPr>
                <w:color w:val="auto"/>
                <w:highlight w:val="none"/>
              </w:rPr>
            </w:pPr>
          </w:p>
          <w:p w14:paraId="4C37976D">
            <w:pPr>
              <w:pStyle w:val="34"/>
              <w:ind w:left="0" w:leftChars="0" w:firstLine="0" w:firstLineChars="0"/>
              <w:rPr>
                <w:color w:val="auto"/>
                <w:highlight w:val="none"/>
              </w:rPr>
            </w:pPr>
          </w:p>
          <w:p w14:paraId="5ECDAB99">
            <w:pPr>
              <w:pStyle w:val="34"/>
              <w:ind w:left="0" w:leftChars="0" w:firstLine="0" w:firstLineChars="0"/>
              <w:rPr>
                <w:color w:val="auto"/>
                <w:highlight w:val="none"/>
              </w:rPr>
            </w:pPr>
          </w:p>
          <w:p w14:paraId="109305C4">
            <w:pPr>
              <w:pStyle w:val="34"/>
              <w:ind w:left="0" w:leftChars="0" w:firstLine="0" w:firstLineChars="0"/>
              <w:rPr>
                <w:color w:val="auto"/>
                <w:highlight w:val="none"/>
              </w:rPr>
            </w:pPr>
          </w:p>
          <w:p w14:paraId="39C3A3A8">
            <w:pPr>
              <w:pStyle w:val="34"/>
              <w:ind w:left="0" w:leftChars="0" w:firstLine="0" w:firstLineChars="0"/>
              <w:rPr>
                <w:color w:val="auto"/>
                <w:highlight w:val="none"/>
              </w:rPr>
            </w:pPr>
          </w:p>
          <w:p w14:paraId="073364AF">
            <w:pPr>
              <w:pStyle w:val="34"/>
              <w:ind w:left="0" w:leftChars="0" w:firstLine="0" w:firstLineChars="0"/>
              <w:rPr>
                <w:color w:val="auto"/>
                <w:highlight w:val="none"/>
              </w:rPr>
            </w:pPr>
          </w:p>
          <w:p w14:paraId="02DE8651">
            <w:pPr>
              <w:pStyle w:val="34"/>
              <w:ind w:left="0" w:leftChars="0" w:firstLine="0" w:firstLineChars="0"/>
              <w:rPr>
                <w:color w:val="auto"/>
                <w:highlight w:val="none"/>
              </w:rPr>
            </w:pPr>
          </w:p>
          <w:p w14:paraId="30BF4D03">
            <w:pPr>
              <w:pStyle w:val="34"/>
              <w:ind w:left="0" w:leftChars="0" w:firstLine="0" w:firstLineChars="0"/>
              <w:rPr>
                <w:color w:val="auto"/>
                <w:highlight w:val="none"/>
              </w:rPr>
            </w:pPr>
          </w:p>
        </w:tc>
      </w:tr>
    </w:tbl>
    <w:p w14:paraId="3A31B5DE">
      <w:pPr>
        <w:pStyle w:val="22"/>
        <w:spacing w:before="0" w:beforeAutospacing="0" w:after="0" w:afterAutospacing="0"/>
        <w:rPr>
          <w:rFonts w:ascii="Times New Roman" w:hAnsi="Times New Roman"/>
          <w:snapToGrid w:val="0"/>
          <w:color w:val="auto"/>
          <w:szCs w:val="24"/>
          <w:highlight w:val="none"/>
        </w:rPr>
      </w:pPr>
    </w:p>
    <w:p w14:paraId="15678136">
      <w:pPr>
        <w:adjustRightInd w:val="0"/>
        <w:snapToGrid w:val="0"/>
        <w:spacing w:line="360" w:lineRule="auto"/>
        <w:rPr>
          <w:rFonts w:ascii="宋体" w:cs="宋体"/>
          <w:b/>
          <w:color w:val="auto"/>
          <w:kern w:val="0"/>
          <w:sz w:val="28"/>
          <w:szCs w:val="28"/>
          <w:highlight w:val="none"/>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67CA824E">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7" w:name="_Hlk54167917"/>
      <w:r>
        <w:rPr>
          <w:rFonts w:hint="eastAsia" w:ascii="黑体" w:hAnsi="黑体" w:eastAsia="黑体"/>
          <w:snapToGrid w:val="0"/>
          <w:color w:val="auto"/>
          <w:sz w:val="30"/>
          <w:szCs w:val="30"/>
          <w:highlight w:val="none"/>
        </w:rPr>
        <w:t>环境保护措施监督检查清单</w:t>
      </w:r>
      <w:bookmarkEnd w:id="7"/>
    </w:p>
    <w:tbl>
      <w:tblPr>
        <w:tblStyle w:val="27"/>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73"/>
        <w:gridCol w:w="1053"/>
        <w:gridCol w:w="2029"/>
        <w:gridCol w:w="2029"/>
        <w:gridCol w:w="2371"/>
      </w:tblGrid>
      <w:tr w14:paraId="78DA4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single" w:color="auto" w:sz="4" w:space="0"/>
              <w:tr2bl w:val="nil"/>
            </w:tcBorders>
            <w:noWrap w:val="0"/>
            <w:vAlign w:val="top"/>
          </w:tcPr>
          <w:p w14:paraId="2AEF520C">
            <w:pPr>
              <w:adjustRightInd w:val="0"/>
              <w:snapToGrid w:val="0"/>
              <w:jc w:val="righ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内容</w:t>
            </w:r>
          </w:p>
          <w:p w14:paraId="1CC4736C">
            <w:pPr>
              <w:pStyle w:val="9"/>
              <w:spacing w:after="0"/>
              <w:ind w:left="0" w:leftChars="0"/>
              <w:rPr>
                <w:rFonts w:hint="default" w:ascii="Times New Roman" w:hAnsi="Times New Roman" w:cs="Times New Roman" w:eastAsiaTheme="minorEastAsia"/>
                <w:color w:val="auto"/>
                <w:sz w:val="24"/>
                <w:szCs w:val="24"/>
                <w:highlight w:val="none"/>
              </w:rPr>
            </w:pPr>
          </w:p>
          <w:p w14:paraId="0FA2C67A">
            <w:pPr>
              <w:adjustRightInd w:val="0"/>
              <w:snapToGrid w:val="0"/>
              <w:rPr>
                <w:rFonts w:hint="default" w:ascii="Times New Roman" w:hAnsi="Times New Roman" w:cs="Times New Roman" w:eastAsiaTheme="minorEastAsia"/>
                <w:color w:val="auto"/>
                <w:sz w:val="24"/>
                <w:szCs w:val="24"/>
                <w:highlight w:val="none"/>
              </w:rPr>
            </w:pPr>
          </w:p>
          <w:p w14:paraId="3CBC83C7">
            <w:pPr>
              <w:adjustRightInd w:val="0"/>
              <w:snapToGrid w:val="0"/>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要素</w:t>
            </w:r>
          </w:p>
        </w:tc>
        <w:tc>
          <w:tcPr>
            <w:tcW w:w="581" w:type="pct"/>
            <w:tcBorders>
              <w:tl2br w:val="nil"/>
              <w:tr2bl w:val="nil"/>
            </w:tcBorders>
            <w:noWrap w:val="0"/>
            <w:vAlign w:val="center"/>
          </w:tcPr>
          <w:p w14:paraId="6C179B71">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排放口(编号、名称)/污染源</w:t>
            </w:r>
          </w:p>
        </w:tc>
        <w:tc>
          <w:tcPr>
            <w:tcW w:w="1120" w:type="pct"/>
            <w:tcBorders>
              <w:tl2br w:val="nil"/>
              <w:tr2bl w:val="nil"/>
            </w:tcBorders>
            <w:noWrap w:val="0"/>
            <w:vAlign w:val="center"/>
          </w:tcPr>
          <w:p w14:paraId="1A8DB801">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污染物项目</w:t>
            </w:r>
          </w:p>
        </w:tc>
        <w:tc>
          <w:tcPr>
            <w:tcW w:w="1120" w:type="pct"/>
            <w:tcBorders>
              <w:tl2br w:val="nil"/>
              <w:tr2bl w:val="nil"/>
            </w:tcBorders>
            <w:noWrap w:val="0"/>
            <w:vAlign w:val="center"/>
          </w:tcPr>
          <w:p w14:paraId="61553A47">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环境保护措施</w:t>
            </w:r>
          </w:p>
        </w:tc>
        <w:tc>
          <w:tcPr>
            <w:tcW w:w="1308" w:type="pct"/>
            <w:tcBorders>
              <w:tl2br w:val="nil"/>
              <w:tr2bl w:val="nil"/>
            </w:tcBorders>
            <w:noWrap w:val="0"/>
            <w:vAlign w:val="center"/>
          </w:tcPr>
          <w:p w14:paraId="5A892C41">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执行标准</w:t>
            </w:r>
          </w:p>
        </w:tc>
      </w:tr>
      <w:tr w14:paraId="3341EC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vMerge w:val="restart"/>
            <w:tcBorders>
              <w:tl2br w:val="nil"/>
              <w:tr2bl w:val="nil"/>
            </w:tcBorders>
            <w:noWrap w:val="0"/>
            <w:vAlign w:val="center"/>
          </w:tcPr>
          <w:p w14:paraId="72313FE6">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大气环境</w:t>
            </w:r>
          </w:p>
        </w:tc>
        <w:tc>
          <w:tcPr>
            <w:tcW w:w="581" w:type="pct"/>
            <w:tcBorders>
              <w:tl2br w:val="nil"/>
              <w:tr2bl w:val="nil"/>
            </w:tcBorders>
            <w:noWrap w:val="0"/>
            <w:vAlign w:val="center"/>
          </w:tcPr>
          <w:p w14:paraId="737C75EF">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DA001~</w:t>
            </w:r>
          </w:p>
          <w:p w14:paraId="12176152">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DA010</w:t>
            </w:r>
          </w:p>
        </w:tc>
        <w:tc>
          <w:tcPr>
            <w:tcW w:w="1120" w:type="pct"/>
            <w:tcBorders>
              <w:tl2br w:val="nil"/>
              <w:tr2bl w:val="nil"/>
            </w:tcBorders>
            <w:shd w:val="clear" w:color="auto" w:fill="auto"/>
            <w:noWrap w:val="0"/>
            <w:vAlign w:val="center"/>
          </w:tcPr>
          <w:p w14:paraId="7275E597">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氯化氢、硫酸雾、氮氧化物、氟化物</w:t>
            </w:r>
          </w:p>
        </w:tc>
        <w:tc>
          <w:tcPr>
            <w:tcW w:w="1120" w:type="pct"/>
            <w:tcBorders>
              <w:tl2br w:val="nil"/>
              <w:tr2bl w:val="nil"/>
            </w:tcBorders>
            <w:shd w:val="clear" w:color="auto" w:fill="auto"/>
            <w:noWrap w:val="0"/>
            <w:vAlign w:val="center"/>
          </w:tcPr>
          <w:p w14:paraId="0E60DE17">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通风橱+</w:t>
            </w:r>
            <w:r>
              <w:rPr>
                <w:rFonts w:hint="eastAsia" w:ascii="Times New Roman" w:hAnsi="Times New Roman" w:cs="Times New Roman" w:eastAsiaTheme="minorEastAsia"/>
                <w:color w:val="auto"/>
                <w:sz w:val="24"/>
                <w:szCs w:val="24"/>
                <w:highlight w:val="none"/>
                <w:lang w:val="en-US" w:eastAsia="zh-CN"/>
              </w:rPr>
              <w:t>10套</w:t>
            </w:r>
            <w:r>
              <w:rPr>
                <w:rFonts w:hint="default" w:ascii="Times New Roman" w:hAnsi="Times New Roman" w:cs="Times New Roman" w:eastAsiaTheme="minorEastAsia"/>
                <w:color w:val="auto"/>
                <w:sz w:val="24"/>
                <w:szCs w:val="24"/>
                <w:highlight w:val="none"/>
                <w:lang w:val="en-US" w:eastAsia="zh-CN"/>
              </w:rPr>
              <w:t>碱液洗涤塔</w:t>
            </w:r>
            <w:r>
              <w:rPr>
                <w:rFonts w:hint="eastAsia" w:ascii="Times New Roman" w:hAnsi="Times New Roman" w:cs="Times New Roman" w:eastAsiaTheme="minorEastAsia"/>
                <w:color w:val="auto"/>
                <w:sz w:val="24"/>
                <w:szCs w:val="24"/>
                <w:highlight w:val="none"/>
                <w:lang w:val="en-US" w:eastAsia="zh-CN"/>
              </w:rPr>
              <w:t>+23m高排气筒</w:t>
            </w:r>
          </w:p>
        </w:tc>
        <w:tc>
          <w:tcPr>
            <w:tcW w:w="1308" w:type="pct"/>
            <w:vMerge w:val="restart"/>
            <w:tcBorders>
              <w:tl2br w:val="nil"/>
              <w:tr2bl w:val="nil"/>
            </w:tcBorders>
            <w:noWrap w:val="0"/>
            <w:vAlign w:val="center"/>
          </w:tcPr>
          <w:p w14:paraId="39439F67">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《大气污染物综合排放标准》(GB16297-1996)表2中二级排放标准</w:t>
            </w:r>
          </w:p>
        </w:tc>
      </w:tr>
      <w:tr w14:paraId="3A838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69" w:type="pct"/>
            <w:vMerge w:val="continue"/>
            <w:tcBorders>
              <w:tl2br w:val="nil"/>
              <w:tr2bl w:val="nil"/>
            </w:tcBorders>
            <w:noWrap w:val="0"/>
            <w:vAlign w:val="center"/>
          </w:tcPr>
          <w:p w14:paraId="6A77BAEB">
            <w:pPr>
              <w:adjustRightInd w:val="0"/>
              <w:snapToGrid w:val="0"/>
              <w:jc w:val="center"/>
              <w:rPr>
                <w:rFonts w:hint="default" w:ascii="Times New Roman" w:hAnsi="Times New Roman" w:cs="Times New Roman" w:eastAsiaTheme="minorEastAsia"/>
                <w:color w:val="auto"/>
                <w:sz w:val="24"/>
                <w:szCs w:val="24"/>
                <w:highlight w:val="none"/>
                <w:lang w:val="en-US" w:eastAsia="zh-CN"/>
              </w:rPr>
            </w:pPr>
          </w:p>
        </w:tc>
        <w:tc>
          <w:tcPr>
            <w:tcW w:w="581" w:type="pct"/>
            <w:tcBorders>
              <w:tl2br w:val="nil"/>
              <w:tr2bl w:val="nil"/>
            </w:tcBorders>
            <w:noWrap w:val="0"/>
            <w:vAlign w:val="center"/>
          </w:tcPr>
          <w:p w14:paraId="37531A4E">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DA011</w:t>
            </w:r>
          </w:p>
        </w:tc>
        <w:tc>
          <w:tcPr>
            <w:tcW w:w="1120" w:type="pct"/>
            <w:tcBorders>
              <w:tl2br w:val="nil"/>
              <w:tr2bl w:val="nil"/>
            </w:tcBorders>
            <w:noWrap w:val="0"/>
            <w:vAlign w:val="center"/>
          </w:tcPr>
          <w:p w14:paraId="61DD8413">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非甲烷总烃</w:t>
            </w:r>
            <w:r>
              <w:rPr>
                <w:rFonts w:hint="eastAsia" w:cs="Times New Roman" w:eastAsiaTheme="minorEastAsia"/>
                <w:color w:val="auto"/>
                <w:sz w:val="24"/>
                <w:szCs w:val="24"/>
                <w:highlight w:val="none"/>
                <w:lang w:val="en-US" w:eastAsia="zh-CN"/>
              </w:rPr>
              <w:t>、甲醇、甲苯、二氯甲烷、三氯甲烷</w:t>
            </w:r>
          </w:p>
        </w:tc>
        <w:tc>
          <w:tcPr>
            <w:tcW w:w="1120" w:type="pct"/>
            <w:tcBorders>
              <w:tl2br w:val="nil"/>
              <w:tr2bl w:val="nil"/>
            </w:tcBorders>
            <w:noWrap w:val="0"/>
            <w:vAlign w:val="center"/>
          </w:tcPr>
          <w:p w14:paraId="3515F903">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通风橱+</w:t>
            </w:r>
            <w:r>
              <w:rPr>
                <w:rFonts w:hint="eastAsia" w:cs="Times New Roman" w:eastAsiaTheme="minorEastAsia"/>
                <w:color w:val="auto"/>
                <w:sz w:val="24"/>
                <w:szCs w:val="24"/>
                <w:highlight w:val="none"/>
                <w:lang w:val="en-US" w:eastAsia="zh-CN"/>
              </w:rPr>
              <w:t>1</w:t>
            </w:r>
            <w:r>
              <w:rPr>
                <w:rFonts w:hint="eastAsia" w:ascii="Times New Roman" w:hAnsi="Times New Roman" w:cs="Times New Roman" w:eastAsiaTheme="minorEastAsia"/>
                <w:color w:val="auto"/>
                <w:sz w:val="24"/>
                <w:szCs w:val="24"/>
                <w:highlight w:val="none"/>
                <w:lang w:val="en-US" w:eastAsia="zh-CN"/>
              </w:rPr>
              <w:t>套</w:t>
            </w:r>
            <w:r>
              <w:rPr>
                <w:rFonts w:hint="default" w:ascii="Times New Roman" w:hAnsi="Times New Roman" w:cs="Times New Roman" w:eastAsiaTheme="minorEastAsia"/>
                <w:color w:val="auto"/>
                <w:sz w:val="24"/>
                <w:szCs w:val="24"/>
                <w:highlight w:val="none"/>
                <w:lang w:val="en-US" w:eastAsia="zh-CN"/>
              </w:rPr>
              <w:t>二级活性炭吸附装置</w:t>
            </w:r>
            <w:r>
              <w:rPr>
                <w:rFonts w:hint="eastAsia" w:ascii="Times New Roman" w:hAnsi="Times New Roman" w:cs="Times New Roman" w:eastAsiaTheme="minorEastAsia"/>
                <w:color w:val="auto"/>
                <w:sz w:val="24"/>
                <w:szCs w:val="24"/>
                <w:highlight w:val="none"/>
                <w:lang w:val="en-US" w:eastAsia="zh-CN"/>
              </w:rPr>
              <w:t>+23m高排气筒</w:t>
            </w:r>
          </w:p>
        </w:tc>
        <w:tc>
          <w:tcPr>
            <w:tcW w:w="1308" w:type="pct"/>
            <w:vMerge w:val="continue"/>
            <w:tcBorders>
              <w:tl2br w:val="nil"/>
              <w:tr2bl w:val="nil"/>
            </w:tcBorders>
            <w:noWrap w:val="0"/>
            <w:vAlign w:val="center"/>
          </w:tcPr>
          <w:p w14:paraId="5C5B6E41">
            <w:pPr>
              <w:adjustRightInd w:val="0"/>
              <w:snapToGrid w:val="0"/>
              <w:rPr>
                <w:rFonts w:hint="default" w:ascii="Times New Roman" w:hAnsi="Times New Roman" w:cs="Times New Roman" w:eastAsiaTheme="minorEastAsia"/>
                <w:color w:val="auto"/>
                <w:sz w:val="24"/>
                <w:szCs w:val="24"/>
                <w:highlight w:val="none"/>
              </w:rPr>
            </w:pPr>
          </w:p>
        </w:tc>
      </w:tr>
      <w:tr w14:paraId="2E371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69" w:type="pct"/>
            <w:vMerge w:val="continue"/>
            <w:tcBorders>
              <w:tl2br w:val="nil"/>
              <w:tr2bl w:val="nil"/>
            </w:tcBorders>
            <w:noWrap w:val="0"/>
            <w:vAlign w:val="center"/>
          </w:tcPr>
          <w:p w14:paraId="4BF863DD">
            <w:pPr>
              <w:adjustRightInd w:val="0"/>
              <w:snapToGrid w:val="0"/>
              <w:jc w:val="center"/>
              <w:rPr>
                <w:rFonts w:hint="default" w:ascii="Times New Roman" w:hAnsi="Times New Roman" w:cs="Times New Roman" w:eastAsiaTheme="minorEastAsia"/>
                <w:color w:val="auto"/>
                <w:sz w:val="24"/>
                <w:szCs w:val="24"/>
                <w:highlight w:val="none"/>
                <w:lang w:val="en-US" w:eastAsia="zh-CN"/>
              </w:rPr>
            </w:pPr>
          </w:p>
        </w:tc>
        <w:tc>
          <w:tcPr>
            <w:tcW w:w="581" w:type="pct"/>
            <w:tcBorders>
              <w:tl2br w:val="nil"/>
              <w:tr2bl w:val="nil"/>
            </w:tcBorders>
            <w:shd w:val="clear" w:color="auto" w:fill="auto"/>
            <w:noWrap w:val="0"/>
            <w:vAlign w:val="center"/>
          </w:tcPr>
          <w:p w14:paraId="11C2551C">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DA01</w:t>
            </w:r>
            <w:r>
              <w:rPr>
                <w:rFonts w:hint="eastAsia"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lang w:val="en-US" w:eastAsia="zh-CN"/>
              </w:rPr>
              <w:t>~</w:t>
            </w:r>
          </w:p>
          <w:p w14:paraId="209F9D31">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DA014</w:t>
            </w:r>
          </w:p>
        </w:tc>
        <w:tc>
          <w:tcPr>
            <w:tcW w:w="1120" w:type="pct"/>
            <w:tcBorders>
              <w:tl2br w:val="nil"/>
              <w:tr2bl w:val="nil"/>
            </w:tcBorders>
            <w:shd w:val="clear" w:color="auto" w:fill="auto"/>
            <w:noWrap w:val="0"/>
            <w:vAlign w:val="center"/>
          </w:tcPr>
          <w:p w14:paraId="60730947">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非甲烷总烃</w:t>
            </w:r>
          </w:p>
        </w:tc>
        <w:tc>
          <w:tcPr>
            <w:tcW w:w="1120" w:type="pct"/>
            <w:tcBorders>
              <w:tl2br w:val="nil"/>
              <w:tr2bl w:val="nil"/>
            </w:tcBorders>
            <w:shd w:val="clear" w:color="auto" w:fill="auto"/>
            <w:noWrap w:val="0"/>
            <w:vAlign w:val="center"/>
          </w:tcPr>
          <w:p w14:paraId="2FC952DC">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通风橱+</w:t>
            </w:r>
            <w:r>
              <w:rPr>
                <w:rFonts w:hint="eastAsia" w:ascii="Times New Roman" w:hAnsi="Times New Roman" w:cs="Times New Roman" w:eastAsiaTheme="minorEastAsia"/>
                <w:color w:val="auto"/>
                <w:sz w:val="24"/>
                <w:szCs w:val="24"/>
                <w:highlight w:val="none"/>
                <w:lang w:val="en-US" w:eastAsia="zh-CN"/>
              </w:rPr>
              <w:t>3套</w:t>
            </w:r>
            <w:r>
              <w:rPr>
                <w:rFonts w:hint="default" w:ascii="Times New Roman" w:hAnsi="Times New Roman" w:cs="Times New Roman" w:eastAsiaTheme="minorEastAsia"/>
                <w:color w:val="auto"/>
                <w:sz w:val="24"/>
                <w:szCs w:val="24"/>
                <w:highlight w:val="none"/>
                <w:lang w:val="en-US" w:eastAsia="zh-CN"/>
              </w:rPr>
              <w:t>二级活性炭吸附装置</w:t>
            </w:r>
            <w:r>
              <w:rPr>
                <w:rFonts w:hint="eastAsia" w:ascii="Times New Roman" w:hAnsi="Times New Roman" w:cs="Times New Roman" w:eastAsiaTheme="minorEastAsia"/>
                <w:color w:val="auto"/>
                <w:sz w:val="24"/>
                <w:szCs w:val="24"/>
                <w:highlight w:val="none"/>
                <w:lang w:val="en-US" w:eastAsia="zh-CN"/>
              </w:rPr>
              <w:t>+23m高排气筒</w:t>
            </w:r>
          </w:p>
        </w:tc>
        <w:tc>
          <w:tcPr>
            <w:tcW w:w="1308" w:type="pct"/>
            <w:vMerge w:val="continue"/>
            <w:tcBorders>
              <w:tl2br w:val="nil"/>
              <w:tr2bl w:val="nil"/>
            </w:tcBorders>
            <w:noWrap w:val="0"/>
            <w:vAlign w:val="center"/>
          </w:tcPr>
          <w:p w14:paraId="09F378E9">
            <w:pPr>
              <w:adjustRightInd w:val="0"/>
              <w:snapToGrid w:val="0"/>
              <w:rPr>
                <w:rFonts w:hint="default" w:ascii="Times New Roman" w:hAnsi="Times New Roman" w:cs="Times New Roman" w:eastAsiaTheme="minorEastAsia"/>
                <w:color w:val="auto"/>
                <w:sz w:val="24"/>
                <w:szCs w:val="24"/>
                <w:highlight w:val="none"/>
              </w:rPr>
            </w:pPr>
          </w:p>
        </w:tc>
      </w:tr>
      <w:tr w14:paraId="29617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vMerge w:val="continue"/>
            <w:tcBorders>
              <w:tl2br w:val="nil"/>
              <w:tr2bl w:val="nil"/>
            </w:tcBorders>
            <w:noWrap w:val="0"/>
            <w:vAlign w:val="center"/>
          </w:tcPr>
          <w:p w14:paraId="34ABAA74">
            <w:pPr>
              <w:adjustRightInd w:val="0"/>
              <w:snapToGrid w:val="0"/>
              <w:jc w:val="center"/>
              <w:rPr>
                <w:rFonts w:hint="default" w:ascii="Times New Roman" w:hAnsi="Times New Roman" w:cs="Times New Roman" w:eastAsiaTheme="minorEastAsia"/>
                <w:color w:val="auto"/>
                <w:sz w:val="24"/>
                <w:szCs w:val="24"/>
                <w:highlight w:val="none"/>
                <w:lang w:val="en-US" w:eastAsia="zh-CN"/>
              </w:rPr>
            </w:pPr>
          </w:p>
        </w:tc>
        <w:tc>
          <w:tcPr>
            <w:tcW w:w="581" w:type="pct"/>
            <w:tcBorders>
              <w:tl2br w:val="nil"/>
              <w:tr2bl w:val="nil"/>
            </w:tcBorders>
            <w:noWrap w:val="0"/>
            <w:vAlign w:val="center"/>
          </w:tcPr>
          <w:p w14:paraId="76349B65">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DA015</w:t>
            </w:r>
          </w:p>
        </w:tc>
        <w:tc>
          <w:tcPr>
            <w:tcW w:w="1120" w:type="pct"/>
            <w:tcBorders>
              <w:tl2br w:val="nil"/>
              <w:tr2bl w:val="nil"/>
            </w:tcBorders>
            <w:shd w:val="clear" w:color="auto" w:fill="auto"/>
            <w:noWrap w:val="0"/>
            <w:vAlign w:val="center"/>
          </w:tcPr>
          <w:p w14:paraId="034DE7BE">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rPr>
              <w:t>颗粒物</w:t>
            </w:r>
          </w:p>
        </w:tc>
        <w:tc>
          <w:tcPr>
            <w:tcW w:w="1120" w:type="pct"/>
            <w:tcBorders>
              <w:tl2br w:val="nil"/>
              <w:tr2bl w:val="nil"/>
            </w:tcBorders>
            <w:shd w:val="clear" w:color="auto" w:fill="auto"/>
            <w:noWrap w:val="0"/>
            <w:vAlign w:val="center"/>
          </w:tcPr>
          <w:p w14:paraId="19C2CE19">
            <w:pPr>
              <w:adjustRightInd w:val="0"/>
              <w:snapToGrid w:val="0"/>
              <w:jc w:val="center"/>
              <w:rPr>
                <w:rFonts w:hint="eastAsia"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三面围挡集气罩+</w:t>
            </w:r>
            <w:r>
              <w:rPr>
                <w:rFonts w:hint="eastAsia" w:ascii="Times New Roman" w:hAnsi="Times New Roman" w:cs="Times New Roman" w:eastAsiaTheme="minorEastAsia"/>
                <w:color w:val="auto"/>
                <w:sz w:val="24"/>
                <w:szCs w:val="24"/>
                <w:highlight w:val="none"/>
                <w:lang w:val="en-US" w:eastAsia="zh-CN"/>
              </w:rPr>
              <w:t>1套</w:t>
            </w:r>
            <w:r>
              <w:rPr>
                <w:rFonts w:hint="default" w:ascii="Times New Roman" w:hAnsi="Times New Roman" w:cs="Times New Roman" w:eastAsiaTheme="minorEastAsia"/>
                <w:color w:val="auto"/>
                <w:sz w:val="24"/>
                <w:szCs w:val="24"/>
                <w:highlight w:val="none"/>
              </w:rPr>
              <w:t>布袋除尘器</w:t>
            </w:r>
            <w:r>
              <w:rPr>
                <w:rFonts w:hint="eastAsia" w:ascii="Times New Roman" w:hAnsi="Times New Roman" w:cs="Times New Roman" w:eastAsiaTheme="minorEastAsia"/>
                <w:color w:val="auto"/>
                <w:sz w:val="24"/>
                <w:szCs w:val="24"/>
                <w:highlight w:val="none"/>
                <w:lang w:val="en-US" w:eastAsia="zh-CN"/>
              </w:rPr>
              <w:t>+23m高排气筒</w:t>
            </w:r>
          </w:p>
        </w:tc>
        <w:tc>
          <w:tcPr>
            <w:tcW w:w="1308" w:type="pct"/>
            <w:vMerge w:val="continue"/>
            <w:tcBorders>
              <w:tl2br w:val="nil"/>
              <w:tr2bl w:val="nil"/>
            </w:tcBorders>
            <w:noWrap w:val="0"/>
            <w:vAlign w:val="center"/>
          </w:tcPr>
          <w:p w14:paraId="4E2575A9">
            <w:pPr>
              <w:adjustRightInd w:val="0"/>
              <w:snapToGrid w:val="0"/>
              <w:rPr>
                <w:rFonts w:hint="default" w:ascii="Times New Roman" w:hAnsi="Times New Roman" w:cs="Times New Roman" w:eastAsiaTheme="minorEastAsia"/>
                <w:color w:val="auto"/>
                <w:sz w:val="24"/>
                <w:szCs w:val="24"/>
                <w:highlight w:val="none"/>
              </w:rPr>
            </w:pPr>
          </w:p>
        </w:tc>
      </w:tr>
      <w:tr w14:paraId="49E2E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869" w:type="pct"/>
            <w:tcBorders>
              <w:tl2br w:val="nil"/>
              <w:tr2bl w:val="nil"/>
            </w:tcBorders>
            <w:noWrap w:val="0"/>
            <w:vAlign w:val="center"/>
          </w:tcPr>
          <w:p w14:paraId="7EFB1A01">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地表水环境</w:t>
            </w:r>
          </w:p>
        </w:tc>
        <w:tc>
          <w:tcPr>
            <w:tcW w:w="581" w:type="pct"/>
            <w:tcBorders>
              <w:tl2br w:val="nil"/>
              <w:tr2bl w:val="nil"/>
            </w:tcBorders>
            <w:noWrap w:val="0"/>
            <w:vAlign w:val="center"/>
          </w:tcPr>
          <w:p w14:paraId="10AEC74D">
            <w:pPr>
              <w:adjustRightInd w:val="0"/>
              <w:snapToGrid w:val="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实验室废水</w:t>
            </w:r>
          </w:p>
        </w:tc>
        <w:tc>
          <w:tcPr>
            <w:tcW w:w="1120" w:type="pct"/>
            <w:tcBorders>
              <w:tl2br w:val="nil"/>
              <w:tr2bl w:val="nil"/>
            </w:tcBorders>
            <w:noWrap w:val="0"/>
            <w:vAlign w:val="center"/>
          </w:tcPr>
          <w:p w14:paraId="0A3268E4">
            <w:pPr>
              <w:pStyle w:val="90"/>
              <w:spacing w:line="240" w:lineRule="auto"/>
              <w:ind w:firstLine="0" w:firstLineChars="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pH、COD、</w:t>
            </w:r>
          </w:p>
          <w:p w14:paraId="244C0D7B">
            <w:pPr>
              <w:pStyle w:val="90"/>
              <w:spacing w:line="240" w:lineRule="auto"/>
              <w:ind w:firstLine="0" w:firstLineChars="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BOD</w:t>
            </w:r>
            <w:r>
              <w:rPr>
                <w:rFonts w:hint="default" w:ascii="Times New Roman" w:hAnsi="Times New Roman" w:cs="Times New Roman" w:eastAsiaTheme="minorEastAsia"/>
                <w:color w:val="auto"/>
                <w:sz w:val="24"/>
                <w:szCs w:val="24"/>
                <w:highlight w:val="none"/>
                <w:vertAlign w:val="subscript"/>
                <w:lang w:val="en-US" w:eastAsia="zh-CN"/>
              </w:rPr>
              <w:t>5</w:t>
            </w:r>
            <w:r>
              <w:rPr>
                <w:rFonts w:hint="default" w:ascii="Times New Roman" w:hAnsi="Times New Roman" w:cs="Times New Roman" w:eastAsiaTheme="minorEastAsia"/>
                <w:color w:val="auto"/>
                <w:sz w:val="24"/>
                <w:szCs w:val="24"/>
                <w:highlight w:val="none"/>
                <w:lang w:val="en-US" w:eastAsia="zh-CN"/>
              </w:rPr>
              <w:t>、NH</w:t>
            </w:r>
            <w:r>
              <w:rPr>
                <w:rFonts w:hint="default" w:ascii="Times New Roman" w:hAnsi="Times New Roman" w:cs="Times New Roman" w:eastAsiaTheme="minorEastAsia"/>
                <w:color w:val="auto"/>
                <w:sz w:val="24"/>
                <w:szCs w:val="24"/>
                <w:highlight w:val="none"/>
                <w:vertAlign w:val="subscript"/>
                <w:lang w:val="en-US" w:eastAsia="zh-CN"/>
              </w:rPr>
              <w:t>3</w:t>
            </w:r>
            <w:r>
              <w:rPr>
                <w:rFonts w:hint="default" w:ascii="Times New Roman" w:hAnsi="Times New Roman" w:cs="Times New Roman" w:eastAsiaTheme="minorEastAsia"/>
                <w:color w:val="auto"/>
                <w:sz w:val="24"/>
                <w:szCs w:val="24"/>
                <w:highlight w:val="none"/>
                <w:lang w:val="en-US" w:eastAsia="zh-CN"/>
              </w:rPr>
              <w:t>-N、</w:t>
            </w:r>
          </w:p>
          <w:p w14:paraId="5359713E">
            <w:pPr>
              <w:pStyle w:val="90"/>
              <w:spacing w:line="240" w:lineRule="auto"/>
              <w:ind w:firstLine="0" w:firstLineChars="0"/>
              <w:jc w:val="center"/>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SS、TP、TN等</w:t>
            </w:r>
          </w:p>
        </w:tc>
        <w:tc>
          <w:tcPr>
            <w:tcW w:w="1120" w:type="pct"/>
            <w:tcBorders>
              <w:tl2br w:val="nil"/>
              <w:tr2bl w:val="nil"/>
            </w:tcBorders>
            <w:noWrap w:val="0"/>
            <w:vAlign w:val="center"/>
          </w:tcPr>
          <w:p w14:paraId="64CA57AD">
            <w:pPr>
              <w:adjustRightInd w:val="0"/>
              <w:snapToGrid w:val="0"/>
              <w:jc w:val="center"/>
              <w:rPr>
                <w:rFonts w:hint="default"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color w:val="auto"/>
                <w:sz w:val="24"/>
                <w:szCs w:val="24"/>
                <w:highlight w:val="none"/>
                <w:lang w:val="en-US" w:eastAsia="zh-CN"/>
              </w:rPr>
              <w:t>依托企业现有</w:t>
            </w:r>
            <w:r>
              <w:rPr>
                <w:rFonts w:hint="default" w:ascii="Times New Roman" w:hAnsi="Times New Roman" w:cs="Times New Roman" w:eastAsiaTheme="minorEastAsia"/>
                <w:color w:val="auto"/>
                <w:sz w:val="24"/>
                <w:szCs w:val="24"/>
                <w:highlight w:val="none"/>
              </w:rPr>
              <w:t>酸碱中和</w:t>
            </w:r>
            <w:r>
              <w:rPr>
                <w:rFonts w:hint="default" w:ascii="Times New Roman" w:hAnsi="Times New Roman" w:cs="Times New Roman" w:eastAsiaTheme="minorEastAsia"/>
                <w:color w:val="auto"/>
                <w:sz w:val="24"/>
                <w:szCs w:val="24"/>
                <w:highlight w:val="none"/>
                <w:lang w:val="en-US" w:eastAsia="zh-CN"/>
              </w:rPr>
              <w:t>+混凝沉淀</w:t>
            </w:r>
            <w:r>
              <w:rPr>
                <w:rFonts w:hint="default" w:ascii="Times New Roman" w:hAnsi="Times New Roman" w:cs="Times New Roman" w:eastAsiaTheme="minorEastAsia"/>
                <w:color w:val="auto"/>
                <w:sz w:val="24"/>
                <w:szCs w:val="24"/>
                <w:highlight w:val="none"/>
              </w:rPr>
              <w:t>池预处理</w:t>
            </w:r>
            <w:r>
              <w:rPr>
                <w:rFonts w:hint="default" w:ascii="Times New Roman" w:hAnsi="Times New Roman" w:cs="Times New Roman" w:eastAsiaTheme="minorEastAsia"/>
                <w:color w:val="auto"/>
                <w:sz w:val="24"/>
                <w:szCs w:val="24"/>
                <w:highlight w:val="none"/>
                <w:lang w:val="en-US" w:eastAsia="zh-CN"/>
              </w:rPr>
              <w:t>系统处理</w:t>
            </w:r>
            <w:r>
              <w:rPr>
                <w:rFonts w:hint="default" w:ascii="Times New Roman" w:hAnsi="Times New Roman" w:cs="Times New Roman" w:eastAsiaTheme="minorEastAsia"/>
                <w:color w:val="auto"/>
                <w:sz w:val="24"/>
                <w:szCs w:val="24"/>
                <w:highlight w:val="none"/>
              </w:rPr>
              <w:t>后，与生活污水一并</w:t>
            </w:r>
            <w:r>
              <w:rPr>
                <w:rFonts w:hint="default" w:ascii="Times New Roman" w:hAnsi="Times New Roman" w:cs="Times New Roman" w:eastAsiaTheme="minorEastAsia"/>
                <w:color w:val="auto"/>
                <w:sz w:val="24"/>
                <w:szCs w:val="24"/>
                <w:highlight w:val="none"/>
                <w:lang w:val="en-US" w:eastAsia="zh-CN"/>
              </w:rPr>
              <w:t>进入化粪池</w:t>
            </w:r>
            <w:r>
              <w:rPr>
                <w:rFonts w:hint="default" w:ascii="Times New Roman" w:hAnsi="Times New Roman" w:cs="Times New Roman" w:eastAsiaTheme="minorEastAsia"/>
                <w:color w:val="auto"/>
                <w:sz w:val="24"/>
                <w:szCs w:val="24"/>
                <w:highlight w:val="none"/>
              </w:rPr>
              <w:t>处理</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lang w:val="en-US" w:eastAsia="zh-CN"/>
              </w:rPr>
              <w:t>经过市政管网系统，进入</w:t>
            </w:r>
            <w:r>
              <w:rPr>
                <w:rFonts w:hint="default" w:ascii="Times New Roman" w:hAnsi="Times New Roman" w:cs="Times New Roman" w:eastAsiaTheme="minorEastAsia"/>
                <w:color w:val="auto"/>
                <w:spacing w:val="4"/>
                <w:sz w:val="24"/>
                <w:szCs w:val="24"/>
                <w:highlight w:val="none"/>
                <w:lang w:val="en-US" w:eastAsia="zh-CN"/>
              </w:rPr>
              <w:t>沣东南污水处理厂</w:t>
            </w:r>
          </w:p>
        </w:tc>
        <w:tc>
          <w:tcPr>
            <w:tcW w:w="1308" w:type="pct"/>
            <w:tcBorders>
              <w:tl2br w:val="nil"/>
              <w:tr2bl w:val="nil"/>
            </w:tcBorders>
            <w:noWrap w:val="0"/>
            <w:vAlign w:val="center"/>
          </w:tcPr>
          <w:p w14:paraId="6AD7BB13">
            <w:pPr>
              <w:pStyle w:val="9"/>
              <w:spacing w:after="0"/>
              <w:ind w:left="0" w:leftChars="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《污水综合排放标准》（GB8978-1996）三级标准和《污水排入城镇下水道水质标准》（GB/T 31962-2015）中</w:t>
            </w:r>
            <w:r>
              <w:rPr>
                <w:rFonts w:hint="default"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级标准</w:t>
            </w:r>
          </w:p>
        </w:tc>
      </w:tr>
      <w:tr w14:paraId="7C1B7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nil"/>
              <w:tr2bl w:val="nil"/>
            </w:tcBorders>
            <w:noWrap w:val="0"/>
            <w:vAlign w:val="center"/>
          </w:tcPr>
          <w:p w14:paraId="4F2AC3F8">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声环境</w:t>
            </w:r>
          </w:p>
        </w:tc>
        <w:tc>
          <w:tcPr>
            <w:tcW w:w="581" w:type="pct"/>
            <w:tcBorders>
              <w:tl2br w:val="nil"/>
              <w:tr2bl w:val="nil"/>
            </w:tcBorders>
            <w:noWrap w:val="0"/>
            <w:vAlign w:val="center"/>
          </w:tcPr>
          <w:p w14:paraId="5D26106C">
            <w:pPr>
              <w:tabs>
                <w:tab w:val="left" w:pos="8280"/>
              </w:tabs>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snapToGrid w:val="0"/>
                <w:color w:val="auto"/>
                <w:kern w:val="0"/>
                <w:sz w:val="24"/>
                <w:szCs w:val="24"/>
                <w:highlight w:val="none"/>
              </w:rPr>
              <w:t>机械设备噪声</w:t>
            </w:r>
          </w:p>
        </w:tc>
        <w:tc>
          <w:tcPr>
            <w:tcW w:w="1120" w:type="pct"/>
            <w:tcBorders>
              <w:tl2br w:val="nil"/>
              <w:tr2bl w:val="nil"/>
            </w:tcBorders>
            <w:noWrap w:val="0"/>
            <w:vAlign w:val="center"/>
          </w:tcPr>
          <w:p w14:paraId="5CC9B836">
            <w:pPr>
              <w:tabs>
                <w:tab w:val="left" w:pos="8280"/>
              </w:tabs>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snapToGrid w:val="0"/>
                <w:color w:val="auto"/>
                <w:kern w:val="0"/>
                <w:sz w:val="24"/>
                <w:szCs w:val="24"/>
                <w:highlight w:val="none"/>
              </w:rPr>
              <w:t>噪声</w:t>
            </w:r>
          </w:p>
        </w:tc>
        <w:tc>
          <w:tcPr>
            <w:tcW w:w="1120" w:type="pct"/>
            <w:tcBorders>
              <w:tl2br w:val="nil"/>
              <w:tr2bl w:val="nil"/>
            </w:tcBorders>
            <w:noWrap w:val="0"/>
            <w:vAlign w:val="center"/>
          </w:tcPr>
          <w:p w14:paraId="579D1A1D">
            <w:pPr>
              <w:tabs>
                <w:tab w:val="left" w:pos="8280"/>
              </w:tabs>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snapToGrid w:val="0"/>
                <w:color w:val="auto"/>
                <w:kern w:val="0"/>
                <w:sz w:val="24"/>
                <w:szCs w:val="24"/>
                <w:highlight w:val="none"/>
              </w:rPr>
              <w:t>低噪声设备、基础减振、厂房隔声、合理布局等</w:t>
            </w:r>
          </w:p>
        </w:tc>
        <w:tc>
          <w:tcPr>
            <w:tcW w:w="1308" w:type="pct"/>
            <w:tcBorders>
              <w:tl2br w:val="nil"/>
              <w:tr2bl w:val="nil"/>
            </w:tcBorders>
            <w:noWrap w:val="0"/>
            <w:vAlign w:val="center"/>
          </w:tcPr>
          <w:p w14:paraId="4E587781">
            <w:pPr>
              <w:spacing w:line="240" w:lineRule="exact"/>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snapToGrid w:val="0"/>
                <w:color w:val="auto"/>
                <w:kern w:val="0"/>
                <w:sz w:val="24"/>
                <w:szCs w:val="24"/>
                <w:highlight w:val="none"/>
              </w:rPr>
              <w:t>《工业企业厂界环境噪声排放标准》（GB12348-2008）</w:t>
            </w:r>
            <w:r>
              <w:rPr>
                <w:rFonts w:hint="default" w:ascii="Times New Roman" w:hAnsi="Times New Roman" w:cs="Times New Roman" w:eastAsiaTheme="minorEastAsia"/>
                <w:snapToGrid w:val="0"/>
                <w:color w:val="auto"/>
                <w:kern w:val="0"/>
                <w:sz w:val="24"/>
                <w:szCs w:val="24"/>
                <w:highlight w:val="none"/>
                <w:lang w:val="en-US" w:eastAsia="zh-CN"/>
              </w:rPr>
              <w:t>2</w:t>
            </w:r>
            <w:r>
              <w:rPr>
                <w:rFonts w:hint="default" w:ascii="Times New Roman" w:hAnsi="Times New Roman" w:cs="Times New Roman" w:eastAsiaTheme="minorEastAsia"/>
                <w:snapToGrid w:val="0"/>
                <w:color w:val="auto"/>
                <w:kern w:val="0"/>
                <w:sz w:val="24"/>
                <w:szCs w:val="24"/>
                <w:highlight w:val="none"/>
              </w:rPr>
              <w:t>类</w:t>
            </w:r>
            <w:r>
              <w:rPr>
                <w:rFonts w:hint="default" w:ascii="Times New Roman" w:hAnsi="Times New Roman" w:cs="Times New Roman" w:eastAsiaTheme="minorEastAsia"/>
                <w:snapToGrid w:val="0"/>
                <w:color w:val="auto"/>
                <w:kern w:val="0"/>
                <w:sz w:val="24"/>
                <w:szCs w:val="24"/>
                <w:highlight w:val="none"/>
                <w:lang w:eastAsia="zh-CN"/>
              </w:rPr>
              <w:t>、</w:t>
            </w:r>
            <w:r>
              <w:rPr>
                <w:rFonts w:hint="default" w:ascii="Times New Roman" w:hAnsi="Times New Roman" w:cs="Times New Roman" w:eastAsiaTheme="minorEastAsia"/>
                <w:snapToGrid w:val="0"/>
                <w:color w:val="auto"/>
                <w:kern w:val="0"/>
                <w:sz w:val="24"/>
                <w:szCs w:val="24"/>
                <w:highlight w:val="none"/>
                <w:lang w:val="en-US" w:eastAsia="zh-CN"/>
              </w:rPr>
              <w:t>4类（西厂界）</w:t>
            </w:r>
            <w:r>
              <w:rPr>
                <w:rFonts w:hint="default" w:ascii="Times New Roman" w:hAnsi="Times New Roman" w:cs="Times New Roman" w:eastAsiaTheme="minorEastAsia"/>
                <w:snapToGrid w:val="0"/>
                <w:color w:val="auto"/>
                <w:kern w:val="0"/>
                <w:sz w:val="24"/>
                <w:szCs w:val="24"/>
                <w:highlight w:val="none"/>
              </w:rPr>
              <w:t>标准</w:t>
            </w:r>
          </w:p>
        </w:tc>
      </w:tr>
      <w:tr w14:paraId="32D755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869" w:type="pct"/>
            <w:tcBorders>
              <w:tl2br w:val="nil"/>
              <w:tr2bl w:val="nil"/>
            </w:tcBorders>
            <w:shd w:val="clear" w:color="auto" w:fill="auto"/>
            <w:noWrap w:val="0"/>
            <w:vAlign w:val="center"/>
          </w:tcPr>
          <w:p w14:paraId="1B64D3D7">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rPr>
              <w:t>电磁辐射</w:t>
            </w:r>
          </w:p>
        </w:tc>
        <w:tc>
          <w:tcPr>
            <w:tcW w:w="581" w:type="pct"/>
            <w:tcBorders>
              <w:tl2br w:val="nil"/>
              <w:tr2bl w:val="nil"/>
            </w:tcBorders>
            <w:shd w:val="clear" w:color="auto" w:fill="auto"/>
            <w:noWrap w:val="0"/>
            <w:vAlign w:val="center"/>
          </w:tcPr>
          <w:p w14:paraId="188F2E4D">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w:t>
            </w:r>
          </w:p>
        </w:tc>
        <w:tc>
          <w:tcPr>
            <w:tcW w:w="1120" w:type="pct"/>
            <w:tcBorders>
              <w:tl2br w:val="nil"/>
              <w:tr2bl w:val="nil"/>
            </w:tcBorders>
            <w:shd w:val="clear" w:color="auto" w:fill="auto"/>
            <w:noWrap w:val="0"/>
            <w:vAlign w:val="center"/>
          </w:tcPr>
          <w:p w14:paraId="7472ACCE">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w:t>
            </w:r>
          </w:p>
        </w:tc>
        <w:tc>
          <w:tcPr>
            <w:tcW w:w="1120" w:type="pct"/>
            <w:tcBorders>
              <w:tl2br w:val="nil"/>
              <w:tr2bl w:val="nil"/>
            </w:tcBorders>
            <w:shd w:val="clear" w:color="auto" w:fill="auto"/>
            <w:noWrap w:val="0"/>
            <w:vAlign w:val="center"/>
          </w:tcPr>
          <w:p w14:paraId="7C80B234">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w:t>
            </w:r>
          </w:p>
        </w:tc>
        <w:tc>
          <w:tcPr>
            <w:tcW w:w="1308" w:type="pct"/>
            <w:tcBorders>
              <w:tl2br w:val="nil"/>
              <w:tr2bl w:val="nil"/>
            </w:tcBorders>
            <w:shd w:val="clear" w:color="auto" w:fill="auto"/>
            <w:noWrap w:val="0"/>
            <w:vAlign w:val="center"/>
          </w:tcPr>
          <w:p w14:paraId="09BB312A">
            <w:pPr>
              <w:adjustRightInd w:val="0"/>
              <w:snapToGrid w:val="0"/>
              <w:jc w:val="center"/>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sz w:val="24"/>
                <w:szCs w:val="24"/>
                <w:highlight w:val="none"/>
                <w:lang w:val="en-US" w:eastAsia="zh-CN"/>
              </w:rPr>
              <w:t>/</w:t>
            </w:r>
          </w:p>
        </w:tc>
      </w:tr>
      <w:tr w14:paraId="32EFE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vMerge w:val="restart"/>
            <w:tcBorders>
              <w:tl2br w:val="nil"/>
              <w:tr2bl w:val="nil"/>
            </w:tcBorders>
            <w:noWrap w:val="0"/>
            <w:vAlign w:val="center"/>
          </w:tcPr>
          <w:p w14:paraId="70B88B4A">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固体废物</w:t>
            </w:r>
          </w:p>
        </w:tc>
        <w:tc>
          <w:tcPr>
            <w:tcW w:w="581" w:type="pct"/>
            <w:tcBorders>
              <w:tl2br w:val="nil"/>
              <w:tr2bl w:val="nil"/>
            </w:tcBorders>
            <w:noWrap w:val="0"/>
            <w:vAlign w:val="center"/>
          </w:tcPr>
          <w:p w14:paraId="76DF1657">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一般工业固体废物</w:t>
            </w:r>
          </w:p>
        </w:tc>
        <w:tc>
          <w:tcPr>
            <w:tcW w:w="1120" w:type="pct"/>
            <w:tcBorders>
              <w:tl2br w:val="nil"/>
              <w:tr2bl w:val="nil"/>
            </w:tcBorders>
            <w:noWrap w:val="0"/>
            <w:vAlign w:val="center"/>
          </w:tcPr>
          <w:p w14:paraId="11993094">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废样品、废纸屑及未被污染的废包装材料、收尘灰、废滤芯、灭菌后的废培养皿</w:t>
            </w:r>
            <w:r>
              <w:rPr>
                <w:rFonts w:hint="eastAsia"/>
                <w:color w:val="auto"/>
                <w:sz w:val="24"/>
                <w:highlight w:val="none"/>
                <w:lang w:val="en-US" w:eastAsia="zh-CN"/>
              </w:rPr>
              <w:t>、污泥</w:t>
            </w:r>
          </w:p>
        </w:tc>
        <w:tc>
          <w:tcPr>
            <w:tcW w:w="1120" w:type="pct"/>
            <w:tcBorders>
              <w:tl2br w:val="nil"/>
              <w:tr2bl w:val="nil"/>
            </w:tcBorders>
            <w:noWrap w:val="0"/>
            <w:vAlign w:val="center"/>
          </w:tcPr>
          <w:p w14:paraId="29AC0DBC">
            <w:pPr>
              <w:adjustRightInd w:val="0"/>
              <w:snapToGrid w:val="0"/>
              <w:jc w:val="center"/>
              <w:rPr>
                <w:rFonts w:hint="default" w:ascii="Times New Roman" w:hAnsi="Times New Roman" w:cs="Times New Roman" w:eastAsiaTheme="minorEastAsia"/>
                <w:color w:val="auto"/>
                <w:sz w:val="24"/>
                <w:szCs w:val="24"/>
                <w:highlight w:val="none"/>
              </w:rPr>
            </w:pPr>
            <w:r>
              <w:rPr>
                <w:rFonts w:hint="eastAsia" w:ascii="Times New Roman" w:hAnsi="Times New Roman" w:cs="Times New Roman" w:eastAsiaTheme="minorEastAsia"/>
                <w:color w:val="auto"/>
                <w:sz w:val="24"/>
                <w:szCs w:val="24"/>
                <w:highlight w:val="none"/>
                <w:lang w:val="en-US" w:eastAsia="zh-CN"/>
              </w:rPr>
              <w:t>厂区分类暂存后，定期委托</w:t>
            </w:r>
            <w:r>
              <w:rPr>
                <w:rFonts w:hint="default" w:ascii="Times New Roman" w:hAnsi="Times New Roman" w:cs="Times New Roman" w:eastAsiaTheme="minorEastAsia"/>
                <w:color w:val="auto"/>
                <w:sz w:val="24"/>
                <w:szCs w:val="24"/>
                <w:highlight w:val="none"/>
              </w:rPr>
              <w:t>处理</w:t>
            </w:r>
          </w:p>
        </w:tc>
        <w:tc>
          <w:tcPr>
            <w:tcW w:w="1308" w:type="pct"/>
            <w:vMerge w:val="restart"/>
            <w:tcBorders>
              <w:tl2br w:val="nil"/>
              <w:tr2bl w:val="nil"/>
            </w:tcBorders>
            <w:noWrap w:val="0"/>
            <w:vAlign w:val="center"/>
          </w:tcPr>
          <w:p w14:paraId="71E34919">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处置率100%</w:t>
            </w:r>
          </w:p>
        </w:tc>
      </w:tr>
      <w:tr w14:paraId="407E2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vMerge w:val="continue"/>
            <w:tcBorders>
              <w:tl2br w:val="nil"/>
              <w:tr2bl w:val="nil"/>
            </w:tcBorders>
            <w:noWrap w:val="0"/>
            <w:vAlign w:val="center"/>
          </w:tcPr>
          <w:p w14:paraId="1180260D">
            <w:pPr>
              <w:adjustRightInd w:val="0"/>
              <w:snapToGrid w:val="0"/>
              <w:spacing w:line="360" w:lineRule="auto"/>
              <w:ind w:firstLine="480" w:firstLineChars="200"/>
              <w:rPr>
                <w:rFonts w:hint="default" w:ascii="Times New Roman" w:hAnsi="Times New Roman" w:cs="Times New Roman" w:eastAsiaTheme="minorEastAsia"/>
                <w:color w:val="auto"/>
                <w:sz w:val="24"/>
                <w:szCs w:val="24"/>
                <w:highlight w:val="none"/>
              </w:rPr>
            </w:pPr>
          </w:p>
        </w:tc>
        <w:tc>
          <w:tcPr>
            <w:tcW w:w="581" w:type="pct"/>
            <w:tcBorders>
              <w:tl2br w:val="nil"/>
              <w:tr2bl w:val="nil"/>
            </w:tcBorders>
            <w:noWrap w:val="0"/>
            <w:vAlign w:val="center"/>
          </w:tcPr>
          <w:p w14:paraId="3379B6F7">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危险废物</w:t>
            </w:r>
          </w:p>
        </w:tc>
        <w:tc>
          <w:tcPr>
            <w:tcW w:w="1120" w:type="pct"/>
            <w:tcBorders>
              <w:tl2br w:val="nil"/>
              <w:tr2bl w:val="nil"/>
            </w:tcBorders>
            <w:noWrap w:val="0"/>
            <w:vAlign w:val="center"/>
          </w:tcPr>
          <w:p w14:paraId="7CD8E842">
            <w:pPr>
              <w:adjustRightInd w:val="0"/>
              <w:snapToGrid w:val="0"/>
              <w:jc w:val="center"/>
              <w:rPr>
                <w:rFonts w:hint="default" w:ascii="Times New Roman" w:hAnsi="Times New Roman" w:cs="Times New Roman" w:eastAsiaTheme="minorEastAsia"/>
                <w:color w:val="auto"/>
                <w:sz w:val="24"/>
                <w:szCs w:val="24"/>
                <w:highlight w:val="none"/>
                <w:lang w:val="en-US"/>
              </w:rPr>
            </w:pPr>
            <w:r>
              <w:rPr>
                <w:rFonts w:hint="default" w:ascii="Times New Roman" w:hAnsi="Times New Roman" w:cs="Times New Roman" w:eastAsiaTheme="minorEastAsia"/>
                <w:color w:val="auto"/>
                <w:sz w:val="24"/>
                <w:szCs w:val="24"/>
                <w:highlight w:val="none"/>
                <w:lang w:val="en-US" w:eastAsia="zh-CN"/>
              </w:rPr>
              <w:t>实验室废液、废试剂包装物等沾染物、废活性炭</w:t>
            </w:r>
            <w:r>
              <w:rPr>
                <w:rFonts w:hint="eastAsia" w:ascii="Times New Roman" w:hAnsi="Times New Roman" w:cs="Times New Roman" w:eastAsiaTheme="minorEastAsia"/>
                <w:color w:val="auto"/>
                <w:sz w:val="24"/>
                <w:szCs w:val="24"/>
                <w:highlight w:val="none"/>
                <w:lang w:val="en-US" w:eastAsia="zh-CN"/>
              </w:rPr>
              <w:t>、</w:t>
            </w:r>
            <w:r>
              <w:rPr>
                <w:rFonts w:hint="eastAsia"/>
                <w:color w:val="auto"/>
                <w:sz w:val="24"/>
                <w:highlight w:val="none"/>
                <w:lang w:val="en-US" w:eastAsia="zh-CN"/>
              </w:rPr>
              <w:t>废试剂、废过滤介质</w:t>
            </w:r>
          </w:p>
        </w:tc>
        <w:tc>
          <w:tcPr>
            <w:tcW w:w="1120" w:type="pct"/>
            <w:tcBorders>
              <w:tl2br w:val="nil"/>
              <w:tr2bl w:val="nil"/>
            </w:tcBorders>
            <w:noWrap w:val="0"/>
            <w:vAlign w:val="center"/>
          </w:tcPr>
          <w:p w14:paraId="470B2BEF">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暂存于危废贮存库，定期交由有资质单位处置</w:t>
            </w:r>
          </w:p>
        </w:tc>
        <w:tc>
          <w:tcPr>
            <w:tcW w:w="1308" w:type="pct"/>
            <w:vMerge w:val="continue"/>
            <w:tcBorders>
              <w:tl2br w:val="nil"/>
              <w:tr2bl w:val="nil"/>
            </w:tcBorders>
            <w:noWrap w:val="0"/>
            <w:vAlign w:val="center"/>
          </w:tcPr>
          <w:p w14:paraId="20CA4EF4">
            <w:pPr>
              <w:adjustRightInd w:val="0"/>
              <w:snapToGrid w:val="0"/>
              <w:ind w:firstLine="480" w:firstLineChars="200"/>
              <w:jc w:val="center"/>
              <w:rPr>
                <w:rFonts w:hint="default" w:ascii="Times New Roman" w:hAnsi="Times New Roman" w:cs="Times New Roman" w:eastAsiaTheme="minorEastAsia"/>
                <w:color w:val="auto"/>
                <w:sz w:val="24"/>
                <w:szCs w:val="24"/>
                <w:highlight w:val="none"/>
              </w:rPr>
            </w:pPr>
          </w:p>
        </w:tc>
      </w:tr>
      <w:tr w14:paraId="0DB560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nil"/>
              <w:tr2bl w:val="nil"/>
            </w:tcBorders>
            <w:noWrap w:val="0"/>
            <w:vAlign w:val="center"/>
          </w:tcPr>
          <w:p w14:paraId="7559F9A1">
            <w:pPr>
              <w:adjustRightInd w:val="0"/>
              <w:snapToGrid w:val="0"/>
              <w:jc w:val="center"/>
              <w:rPr>
                <w:rFonts w:hint="default" w:ascii="Times New Roman" w:hAnsi="Times New Roman" w:cs="Times New Roman" w:eastAsiaTheme="minorEastAsia"/>
                <w:color w:val="auto"/>
                <w:sz w:val="24"/>
                <w:szCs w:val="24"/>
                <w:highlight w:val="none"/>
              </w:rPr>
            </w:pPr>
            <w:r>
              <w:rPr>
                <w:rFonts w:hint="eastAsia" w:ascii="Times New Roman" w:hAnsi="Times New Roman" w:cs="Times New Roman" w:eastAsiaTheme="minorEastAsia"/>
                <w:color w:val="auto"/>
                <w:sz w:val="24"/>
                <w:szCs w:val="24"/>
                <w:highlight w:val="none"/>
              </w:rPr>
              <w:t>土壤及地下水污染防治措施</w:t>
            </w:r>
          </w:p>
        </w:tc>
        <w:tc>
          <w:tcPr>
            <w:tcW w:w="4130" w:type="pct"/>
            <w:gridSpan w:val="4"/>
            <w:tcBorders>
              <w:tl2br w:val="nil"/>
              <w:tr2bl w:val="nil"/>
            </w:tcBorders>
            <w:noWrap w:val="0"/>
            <w:vAlign w:val="center"/>
          </w:tcPr>
          <w:p w14:paraId="5A9C6F66">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项目固废贮存应防风防雨，避免雨水淋漓，一般固废设置定点收集区域，危险废物用专用容器贮存后暂存在危废贮存库内，危废贮存库按照重点防渗区要求进行防渗，实验区域按照普通防渗区要求进行防渗，避免发生垂直入渗。</w:t>
            </w:r>
          </w:p>
        </w:tc>
      </w:tr>
      <w:tr w14:paraId="014D63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nil"/>
              <w:tr2bl w:val="nil"/>
            </w:tcBorders>
            <w:noWrap w:val="0"/>
            <w:vAlign w:val="center"/>
          </w:tcPr>
          <w:p w14:paraId="08834767">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生态保护措施</w:t>
            </w:r>
          </w:p>
        </w:tc>
        <w:tc>
          <w:tcPr>
            <w:tcW w:w="4130" w:type="pct"/>
            <w:gridSpan w:val="4"/>
            <w:tcBorders>
              <w:tl2br w:val="nil"/>
              <w:tr2bl w:val="nil"/>
            </w:tcBorders>
            <w:noWrap w:val="0"/>
            <w:vAlign w:val="center"/>
          </w:tcPr>
          <w:p w14:paraId="55227201">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本项目位于已建好的科技综合楼B座内，只进行简单的设备安装及调试，对周围生态环境基本无影响。</w:t>
            </w:r>
          </w:p>
        </w:tc>
      </w:tr>
      <w:tr w14:paraId="6D637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nil"/>
              <w:tr2bl w:val="nil"/>
            </w:tcBorders>
            <w:noWrap w:val="0"/>
            <w:vAlign w:val="center"/>
          </w:tcPr>
          <w:p w14:paraId="607F3CD3">
            <w:pPr>
              <w:adjustRightInd w:val="0"/>
              <w:snapToGrid w:val="0"/>
              <w:jc w:val="center"/>
              <w:rPr>
                <w:rFonts w:hint="default" w:ascii="Times New Roman" w:hAnsi="Times New Roman" w:cs="Times New Roman" w:eastAsiaTheme="minorEastAsia"/>
                <w:color w:val="auto"/>
                <w:spacing w:val="-8"/>
                <w:sz w:val="24"/>
                <w:szCs w:val="24"/>
                <w:highlight w:val="none"/>
              </w:rPr>
            </w:pPr>
            <w:r>
              <w:rPr>
                <w:rFonts w:hint="default" w:ascii="Times New Roman" w:hAnsi="Times New Roman" w:cs="Times New Roman" w:eastAsiaTheme="minorEastAsia"/>
                <w:color w:val="auto"/>
                <w:spacing w:val="-8"/>
                <w:sz w:val="24"/>
                <w:szCs w:val="24"/>
                <w:highlight w:val="none"/>
              </w:rPr>
              <w:t>环境风险</w:t>
            </w:r>
          </w:p>
          <w:p w14:paraId="1AD415B3">
            <w:pPr>
              <w:adjustRightInd w:val="0"/>
              <w:snapToGrid w:val="0"/>
              <w:jc w:val="center"/>
              <w:rPr>
                <w:rFonts w:hint="default" w:ascii="Times New Roman" w:hAnsi="Times New Roman" w:cs="Times New Roman" w:eastAsiaTheme="minorEastAsia"/>
                <w:color w:val="auto"/>
                <w:spacing w:val="-8"/>
                <w:sz w:val="24"/>
                <w:szCs w:val="24"/>
                <w:highlight w:val="none"/>
              </w:rPr>
            </w:pPr>
            <w:r>
              <w:rPr>
                <w:rFonts w:hint="default" w:ascii="Times New Roman" w:hAnsi="Times New Roman" w:cs="Times New Roman" w:eastAsiaTheme="minorEastAsia"/>
                <w:color w:val="auto"/>
                <w:spacing w:val="-8"/>
                <w:sz w:val="24"/>
                <w:szCs w:val="24"/>
                <w:highlight w:val="none"/>
              </w:rPr>
              <w:t>防范措施</w:t>
            </w:r>
          </w:p>
        </w:tc>
        <w:tc>
          <w:tcPr>
            <w:tcW w:w="4130" w:type="pct"/>
            <w:gridSpan w:val="4"/>
            <w:tcBorders>
              <w:tl2br w:val="nil"/>
              <w:tr2bl w:val="nil"/>
            </w:tcBorders>
            <w:noWrap w:val="0"/>
            <w:vAlign w:val="center"/>
          </w:tcPr>
          <w:p w14:paraId="20E80CF7">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①原料从厂家运输和转运至本项目所在地的过程中，需由专人全程监控，转运过程由专用容器储存，并放置本项目指定地点储存，严禁随意搁置。</w:t>
            </w:r>
          </w:p>
          <w:p w14:paraId="5D0E47B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②本次评价要求试剂间、危废贮存库所在地面硬化，并采取重点防渗，设置围堰、托盘或其他防泄漏措施。其他试验区域地面需硬化防渗。</w:t>
            </w:r>
          </w:p>
          <w:p w14:paraId="2CD09823">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③试剂间、危废贮存库等风险区域应由专人管理，并有相应的防护和防盗措施。</w:t>
            </w:r>
          </w:p>
          <w:p w14:paraId="248FBEDA">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④试剂间、危废贮存库应远离火源、热源，保持容器密封，保持阴凉干燥，设有通风设施。</w:t>
            </w:r>
          </w:p>
          <w:p w14:paraId="436CAC2B">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⑤酸、碱、氧化物、强反应性物质等易发生反应的物质应分区存放，严禁混放，针对领用各类有毒有害试剂的人员应加强培训试剂的危险特性，避免误操作引发事故。</w:t>
            </w:r>
          </w:p>
          <w:p w14:paraId="15D0CEC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⑥建立健全安全、环境管理体系，制定严格的安全管理制度；</w:t>
            </w:r>
          </w:p>
          <w:p w14:paraId="6A64263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⑦编制应急救援预案，建立应急救援组织，定期进行预案演练。</w:t>
            </w:r>
          </w:p>
        </w:tc>
      </w:tr>
      <w:tr w14:paraId="1DFC7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9" w:type="pct"/>
            <w:tcBorders>
              <w:tl2br w:val="nil"/>
              <w:tr2bl w:val="nil"/>
            </w:tcBorders>
            <w:noWrap w:val="0"/>
            <w:vAlign w:val="center"/>
          </w:tcPr>
          <w:p w14:paraId="0643B787">
            <w:pPr>
              <w:adjustRightInd w:val="0"/>
              <w:snapToGrid w:val="0"/>
              <w:jc w:val="center"/>
              <w:rPr>
                <w:rFonts w:hint="default" w:ascii="Times New Roman" w:hAnsi="Times New Roman" w:cs="Times New Roman" w:eastAsiaTheme="minorEastAsia"/>
                <w:color w:val="auto"/>
                <w:spacing w:val="-8"/>
                <w:sz w:val="24"/>
                <w:szCs w:val="24"/>
                <w:highlight w:val="none"/>
              </w:rPr>
            </w:pPr>
            <w:r>
              <w:rPr>
                <w:rFonts w:hint="default" w:ascii="Times New Roman" w:hAnsi="Times New Roman" w:cs="Times New Roman" w:eastAsiaTheme="minorEastAsia"/>
                <w:color w:val="auto"/>
                <w:spacing w:val="-8"/>
                <w:sz w:val="24"/>
                <w:szCs w:val="24"/>
                <w:highlight w:val="none"/>
              </w:rPr>
              <w:t>其他环境</w:t>
            </w:r>
          </w:p>
          <w:p w14:paraId="4E5DE1C8">
            <w:pPr>
              <w:adjustRightInd w:val="0"/>
              <w:snapToGrid w:val="0"/>
              <w:jc w:val="center"/>
              <w:rPr>
                <w:rFonts w:hint="default" w:ascii="Times New Roman" w:hAnsi="Times New Roman" w:cs="Times New Roman" w:eastAsiaTheme="minorEastAsia"/>
                <w:color w:val="auto"/>
                <w:spacing w:val="-8"/>
                <w:sz w:val="24"/>
                <w:szCs w:val="24"/>
                <w:highlight w:val="none"/>
              </w:rPr>
            </w:pPr>
            <w:r>
              <w:rPr>
                <w:rFonts w:hint="default" w:ascii="Times New Roman" w:hAnsi="Times New Roman" w:cs="Times New Roman" w:eastAsiaTheme="minorEastAsia"/>
                <w:color w:val="auto"/>
                <w:spacing w:val="-8"/>
                <w:sz w:val="24"/>
                <w:szCs w:val="24"/>
                <w:highlight w:val="none"/>
              </w:rPr>
              <w:t>管理要求</w:t>
            </w:r>
          </w:p>
        </w:tc>
        <w:tc>
          <w:tcPr>
            <w:tcW w:w="4130" w:type="pct"/>
            <w:gridSpan w:val="4"/>
            <w:tcBorders>
              <w:tl2br w:val="nil"/>
              <w:tr2bl w:val="nil"/>
            </w:tcBorders>
            <w:noWrap w:val="0"/>
            <w:vAlign w:val="center"/>
          </w:tcPr>
          <w:p w14:paraId="1F3F4E6E">
            <w:pPr>
              <w:adjustRightInd w:val="0"/>
              <w:snapToGrid w:val="0"/>
              <w:spacing w:line="360" w:lineRule="auto"/>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1、环境管理制度：</w:t>
            </w:r>
          </w:p>
          <w:p w14:paraId="56380A03">
            <w:pPr>
              <w:adjustRightInd w:val="0"/>
              <w:snapToGrid w:val="0"/>
              <w:spacing w:line="360" w:lineRule="auto"/>
              <w:ind w:firstLine="480" w:firstLineChars="200"/>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加强环保设施的管理，由专人负责落实污(废)水、噪声、固废等的治理。建立岗位责任制和工作台账制度，对污染防治情况进行定时监测，及时掌握污染治理设施的运行情况，做好各污染物的达标排放工作。</w:t>
            </w:r>
          </w:p>
          <w:p w14:paraId="73BF20F8">
            <w:pPr>
              <w:adjustRightInd w:val="0"/>
              <w:snapToGrid w:val="0"/>
              <w:spacing w:line="360" w:lineRule="auto"/>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2、排污许可制度：</w:t>
            </w:r>
          </w:p>
          <w:p w14:paraId="3A6B6E20">
            <w:pPr>
              <w:adjustRightInd w:val="0"/>
              <w:snapToGrid w:val="0"/>
              <w:spacing w:line="360" w:lineRule="auto"/>
              <w:ind w:firstLine="480" w:firstLineChars="200"/>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根据《固定污染源排污许可分类管理名录（2019年版）》要求，企业应排污许可申报，并按照相关规定进行排污口规范化建设。</w:t>
            </w:r>
          </w:p>
          <w:p w14:paraId="6F6C0D29">
            <w:pPr>
              <w:adjustRightInd w:val="0"/>
              <w:snapToGrid w:val="0"/>
              <w:spacing w:line="360" w:lineRule="auto"/>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3、环境监测：</w:t>
            </w:r>
          </w:p>
          <w:p w14:paraId="0CD396C9">
            <w:pPr>
              <w:adjustRightInd w:val="0"/>
              <w:snapToGrid w:val="0"/>
              <w:spacing w:line="360" w:lineRule="auto"/>
              <w:ind w:firstLine="480" w:firstLineChars="200"/>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按照监测计划的频次和要求进行监测，并保留监测原始记录，每次数据应及时由专人整理、统计，如有异常，立即向上级有关部门通报，并做好监测资料的归档、备查工作，建议建设单位定期将监测数据上墙公示，接受公众监督。</w:t>
            </w:r>
          </w:p>
          <w:p w14:paraId="6A759703">
            <w:pPr>
              <w:adjustRightInd w:val="0"/>
              <w:snapToGrid w:val="0"/>
              <w:spacing w:line="360" w:lineRule="auto"/>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4、竣工验收</w:t>
            </w:r>
          </w:p>
          <w:p w14:paraId="1E3B8FCF">
            <w:pPr>
              <w:adjustRightInd w:val="0"/>
              <w:snapToGrid w:val="0"/>
              <w:spacing w:line="360" w:lineRule="auto"/>
              <w:ind w:firstLine="480" w:firstLineChars="200"/>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根据《建设项目竣工环境保护验收暂行办法》（国环规环评[2017]4号），建设单位自行验收。验收合格后，方可投入生产或者使用。</w:t>
            </w:r>
          </w:p>
          <w:p w14:paraId="1DA6A0FA">
            <w:pPr>
              <w:adjustRightInd w:val="0"/>
              <w:snapToGrid w:val="0"/>
              <w:spacing w:line="360" w:lineRule="auto"/>
              <w:jc w:val="left"/>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5、排污口规范化</w:t>
            </w:r>
          </w:p>
          <w:p w14:paraId="143F26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color w:val="auto"/>
                <w:sz w:val="24"/>
                <w:szCs w:val="24"/>
                <w:highlight w:val="none"/>
              </w:rPr>
              <w:t>建设单位应在各个排污口处树立标志牌，建立排污口管理的专门档案：排污口性质和编号，位置，排放主要污染物种类、数量、浓度，排放去向，达标情况，治理设施运行情况</w:t>
            </w:r>
            <w:r>
              <w:rPr>
                <w:rFonts w:hint="eastAsia" w:ascii="Times New Roman" w:hAnsi="Times New Roman" w:cs="Times New Roman" w:eastAsiaTheme="minorEastAsia"/>
                <w:color w:val="auto"/>
                <w:sz w:val="24"/>
                <w:szCs w:val="24"/>
                <w:highlight w:val="none"/>
                <w:lang w:eastAsia="zh-CN"/>
              </w:rPr>
              <w:t>。</w:t>
            </w:r>
          </w:p>
          <w:p w14:paraId="7E0D88DB">
            <w:pPr>
              <w:adjustRightInd w:val="0"/>
              <w:snapToGrid w:val="0"/>
              <w:spacing w:line="360" w:lineRule="auto"/>
              <w:jc w:val="left"/>
              <w:rPr>
                <w:rFonts w:hint="eastAsia" w:ascii="Times New Roman" w:hAnsi="Times New Roman" w:cs="Times New Roman" w:eastAsiaTheme="minorEastAsia"/>
                <w:color w:val="auto"/>
                <w:sz w:val="24"/>
                <w:szCs w:val="24"/>
                <w:highlight w:val="none"/>
                <w:lang w:eastAsia="zh-CN"/>
              </w:rPr>
            </w:pPr>
            <w:r>
              <w:rPr>
                <w:rFonts w:hint="eastAsia" w:ascii="Times New Roman" w:hAnsi="Times New Roman" w:cs="Times New Roman" w:eastAsiaTheme="minorEastAsia"/>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严格执行国家环境保护有关政策和法规</w:t>
            </w:r>
            <w:r>
              <w:rPr>
                <w:rFonts w:hint="eastAsia" w:ascii="Times New Roman" w:hAnsi="Times New Roman" w:cs="Times New Roman" w:eastAsiaTheme="minorEastAsia"/>
                <w:color w:val="auto"/>
                <w:sz w:val="24"/>
                <w:szCs w:val="24"/>
                <w:highlight w:val="none"/>
                <w:lang w:eastAsia="zh-CN"/>
              </w:rPr>
              <w:t>。</w:t>
            </w:r>
          </w:p>
          <w:p w14:paraId="7D84FBC9">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3B2FAFA6">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2041629B">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460DCB70">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01B47149">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27783B3E">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0B5E8F31">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3ABD8255">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2699C6A3">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4FE25CD0">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0406C2F0">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0FE5C63F">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0F4E24D5">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3514D716">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392CA7FE">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6E045CC4">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1F574EE8">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125EBEA7">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p w14:paraId="5D6E2632">
            <w:pPr>
              <w:adjustRightInd w:val="0"/>
              <w:snapToGrid w:val="0"/>
              <w:spacing w:line="360" w:lineRule="auto"/>
              <w:jc w:val="left"/>
              <w:rPr>
                <w:rFonts w:hint="default" w:ascii="Times New Roman" w:hAnsi="Times New Roman" w:cs="Times New Roman" w:eastAsiaTheme="minorEastAsia"/>
                <w:color w:val="auto"/>
                <w:sz w:val="24"/>
                <w:szCs w:val="24"/>
                <w:highlight w:val="none"/>
              </w:rPr>
            </w:pPr>
          </w:p>
        </w:tc>
      </w:tr>
    </w:tbl>
    <w:p w14:paraId="4E139D38">
      <w:pPr>
        <w:pStyle w:val="22"/>
        <w:jc w:val="center"/>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C9381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noWrap w:val="0"/>
            <w:vAlign w:val="center"/>
          </w:tcPr>
          <w:p w14:paraId="28DF34E7">
            <w:pPr>
              <w:autoSpaceDE w:val="0"/>
              <w:autoSpaceDN w:val="0"/>
              <w:adjustRightInd w:val="0"/>
              <w:snapToGrid w:val="0"/>
              <w:spacing w:line="360" w:lineRule="auto"/>
              <w:ind w:firstLine="480" w:firstLineChars="200"/>
              <w:rPr>
                <w:rFonts w:ascii="宋体" w:cs="宋体"/>
                <w:color w:val="auto"/>
                <w:sz w:val="24"/>
                <w:highlight w:val="none"/>
              </w:rPr>
            </w:pPr>
            <w:r>
              <w:rPr>
                <w:rFonts w:hAnsi="宋体"/>
                <w:color w:val="auto"/>
                <w:sz w:val="24"/>
                <w:highlight w:val="none"/>
              </w:rPr>
              <w:t>本项目的建设符合国家及地方产业政策，符合当地规划要求，选址合理</w:t>
            </w:r>
            <w:r>
              <w:rPr>
                <w:rFonts w:hint="eastAsia" w:hAnsi="宋体"/>
                <w:color w:val="auto"/>
                <w:sz w:val="24"/>
                <w:highlight w:val="none"/>
              </w:rPr>
              <w:t>，</w:t>
            </w:r>
            <w:r>
              <w:rPr>
                <w:rFonts w:hAnsi="宋体"/>
                <w:color w:val="auto"/>
                <w:sz w:val="24"/>
                <w:highlight w:val="none"/>
              </w:rPr>
              <w:t>无重大制约因素。建设单位在全面落实本报告表中提出的各项环保管理和污染防治措施，确保污染防治设施正常运转，所排放污染物满足达标排放的要求，从</w:t>
            </w:r>
            <w:r>
              <w:rPr>
                <w:rFonts w:hint="eastAsia" w:hAnsi="宋体"/>
                <w:color w:val="auto"/>
                <w:sz w:val="24"/>
                <w:highlight w:val="none"/>
              </w:rPr>
              <w:t>环境保护角度分析</w:t>
            </w:r>
            <w:r>
              <w:rPr>
                <w:rFonts w:hAnsi="宋体"/>
                <w:color w:val="auto"/>
                <w:sz w:val="24"/>
                <w:highlight w:val="none"/>
              </w:rPr>
              <w:t>，项目建设可行。</w:t>
            </w:r>
          </w:p>
        </w:tc>
      </w:tr>
    </w:tbl>
    <w:p w14:paraId="787CAB78">
      <w:pPr>
        <w:rPr>
          <w:rFonts w:ascii="宋体"/>
          <w:color w:val="auto"/>
          <w:highlight w:val="none"/>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6BE66092">
      <w:pPr>
        <w:pStyle w:val="22"/>
        <w:adjustRightInd w:val="0"/>
        <w:snapToGrid w:val="0"/>
        <w:spacing w:before="0" w:beforeAutospacing="0" w:after="0" w:afterAutospacing="0"/>
        <w:outlineLvl w:val="0"/>
        <w:rPr>
          <w:rFonts w:ascii="黑体" w:hAnsi="黑体" w:eastAsia="黑体"/>
          <w:snapToGrid w:val="0"/>
          <w:color w:val="auto"/>
          <w:sz w:val="32"/>
          <w:szCs w:val="32"/>
          <w:highlight w:val="none"/>
        </w:rPr>
      </w:pPr>
      <w:r>
        <w:rPr>
          <w:rFonts w:hint="eastAsia" w:ascii="黑体" w:hAnsi="黑体" w:eastAsia="黑体"/>
          <w:snapToGrid w:val="0"/>
          <w:color w:val="auto"/>
          <w:sz w:val="32"/>
          <w:szCs w:val="32"/>
          <w:highlight w:val="none"/>
        </w:rPr>
        <w:t>附表</w:t>
      </w:r>
    </w:p>
    <w:p w14:paraId="348699C9">
      <w:pPr>
        <w:pStyle w:val="22"/>
        <w:adjustRightInd w:val="0"/>
        <w:snapToGrid w:val="0"/>
        <w:spacing w:before="0" w:beforeAutospacing="0" w:after="0" w:afterAutospacing="0"/>
        <w:jc w:val="center"/>
        <w:outlineLvl w:val="0"/>
        <w:rPr>
          <w:rFonts w:ascii="方正小标宋_GBK" w:hAnsi="黑体" w:eastAsia="方正小标宋_GBK"/>
          <w:snapToGrid w:val="0"/>
          <w:color w:val="auto"/>
          <w:sz w:val="38"/>
          <w:szCs w:val="38"/>
          <w:highlight w:val="none"/>
        </w:rPr>
      </w:pPr>
      <w:r>
        <w:rPr>
          <w:rFonts w:hint="eastAsia" w:ascii="方正小标宋_GBK" w:hAnsi="黑体" w:eastAsia="方正小标宋_GBK"/>
          <w:snapToGrid w:val="0"/>
          <w:color w:val="auto"/>
          <w:sz w:val="38"/>
          <w:szCs w:val="38"/>
          <w:highlight w:val="none"/>
        </w:rPr>
        <w:t>建设项目污染物排放量汇总表</w:t>
      </w:r>
    </w:p>
    <w:tbl>
      <w:tblPr>
        <w:tblStyle w:val="27"/>
        <w:tblW w:w="137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1605"/>
        <w:gridCol w:w="1700"/>
        <w:gridCol w:w="1275"/>
        <w:gridCol w:w="1700"/>
        <w:gridCol w:w="1558"/>
        <w:gridCol w:w="1343"/>
        <w:gridCol w:w="1767"/>
        <w:gridCol w:w="1431"/>
      </w:tblGrid>
      <w:tr w14:paraId="3B31C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98" w:type="dxa"/>
            <w:tcBorders>
              <w:tl2br w:val="single" w:color="auto" w:sz="4" w:space="0"/>
            </w:tcBorders>
            <w:noWrap w:val="0"/>
            <w:tcMar>
              <w:left w:w="28" w:type="dxa"/>
              <w:right w:w="28" w:type="dxa"/>
            </w:tcMar>
            <w:vAlign w:val="center"/>
          </w:tcPr>
          <w:p w14:paraId="343682B6">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 xml:space="preserve">      项目</w:t>
            </w:r>
          </w:p>
          <w:p w14:paraId="298C4B4C">
            <w:pPr>
              <w:pStyle w:val="67"/>
              <w:spacing w:beforeLines="0" w:afterLines="0" w:line="240" w:lineRule="auto"/>
              <w:ind w:firstLine="198" w:firstLineChars="100"/>
              <w:jc w:val="both"/>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分类</w:t>
            </w:r>
          </w:p>
        </w:tc>
        <w:tc>
          <w:tcPr>
            <w:tcW w:w="1605" w:type="dxa"/>
            <w:noWrap w:val="0"/>
            <w:tcMar>
              <w:left w:w="28" w:type="dxa"/>
              <w:right w:w="28" w:type="dxa"/>
            </w:tcMar>
            <w:vAlign w:val="center"/>
          </w:tcPr>
          <w:p w14:paraId="4D37F8B4">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污染物名称</w:t>
            </w:r>
          </w:p>
        </w:tc>
        <w:tc>
          <w:tcPr>
            <w:tcW w:w="1700" w:type="dxa"/>
            <w:noWrap w:val="0"/>
            <w:tcMar>
              <w:left w:w="28" w:type="dxa"/>
              <w:right w:w="28" w:type="dxa"/>
            </w:tcMar>
            <w:vAlign w:val="center"/>
          </w:tcPr>
          <w:p w14:paraId="59EB8F10">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现有工程</w:t>
            </w:r>
          </w:p>
          <w:p w14:paraId="134500B2">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1 \* GB3 \* MERGEFORMAT </w:instrText>
            </w:r>
            <w:r>
              <w:rPr>
                <w:rFonts w:ascii="Times New Roman" w:eastAsia="黑体"/>
                <w:snapToGrid w:val="0"/>
                <w:color w:val="auto"/>
                <w:spacing w:val="-6"/>
                <w:kern w:val="21"/>
                <w:szCs w:val="21"/>
                <w:highlight w:val="none"/>
              </w:rPr>
              <w:fldChar w:fldCharType="separate"/>
            </w:r>
            <w:r>
              <w:rPr>
                <w:rFonts w:ascii="Times New Roman" w:eastAsia="黑体"/>
                <w:color w:val="auto"/>
                <w:kern w:val="2"/>
                <w:szCs w:val="21"/>
                <w:highlight w:val="none"/>
              </w:rPr>
              <w:t>①</w:t>
            </w:r>
            <w:r>
              <w:rPr>
                <w:rFonts w:ascii="Times New Roman" w:eastAsia="黑体"/>
                <w:snapToGrid w:val="0"/>
                <w:color w:val="auto"/>
                <w:spacing w:val="-6"/>
                <w:kern w:val="21"/>
                <w:szCs w:val="21"/>
                <w:highlight w:val="none"/>
              </w:rPr>
              <w:fldChar w:fldCharType="end"/>
            </w:r>
          </w:p>
        </w:tc>
        <w:tc>
          <w:tcPr>
            <w:tcW w:w="1275" w:type="dxa"/>
            <w:noWrap w:val="0"/>
            <w:tcMar>
              <w:left w:w="28" w:type="dxa"/>
              <w:right w:w="28" w:type="dxa"/>
            </w:tcMar>
            <w:vAlign w:val="center"/>
          </w:tcPr>
          <w:p w14:paraId="3483052A">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现有工程</w:t>
            </w:r>
          </w:p>
          <w:p w14:paraId="3BD49AE9">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许可排放量</w:t>
            </w:r>
          </w:p>
          <w:p w14:paraId="45B141D5">
            <w:pPr>
              <w:pStyle w:val="67"/>
              <w:spacing w:beforeLines="0" w:afterLine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2 \* GB3 \* MERGEFORMAT </w:instrText>
            </w:r>
            <w:r>
              <w:rPr>
                <w:rFonts w:ascii="Times New Roman" w:eastAsia="黑体"/>
                <w:snapToGrid w:val="0"/>
                <w:color w:val="auto"/>
                <w:spacing w:val="-6"/>
                <w:kern w:val="21"/>
                <w:szCs w:val="21"/>
                <w:highlight w:val="none"/>
              </w:rPr>
              <w:fldChar w:fldCharType="separate"/>
            </w:r>
            <w:r>
              <w:rPr>
                <w:rFonts w:ascii="Times New Roman" w:eastAsia="黑体"/>
                <w:snapToGrid w:val="0"/>
                <w:color w:val="auto"/>
                <w:spacing w:val="-6"/>
                <w:kern w:val="21"/>
                <w:szCs w:val="21"/>
                <w:highlight w:val="none"/>
              </w:rPr>
              <w:t>②</w:t>
            </w:r>
            <w:r>
              <w:rPr>
                <w:rFonts w:ascii="Times New Roman" w:eastAsia="黑体"/>
                <w:snapToGrid w:val="0"/>
                <w:color w:val="auto"/>
                <w:spacing w:val="-6"/>
                <w:kern w:val="21"/>
                <w:szCs w:val="21"/>
                <w:highlight w:val="none"/>
              </w:rPr>
              <w:fldChar w:fldCharType="end"/>
            </w:r>
          </w:p>
        </w:tc>
        <w:tc>
          <w:tcPr>
            <w:tcW w:w="1700" w:type="dxa"/>
            <w:noWrap w:val="0"/>
            <w:tcMar>
              <w:left w:w="28" w:type="dxa"/>
              <w:right w:w="28" w:type="dxa"/>
            </w:tcMar>
            <w:vAlign w:val="center"/>
          </w:tcPr>
          <w:p w14:paraId="0CBD413D">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在建工程</w:t>
            </w:r>
          </w:p>
          <w:p w14:paraId="3E6488C6">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3 \* GB3 \* MERGEFORMAT </w:instrText>
            </w:r>
            <w:r>
              <w:rPr>
                <w:rFonts w:ascii="Times New Roman" w:eastAsia="黑体"/>
                <w:snapToGrid w:val="0"/>
                <w:color w:val="auto"/>
                <w:spacing w:val="-6"/>
                <w:kern w:val="21"/>
                <w:szCs w:val="21"/>
                <w:highlight w:val="none"/>
              </w:rPr>
              <w:fldChar w:fldCharType="separate"/>
            </w:r>
            <w:r>
              <w:rPr>
                <w:rFonts w:ascii="Times New Roman" w:eastAsia="黑体"/>
                <w:color w:val="auto"/>
                <w:kern w:val="2"/>
                <w:szCs w:val="21"/>
                <w:highlight w:val="none"/>
              </w:rPr>
              <w:t>③</w:t>
            </w:r>
            <w:r>
              <w:rPr>
                <w:rFonts w:ascii="Times New Roman" w:eastAsia="黑体"/>
                <w:snapToGrid w:val="0"/>
                <w:color w:val="auto"/>
                <w:spacing w:val="-6"/>
                <w:kern w:val="21"/>
                <w:szCs w:val="21"/>
                <w:highlight w:val="none"/>
              </w:rPr>
              <w:fldChar w:fldCharType="end"/>
            </w:r>
          </w:p>
        </w:tc>
        <w:tc>
          <w:tcPr>
            <w:tcW w:w="1558" w:type="dxa"/>
            <w:noWrap w:val="0"/>
            <w:tcMar>
              <w:left w:w="28" w:type="dxa"/>
              <w:right w:w="28" w:type="dxa"/>
            </w:tcMar>
            <w:vAlign w:val="center"/>
          </w:tcPr>
          <w:p w14:paraId="1EFB8AA0">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本项目</w:t>
            </w:r>
          </w:p>
          <w:p w14:paraId="11D017B3">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4 \* GB3 \* MERGEFORMAT </w:instrText>
            </w:r>
            <w:r>
              <w:rPr>
                <w:rFonts w:ascii="Times New Roman" w:eastAsia="黑体"/>
                <w:snapToGrid w:val="0"/>
                <w:color w:val="auto"/>
                <w:spacing w:val="-6"/>
                <w:kern w:val="21"/>
                <w:szCs w:val="21"/>
                <w:highlight w:val="none"/>
              </w:rPr>
              <w:fldChar w:fldCharType="separate"/>
            </w:r>
            <w:r>
              <w:rPr>
                <w:rFonts w:ascii="Times New Roman" w:eastAsia="黑体"/>
                <w:color w:val="auto"/>
                <w:kern w:val="2"/>
                <w:szCs w:val="21"/>
                <w:highlight w:val="none"/>
              </w:rPr>
              <w:t>④</w:t>
            </w:r>
            <w:r>
              <w:rPr>
                <w:rFonts w:ascii="Times New Roman" w:eastAsia="黑体"/>
                <w:snapToGrid w:val="0"/>
                <w:color w:val="auto"/>
                <w:spacing w:val="-6"/>
                <w:kern w:val="21"/>
                <w:szCs w:val="21"/>
                <w:highlight w:val="none"/>
              </w:rPr>
              <w:fldChar w:fldCharType="end"/>
            </w:r>
          </w:p>
        </w:tc>
        <w:tc>
          <w:tcPr>
            <w:tcW w:w="1343" w:type="dxa"/>
            <w:noWrap w:val="0"/>
            <w:tcMar>
              <w:left w:w="28" w:type="dxa"/>
              <w:right w:w="28" w:type="dxa"/>
            </w:tcMar>
            <w:vAlign w:val="center"/>
          </w:tcPr>
          <w:p w14:paraId="5CBD25B9">
            <w:pPr>
              <w:pStyle w:val="67"/>
              <w:spacing w:beforeLines="0" w:afterLines="0" w:line="240" w:lineRule="auto"/>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以新带老削减量</w:t>
            </w:r>
          </w:p>
          <w:p w14:paraId="0C0426C1">
            <w:pPr>
              <w:pStyle w:val="67"/>
              <w:spacing w:beforeLines="0" w:afterLines="0" w:line="240" w:lineRule="auto"/>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（新建项目不填）</w:t>
            </w:r>
            <w:r>
              <w:rPr>
                <w:rFonts w:ascii="Times New Roman" w:eastAsia="黑体"/>
                <w:snapToGrid w:val="0"/>
                <w:color w:val="auto"/>
                <w:spacing w:val="-16"/>
                <w:kern w:val="21"/>
                <w:szCs w:val="21"/>
                <w:highlight w:val="none"/>
              </w:rPr>
              <w:fldChar w:fldCharType="begin"/>
            </w:r>
            <w:r>
              <w:rPr>
                <w:rFonts w:ascii="Times New Roman" w:eastAsia="黑体"/>
                <w:snapToGrid w:val="0"/>
                <w:color w:val="auto"/>
                <w:spacing w:val="-16"/>
                <w:kern w:val="21"/>
                <w:szCs w:val="21"/>
                <w:highlight w:val="none"/>
              </w:rPr>
              <w:instrText xml:space="preserve"> = 5 \* GB3 \* MERGEFORMAT </w:instrText>
            </w:r>
            <w:r>
              <w:rPr>
                <w:rFonts w:ascii="Times New Roman" w:eastAsia="黑体"/>
                <w:snapToGrid w:val="0"/>
                <w:color w:val="auto"/>
                <w:spacing w:val="-16"/>
                <w:kern w:val="21"/>
                <w:szCs w:val="21"/>
                <w:highlight w:val="none"/>
              </w:rPr>
              <w:fldChar w:fldCharType="separate"/>
            </w:r>
            <w:r>
              <w:rPr>
                <w:rFonts w:ascii="Times New Roman" w:eastAsia="黑体"/>
                <w:color w:val="auto"/>
                <w:kern w:val="2"/>
                <w:szCs w:val="21"/>
                <w:highlight w:val="none"/>
              </w:rPr>
              <w:t>⑤</w:t>
            </w:r>
            <w:r>
              <w:rPr>
                <w:rFonts w:ascii="Times New Roman" w:eastAsia="黑体"/>
                <w:snapToGrid w:val="0"/>
                <w:color w:val="auto"/>
                <w:spacing w:val="-16"/>
                <w:kern w:val="21"/>
                <w:szCs w:val="21"/>
                <w:highlight w:val="none"/>
              </w:rPr>
              <w:fldChar w:fldCharType="end"/>
            </w:r>
          </w:p>
        </w:tc>
        <w:tc>
          <w:tcPr>
            <w:tcW w:w="1767" w:type="dxa"/>
            <w:noWrap w:val="0"/>
            <w:tcMar>
              <w:left w:w="28" w:type="dxa"/>
              <w:right w:w="28" w:type="dxa"/>
            </w:tcMar>
            <w:vAlign w:val="center"/>
          </w:tcPr>
          <w:p w14:paraId="342B69BF">
            <w:pPr>
              <w:pStyle w:val="67"/>
              <w:spacing w:beforeLines="0" w:afterLines="0" w:line="240" w:lineRule="auto"/>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本项目建成后</w:t>
            </w:r>
          </w:p>
          <w:p w14:paraId="6A0BE782">
            <w:pPr>
              <w:pStyle w:val="67"/>
              <w:spacing w:beforeLines="0" w:afterLines="0" w:line="240" w:lineRule="auto"/>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全厂排放量（固体废物产生量）</w:t>
            </w:r>
            <w:r>
              <w:rPr>
                <w:rFonts w:ascii="Times New Roman" w:eastAsia="黑体"/>
                <w:snapToGrid w:val="0"/>
                <w:color w:val="auto"/>
                <w:spacing w:val="-16"/>
                <w:kern w:val="21"/>
                <w:szCs w:val="21"/>
                <w:highlight w:val="none"/>
              </w:rPr>
              <w:fldChar w:fldCharType="begin"/>
            </w:r>
            <w:r>
              <w:rPr>
                <w:rFonts w:ascii="Times New Roman" w:eastAsia="黑体"/>
                <w:snapToGrid w:val="0"/>
                <w:color w:val="auto"/>
                <w:spacing w:val="-16"/>
                <w:kern w:val="21"/>
                <w:szCs w:val="21"/>
                <w:highlight w:val="none"/>
              </w:rPr>
              <w:instrText xml:space="preserve"> = 6 \* GB3 \* MERGEFORMAT </w:instrText>
            </w:r>
            <w:r>
              <w:rPr>
                <w:rFonts w:ascii="Times New Roman" w:eastAsia="黑体"/>
                <w:snapToGrid w:val="0"/>
                <w:color w:val="auto"/>
                <w:spacing w:val="-16"/>
                <w:kern w:val="21"/>
                <w:szCs w:val="21"/>
                <w:highlight w:val="none"/>
              </w:rPr>
              <w:fldChar w:fldCharType="separate"/>
            </w:r>
            <w:r>
              <w:rPr>
                <w:rFonts w:ascii="Times New Roman" w:eastAsia="黑体"/>
                <w:color w:val="auto"/>
                <w:kern w:val="2"/>
                <w:szCs w:val="21"/>
                <w:highlight w:val="none"/>
              </w:rPr>
              <w:t>⑥</w:t>
            </w:r>
            <w:r>
              <w:rPr>
                <w:rFonts w:ascii="Times New Roman" w:eastAsia="黑体"/>
                <w:snapToGrid w:val="0"/>
                <w:color w:val="auto"/>
                <w:spacing w:val="-16"/>
                <w:kern w:val="21"/>
                <w:szCs w:val="21"/>
                <w:highlight w:val="none"/>
              </w:rPr>
              <w:fldChar w:fldCharType="end"/>
            </w:r>
          </w:p>
        </w:tc>
        <w:tc>
          <w:tcPr>
            <w:tcW w:w="1431" w:type="dxa"/>
            <w:noWrap w:val="0"/>
            <w:tcMar>
              <w:left w:w="28" w:type="dxa"/>
              <w:right w:w="28" w:type="dxa"/>
            </w:tcMar>
            <w:vAlign w:val="center"/>
          </w:tcPr>
          <w:p w14:paraId="6873DAA9">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变化量</w:t>
            </w:r>
          </w:p>
          <w:p w14:paraId="63F2A2FC">
            <w:pPr>
              <w:pStyle w:val="67"/>
              <w:spacing w:beforeLines="0" w:afterLines="0" w:line="240" w:lineRule="auto"/>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7 \* GB3 \* MERGEFORMAT </w:instrText>
            </w:r>
            <w:r>
              <w:rPr>
                <w:rFonts w:ascii="Times New Roman" w:eastAsia="黑体"/>
                <w:snapToGrid w:val="0"/>
                <w:color w:val="auto"/>
                <w:spacing w:val="-6"/>
                <w:kern w:val="21"/>
                <w:szCs w:val="21"/>
                <w:highlight w:val="none"/>
              </w:rPr>
              <w:fldChar w:fldCharType="separate"/>
            </w:r>
            <w:r>
              <w:rPr>
                <w:rFonts w:ascii="Times New Roman" w:eastAsia="黑体"/>
                <w:color w:val="auto"/>
                <w:kern w:val="2"/>
                <w:szCs w:val="21"/>
                <w:highlight w:val="none"/>
              </w:rPr>
              <w:t>⑦</w:t>
            </w:r>
            <w:r>
              <w:rPr>
                <w:rFonts w:ascii="Times New Roman" w:eastAsia="黑体"/>
                <w:snapToGrid w:val="0"/>
                <w:color w:val="auto"/>
                <w:spacing w:val="-6"/>
                <w:kern w:val="21"/>
                <w:szCs w:val="21"/>
                <w:highlight w:val="none"/>
              </w:rPr>
              <w:fldChar w:fldCharType="end"/>
            </w:r>
          </w:p>
        </w:tc>
      </w:tr>
      <w:tr w14:paraId="49D23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398" w:type="dxa"/>
            <w:vMerge w:val="restart"/>
            <w:noWrap w:val="0"/>
            <w:vAlign w:val="center"/>
          </w:tcPr>
          <w:p w14:paraId="7BD88A27">
            <w:pPr>
              <w:pStyle w:val="67"/>
              <w:spacing w:beforeLines="0" w:afterLines="0" w:line="240" w:lineRule="auto"/>
              <w:rPr>
                <w:rFonts w:ascii="Times New Roman"/>
                <w:snapToGrid w:val="0"/>
                <w:color w:val="auto"/>
                <w:kern w:val="21"/>
                <w:szCs w:val="21"/>
                <w:highlight w:val="none"/>
              </w:rPr>
            </w:pPr>
            <w:r>
              <w:rPr>
                <w:rFonts w:ascii="Times New Roman"/>
                <w:snapToGrid w:val="0"/>
                <w:color w:val="auto"/>
                <w:kern w:val="21"/>
                <w:szCs w:val="21"/>
                <w:highlight w:val="none"/>
              </w:rPr>
              <w:t>废气</w:t>
            </w:r>
          </w:p>
        </w:tc>
        <w:tc>
          <w:tcPr>
            <w:tcW w:w="1605" w:type="dxa"/>
            <w:shd w:val="clear" w:color="auto" w:fill="auto"/>
            <w:noWrap w:val="0"/>
            <w:vAlign w:val="center"/>
          </w:tcPr>
          <w:p w14:paraId="515BC179">
            <w:pPr>
              <w:pStyle w:val="67"/>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氯化氢</w:t>
            </w:r>
          </w:p>
        </w:tc>
        <w:tc>
          <w:tcPr>
            <w:tcW w:w="1700" w:type="dxa"/>
            <w:shd w:val="clear" w:color="auto" w:fill="auto"/>
            <w:noWrap w:val="0"/>
            <w:vAlign w:val="center"/>
          </w:tcPr>
          <w:p w14:paraId="43F2BDCD">
            <w:pPr>
              <w:pStyle w:val="67"/>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rPr>
              <w:t>0.04t/a</w:t>
            </w:r>
          </w:p>
        </w:tc>
        <w:tc>
          <w:tcPr>
            <w:tcW w:w="1275" w:type="dxa"/>
            <w:shd w:val="clear" w:color="auto" w:fill="auto"/>
            <w:noWrap w:val="0"/>
            <w:vAlign w:val="center"/>
          </w:tcPr>
          <w:p w14:paraId="10361FE7">
            <w:pPr>
              <w:pStyle w:val="67"/>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rPr>
              <w:t>/</w:t>
            </w:r>
          </w:p>
        </w:tc>
        <w:tc>
          <w:tcPr>
            <w:tcW w:w="1700" w:type="dxa"/>
            <w:shd w:val="clear" w:color="auto" w:fill="auto"/>
            <w:noWrap w:val="0"/>
            <w:vAlign w:val="center"/>
          </w:tcPr>
          <w:p w14:paraId="35BEBA73">
            <w:pPr>
              <w:pStyle w:val="67"/>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rPr>
              <w:t>/</w:t>
            </w:r>
          </w:p>
        </w:tc>
        <w:tc>
          <w:tcPr>
            <w:tcW w:w="1558" w:type="dxa"/>
            <w:shd w:val="clear" w:color="auto" w:fill="auto"/>
            <w:noWrap w:val="0"/>
            <w:vAlign w:val="center"/>
          </w:tcPr>
          <w:p w14:paraId="53735370">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0.122</w:t>
            </w:r>
            <w:r>
              <w:rPr>
                <w:rFonts w:hint="eastAsia" w:ascii="Times New Roman"/>
                <w:snapToGrid w:val="0"/>
                <w:color w:val="auto"/>
                <w:kern w:val="21"/>
                <w:szCs w:val="21"/>
                <w:highlight w:val="none"/>
                <w:lang w:val="en-US" w:eastAsia="zh-CN"/>
              </w:rPr>
              <w:t>t/a</w:t>
            </w:r>
          </w:p>
        </w:tc>
        <w:tc>
          <w:tcPr>
            <w:tcW w:w="1343" w:type="dxa"/>
            <w:shd w:val="clear" w:color="auto" w:fill="auto"/>
            <w:noWrap w:val="0"/>
            <w:vAlign w:val="center"/>
          </w:tcPr>
          <w:p w14:paraId="228CE1D8">
            <w:pPr>
              <w:pStyle w:val="67"/>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0.04t/a</w:t>
            </w:r>
          </w:p>
        </w:tc>
        <w:tc>
          <w:tcPr>
            <w:tcW w:w="1767" w:type="dxa"/>
            <w:shd w:val="clear" w:color="auto" w:fill="auto"/>
            <w:noWrap w:val="0"/>
            <w:vAlign w:val="center"/>
          </w:tcPr>
          <w:p w14:paraId="7DDB6A18">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0.122</w:t>
            </w:r>
            <w:r>
              <w:rPr>
                <w:rFonts w:hint="eastAsia" w:ascii="Times New Roman"/>
                <w:snapToGrid w:val="0"/>
                <w:color w:val="auto"/>
                <w:kern w:val="21"/>
                <w:szCs w:val="21"/>
                <w:highlight w:val="none"/>
                <w:lang w:val="en-US" w:eastAsia="zh-CN"/>
              </w:rPr>
              <w:t>t/a</w:t>
            </w:r>
          </w:p>
        </w:tc>
        <w:tc>
          <w:tcPr>
            <w:tcW w:w="1431" w:type="dxa"/>
            <w:shd w:val="clear" w:color="auto" w:fill="auto"/>
            <w:noWrap w:val="0"/>
            <w:vAlign w:val="center"/>
          </w:tcPr>
          <w:p w14:paraId="632FB740">
            <w:pPr>
              <w:pStyle w:val="67"/>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+0.082</w:t>
            </w:r>
            <w:r>
              <w:rPr>
                <w:rFonts w:hint="eastAsia" w:ascii="Times New Roman"/>
                <w:snapToGrid w:val="0"/>
                <w:color w:val="auto"/>
                <w:kern w:val="21"/>
                <w:szCs w:val="21"/>
                <w:highlight w:val="none"/>
                <w:lang w:val="en-US" w:eastAsia="zh-CN"/>
              </w:rPr>
              <w:t>t/a</w:t>
            </w:r>
          </w:p>
        </w:tc>
      </w:tr>
      <w:tr w14:paraId="584D2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1398" w:type="dxa"/>
            <w:vMerge w:val="continue"/>
            <w:noWrap w:val="0"/>
            <w:vAlign w:val="center"/>
          </w:tcPr>
          <w:p w14:paraId="4C009CF1">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22EA652F">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硫酸雾</w:t>
            </w:r>
          </w:p>
        </w:tc>
        <w:tc>
          <w:tcPr>
            <w:tcW w:w="1700" w:type="dxa"/>
            <w:shd w:val="clear" w:color="auto" w:fill="auto"/>
            <w:noWrap w:val="0"/>
            <w:vAlign w:val="center"/>
          </w:tcPr>
          <w:p w14:paraId="38E5A05D">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275" w:type="dxa"/>
            <w:shd w:val="clear" w:color="auto" w:fill="auto"/>
            <w:noWrap w:val="0"/>
            <w:vAlign w:val="center"/>
          </w:tcPr>
          <w:p w14:paraId="4C125F23">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00" w:type="dxa"/>
            <w:shd w:val="clear" w:color="auto" w:fill="auto"/>
            <w:noWrap w:val="0"/>
            <w:vAlign w:val="center"/>
          </w:tcPr>
          <w:p w14:paraId="2D3B9B08">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558" w:type="dxa"/>
            <w:shd w:val="clear" w:color="auto" w:fill="auto"/>
            <w:noWrap w:val="0"/>
            <w:vAlign w:val="center"/>
          </w:tcPr>
          <w:p w14:paraId="4957452D">
            <w:pPr>
              <w:pStyle w:val="67"/>
              <w:spacing w:beforeLines="0" w:afterLines="0" w:line="240" w:lineRule="auto"/>
              <w:rPr>
                <w:rFonts w:hint="eastAsia"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0.00241</w:t>
            </w:r>
            <w:r>
              <w:rPr>
                <w:rFonts w:hint="eastAsia" w:ascii="Times New Roman"/>
                <w:snapToGrid w:val="0"/>
                <w:color w:val="auto"/>
                <w:kern w:val="21"/>
                <w:szCs w:val="21"/>
                <w:highlight w:val="none"/>
                <w:lang w:val="en-US" w:eastAsia="zh-CN"/>
              </w:rPr>
              <w:t>t/a</w:t>
            </w:r>
          </w:p>
        </w:tc>
        <w:tc>
          <w:tcPr>
            <w:tcW w:w="1343" w:type="dxa"/>
            <w:shd w:val="clear" w:color="auto" w:fill="auto"/>
            <w:noWrap w:val="0"/>
            <w:vAlign w:val="center"/>
          </w:tcPr>
          <w:p w14:paraId="3037AD46">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shd w:val="clear" w:color="auto" w:fill="auto"/>
            <w:noWrap w:val="0"/>
            <w:vAlign w:val="center"/>
          </w:tcPr>
          <w:p w14:paraId="78CDEEB2">
            <w:pPr>
              <w:pStyle w:val="67"/>
              <w:spacing w:beforeLines="0" w:afterLines="0" w:line="240" w:lineRule="auto"/>
              <w:rPr>
                <w:rFonts w:hint="eastAsia"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0.00241</w:t>
            </w:r>
            <w:r>
              <w:rPr>
                <w:rFonts w:hint="eastAsia" w:ascii="Times New Roman"/>
                <w:snapToGrid w:val="0"/>
                <w:color w:val="auto"/>
                <w:kern w:val="21"/>
                <w:szCs w:val="21"/>
                <w:highlight w:val="none"/>
                <w:lang w:val="en-US" w:eastAsia="zh-CN"/>
              </w:rPr>
              <w:t>t/a</w:t>
            </w:r>
          </w:p>
        </w:tc>
        <w:tc>
          <w:tcPr>
            <w:tcW w:w="1431" w:type="dxa"/>
            <w:shd w:val="clear" w:color="auto" w:fill="auto"/>
            <w:noWrap w:val="0"/>
            <w:vAlign w:val="center"/>
          </w:tcPr>
          <w:p w14:paraId="568A98B1">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+0.00241</w:t>
            </w:r>
            <w:r>
              <w:rPr>
                <w:rFonts w:hint="eastAsia" w:ascii="Times New Roman"/>
                <w:snapToGrid w:val="0"/>
                <w:color w:val="auto"/>
                <w:kern w:val="21"/>
                <w:szCs w:val="21"/>
                <w:highlight w:val="none"/>
                <w:lang w:val="en-US" w:eastAsia="zh-CN"/>
              </w:rPr>
              <w:t>t/a</w:t>
            </w:r>
          </w:p>
        </w:tc>
      </w:tr>
      <w:tr w14:paraId="43363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1398" w:type="dxa"/>
            <w:vMerge w:val="continue"/>
            <w:noWrap w:val="0"/>
            <w:vAlign w:val="center"/>
          </w:tcPr>
          <w:p w14:paraId="20354E07">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7E355393">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氮氧化物</w:t>
            </w:r>
          </w:p>
        </w:tc>
        <w:tc>
          <w:tcPr>
            <w:tcW w:w="1700" w:type="dxa"/>
            <w:shd w:val="clear" w:color="auto" w:fill="auto"/>
            <w:noWrap w:val="0"/>
            <w:vAlign w:val="center"/>
          </w:tcPr>
          <w:p w14:paraId="5B0947F7">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275" w:type="dxa"/>
            <w:shd w:val="clear" w:color="auto" w:fill="auto"/>
            <w:noWrap w:val="0"/>
            <w:vAlign w:val="center"/>
          </w:tcPr>
          <w:p w14:paraId="61FB4F39">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00" w:type="dxa"/>
            <w:shd w:val="clear" w:color="auto" w:fill="auto"/>
            <w:noWrap w:val="0"/>
            <w:vAlign w:val="center"/>
          </w:tcPr>
          <w:p w14:paraId="6ED360BD">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558" w:type="dxa"/>
            <w:shd w:val="clear" w:color="auto" w:fill="auto"/>
            <w:noWrap w:val="0"/>
            <w:vAlign w:val="center"/>
          </w:tcPr>
          <w:p w14:paraId="754E843D">
            <w:pPr>
              <w:pStyle w:val="67"/>
              <w:spacing w:beforeLines="0" w:afterLines="0" w:line="240" w:lineRule="auto"/>
              <w:rPr>
                <w:rFonts w:hint="eastAsia"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0.128</w:t>
            </w:r>
            <w:r>
              <w:rPr>
                <w:rFonts w:hint="eastAsia" w:ascii="Times New Roman"/>
                <w:snapToGrid w:val="0"/>
                <w:color w:val="auto"/>
                <w:kern w:val="21"/>
                <w:szCs w:val="21"/>
                <w:highlight w:val="none"/>
                <w:lang w:val="en-US" w:eastAsia="zh-CN"/>
              </w:rPr>
              <w:t>t/a</w:t>
            </w:r>
          </w:p>
        </w:tc>
        <w:tc>
          <w:tcPr>
            <w:tcW w:w="1343" w:type="dxa"/>
            <w:shd w:val="clear" w:color="auto" w:fill="auto"/>
            <w:noWrap w:val="0"/>
            <w:vAlign w:val="center"/>
          </w:tcPr>
          <w:p w14:paraId="566ACCA4">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shd w:val="clear" w:color="auto" w:fill="auto"/>
            <w:noWrap w:val="0"/>
            <w:vAlign w:val="center"/>
          </w:tcPr>
          <w:p w14:paraId="225674B9">
            <w:pPr>
              <w:pStyle w:val="67"/>
              <w:spacing w:beforeLines="0" w:afterLines="0" w:line="240" w:lineRule="auto"/>
              <w:rPr>
                <w:rFonts w:hint="eastAsia"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0.128</w:t>
            </w:r>
            <w:r>
              <w:rPr>
                <w:rFonts w:hint="eastAsia" w:ascii="Times New Roman"/>
                <w:snapToGrid w:val="0"/>
                <w:color w:val="auto"/>
                <w:kern w:val="21"/>
                <w:szCs w:val="21"/>
                <w:highlight w:val="none"/>
                <w:lang w:val="en-US" w:eastAsia="zh-CN"/>
              </w:rPr>
              <w:t>t/a</w:t>
            </w:r>
          </w:p>
        </w:tc>
        <w:tc>
          <w:tcPr>
            <w:tcW w:w="1431" w:type="dxa"/>
            <w:shd w:val="clear" w:color="auto" w:fill="auto"/>
            <w:noWrap w:val="0"/>
            <w:vAlign w:val="center"/>
          </w:tcPr>
          <w:p w14:paraId="455C22CF">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+0.128</w:t>
            </w:r>
            <w:r>
              <w:rPr>
                <w:rFonts w:hint="eastAsia" w:ascii="Times New Roman"/>
                <w:snapToGrid w:val="0"/>
                <w:color w:val="auto"/>
                <w:kern w:val="21"/>
                <w:szCs w:val="21"/>
                <w:highlight w:val="none"/>
                <w:lang w:val="en-US" w:eastAsia="zh-CN"/>
              </w:rPr>
              <w:t>t/a</w:t>
            </w:r>
          </w:p>
        </w:tc>
      </w:tr>
      <w:tr w14:paraId="23BFFC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398" w:type="dxa"/>
            <w:vMerge w:val="continue"/>
            <w:noWrap w:val="0"/>
            <w:vAlign w:val="center"/>
          </w:tcPr>
          <w:p w14:paraId="466A0769">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62A8DBF1">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氟化物</w:t>
            </w:r>
          </w:p>
        </w:tc>
        <w:tc>
          <w:tcPr>
            <w:tcW w:w="1700" w:type="dxa"/>
            <w:shd w:val="clear" w:color="auto" w:fill="auto"/>
            <w:noWrap w:val="0"/>
            <w:vAlign w:val="center"/>
          </w:tcPr>
          <w:p w14:paraId="327345C6">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275" w:type="dxa"/>
            <w:shd w:val="clear" w:color="auto" w:fill="auto"/>
            <w:noWrap w:val="0"/>
            <w:vAlign w:val="center"/>
          </w:tcPr>
          <w:p w14:paraId="6890F415">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00" w:type="dxa"/>
            <w:shd w:val="clear" w:color="auto" w:fill="auto"/>
            <w:noWrap w:val="0"/>
            <w:vAlign w:val="center"/>
          </w:tcPr>
          <w:p w14:paraId="76115399">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558" w:type="dxa"/>
            <w:shd w:val="clear" w:color="auto" w:fill="auto"/>
            <w:noWrap w:val="0"/>
            <w:vAlign w:val="center"/>
          </w:tcPr>
          <w:p w14:paraId="061555C9">
            <w:pPr>
              <w:pStyle w:val="67"/>
              <w:spacing w:beforeLines="0" w:afterLines="0" w:line="240" w:lineRule="auto"/>
              <w:rPr>
                <w:rFonts w:hint="eastAsia"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0.0203</w:t>
            </w:r>
            <w:r>
              <w:rPr>
                <w:rFonts w:hint="eastAsia" w:ascii="Times New Roman"/>
                <w:snapToGrid w:val="0"/>
                <w:color w:val="auto"/>
                <w:kern w:val="21"/>
                <w:szCs w:val="21"/>
                <w:highlight w:val="none"/>
                <w:lang w:val="en-US" w:eastAsia="zh-CN"/>
              </w:rPr>
              <w:t>t/a</w:t>
            </w:r>
          </w:p>
        </w:tc>
        <w:tc>
          <w:tcPr>
            <w:tcW w:w="1343" w:type="dxa"/>
            <w:shd w:val="clear" w:color="auto" w:fill="auto"/>
            <w:noWrap w:val="0"/>
            <w:vAlign w:val="center"/>
          </w:tcPr>
          <w:p w14:paraId="4E7DAC95">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shd w:val="clear" w:color="auto" w:fill="auto"/>
            <w:noWrap w:val="0"/>
            <w:vAlign w:val="center"/>
          </w:tcPr>
          <w:p w14:paraId="6D7015C8">
            <w:pPr>
              <w:pStyle w:val="67"/>
              <w:spacing w:beforeLines="0" w:afterLines="0" w:line="240" w:lineRule="auto"/>
              <w:rPr>
                <w:rFonts w:hint="eastAsia"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0.0203</w:t>
            </w:r>
            <w:r>
              <w:rPr>
                <w:rFonts w:hint="eastAsia" w:ascii="Times New Roman"/>
                <w:snapToGrid w:val="0"/>
                <w:color w:val="auto"/>
                <w:kern w:val="21"/>
                <w:szCs w:val="21"/>
                <w:highlight w:val="none"/>
                <w:lang w:val="en-US" w:eastAsia="zh-CN"/>
              </w:rPr>
              <w:t>t/a</w:t>
            </w:r>
          </w:p>
        </w:tc>
        <w:tc>
          <w:tcPr>
            <w:tcW w:w="1431" w:type="dxa"/>
            <w:shd w:val="clear" w:color="auto" w:fill="auto"/>
            <w:noWrap w:val="0"/>
            <w:vAlign w:val="center"/>
          </w:tcPr>
          <w:p w14:paraId="1B81991C">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+0.0203</w:t>
            </w:r>
            <w:r>
              <w:rPr>
                <w:rFonts w:hint="eastAsia" w:ascii="Times New Roman"/>
                <w:snapToGrid w:val="0"/>
                <w:color w:val="auto"/>
                <w:kern w:val="21"/>
                <w:szCs w:val="21"/>
                <w:highlight w:val="none"/>
                <w:lang w:val="en-US" w:eastAsia="zh-CN"/>
              </w:rPr>
              <w:t>t/a</w:t>
            </w:r>
          </w:p>
        </w:tc>
      </w:tr>
      <w:tr w14:paraId="76605E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18807263">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4B4262B5">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ascii="Times New Roman"/>
                <w:snapToGrid w:val="0"/>
                <w:color w:val="auto"/>
                <w:kern w:val="21"/>
                <w:szCs w:val="21"/>
                <w:highlight w:val="none"/>
              </w:rPr>
              <w:t>非甲烷总烃</w:t>
            </w:r>
          </w:p>
        </w:tc>
        <w:tc>
          <w:tcPr>
            <w:tcW w:w="1700" w:type="dxa"/>
            <w:shd w:val="clear" w:color="auto" w:fill="auto"/>
            <w:noWrap w:val="0"/>
            <w:vAlign w:val="center"/>
          </w:tcPr>
          <w:p w14:paraId="165903E3">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0.005t/a</w:t>
            </w:r>
          </w:p>
        </w:tc>
        <w:tc>
          <w:tcPr>
            <w:tcW w:w="1275" w:type="dxa"/>
            <w:shd w:val="clear" w:color="auto" w:fill="auto"/>
            <w:noWrap w:val="0"/>
            <w:vAlign w:val="center"/>
          </w:tcPr>
          <w:p w14:paraId="6B5FE03F">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rPr>
              <w:t>/</w:t>
            </w:r>
          </w:p>
        </w:tc>
        <w:tc>
          <w:tcPr>
            <w:tcW w:w="1700" w:type="dxa"/>
            <w:shd w:val="clear" w:color="auto" w:fill="auto"/>
            <w:noWrap w:val="0"/>
            <w:vAlign w:val="center"/>
          </w:tcPr>
          <w:p w14:paraId="6F4539E6">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rPr>
              <w:t>/</w:t>
            </w:r>
          </w:p>
        </w:tc>
        <w:tc>
          <w:tcPr>
            <w:tcW w:w="1558" w:type="dxa"/>
            <w:shd w:val="clear" w:color="auto" w:fill="auto"/>
            <w:noWrap w:val="0"/>
            <w:vAlign w:val="center"/>
          </w:tcPr>
          <w:p w14:paraId="6B8C4489">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0.0207t/a</w:t>
            </w:r>
          </w:p>
        </w:tc>
        <w:tc>
          <w:tcPr>
            <w:tcW w:w="1343" w:type="dxa"/>
            <w:shd w:val="clear" w:color="auto" w:fill="auto"/>
            <w:noWrap w:val="0"/>
            <w:vAlign w:val="center"/>
          </w:tcPr>
          <w:p w14:paraId="295A9A30">
            <w:pPr>
              <w:pStyle w:val="67"/>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0.005t/a</w:t>
            </w:r>
          </w:p>
        </w:tc>
        <w:tc>
          <w:tcPr>
            <w:tcW w:w="1767" w:type="dxa"/>
            <w:shd w:val="clear" w:color="auto" w:fill="auto"/>
            <w:noWrap w:val="0"/>
            <w:vAlign w:val="center"/>
          </w:tcPr>
          <w:p w14:paraId="35C038CE">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0.0207t/a</w:t>
            </w:r>
          </w:p>
        </w:tc>
        <w:tc>
          <w:tcPr>
            <w:tcW w:w="1431" w:type="dxa"/>
            <w:shd w:val="clear" w:color="auto" w:fill="auto"/>
            <w:noWrap w:val="0"/>
            <w:vAlign w:val="center"/>
          </w:tcPr>
          <w:p w14:paraId="4111D3AD">
            <w:pPr>
              <w:pStyle w:val="67"/>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+0.0202t/a</w:t>
            </w:r>
          </w:p>
        </w:tc>
      </w:tr>
      <w:tr w14:paraId="0E700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169B9A98">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75CC9DF8">
            <w:pPr>
              <w:pStyle w:val="67"/>
              <w:spacing w:beforeLines="0" w:afterLines="0" w:line="240" w:lineRule="auto"/>
              <w:rPr>
                <w:rFonts w:hint="eastAsia"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甲醇</w:t>
            </w:r>
          </w:p>
        </w:tc>
        <w:tc>
          <w:tcPr>
            <w:tcW w:w="1700" w:type="dxa"/>
            <w:noWrap w:val="0"/>
            <w:vAlign w:val="center"/>
          </w:tcPr>
          <w:p w14:paraId="28E8BC11">
            <w:pPr>
              <w:pStyle w:val="67"/>
              <w:spacing w:beforeLines="0" w:afterLines="0" w:line="240" w:lineRule="auto"/>
              <w:rPr>
                <w:rFonts w:hint="eastAsia"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275" w:type="dxa"/>
            <w:noWrap w:val="0"/>
            <w:vAlign w:val="center"/>
          </w:tcPr>
          <w:p w14:paraId="15F85594">
            <w:pPr>
              <w:pStyle w:val="67"/>
              <w:spacing w:beforeLines="0" w:afterLines="0" w:line="240" w:lineRule="auto"/>
              <w:rPr>
                <w:rFonts w:hint="eastAsia"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700" w:type="dxa"/>
            <w:noWrap w:val="0"/>
            <w:vAlign w:val="center"/>
          </w:tcPr>
          <w:p w14:paraId="7A590141">
            <w:pPr>
              <w:pStyle w:val="67"/>
              <w:spacing w:beforeLines="0" w:afterLines="0" w:line="240" w:lineRule="auto"/>
              <w:rPr>
                <w:rFonts w:hint="eastAsia"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558" w:type="dxa"/>
            <w:noWrap w:val="0"/>
            <w:vAlign w:val="center"/>
          </w:tcPr>
          <w:p w14:paraId="639E1787">
            <w:pPr>
              <w:pStyle w:val="67"/>
              <w:spacing w:beforeLines="0" w:afterLines="0" w:line="240" w:lineRule="auto"/>
              <w:rPr>
                <w:rFonts w:hint="eastAsia"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0.000542</w:t>
            </w:r>
            <w:r>
              <w:rPr>
                <w:rFonts w:hint="eastAsia" w:ascii="Times New Roman"/>
                <w:snapToGrid w:val="0"/>
                <w:color w:val="auto"/>
                <w:kern w:val="21"/>
                <w:szCs w:val="21"/>
                <w:highlight w:val="none"/>
                <w:lang w:val="en-US" w:eastAsia="zh-CN"/>
              </w:rPr>
              <w:t>t/a</w:t>
            </w:r>
          </w:p>
        </w:tc>
        <w:tc>
          <w:tcPr>
            <w:tcW w:w="1343" w:type="dxa"/>
            <w:noWrap w:val="0"/>
            <w:vAlign w:val="center"/>
          </w:tcPr>
          <w:p w14:paraId="6A48D1A9">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noWrap w:val="0"/>
            <w:vAlign w:val="center"/>
          </w:tcPr>
          <w:p w14:paraId="6EC36018">
            <w:pPr>
              <w:pStyle w:val="67"/>
              <w:spacing w:beforeLines="0" w:afterLines="0" w:line="240" w:lineRule="auto"/>
              <w:rPr>
                <w:rFonts w:hint="eastAsia"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0.000542</w:t>
            </w:r>
            <w:r>
              <w:rPr>
                <w:rFonts w:hint="eastAsia" w:ascii="Times New Roman"/>
                <w:snapToGrid w:val="0"/>
                <w:color w:val="auto"/>
                <w:kern w:val="21"/>
                <w:szCs w:val="21"/>
                <w:highlight w:val="none"/>
                <w:lang w:val="en-US" w:eastAsia="zh-CN"/>
              </w:rPr>
              <w:t>t/a</w:t>
            </w:r>
          </w:p>
        </w:tc>
        <w:tc>
          <w:tcPr>
            <w:tcW w:w="1431" w:type="dxa"/>
            <w:noWrap w:val="0"/>
            <w:vAlign w:val="center"/>
          </w:tcPr>
          <w:p w14:paraId="43BD1551">
            <w:pPr>
              <w:pStyle w:val="67"/>
              <w:spacing w:beforeLines="0" w:afterLines="0" w:line="240" w:lineRule="auto"/>
              <w:rPr>
                <w:rFonts w:hint="eastAsia" w:ascii="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+0.000542</w:t>
            </w:r>
            <w:r>
              <w:rPr>
                <w:rFonts w:hint="eastAsia" w:ascii="Times New Roman"/>
                <w:snapToGrid w:val="0"/>
                <w:color w:val="auto"/>
                <w:kern w:val="21"/>
                <w:szCs w:val="21"/>
                <w:highlight w:val="none"/>
                <w:lang w:val="en-US" w:eastAsia="zh-CN"/>
              </w:rPr>
              <w:t>t/a</w:t>
            </w:r>
          </w:p>
        </w:tc>
      </w:tr>
      <w:tr w14:paraId="096BB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35D4FA58">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5F535750">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甲苯</w:t>
            </w:r>
          </w:p>
        </w:tc>
        <w:tc>
          <w:tcPr>
            <w:tcW w:w="1700" w:type="dxa"/>
            <w:noWrap w:val="0"/>
            <w:vAlign w:val="center"/>
          </w:tcPr>
          <w:p w14:paraId="71AA2E4F">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275" w:type="dxa"/>
            <w:noWrap w:val="0"/>
            <w:vAlign w:val="center"/>
          </w:tcPr>
          <w:p w14:paraId="175CD19A">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700" w:type="dxa"/>
            <w:noWrap w:val="0"/>
            <w:vAlign w:val="center"/>
          </w:tcPr>
          <w:p w14:paraId="00E7B3F1">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558" w:type="dxa"/>
            <w:noWrap w:val="0"/>
            <w:vAlign w:val="center"/>
          </w:tcPr>
          <w:p w14:paraId="017CB707">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0.00149</w:t>
            </w:r>
            <w:r>
              <w:rPr>
                <w:rFonts w:hint="eastAsia" w:ascii="Times New Roman"/>
                <w:snapToGrid w:val="0"/>
                <w:color w:val="auto"/>
                <w:kern w:val="21"/>
                <w:szCs w:val="21"/>
                <w:highlight w:val="none"/>
                <w:lang w:val="en-US" w:eastAsia="zh-CN"/>
              </w:rPr>
              <w:t>t/a</w:t>
            </w:r>
          </w:p>
        </w:tc>
        <w:tc>
          <w:tcPr>
            <w:tcW w:w="1343" w:type="dxa"/>
            <w:noWrap w:val="0"/>
            <w:vAlign w:val="center"/>
          </w:tcPr>
          <w:p w14:paraId="254284B2">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noWrap w:val="0"/>
            <w:vAlign w:val="center"/>
          </w:tcPr>
          <w:p w14:paraId="78EFC372">
            <w:pPr>
              <w:pStyle w:val="67"/>
              <w:spacing w:beforeLines="0" w:afterLines="0" w:line="240" w:lineRule="auto"/>
              <w:rPr>
                <w:rFonts w:hint="default" w:ascii="Times New Roman"/>
                <w:snapToGrid w:val="0"/>
                <w:color w:val="auto"/>
                <w:kern w:val="21"/>
                <w:szCs w:val="21"/>
                <w:highlight w:val="none"/>
                <w:lang w:val="en-US"/>
              </w:rPr>
            </w:pPr>
            <w:r>
              <w:rPr>
                <w:rFonts w:hint="eastAsia" w:ascii="Times New Roman" w:hAnsi="Times New Roman" w:eastAsia="宋体" w:cs="Times New Roman"/>
                <w:snapToGrid w:val="0"/>
                <w:color w:val="auto"/>
                <w:kern w:val="21"/>
                <w:szCs w:val="21"/>
                <w:highlight w:val="none"/>
                <w:lang w:val="en-US" w:eastAsia="zh-CN"/>
              </w:rPr>
              <w:t>0.00149</w:t>
            </w:r>
            <w:r>
              <w:rPr>
                <w:rFonts w:hint="eastAsia" w:ascii="Times New Roman"/>
                <w:snapToGrid w:val="0"/>
                <w:color w:val="auto"/>
                <w:kern w:val="21"/>
                <w:szCs w:val="21"/>
                <w:highlight w:val="none"/>
                <w:lang w:val="en-US" w:eastAsia="zh-CN"/>
              </w:rPr>
              <w:t>t/a</w:t>
            </w:r>
          </w:p>
        </w:tc>
        <w:tc>
          <w:tcPr>
            <w:tcW w:w="1431" w:type="dxa"/>
            <w:noWrap w:val="0"/>
            <w:vAlign w:val="center"/>
          </w:tcPr>
          <w:p w14:paraId="24A53EB4">
            <w:pPr>
              <w:pStyle w:val="67"/>
              <w:spacing w:beforeLines="0" w:afterLines="0" w:line="240" w:lineRule="auto"/>
              <w:rPr>
                <w:rFonts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+0.00149</w:t>
            </w:r>
            <w:r>
              <w:rPr>
                <w:rFonts w:hint="eastAsia" w:ascii="Times New Roman"/>
                <w:snapToGrid w:val="0"/>
                <w:color w:val="auto"/>
                <w:kern w:val="21"/>
                <w:szCs w:val="21"/>
                <w:highlight w:val="none"/>
                <w:lang w:val="en-US" w:eastAsia="zh-CN"/>
              </w:rPr>
              <w:t>t/a</w:t>
            </w:r>
          </w:p>
        </w:tc>
      </w:tr>
      <w:tr w14:paraId="172E77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5DC774D0">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6A53208A">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三氯甲烷</w:t>
            </w:r>
          </w:p>
        </w:tc>
        <w:tc>
          <w:tcPr>
            <w:tcW w:w="1700" w:type="dxa"/>
            <w:noWrap w:val="0"/>
            <w:vAlign w:val="center"/>
          </w:tcPr>
          <w:p w14:paraId="27E163C4">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275" w:type="dxa"/>
            <w:noWrap w:val="0"/>
            <w:vAlign w:val="center"/>
          </w:tcPr>
          <w:p w14:paraId="2893D573">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700" w:type="dxa"/>
            <w:noWrap w:val="0"/>
            <w:vAlign w:val="center"/>
          </w:tcPr>
          <w:p w14:paraId="42B958FA">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558" w:type="dxa"/>
            <w:noWrap w:val="0"/>
            <w:vAlign w:val="center"/>
          </w:tcPr>
          <w:p w14:paraId="20FE2AA6">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0.000514</w:t>
            </w:r>
            <w:r>
              <w:rPr>
                <w:rFonts w:hint="eastAsia" w:ascii="Times New Roman"/>
                <w:snapToGrid w:val="0"/>
                <w:color w:val="auto"/>
                <w:kern w:val="21"/>
                <w:szCs w:val="21"/>
                <w:highlight w:val="none"/>
                <w:lang w:val="en-US" w:eastAsia="zh-CN"/>
              </w:rPr>
              <w:t>t/a</w:t>
            </w:r>
          </w:p>
        </w:tc>
        <w:tc>
          <w:tcPr>
            <w:tcW w:w="1343" w:type="dxa"/>
            <w:noWrap w:val="0"/>
            <w:vAlign w:val="center"/>
          </w:tcPr>
          <w:p w14:paraId="2CCE2885">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noWrap w:val="0"/>
            <w:vAlign w:val="center"/>
          </w:tcPr>
          <w:p w14:paraId="76AC981E">
            <w:pPr>
              <w:pStyle w:val="67"/>
              <w:spacing w:beforeLines="0" w:afterLines="0" w:line="240" w:lineRule="auto"/>
              <w:rPr>
                <w:rFonts w:hint="default" w:ascii="Times New Roman"/>
                <w:snapToGrid w:val="0"/>
                <w:color w:val="auto"/>
                <w:kern w:val="21"/>
                <w:szCs w:val="21"/>
                <w:highlight w:val="none"/>
                <w:lang w:val="en-US"/>
              </w:rPr>
            </w:pPr>
            <w:r>
              <w:rPr>
                <w:rFonts w:hint="eastAsia" w:ascii="Times New Roman" w:hAnsi="Times New Roman" w:eastAsia="宋体" w:cs="Times New Roman"/>
                <w:snapToGrid w:val="0"/>
                <w:color w:val="auto"/>
                <w:kern w:val="21"/>
                <w:szCs w:val="21"/>
                <w:highlight w:val="none"/>
                <w:lang w:val="en-US" w:eastAsia="zh-CN"/>
              </w:rPr>
              <w:t>0.000514</w:t>
            </w:r>
            <w:r>
              <w:rPr>
                <w:rFonts w:hint="eastAsia" w:ascii="Times New Roman"/>
                <w:snapToGrid w:val="0"/>
                <w:color w:val="auto"/>
                <w:kern w:val="21"/>
                <w:szCs w:val="21"/>
                <w:highlight w:val="none"/>
                <w:lang w:val="en-US" w:eastAsia="zh-CN"/>
              </w:rPr>
              <w:t>t/a</w:t>
            </w:r>
          </w:p>
        </w:tc>
        <w:tc>
          <w:tcPr>
            <w:tcW w:w="1431" w:type="dxa"/>
            <w:noWrap w:val="0"/>
            <w:vAlign w:val="center"/>
          </w:tcPr>
          <w:p w14:paraId="0F211CC2">
            <w:pPr>
              <w:pStyle w:val="67"/>
              <w:spacing w:beforeLines="0" w:afterLines="0" w:line="240" w:lineRule="auto"/>
              <w:rPr>
                <w:rFonts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+0.000514</w:t>
            </w:r>
            <w:r>
              <w:rPr>
                <w:rFonts w:hint="eastAsia" w:ascii="Times New Roman"/>
                <w:snapToGrid w:val="0"/>
                <w:color w:val="auto"/>
                <w:kern w:val="21"/>
                <w:szCs w:val="21"/>
                <w:highlight w:val="none"/>
                <w:lang w:val="en-US" w:eastAsia="zh-CN"/>
              </w:rPr>
              <w:t>t/a</w:t>
            </w:r>
          </w:p>
        </w:tc>
      </w:tr>
      <w:tr w14:paraId="7DEBC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4953BF6B">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7244366B">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二氯甲烷</w:t>
            </w:r>
          </w:p>
        </w:tc>
        <w:tc>
          <w:tcPr>
            <w:tcW w:w="1700" w:type="dxa"/>
            <w:noWrap w:val="0"/>
            <w:vAlign w:val="center"/>
          </w:tcPr>
          <w:p w14:paraId="7CDF8D67">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275" w:type="dxa"/>
            <w:noWrap w:val="0"/>
            <w:vAlign w:val="center"/>
          </w:tcPr>
          <w:p w14:paraId="147F1630">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700" w:type="dxa"/>
            <w:noWrap w:val="0"/>
            <w:vAlign w:val="center"/>
          </w:tcPr>
          <w:p w14:paraId="12D84A4D">
            <w:pPr>
              <w:pStyle w:val="6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558" w:type="dxa"/>
            <w:noWrap w:val="0"/>
            <w:vAlign w:val="center"/>
          </w:tcPr>
          <w:p w14:paraId="4402A9AF">
            <w:pPr>
              <w:pStyle w:val="67"/>
              <w:spacing w:beforeLines="0" w:afterLines="0" w:line="240" w:lineRule="auto"/>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0.000455</w:t>
            </w:r>
            <w:r>
              <w:rPr>
                <w:rFonts w:hint="eastAsia" w:ascii="Times New Roman"/>
                <w:snapToGrid w:val="0"/>
                <w:color w:val="auto"/>
                <w:kern w:val="21"/>
                <w:szCs w:val="21"/>
                <w:highlight w:val="none"/>
                <w:lang w:val="en-US" w:eastAsia="zh-CN"/>
              </w:rPr>
              <w:t>t/a</w:t>
            </w:r>
          </w:p>
        </w:tc>
        <w:tc>
          <w:tcPr>
            <w:tcW w:w="1343" w:type="dxa"/>
            <w:noWrap w:val="0"/>
            <w:vAlign w:val="center"/>
          </w:tcPr>
          <w:p w14:paraId="0695E145">
            <w:pPr>
              <w:pStyle w:val="67"/>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767" w:type="dxa"/>
            <w:noWrap w:val="0"/>
            <w:vAlign w:val="center"/>
          </w:tcPr>
          <w:p w14:paraId="556CC562">
            <w:pPr>
              <w:pStyle w:val="67"/>
              <w:spacing w:beforeLines="0" w:afterLines="0" w:line="240" w:lineRule="auto"/>
              <w:rPr>
                <w:rFonts w:hint="default" w:ascii="Times New Roman"/>
                <w:snapToGrid w:val="0"/>
                <w:color w:val="auto"/>
                <w:kern w:val="21"/>
                <w:szCs w:val="21"/>
                <w:highlight w:val="none"/>
                <w:lang w:val="en-US"/>
              </w:rPr>
            </w:pPr>
            <w:r>
              <w:rPr>
                <w:rFonts w:hint="eastAsia" w:ascii="Times New Roman" w:hAnsi="Times New Roman" w:eastAsia="宋体" w:cs="Times New Roman"/>
                <w:snapToGrid w:val="0"/>
                <w:color w:val="auto"/>
                <w:kern w:val="21"/>
                <w:szCs w:val="21"/>
                <w:highlight w:val="none"/>
                <w:lang w:val="en-US" w:eastAsia="zh-CN"/>
              </w:rPr>
              <w:t>0.000455</w:t>
            </w:r>
            <w:r>
              <w:rPr>
                <w:rFonts w:hint="eastAsia" w:ascii="Times New Roman"/>
                <w:snapToGrid w:val="0"/>
                <w:color w:val="auto"/>
                <w:kern w:val="21"/>
                <w:szCs w:val="21"/>
                <w:highlight w:val="none"/>
                <w:lang w:val="en-US" w:eastAsia="zh-CN"/>
              </w:rPr>
              <w:t>t/a</w:t>
            </w:r>
          </w:p>
        </w:tc>
        <w:tc>
          <w:tcPr>
            <w:tcW w:w="1431" w:type="dxa"/>
            <w:noWrap w:val="0"/>
            <w:vAlign w:val="center"/>
          </w:tcPr>
          <w:p w14:paraId="3AC8E8D5">
            <w:pPr>
              <w:pStyle w:val="67"/>
              <w:spacing w:beforeLines="0" w:afterLines="0" w:line="240" w:lineRule="auto"/>
              <w:rPr>
                <w:rFonts w:ascii="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lang w:val="en-US" w:eastAsia="zh-CN"/>
              </w:rPr>
              <w:t>+0.000455</w:t>
            </w:r>
            <w:r>
              <w:rPr>
                <w:rFonts w:hint="eastAsia" w:ascii="Times New Roman"/>
                <w:snapToGrid w:val="0"/>
                <w:color w:val="auto"/>
                <w:kern w:val="21"/>
                <w:szCs w:val="21"/>
                <w:highlight w:val="none"/>
                <w:lang w:val="en-US" w:eastAsia="zh-CN"/>
              </w:rPr>
              <w:t>t/a</w:t>
            </w:r>
          </w:p>
        </w:tc>
      </w:tr>
      <w:tr w14:paraId="6DA5D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76F5ECF7">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51C13812">
            <w:pPr>
              <w:jc w:val="center"/>
              <w:rPr>
                <w:snapToGrid w:val="0"/>
                <w:color w:val="auto"/>
                <w:kern w:val="21"/>
                <w:szCs w:val="21"/>
                <w:highlight w:val="none"/>
              </w:rPr>
            </w:pPr>
            <w:r>
              <w:rPr>
                <w:rFonts w:hint="eastAsia"/>
                <w:snapToGrid w:val="0"/>
                <w:color w:val="auto"/>
                <w:kern w:val="21"/>
                <w:szCs w:val="21"/>
                <w:highlight w:val="none"/>
              </w:rPr>
              <w:t>颗粒物</w:t>
            </w:r>
          </w:p>
        </w:tc>
        <w:tc>
          <w:tcPr>
            <w:tcW w:w="1700" w:type="dxa"/>
            <w:noWrap w:val="0"/>
            <w:vAlign w:val="center"/>
          </w:tcPr>
          <w:p w14:paraId="172047BA">
            <w:pPr>
              <w:jc w:val="center"/>
              <w:rPr>
                <w:snapToGrid w:val="0"/>
                <w:color w:val="auto"/>
                <w:kern w:val="21"/>
                <w:szCs w:val="21"/>
                <w:highlight w:val="none"/>
              </w:rPr>
            </w:pPr>
            <w:r>
              <w:rPr>
                <w:snapToGrid w:val="0"/>
                <w:color w:val="auto"/>
                <w:kern w:val="21"/>
                <w:szCs w:val="21"/>
                <w:highlight w:val="none"/>
              </w:rPr>
              <w:t>/</w:t>
            </w:r>
          </w:p>
        </w:tc>
        <w:tc>
          <w:tcPr>
            <w:tcW w:w="1275" w:type="dxa"/>
            <w:noWrap w:val="0"/>
            <w:vAlign w:val="center"/>
          </w:tcPr>
          <w:p w14:paraId="30C5A1E3">
            <w:pPr>
              <w:jc w:val="center"/>
              <w:rPr>
                <w:snapToGrid w:val="0"/>
                <w:color w:val="auto"/>
                <w:kern w:val="21"/>
                <w:szCs w:val="21"/>
                <w:highlight w:val="none"/>
              </w:rPr>
            </w:pPr>
            <w:r>
              <w:rPr>
                <w:snapToGrid w:val="0"/>
                <w:color w:val="auto"/>
                <w:kern w:val="21"/>
                <w:szCs w:val="21"/>
                <w:highlight w:val="none"/>
              </w:rPr>
              <w:t>/</w:t>
            </w:r>
          </w:p>
        </w:tc>
        <w:tc>
          <w:tcPr>
            <w:tcW w:w="1700" w:type="dxa"/>
            <w:noWrap w:val="0"/>
            <w:vAlign w:val="center"/>
          </w:tcPr>
          <w:p w14:paraId="029DFCA8">
            <w:pPr>
              <w:jc w:val="center"/>
              <w:rPr>
                <w:snapToGrid w:val="0"/>
                <w:color w:val="auto"/>
                <w:kern w:val="21"/>
                <w:szCs w:val="21"/>
                <w:highlight w:val="none"/>
              </w:rPr>
            </w:pPr>
            <w:r>
              <w:rPr>
                <w:snapToGrid w:val="0"/>
                <w:color w:val="auto"/>
                <w:kern w:val="21"/>
                <w:szCs w:val="21"/>
                <w:highlight w:val="none"/>
              </w:rPr>
              <w:t>/</w:t>
            </w:r>
          </w:p>
        </w:tc>
        <w:tc>
          <w:tcPr>
            <w:tcW w:w="1558" w:type="dxa"/>
            <w:noWrap w:val="0"/>
            <w:vAlign w:val="center"/>
          </w:tcPr>
          <w:p w14:paraId="70FCFF79">
            <w:pPr>
              <w:jc w:val="center"/>
              <w:rPr>
                <w:snapToGrid w:val="0"/>
                <w:color w:val="auto"/>
                <w:kern w:val="21"/>
                <w:szCs w:val="21"/>
                <w:highlight w:val="none"/>
              </w:rPr>
            </w:pPr>
            <w:r>
              <w:rPr>
                <w:rFonts w:hint="eastAsia"/>
                <w:snapToGrid w:val="0"/>
                <w:color w:val="auto"/>
                <w:kern w:val="21"/>
                <w:szCs w:val="21"/>
                <w:highlight w:val="none"/>
                <w:lang w:val="en-US" w:eastAsia="zh-CN"/>
              </w:rPr>
              <w:t>0.0224t</w:t>
            </w:r>
            <w:r>
              <w:rPr>
                <w:rFonts w:hint="eastAsia"/>
                <w:snapToGrid w:val="0"/>
                <w:color w:val="auto"/>
                <w:kern w:val="21"/>
                <w:szCs w:val="21"/>
                <w:highlight w:val="none"/>
              </w:rPr>
              <w:t>/a</w:t>
            </w:r>
          </w:p>
        </w:tc>
        <w:tc>
          <w:tcPr>
            <w:tcW w:w="1343" w:type="dxa"/>
            <w:noWrap w:val="0"/>
            <w:vAlign w:val="center"/>
          </w:tcPr>
          <w:p w14:paraId="0F51DA50">
            <w:pPr>
              <w:jc w:val="center"/>
              <w:rPr>
                <w:snapToGrid w:val="0"/>
                <w:color w:val="auto"/>
                <w:kern w:val="21"/>
                <w:szCs w:val="21"/>
                <w:highlight w:val="none"/>
              </w:rPr>
            </w:pPr>
            <w:r>
              <w:rPr>
                <w:snapToGrid w:val="0"/>
                <w:color w:val="auto"/>
                <w:kern w:val="21"/>
                <w:szCs w:val="21"/>
                <w:highlight w:val="none"/>
              </w:rPr>
              <w:t>/</w:t>
            </w:r>
          </w:p>
        </w:tc>
        <w:tc>
          <w:tcPr>
            <w:tcW w:w="1767" w:type="dxa"/>
            <w:noWrap w:val="0"/>
            <w:vAlign w:val="center"/>
          </w:tcPr>
          <w:p w14:paraId="0896E3A0">
            <w:pPr>
              <w:jc w:val="center"/>
              <w:rPr>
                <w:snapToGrid w:val="0"/>
                <w:color w:val="auto"/>
                <w:kern w:val="21"/>
                <w:szCs w:val="21"/>
                <w:highlight w:val="none"/>
              </w:rPr>
            </w:pPr>
            <w:r>
              <w:rPr>
                <w:rFonts w:hint="eastAsia"/>
                <w:snapToGrid w:val="0"/>
                <w:color w:val="auto"/>
                <w:kern w:val="21"/>
                <w:szCs w:val="21"/>
                <w:highlight w:val="none"/>
                <w:lang w:val="en-US" w:eastAsia="zh-CN"/>
              </w:rPr>
              <w:t>0.0224t</w:t>
            </w:r>
            <w:r>
              <w:rPr>
                <w:rFonts w:hint="eastAsia"/>
                <w:snapToGrid w:val="0"/>
                <w:color w:val="auto"/>
                <w:kern w:val="21"/>
                <w:szCs w:val="21"/>
                <w:highlight w:val="none"/>
              </w:rPr>
              <w:t>/a</w:t>
            </w:r>
          </w:p>
        </w:tc>
        <w:tc>
          <w:tcPr>
            <w:tcW w:w="1431" w:type="dxa"/>
            <w:noWrap w:val="0"/>
            <w:vAlign w:val="center"/>
          </w:tcPr>
          <w:p w14:paraId="793B018E">
            <w:pPr>
              <w:jc w:val="center"/>
              <w:rPr>
                <w:snapToGrid w:val="0"/>
                <w:color w:val="auto"/>
                <w:kern w:val="21"/>
                <w:szCs w:val="21"/>
                <w:highlight w:val="none"/>
              </w:rPr>
            </w:pPr>
            <w:r>
              <w:rPr>
                <w:rFonts w:hint="eastAsia"/>
                <w:snapToGrid w:val="0"/>
                <w:color w:val="auto"/>
                <w:kern w:val="21"/>
                <w:szCs w:val="21"/>
                <w:highlight w:val="none"/>
                <w:lang w:val="en-US" w:eastAsia="zh-CN"/>
              </w:rPr>
              <w:t>+0.0224t</w:t>
            </w:r>
            <w:r>
              <w:rPr>
                <w:rFonts w:hint="eastAsia"/>
                <w:snapToGrid w:val="0"/>
                <w:color w:val="auto"/>
                <w:kern w:val="21"/>
                <w:szCs w:val="21"/>
                <w:highlight w:val="none"/>
              </w:rPr>
              <w:t>/a</w:t>
            </w:r>
          </w:p>
        </w:tc>
      </w:tr>
      <w:tr w14:paraId="07B12B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restart"/>
            <w:noWrap w:val="0"/>
            <w:vAlign w:val="center"/>
          </w:tcPr>
          <w:p w14:paraId="4C526F96">
            <w:pPr>
              <w:pStyle w:val="67"/>
              <w:spacing w:beforeLines="0" w:afterLines="0" w:line="240" w:lineRule="auto"/>
              <w:rPr>
                <w:rFonts w:ascii="Times New Roman"/>
                <w:snapToGrid w:val="0"/>
                <w:color w:val="auto"/>
                <w:kern w:val="21"/>
                <w:szCs w:val="21"/>
                <w:highlight w:val="none"/>
              </w:rPr>
            </w:pPr>
            <w:r>
              <w:rPr>
                <w:rFonts w:ascii="Times New Roman"/>
                <w:snapToGrid w:val="0"/>
                <w:color w:val="auto"/>
                <w:kern w:val="21"/>
                <w:szCs w:val="21"/>
                <w:highlight w:val="none"/>
              </w:rPr>
              <w:t>废水</w:t>
            </w:r>
          </w:p>
        </w:tc>
        <w:tc>
          <w:tcPr>
            <w:tcW w:w="1605" w:type="dxa"/>
            <w:noWrap w:val="0"/>
            <w:vAlign w:val="center"/>
          </w:tcPr>
          <w:p w14:paraId="7B70F8BC">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废水量</w:t>
            </w:r>
          </w:p>
        </w:tc>
        <w:tc>
          <w:tcPr>
            <w:tcW w:w="1700" w:type="dxa"/>
            <w:noWrap w:val="0"/>
            <w:vAlign w:val="center"/>
          </w:tcPr>
          <w:p w14:paraId="3E0079EF">
            <w:pPr>
              <w:jc w:val="center"/>
              <w:rPr>
                <w:snapToGrid w:val="0"/>
                <w:color w:val="auto"/>
                <w:kern w:val="21"/>
                <w:szCs w:val="21"/>
                <w:highlight w:val="none"/>
              </w:rPr>
            </w:pPr>
            <w:r>
              <w:rPr>
                <w:rFonts w:hint="eastAsia" w:ascii="Times New Roman" w:hAnsi="Times New Roman" w:eastAsia="宋体" w:cs="Times New Roman"/>
                <w:color w:val="auto"/>
                <w:spacing w:val="0"/>
                <w:sz w:val="21"/>
                <w:szCs w:val="21"/>
                <w:highlight w:val="none"/>
                <w:lang w:val="en-US" w:eastAsia="zh-CN"/>
              </w:rPr>
              <w:t>3862</w:t>
            </w:r>
            <w:r>
              <w:rPr>
                <w:rFonts w:hint="default" w:ascii="Times New Roman" w:hAnsi="Times New Roman" w:eastAsia="宋体" w:cs="Times New Roman"/>
                <w:color w:val="auto"/>
                <w:spacing w:val="0"/>
                <w:sz w:val="21"/>
                <w:szCs w:val="21"/>
                <w:highlight w:val="none"/>
                <w:lang w:val="en-US" w:eastAsia="zh-CN"/>
              </w:rPr>
              <w:t>m</w:t>
            </w:r>
            <w:r>
              <w:rPr>
                <w:rFonts w:hint="default" w:ascii="Times New Roman" w:hAnsi="Times New Roman" w:eastAsia="宋体" w:cs="Times New Roman"/>
                <w:color w:val="auto"/>
                <w:spacing w:val="0"/>
                <w:sz w:val="21"/>
                <w:szCs w:val="21"/>
                <w:highlight w:val="none"/>
                <w:vertAlign w:val="superscript"/>
                <w:lang w:val="en-US" w:eastAsia="zh-CN"/>
              </w:rPr>
              <w:t>3</w:t>
            </w:r>
            <w:r>
              <w:rPr>
                <w:rFonts w:hint="default" w:ascii="Times New Roman" w:hAnsi="Times New Roman" w:eastAsia="宋体" w:cs="Times New Roman"/>
                <w:color w:val="auto"/>
                <w:spacing w:val="0"/>
                <w:sz w:val="21"/>
                <w:szCs w:val="21"/>
                <w:highlight w:val="none"/>
                <w:lang w:val="en-US" w:eastAsia="zh-CN"/>
              </w:rPr>
              <w:t>/a</w:t>
            </w:r>
          </w:p>
        </w:tc>
        <w:tc>
          <w:tcPr>
            <w:tcW w:w="1275" w:type="dxa"/>
            <w:noWrap w:val="0"/>
            <w:vAlign w:val="center"/>
          </w:tcPr>
          <w:p w14:paraId="6647D9A5">
            <w:pPr>
              <w:jc w:val="center"/>
              <w:rPr>
                <w:snapToGrid w:val="0"/>
                <w:color w:val="auto"/>
                <w:kern w:val="21"/>
                <w:szCs w:val="21"/>
                <w:highlight w:val="none"/>
              </w:rPr>
            </w:pPr>
          </w:p>
        </w:tc>
        <w:tc>
          <w:tcPr>
            <w:tcW w:w="1700" w:type="dxa"/>
            <w:noWrap w:val="0"/>
            <w:vAlign w:val="center"/>
          </w:tcPr>
          <w:p w14:paraId="65A4D632">
            <w:pPr>
              <w:jc w:val="center"/>
              <w:rPr>
                <w:snapToGrid w:val="0"/>
                <w:color w:val="auto"/>
                <w:kern w:val="21"/>
                <w:szCs w:val="21"/>
                <w:highlight w:val="none"/>
              </w:rPr>
            </w:pPr>
          </w:p>
        </w:tc>
        <w:tc>
          <w:tcPr>
            <w:tcW w:w="1558" w:type="dxa"/>
            <w:noWrap w:val="0"/>
            <w:vAlign w:val="center"/>
          </w:tcPr>
          <w:p w14:paraId="12EAFAC0">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571</w:t>
            </w:r>
            <w:r>
              <w:rPr>
                <w:rFonts w:hint="default" w:ascii="Times New Roman" w:hAnsi="Times New Roman" w:eastAsia="宋体" w:cs="Times New Roman"/>
                <w:color w:val="auto"/>
                <w:spacing w:val="0"/>
                <w:sz w:val="21"/>
                <w:szCs w:val="21"/>
                <w:highlight w:val="none"/>
                <w:lang w:val="en-US" w:eastAsia="zh-CN"/>
              </w:rPr>
              <w:t>m</w:t>
            </w:r>
            <w:r>
              <w:rPr>
                <w:rFonts w:hint="default" w:ascii="Times New Roman" w:hAnsi="Times New Roman" w:eastAsia="宋体" w:cs="Times New Roman"/>
                <w:color w:val="auto"/>
                <w:spacing w:val="0"/>
                <w:sz w:val="21"/>
                <w:szCs w:val="21"/>
                <w:highlight w:val="none"/>
                <w:vertAlign w:val="superscript"/>
                <w:lang w:val="en-US" w:eastAsia="zh-CN"/>
              </w:rPr>
              <w:t>3</w:t>
            </w:r>
            <w:r>
              <w:rPr>
                <w:rFonts w:hint="default" w:ascii="Times New Roman" w:hAnsi="Times New Roman" w:eastAsia="宋体" w:cs="Times New Roman"/>
                <w:color w:val="auto"/>
                <w:spacing w:val="0"/>
                <w:sz w:val="21"/>
                <w:szCs w:val="21"/>
                <w:highlight w:val="none"/>
                <w:lang w:val="en-US" w:eastAsia="zh-CN"/>
              </w:rPr>
              <w:t>/a</w:t>
            </w:r>
          </w:p>
        </w:tc>
        <w:tc>
          <w:tcPr>
            <w:tcW w:w="1343" w:type="dxa"/>
            <w:noWrap w:val="0"/>
            <w:vAlign w:val="center"/>
          </w:tcPr>
          <w:p w14:paraId="73C6DB32">
            <w:pPr>
              <w:jc w:val="center"/>
              <w:rPr>
                <w:snapToGrid w:val="0"/>
                <w:color w:val="auto"/>
                <w:kern w:val="21"/>
                <w:szCs w:val="21"/>
                <w:highlight w:val="none"/>
              </w:rPr>
            </w:pPr>
          </w:p>
        </w:tc>
        <w:tc>
          <w:tcPr>
            <w:tcW w:w="1767" w:type="dxa"/>
            <w:noWrap w:val="0"/>
            <w:vAlign w:val="center"/>
          </w:tcPr>
          <w:p w14:paraId="727EEE39">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4434</w:t>
            </w:r>
            <w:r>
              <w:rPr>
                <w:rFonts w:hint="default" w:ascii="Times New Roman" w:hAnsi="Times New Roman" w:eastAsia="宋体" w:cs="Times New Roman"/>
                <w:color w:val="auto"/>
                <w:spacing w:val="0"/>
                <w:sz w:val="21"/>
                <w:szCs w:val="21"/>
                <w:highlight w:val="none"/>
                <w:lang w:val="en-US" w:eastAsia="zh-CN"/>
              </w:rPr>
              <w:t>m</w:t>
            </w:r>
            <w:r>
              <w:rPr>
                <w:rFonts w:hint="default" w:ascii="Times New Roman" w:hAnsi="Times New Roman" w:eastAsia="宋体" w:cs="Times New Roman"/>
                <w:color w:val="auto"/>
                <w:spacing w:val="0"/>
                <w:sz w:val="21"/>
                <w:szCs w:val="21"/>
                <w:highlight w:val="none"/>
                <w:vertAlign w:val="superscript"/>
                <w:lang w:val="en-US" w:eastAsia="zh-CN"/>
              </w:rPr>
              <w:t>3</w:t>
            </w:r>
            <w:r>
              <w:rPr>
                <w:rFonts w:hint="default" w:ascii="Times New Roman" w:hAnsi="Times New Roman" w:eastAsia="宋体" w:cs="Times New Roman"/>
                <w:color w:val="auto"/>
                <w:spacing w:val="0"/>
                <w:sz w:val="21"/>
                <w:szCs w:val="21"/>
                <w:highlight w:val="none"/>
                <w:lang w:val="en-US" w:eastAsia="zh-CN"/>
              </w:rPr>
              <w:t>/a</w:t>
            </w:r>
          </w:p>
        </w:tc>
        <w:tc>
          <w:tcPr>
            <w:tcW w:w="1431" w:type="dxa"/>
            <w:noWrap w:val="0"/>
            <w:vAlign w:val="center"/>
          </w:tcPr>
          <w:p w14:paraId="0659D88F">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+571</w:t>
            </w:r>
            <w:r>
              <w:rPr>
                <w:rFonts w:hint="default" w:ascii="Times New Roman" w:hAnsi="Times New Roman" w:eastAsia="宋体" w:cs="Times New Roman"/>
                <w:color w:val="auto"/>
                <w:spacing w:val="0"/>
                <w:sz w:val="21"/>
                <w:szCs w:val="21"/>
                <w:highlight w:val="none"/>
                <w:lang w:val="en-US" w:eastAsia="zh-CN"/>
              </w:rPr>
              <w:t>m</w:t>
            </w:r>
            <w:r>
              <w:rPr>
                <w:rFonts w:hint="default" w:ascii="Times New Roman" w:hAnsi="Times New Roman" w:eastAsia="宋体" w:cs="Times New Roman"/>
                <w:color w:val="auto"/>
                <w:spacing w:val="0"/>
                <w:sz w:val="21"/>
                <w:szCs w:val="21"/>
                <w:highlight w:val="none"/>
                <w:vertAlign w:val="superscript"/>
                <w:lang w:val="en-US" w:eastAsia="zh-CN"/>
              </w:rPr>
              <w:t>3</w:t>
            </w:r>
            <w:r>
              <w:rPr>
                <w:rFonts w:hint="default" w:ascii="Times New Roman" w:hAnsi="Times New Roman" w:eastAsia="宋体" w:cs="Times New Roman"/>
                <w:color w:val="auto"/>
                <w:spacing w:val="0"/>
                <w:sz w:val="21"/>
                <w:szCs w:val="21"/>
                <w:highlight w:val="none"/>
                <w:lang w:val="en-US" w:eastAsia="zh-CN"/>
              </w:rPr>
              <w:t>/a</w:t>
            </w:r>
          </w:p>
        </w:tc>
      </w:tr>
      <w:tr w14:paraId="7F149B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6DC6F10C">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27BD2F80">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rPr>
              <w:t>COD</w:t>
            </w:r>
          </w:p>
        </w:tc>
        <w:tc>
          <w:tcPr>
            <w:tcW w:w="1700" w:type="dxa"/>
            <w:shd w:val="clear" w:color="auto" w:fill="auto"/>
            <w:noWrap w:val="0"/>
            <w:vAlign w:val="center"/>
          </w:tcPr>
          <w:p w14:paraId="4F99C65C">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color w:val="auto"/>
                <w:szCs w:val="21"/>
                <w:highlight w:val="none"/>
                <w:lang w:val="en-US" w:eastAsia="zh-CN"/>
              </w:rPr>
              <w:t>1.339</w:t>
            </w:r>
            <w:r>
              <w:rPr>
                <w:rFonts w:hint="eastAsia"/>
                <w:color w:val="auto"/>
                <w:szCs w:val="21"/>
                <w:highlight w:val="none"/>
              </w:rPr>
              <w:t>t/a</w:t>
            </w:r>
          </w:p>
        </w:tc>
        <w:tc>
          <w:tcPr>
            <w:tcW w:w="1275" w:type="dxa"/>
            <w:shd w:val="clear" w:color="auto" w:fill="auto"/>
            <w:noWrap w:val="0"/>
            <w:vAlign w:val="center"/>
          </w:tcPr>
          <w:p w14:paraId="5741DBF6">
            <w:pPr>
              <w:jc w:val="center"/>
              <w:rPr>
                <w:rFonts w:hint="eastAsia" w:ascii="Times New Roman" w:hAnsi="Times New Roman" w:eastAsia="宋体" w:cs="Times New Roman"/>
                <w:snapToGrid w:val="0"/>
                <w:color w:val="auto"/>
                <w:kern w:val="21"/>
                <w:sz w:val="21"/>
                <w:szCs w:val="21"/>
                <w:highlight w:val="none"/>
                <w:lang w:val="en-US" w:eastAsia="zh-CN" w:bidi="ar-SA"/>
              </w:rPr>
            </w:pPr>
            <w:r>
              <w:rPr>
                <w:snapToGrid w:val="0"/>
                <w:color w:val="auto"/>
                <w:kern w:val="21"/>
                <w:szCs w:val="21"/>
                <w:highlight w:val="none"/>
              </w:rPr>
              <w:t>/</w:t>
            </w:r>
          </w:p>
        </w:tc>
        <w:tc>
          <w:tcPr>
            <w:tcW w:w="1700" w:type="dxa"/>
            <w:shd w:val="clear" w:color="auto" w:fill="auto"/>
            <w:noWrap w:val="0"/>
            <w:vAlign w:val="center"/>
          </w:tcPr>
          <w:p w14:paraId="447E4D40">
            <w:pPr>
              <w:jc w:val="center"/>
              <w:rPr>
                <w:rFonts w:hint="eastAsia" w:ascii="Times New Roman" w:hAnsi="Times New Roman" w:eastAsia="宋体" w:cs="Times New Roman"/>
                <w:snapToGrid w:val="0"/>
                <w:color w:val="auto"/>
                <w:kern w:val="21"/>
                <w:sz w:val="21"/>
                <w:szCs w:val="21"/>
                <w:highlight w:val="none"/>
                <w:lang w:val="en-US" w:eastAsia="zh-CN" w:bidi="ar-SA"/>
              </w:rPr>
            </w:pPr>
            <w:r>
              <w:rPr>
                <w:snapToGrid w:val="0"/>
                <w:color w:val="auto"/>
                <w:kern w:val="21"/>
                <w:szCs w:val="21"/>
                <w:highlight w:val="none"/>
              </w:rPr>
              <w:t>/</w:t>
            </w:r>
          </w:p>
        </w:tc>
        <w:tc>
          <w:tcPr>
            <w:tcW w:w="1558" w:type="dxa"/>
            <w:shd w:val="clear" w:color="auto" w:fill="auto"/>
            <w:noWrap w:val="0"/>
            <w:vAlign w:val="center"/>
          </w:tcPr>
          <w:p w14:paraId="193E5ADF">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0.220</w:t>
            </w:r>
            <w:r>
              <w:rPr>
                <w:rFonts w:hint="eastAsia"/>
                <w:snapToGrid w:val="0"/>
                <w:color w:val="auto"/>
                <w:kern w:val="21"/>
                <w:szCs w:val="21"/>
                <w:highlight w:val="none"/>
              </w:rPr>
              <w:t>t/a</w:t>
            </w:r>
          </w:p>
        </w:tc>
        <w:tc>
          <w:tcPr>
            <w:tcW w:w="1343" w:type="dxa"/>
            <w:shd w:val="clear" w:color="auto" w:fill="auto"/>
            <w:noWrap w:val="0"/>
            <w:vAlign w:val="center"/>
          </w:tcPr>
          <w:p w14:paraId="4696BB72">
            <w:pPr>
              <w:jc w:val="center"/>
              <w:rPr>
                <w:rFonts w:hint="eastAsia" w:ascii="Times New Roman" w:hAnsi="Times New Roman" w:eastAsia="宋体" w:cs="Times New Roman"/>
                <w:snapToGrid w:val="0"/>
                <w:color w:val="auto"/>
                <w:kern w:val="21"/>
                <w:sz w:val="21"/>
                <w:szCs w:val="21"/>
                <w:highlight w:val="none"/>
                <w:lang w:val="en-US" w:eastAsia="zh-CN" w:bidi="ar-SA"/>
              </w:rPr>
            </w:pPr>
            <w:r>
              <w:rPr>
                <w:snapToGrid w:val="0"/>
                <w:color w:val="auto"/>
                <w:kern w:val="21"/>
                <w:szCs w:val="21"/>
                <w:highlight w:val="none"/>
              </w:rPr>
              <w:t>/</w:t>
            </w:r>
          </w:p>
        </w:tc>
        <w:tc>
          <w:tcPr>
            <w:tcW w:w="1767" w:type="dxa"/>
            <w:shd w:val="clear" w:color="auto" w:fill="auto"/>
            <w:noWrap w:val="0"/>
            <w:vAlign w:val="center"/>
          </w:tcPr>
          <w:p w14:paraId="23900916">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1.559</w:t>
            </w:r>
            <w:r>
              <w:rPr>
                <w:rFonts w:hint="eastAsia"/>
                <w:color w:val="auto"/>
                <w:szCs w:val="21"/>
                <w:highlight w:val="none"/>
              </w:rPr>
              <w:t>t/a</w:t>
            </w:r>
          </w:p>
        </w:tc>
        <w:tc>
          <w:tcPr>
            <w:tcW w:w="1431" w:type="dxa"/>
            <w:shd w:val="clear" w:color="auto" w:fill="auto"/>
            <w:noWrap w:val="0"/>
            <w:vAlign w:val="center"/>
          </w:tcPr>
          <w:p w14:paraId="0F63C545">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+0.220</w:t>
            </w:r>
            <w:r>
              <w:rPr>
                <w:rFonts w:hint="eastAsia"/>
                <w:snapToGrid w:val="0"/>
                <w:color w:val="auto"/>
                <w:kern w:val="21"/>
                <w:szCs w:val="21"/>
                <w:highlight w:val="none"/>
              </w:rPr>
              <w:t>t/a</w:t>
            </w:r>
          </w:p>
        </w:tc>
      </w:tr>
      <w:tr w14:paraId="1216E6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7E0B8344">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688DBAC7">
            <w:pPr>
              <w:jc w:val="center"/>
              <w:rPr>
                <w:snapToGrid w:val="0"/>
                <w:color w:val="auto"/>
                <w:kern w:val="21"/>
                <w:szCs w:val="21"/>
                <w:highlight w:val="none"/>
              </w:rPr>
            </w:pPr>
            <w:r>
              <w:rPr>
                <w:rFonts w:hint="eastAsia"/>
                <w:snapToGrid w:val="0"/>
                <w:color w:val="auto"/>
                <w:kern w:val="21"/>
                <w:szCs w:val="21"/>
                <w:highlight w:val="none"/>
              </w:rPr>
              <w:t>氨氮</w:t>
            </w:r>
          </w:p>
        </w:tc>
        <w:tc>
          <w:tcPr>
            <w:tcW w:w="1700" w:type="dxa"/>
            <w:noWrap w:val="0"/>
            <w:vAlign w:val="center"/>
          </w:tcPr>
          <w:p w14:paraId="02462087">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0.159</w:t>
            </w:r>
            <w:r>
              <w:rPr>
                <w:rFonts w:hint="eastAsia"/>
                <w:color w:val="auto"/>
                <w:szCs w:val="21"/>
                <w:highlight w:val="none"/>
              </w:rPr>
              <w:t>t/a</w:t>
            </w:r>
          </w:p>
        </w:tc>
        <w:tc>
          <w:tcPr>
            <w:tcW w:w="1275" w:type="dxa"/>
            <w:noWrap w:val="0"/>
            <w:vAlign w:val="center"/>
          </w:tcPr>
          <w:p w14:paraId="26614189">
            <w:pPr>
              <w:jc w:val="center"/>
              <w:rPr>
                <w:snapToGrid w:val="0"/>
                <w:color w:val="auto"/>
                <w:kern w:val="21"/>
                <w:szCs w:val="21"/>
                <w:highlight w:val="none"/>
              </w:rPr>
            </w:pPr>
            <w:r>
              <w:rPr>
                <w:rFonts w:hint="eastAsia"/>
                <w:snapToGrid w:val="0"/>
                <w:color w:val="auto"/>
                <w:kern w:val="21"/>
                <w:szCs w:val="21"/>
                <w:highlight w:val="none"/>
              </w:rPr>
              <w:t>/</w:t>
            </w:r>
          </w:p>
        </w:tc>
        <w:tc>
          <w:tcPr>
            <w:tcW w:w="1700" w:type="dxa"/>
            <w:noWrap w:val="0"/>
            <w:vAlign w:val="center"/>
          </w:tcPr>
          <w:p w14:paraId="487FC169">
            <w:pPr>
              <w:jc w:val="center"/>
              <w:rPr>
                <w:snapToGrid w:val="0"/>
                <w:color w:val="auto"/>
                <w:kern w:val="21"/>
                <w:szCs w:val="21"/>
                <w:highlight w:val="none"/>
              </w:rPr>
            </w:pPr>
            <w:r>
              <w:rPr>
                <w:rFonts w:hint="eastAsia"/>
                <w:snapToGrid w:val="0"/>
                <w:color w:val="auto"/>
                <w:kern w:val="21"/>
                <w:szCs w:val="21"/>
                <w:highlight w:val="none"/>
              </w:rPr>
              <w:t>/</w:t>
            </w:r>
          </w:p>
        </w:tc>
        <w:tc>
          <w:tcPr>
            <w:tcW w:w="1558" w:type="dxa"/>
            <w:noWrap w:val="0"/>
            <w:vAlign w:val="center"/>
          </w:tcPr>
          <w:p w14:paraId="75E97FFC">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0.019</w:t>
            </w:r>
            <w:r>
              <w:rPr>
                <w:rFonts w:hint="eastAsia"/>
                <w:snapToGrid w:val="0"/>
                <w:color w:val="auto"/>
                <w:kern w:val="21"/>
                <w:szCs w:val="21"/>
                <w:highlight w:val="none"/>
              </w:rPr>
              <w:t>t/a</w:t>
            </w:r>
          </w:p>
        </w:tc>
        <w:tc>
          <w:tcPr>
            <w:tcW w:w="1343" w:type="dxa"/>
            <w:noWrap w:val="0"/>
            <w:vAlign w:val="center"/>
          </w:tcPr>
          <w:p w14:paraId="3D82E0DF">
            <w:pPr>
              <w:jc w:val="center"/>
              <w:rPr>
                <w:snapToGrid w:val="0"/>
                <w:color w:val="auto"/>
                <w:kern w:val="21"/>
                <w:szCs w:val="21"/>
                <w:highlight w:val="none"/>
              </w:rPr>
            </w:pPr>
            <w:r>
              <w:rPr>
                <w:rFonts w:hint="eastAsia"/>
                <w:snapToGrid w:val="0"/>
                <w:color w:val="auto"/>
                <w:kern w:val="21"/>
                <w:szCs w:val="21"/>
                <w:highlight w:val="none"/>
              </w:rPr>
              <w:t>/</w:t>
            </w:r>
          </w:p>
        </w:tc>
        <w:tc>
          <w:tcPr>
            <w:tcW w:w="1767" w:type="dxa"/>
            <w:noWrap w:val="0"/>
            <w:vAlign w:val="center"/>
          </w:tcPr>
          <w:p w14:paraId="3A1301CE">
            <w:pPr>
              <w:jc w:val="center"/>
              <w:rPr>
                <w:snapToGrid w:val="0"/>
                <w:color w:val="auto"/>
                <w:kern w:val="21"/>
                <w:szCs w:val="21"/>
                <w:highlight w:val="none"/>
              </w:rPr>
            </w:pPr>
            <w:r>
              <w:rPr>
                <w:rFonts w:hint="eastAsia"/>
                <w:snapToGrid w:val="0"/>
                <w:color w:val="auto"/>
                <w:kern w:val="21"/>
                <w:szCs w:val="21"/>
                <w:highlight w:val="none"/>
                <w:lang w:val="en-US" w:eastAsia="zh-CN"/>
              </w:rPr>
              <w:t>0.178</w:t>
            </w:r>
            <w:r>
              <w:rPr>
                <w:rFonts w:hint="eastAsia"/>
                <w:color w:val="auto"/>
                <w:szCs w:val="21"/>
                <w:highlight w:val="none"/>
              </w:rPr>
              <w:t>t/a</w:t>
            </w:r>
          </w:p>
        </w:tc>
        <w:tc>
          <w:tcPr>
            <w:tcW w:w="1431" w:type="dxa"/>
            <w:noWrap w:val="0"/>
            <w:vAlign w:val="center"/>
          </w:tcPr>
          <w:p w14:paraId="39C994BE">
            <w:pPr>
              <w:jc w:val="center"/>
              <w:rPr>
                <w:snapToGrid w:val="0"/>
                <w:color w:val="auto"/>
                <w:kern w:val="21"/>
                <w:szCs w:val="21"/>
                <w:highlight w:val="none"/>
              </w:rPr>
            </w:pPr>
            <w:r>
              <w:rPr>
                <w:rFonts w:hint="eastAsia"/>
                <w:snapToGrid w:val="0"/>
                <w:color w:val="auto"/>
                <w:kern w:val="21"/>
                <w:szCs w:val="21"/>
                <w:highlight w:val="none"/>
                <w:lang w:val="en-US" w:eastAsia="zh-CN"/>
              </w:rPr>
              <w:t>+0.019</w:t>
            </w:r>
            <w:r>
              <w:rPr>
                <w:rFonts w:hint="eastAsia"/>
                <w:snapToGrid w:val="0"/>
                <w:color w:val="auto"/>
                <w:kern w:val="21"/>
                <w:szCs w:val="21"/>
                <w:highlight w:val="none"/>
              </w:rPr>
              <w:t>t/a</w:t>
            </w:r>
          </w:p>
        </w:tc>
      </w:tr>
      <w:tr w14:paraId="459715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restart"/>
            <w:noWrap w:val="0"/>
            <w:vAlign w:val="center"/>
          </w:tcPr>
          <w:p w14:paraId="6FB3CA47">
            <w:pPr>
              <w:pStyle w:val="67"/>
              <w:spacing w:beforeLines="0" w:afterLines="0" w:line="240" w:lineRule="auto"/>
              <w:rPr>
                <w:rFonts w:ascii="Times New Roman"/>
                <w:snapToGrid w:val="0"/>
                <w:color w:val="auto"/>
                <w:kern w:val="21"/>
                <w:szCs w:val="21"/>
                <w:highlight w:val="none"/>
              </w:rPr>
            </w:pPr>
            <w:r>
              <w:rPr>
                <w:rFonts w:ascii="Times New Roman"/>
                <w:snapToGrid w:val="0"/>
                <w:color w:val="auto"/>
                <w:kern w:val="21"/>
                <w:szCs w:val="21"/>
                <w:highlight w:val="none"/>
              </w:rPr>
              <w:t>一般工业</w:t>
            </w:r>
          </w:p>
          <w:p w14:paraId="3D515D4D">
            <w:pPr>
              <w:pStyle w:val="67"/>
              <w:spacing w:beforeLines="0" w:afterLines="0" w:line="240" w:lineRule="auto"/>
              <w:rPr>
                <w:rFonts w:ascii="Times New Roman"/>
                <w:snapToGrid w:val="0"/>
                <w:color w:val="auto"/>
                <w:kern w:val="21"/>
                <w:szCs w:val="21"/>
                <w:highlight w:val="none"/>
              </w:rPr>
            </w:pPr>
            <w:r>
              <w:rPr>
                <w:rFonts w:ascii="Times New Roman"/>
                <w:snapToGrid w:val="0"/>
                <w:color w:val="auto"/>
                <w:kern w:val="21"/>
                <w:szCs w:val="21"/>
                <w:highlight w:val="none"/>
              </w:rPr>
              <w:t>固体废物</w:t>
            </w:r>
          </w:p>
        </w:tc>
        <w:tc>
          <w:tcPr>
            <w:tcW w:w="1605" w:type="dxa"/>
            <w:noWrap w:val="0"/>
            <w:vAlign w:val="center"/>
          </w:tcPr>
          <w:p w14:paraId="30960444">
            <w:pPr>
              <w:pStyle w:val="94"/>
              <w:adjustRightInd w:val="0"/>
              <w:snapToGrid w:val="0"/>
              <w:spacing w:line="240" w:lineRule="atLeast"/>
              <w:ind w:firstLine="0" w:firstLineChars="0"/>
              <w:rPr>
                <w:rFonts w:hint="default" w:eastAsia="宋体"/>
                <w:color w:val="auto"/>
                <w:szCs w:val="21"/>
                <w:highlight w:val="none"/>
                <w:lang w:val="en-US" w:eastAsia="zh-CN"/>
              </w:rPr>
            </w:pPr>
            <w:r>
              <w:rPr>
                <w:rFonts w:hint="eastAsia" w:eastAsia="宋体"/>
                <w:color w:val="auto"/>
                <w:szCs w:val="21"/>
                <w:highlight w:val="none"/>
                <w:lang w:val="en-US" w:eastAsia="zh-CN"/>
              </w:rPr>
              <w:t>生活垃圾</w:t>
            </w:r>
          </w:p>
        </w:tc>
        <w:tc>
          <w:tcPr>
            <w:tcW w:w="1700" w:type="dxa"/>
            <w:noWrap w:val="0"/>
            <w:vAlign w:val="center"/>
          </w:tcPr>
          <w:p w14:paraId="7D375700">
            <w:pPr>
              <w:jc w:val="center"/>
              <w:rPr>
                <w:rFonts w:hint="default"/>
                <w:color w:val="auto"/>
                <w:szCs w:val="21"/>
                <w:highlight w:val="none"/>
                <w:lang w:val="en-US" w:eastAsia="zh-CN"/>
              </w:rPr>
            </w:pPr>
            <w:r>
              <w:rPr>
                <w:rFonts w:hint="eastAsia"/>
                <w:color w:val="auto"/>
                <w:szCs w:val="21"/>
                <w:highlight w:val="none"/>
                <w:lang w:val="en-US" w:eastAsia="zh-CN"/>
              </w:rPr>
              <w:t>45.5t/a</w:t>
            </w:r>
          </w:p>
        </w:tc>
        <w:tc>
          <w:tcPr>
            <w:tcW w:w="1275" w:type="dxa"/>
            <w:noWrap w:val="0"/>
            <w:vAlign w:val="center"/>
          </w:tcPr>
          <w:p w14:paraId="0B00E7CE">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00" w:type="dxa"/>
            <w:noWrap w:val="0"/>
            <w:vAlign w:val="center"/>
          </w:tcPr>
          <w:p w14:paraId="207073C1">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558" w:type="dxa"/>
            <w:noWrap w:val="0"/>
            <w:vAlign w:val="center"/>
          </w:tcPr>
          <w:p w14:paraId="57C0ED40">
            <w:pPr>
              <w:adjustRightInd w:val="0"/>
              <w:snapToGrid w:val="0"/>
              <w:spacing w:line="240" w:lineRule="atLeast"/>
              <w:jc w:val="center"/>
              <w:rPr>
                <w:rFonts w:hint="default"/>
                <w:color w:val="auto"/>
                <w:szCs w:val="21"/>
                <w:highlight w:val="none"/>
                <w:lang w:val="en-US" w:eastAsia="zh-CN"/>
              </w:rPr>
            </w:pPr>
            <w:r>
              <w:rPr>
                <w:rFonts w:hint="eastAsia"/>
                <w:color w:val="auto"/>
                <w:szCs w:val="21"/>
                <w:highlight w:val="none"/>
                <w:lang w:val="en-US" w:eastAsia="zh-CN"/>
              </w:rPr>
              <w:t>0</w:t>
            </w:r>
          </w:p>
        </w:tc>
        <w:tc>
          <w:tcPr>
            <w:tcW w:w="1343" w:type="dxa"/>
            <w:noWrap w:val="0"/>
            <w:vAlign w:val="center"/>
          </w:tcPr>
          <w:p w14:paraId="7DB173FB">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67" w:type="dxa"/>
            <w:noWrap w:val="0"/>
            <w:vAlign w:val="center"/>
          </w:tcPr>
          <w:p w14:paraId="5D458F86">
            <w:pPr>
              <w:adjustRightInd w:val="0"/>
              <w:snapToGrid w:val="0"/>
              <w:spacing w:line="240" w:lineRule="atLeast"/>
              <w:jc w:val="center"/>
              <w:rPr>
                <w:rFonts w:hint="default"/>
                <w:color w:val="auto"/>
                <w:szCs w:val="21"/>
                <w:highlight w:val="none"/>
                <w:lang w:val="en-US" w:eastAsia="zh-CN"/>
              </w:rPr>
            </w:pPr>
            <w:r>
              <w:rPr>
                <w:rFonts w:hint="eastAsia"/>
                <w:color w:val="auto"/>
                <w:szCs w:val="21"/>
                <w:highlight w:val="none"/>
                <w:lang w:val="en-US" w:eastAsia="zh-CN"/>
              </w:rPr>
              <w:t>45.5t/a</w:t>
            </w:r>
          </w:p>
        </w:tc>
        <w:tc>
          <w:tcPr>
            <w:tcW w:w="1431" w:type="dxa"/>
            <w:noWrap w:val="0"/>
            <w:vAlign w:val="center"/>
          </w:tcPr>
          <w:p w14:paraId="121980CA">
            <w:pPr>
              <w:adjustRightInd w:val="0"/>
              <w:snapToGrid w:val="0"/>
              <w:spacing w:line="240" w:lineRule="atLeast"/>
              <w:jc w:val="center"/>
              <w:rPr>
                <w:rFonts w:hint="default"/>
                <w:color w:val="auto"/>
                <w:szCs w:val="21"/>
                <w:highlight w:val="none"/>
                <w:lang w:val="en-US" w:eastAsia="zh-CN"/>
              </w:rPr>
            </w:pPr>
            <w:r>
              <w:rPr>
                <w:rFonts w:hint="eastAsia"/>
                <w:color w:val="auto"/>
                <w:szCs w:val="21"/>
                <w:highlight w:val="none"/>
                <w:lang w:val="en-US" w:eastAsia="zh-CN"/>
              </w:rPr>
              <w:t>0</w:t>
            </w:r>
          </w:p>
        </w:tc>
      </w:tr>
      <w:tr w14:paraId="0DE34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59296DE1">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57E2966F">
            <w:pPr>
              <w:pStyle w:val="94"/>
              <w:adjustRightInd w:val="0"/>
              <w:snapToGrid w:val="0"/>
              <w:spacing w:line="240" w:lineRule="atLeast"/>
              <w:ind w:firstLine="0" w:firstLineChars="0"/>
              <w:rPr>
                <w:rFonts w:hint="eastAsia" w:eastAsia="仿宋_GB2312"/>
                <w:snapToGrid w:val="0"/>
                <w:color w:val="auto"/>
                <w:kern w:val="21"/>
                <w:szCs w:val="21"/>
                <w:highlight w:val="none"/>
                <w:lang w:eastAsia="zh-CN"/>
              </w:rPr>
            </w:pPr>
            <w:r>
              <w:rPr>
                <w:rFonts w:hint="eastAsia" w:eastAsia="宋体"/>
                <w:color w:val="auto"/>
                <w:szCs w:val="21"/>
                <w:highlight w:val="none"/>
                <w:lang w:val="en-US" w:eastAsia="zh-CN"/>
              </w:rPr>
              <w:t>废样品</w:t>
            </w:r>
          </w:p>
        </w:tc>
        <w:tc>
          <w:tcPr>
            <w:tcW w:w="1700" w:type="dxa"/>
            <w:noWrap w:val="0"/>
            <w:vAlign w:val="center"/>
          </w:tcPr>
          <w:p w14:paraId="646D5EF8">
            <w:pPr>
              <w:jc w:val="center"/>
              <w:rPr>
                <w:rFonts w:hint="default"/>
                <w:snapToGrid w:val="0"/>
                <w:color w:val="auto"/>
                <w:kern w:val="21"/>
                <w:szCs w:val="21"/>
                <w:highlight w:val="none"/>
                <w:lang w:val="en-US"/>
              </w:rPr>
            </w:pPr>
            <w:r>
              <w:rPr>
                <w:rFonts w:hint="eastAsia"/>
                <w:color w:val="auto"/>
                <w:szCs w:val="21"/>
                <w:highlight w:val="none"/>
                <w:lang w:val="en-US" w:eastAsia="zh-CN"/>
              </w:rPr>
              <w:t>0.5</w:t>
            </w:r>
            <w:r>
              <w:rPr>
                <w:rFonts w:hint="eastAsia"/>
                <w:color w:val="auto"/>
                <w:szCs w:val="21"/>
                <w:highlight w:val="none"/>
              </w:rPr>
              <w:t>t/a</w:t>
            </w:r>
          </w:p>
        </w:tc>
        <w:tc>
          <w:tcPr>
            <w:tcW w:w="1275" w:type="dxa"/>
            <w:noWrap w:val="0"/>
            <w:vAlign w:val="center"/>
          </w:tcPr>
          <w:p w14:paraId="78442D97">
            <w:pPr>
              <w:jc w:val="center"/>
              <w:rPr>
                <w:snapToGrid w:val="0"/>
                <w:color w:val="auto"/>
                <w:kern w:val="21"/>
                <w:szCs w:val="21"/>
                <w:highlight w:val="none"/>
              </w:rPr>
            </w:pPr>
            <w:r>
              <w:rPr>
                <w:rFonts w:hint="eastAsia"/>
                <w:snapToGrid w:val="0"/>
                <w:color w:val="auto"/>
                <w:kern w:val="21"/>
                <w:szCs w:val="21"/>
                <w:highlight w:val="none"/>
              </w:rPr>
              <w:t>/</w:t>
            </w:r>
          </w:p>
        </w:tc>
        <w:tc>
          <w:tcPr>
            <w:tcW w:w="1700" w:type="dxa"/>
            <w:noWrap w:val="0"/>
            <w:vAlign w:val="center"/>
          </w:tcPr>
          <w:p w14:paraId="74C73627">
            <w:pPr>
              <w:jc w:val="center"/>
              <w:rPr>
                <w:snapToGrid w:val="0"/>
                <w:color w:val="auto"/>
                <w:kern w:val="21"/>
                <w:szCs w:val="21"/>
                <w:highlight w:val="none"/>
              </w:rPr>
            </w:pPr>
            <w:r>
              <w:rPr>
                <w:rFonts w:hint="eastAsia"/>
                <w:snapToGrid w:val="0"/>
                <w:color w:val="auto"/>
                <w:kern w:val="21"/>
                <w:szCs w:val="21"/>
                <w:highlight w:val="none"/>
              </w:rPr>
              <w:t>/</w:t>
            </w:r>
          </w:p>
        </w:tc>
        <w:tc>
          <w:tcPr>
            <w:tcW w:w="1558" w:type="dxa"/>
            <w:noWrap w:val="0"/>
            <w:vAlign w:val="center"/>
          </w:tcPr>
          <w:p w14:paraId="11130ADC">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1.0</w:t>
            </w:r>
            <w:r>
              <w:rPr>
                <w:rFonts w:hint="eastAsia"/>
                <w:color w:val="auto"/>
                <w:szCs w:val="21"/>
                <w:highlight w:val="none"/>
              </w:rPr>
              <w:t>t/a</w:t>
            </w:r>
          </w:p>
        </w:tc>
        <w:tc>
          <w:tcPr>
            <w:tcW w:w="1343" w:type="dxa"/>
            <w:noWrap w:val="0"/>
            <w:vAlign w:val="center"/>
          </w:tcPr>
          <w:p w14:paraId="04DF59E1">
            <w:pPr>
              <w:jc w:val="center"/>
              <w:rPr>
                <w:snapToGrid w:val="0"/>
                <w:color w:val="auto"/>
                <w:kern w:val="21"/>
                <w:szCs w:val="21"/>
                <w:highlight w:val="none"/>
              </w:rPr>
            </w:pPr>
            <w:r>
              <w:rPr>
                <w:rFonts w:hint="eastAsia"/>
                <w:snapToGrid w:val="0"/>
                <w:color w:val="auto"/>
                <w:kern w:val="21"/>
                <w:szCs w:val="21"/>
                <w:highlight w:val="none"/>
              </w:rPr>
              <w:t>/</w:t>
            </w:r>
          </w:p>
        </w:tc>
        <w:tc>
          <w:tcPr>
            <w:tcW w:w="1767" w:type="dxa"/>
            <w:noWrap w:val="0"/>
            <w:vAlign w:val="center"/>
          </w:tcPr>
          <w:p w14:paraId="5E3598E3">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1.5</w:t>
            </w:r>
            <w:r>
              <w:rPr>
                <w:rFonts w:hint="eastAsia"/>
                <w:color w:val="auto"/>
                <w:szCs w:val="21"/>
                <w:highlight w:val="none"/>
              </w:rPr>
              <w:t>t/a</w:t>
            </w:r>
          </w:p>
        </w:tc>
        <w:tc>
          <w:tcPr>
            <w:tcW w:w="1431" w:type="dxa"/>
            <w:noWrap w:val="0"/>
            <w:vAlign w:val="center"/>
          </w:tcPr>
          <w:p w14:paraId="3E470604">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+1.0</w:t>
            </w:r>
            <w:r>
              <w:rPr>
                <w:rFonts w:hint="eastAsia"/>
                <w:color w:val="auto"/>
                <w:szCs w:val="21"/>
                <w:highlight w:val="none"/>
              </w:rPr>
              <w:t>t/a</w:t>
            </w:r>
          </w:p>
        </w:tc>
      </w:tr>
      <w:tr w14:paraId="67CDE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1B880FA0">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07D4C65F">
            <w:pPr>
              <w:pStyle w:val="94"/>
              <w:adjustRightInd w:val="0"/>
              <w:snapToGrid w:val="0"/>
              <w:spacing w:line="240" w:lineRule="atLeast"/>
              <w:ind w:firstLine="0" w:firstLineChars="0"/>
              <w:rPr>
                <w:snapToGrid w:val="0"/>
                <w:color w:val="auto"/>
                <w:kern w:val="21"/>
                <w:szCs w:val="21"/>
                <w:highlight w:val="none"/>
              </w:rPr>
            </w:pPr>
            <w:r>
              <w:rPr>
                <w:rFonts w:hint="eastAsia" w:ascii="宋体" w:hAnsi="宋体" w:eastAsia="宋体" w:cs="宋体"/>
                <w:snapToGrid w:val="0"/>
                <w:color w:val="auto"/>
                <w:kern w:val="21"/>
                <w:szCs w:val="21"/>
                <w:highlight w:val="none"/>
              </w:rPr>
              <w:t>废纸屑及废包装材料</w:t>
            </w:r>
          </w:p>
        </w:tc>
        <w:tc>
          <w:tcPr>
            <w:tcW w:w="1700" w:type="dxa"/>
            <w:noWrap w:val="0"/>
            <w:vAlign w:val="center"/>
          </w:tcPr>
          <w:p w14:paraId="5F0A4FF4">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0.5</w:t>
            </w:r>
            <w:r>
              <w:rPr>
                <w:rFonts w:hint="eastAsia"/>
                <w:color w:val="auto"/>
                <w:szCs w:val="21"/>
                <w:highlight w:val="none"/>
              </w:rPr>
              <w:t>t/a</w:t>
            </w:r>
          </w:p>
        </w:tc>
        <w:tc>
          <w:tcPr>
            <w:tcW w:w="1275" w:type="dxa"/>
            <w:noWrap w:val="0"/>
            <w:vAlign w:val="center"/>
          </w:tcPr>
          <w:p w14:paraId="5579525B">
            <w:pPr>
              <w:jc w:val="center"/>
              <w:rPr>
                <w:snapToGrid w:val="0"/>
                <w:color w:val="auto"/>
                <w:kern w:val="21"/>
                <w:szCs w:val="21"/>
                <w:highlight w:val="none"/>
              </w:rPr>
            </w:pPr>
            <w:r>
              <w:rPr>
                <w:rFonts w:hint="eastAsia"/>
                <w:snapToGrid w:val="0"/>
                <w:color w:val="auto"/>
                <w:kern w:val="21"/>
                <w:szCs w:val="21"/>
                <w:highlight w:val="none"/>
              </w:rPr>
              <w:t>/</w:t>
            </w:r>
          </w:p>
        </w:tc>
        <w:tc>
          <w:tcPr>
            <w:tcW w:w="1700" w:type="dxa"/>
            <w:noWrap w:val="0"/>
            <w:vAlign w:val="center"/>
          </w:tcPr>
          <w:p w14:paraId="1C8B6F58">
            <w:pPr>
              <w:jc w:val="center"/>
              <w:rPr>
                <w:snapToGrid w:val="0"/>
                <w:color w:val="auto"/>
                <w:kern w:val="21"/>
                <w:szCs w:val="21"/>
                <w:highlight w:val="none"/>
              </w:rPr>
            </w:pPr>
            <w:r>
              <w:rPr>
                <w:rFonts w:hint="eastAsia"/>
                <w:snapToGrid w:val="0"/>
                <w:color w:val="auto"/>
                <w:kern w:val="21"/>
                <w:szCs w:val="21"/>
                <w:highlight w:val="none"/>
              </w:rPr>
              <w:t>/</w:t>
            </w:r>
          </w:p>
        </w:tc>
        <w:tc>
          <w:tcPr>
            <w:tcW w:w="1558" w:type="dxa"/>
            <w:noWrap w:val="0"/>
            <w:vAlign w:val="center"/>
          </w:tcPr>
          <w:p w14:paraId="3210A138">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1.0</w:t>
            </w:r>
            <w:r>
              <w:rPr>
                <w:rFonts w:hint="eastAsia"/>
                <w:color w:val="auto"/>
                <w:szCs w:val="21"/>
                <w:highlight w:val="none"/>
              </w:rPr>
              <w:t>t/a</w:t>
            </w:r>
          </w:p>
        </w:tc>
        <w:tc>
          <w:tcPr>
            <w:tcW w:w="1343" w:type="dxa"/>
            <w:noWrap w:val="0"/>
            <w:vAlign w:val="center"/>
          </w:tcPr>
          <w:p w14:paraId="159FBC6A">
            <w:pPr>
              <w:jc w:val="center"/>
              <w:rPr>
                <w:snapToGrid w:val="0"/>
                <w:color w:val="auto"/>
                <w:kern w:val="21"/>
                <w:szCs w:val="21"/>
                <w:highlight w:val="none"/>
              </w:rPr>
            </w:pPr>
            <w:r>
              <w:rPr>
                <w:rFonts w:hint="eastAsia"/>
                <w:snapToGrid w:val="0"/>
                <w:color w:val="auto"/>
                <w:kern w:val="21"/>
                <w:szCs w:val="21"/>
                <w:highlight w:val="none"/>
              </w:rPr>
              <w:t>/</w:t>
            </w:r>
          </w:p>
        </w:tc>
        <w:tc>
          <w:tcPr>
            <w:tcW w:w="1767" w:type="dxa"/>
            <w:noWrap w:val="0"/>
            <w:vAlign w:val="center"/>
          </w:tcPr>
          <w:p w14:paraId="147666B6">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1.5</w:t>
            </w:r>
            <w:r>
              <w:rPr>
                <w:rFonts w:hint="eastAsia"/>
                <w:color w:val="auto"/>
                <w:szCs w:val="21"/>
                <w:highlight w:val="none"/>
              </w:rPr>
              <w:t>t/a</w:t>
            </w:r>
          </w:p>
        </w:tc>
        <w:tc>
          <w:tcPr>
            <w:tcW w:w="1431" w:type="dxa"/>
            <w:noWrap w:val="0"/>
            <w:vAlign w:val="center"/>
          </w:tcPr>
          <w:p w14:paraId="070D2153">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+1.0</w:t>
            </w:r>
            <w:r>
              <w:rPr>
                <w:rFonts w:hint="eastAsia"/>
                <w:color w:val="auto"/>
                <w:szCs w:val="21"/>
                <w:highlight w:val="none"/>
              </w:rPr>
              <w:t>t/a</w:t>
            </w:r>
          </w:p>
        </w:tc>
      </w:tr>
      <w:tr w14:paraId="73AA7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37DE7FF9">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4307810A">
            <w:pPr>
              <w:pStyle w:val="94"/>
              <w:adjustRightInd w:val="0"/>
              <w:snapToGrid w:val="0"/>
              <w:spacing w:line="240" w:lineRule="atLeast"/>
              <w:ind w:firstLine="0" w:firstLineChars="0"/>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color w:val="auto"/>
                <w:szCs w:val="21"/>
                <w:highlight w:val="none"/>
                <w:lang w:val="en-US" w:eastAsia="zh-CN"/>
              </w:rPr>
              <w:t>废滤芯</w:t>
            </w:r>
          </w:p>
        </w:tc>
        <w:tc>
          <w:tcPr>
            <w:tcW w:w="1700" w:type="dxa"/>
            <w:shd w:val="clear" w:color="auto" w:fill="auto"/>
            <w:noWrap w:val="0"/>
            <w:vAlign w:val="center"/>
          </w:tcPr>
          <w:p w14:paraId="4633E4B4">
            <w:pPr>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0.01t/a</w:t>
            </w:r>
          </w:p>
        </w:tc>
        <w:tc>
          <w:tcPr>
            <w:tcW w:w="1275" w:type="dxa"/>
            <w:shd w:val="clear" w:color="auto" w:fill="auto"/>
            <w:noWrap w:val="0"/>
            <w:vAlign w:val="center"/>
          </w:tcPr>
          <w:p w14:paraId="3787B72F">
            <w:pPr>
              <w:jc w:val="center"/>
              <w:rPr>
                <w:rFonts w:ascii="Times New Roman" w:hAnsi="Times New Roman" w:eastAsia="宋体" w:cs="Times New Roman"/>
                <w:snapToGrid w:val="0"/>
                <w:color w:val="auto"/>
                <w:kern w:val="21"/>
                <w:sz w:val="21"/>
                <w:szCs w:val="21"/>
                <w:highlight w:val="none"/>
                <w:lang w:val="en-US" w:eastAsia="zh-CN" w:bidi="ar-SA"/>
              </w:rPr>
            </w:pPr>
          </w:p>
        </w:tc>
        <w:tc>
          <w:tcPr>
            <w:tcW w:w="1700" w:type="dxa"/>
            <w:shd w:val="clear" w:color="auto" w:fill="auto"/>
            <w:noWrap w:val="0"/>
            <w:vAlign w:val="center"/>
          </w:tcPr>
          <w:p w14:paraId="217CE3E4">
            <w:pPr>
              <w:jc w:val="center"/>
              <w:rPr>
                <w:rFonts w:hint="eastAsia" w:ascii="Times New Roman" w:hAnsi="Times New Roman" w:eastAsia="宋体" w:cs="Times New Roman"/>
                <w:snapToGrid w:val="0"/>
                <w:color w:val="auto"/>
                <w:kern w:val="21"/>
                <w:sz w:val="21"/>
                <w:szCs w:val="21"/>
                <w:highlight w:val="none"/>
                <w:lang w:val="en-US" w:eastAsia="zh-CN" w:bidi="ar-SA"/>
              </w:rPr>
            </w:pPr>
          </w:p>
        </w:tc>
        <w:tc>
          <w:tcPr>
            <w:tcW w:w="1558" w:type="dxa"/>
            <w:shd w:val="clear" w:color="auto" w:fill="auto"/>
            <w:noWrap w:val="0"/>
            <w:vAlign w:val="center"/>
          </w:tcPr>
          <w:p w14:paraId="7E307B92">
            <w:pPr>
              <w:adjustRightInd w:val="0"/>
              <w:snapToGrid w:val="0"/>
              <w:spacing w:line="24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0.04t/a</w:t>
            </w:r>
          </w:p>
        </w:tc>
        <w:tc>
          <w:tcPr>
            <w:tcW w:w="1343" w:type="dxa"/>
            <w:noWrap w:val="0"/>
            <w:vAlign w:val="center"/>
          </w:tcPr>
          <w:p w14:paraId="51EE4C7B">
            <w:pPr>
              <w:jc w:val="center"/>
              <w:rPr>
                <w:snapToGrid w:val="0"/>
                <w:color w:val="auto"/>
                <w:kern w:val="21"/>
                <w:szCs w:val="21"/>
                <w:highlight w:val="none"/>
              </w:rPr>
            </w:pPr>
          </w:p>
        </w:tc>
        <w:tc>
          <w:tcPr>
            <w:tcW w:w="1767" w:type="dxa"/>
            <w:noWrap w:val="0"/>
            <w:vAlign w:val="center"/>
          </w:tcPr>
          <w:p w14:paraId="7AB6BB2E">
            <w:pPr>
              <w:adjustRightInd w:val="0"/>
              <w:snapToGrid w:val="0"/>
              <w:spacing w:line="240" w:lineRule="atLeast"/>
              <w:jc w:val="center"/>
              <w:rPr>
                <w:rFonts w:hint="default" w:eastAsia="宋体"/>
                <w:color w:val="auto"/>
                <w:szCs w:val="21"/>
                <w:highlight w:val="none"/>
                <w:lang w:val="en-US" w:eastAsia="zh-CN"/>
              </w:rPr>
            </w:pPr>
            <w:r>
              <w:rPr>
                <w:rFonts w:hint="eastAsia"/>
                <w:color w:val="auto"/>
                <w:szCs w:val="21"/>
                <w:highlight w:val="none"/>
                <w:lang w:val="en-US" w:eastAsia="zh-CN"/>
              </w:rPr>
              <w:t>0.05t/a</w:t>
            </w:r>
          </w:p>
        </w:tc>
        <w:tc>
          <w:tcPr>
            <w:tcW w:w="1431" w:type="dxa"/>
            <w:noWrap w:val="0"/>
            <w:vAlign w:val="center"/>
          </w:tcPr>
          <w:p w14:paraId="4E6F0748">
            <w:pPr>
              <w:adjustRightInd w:val="0"/>
              <w:snapToGrid w:val="0"/>
              <w:spacing w:line="240" w:lineRule="atLeast"/>
              <w:jc w:val="center"/>
              <w:rPr>
                <w:rFonts w:hint="default" w:eastAsia="宋体"/>
                <w:color w:val="auto"/>
                <w:szCs w:val="21"/>
                <w:highlight w:val="none"/>
                <w:lang w:val="en-US" w:eastAsia="zh-CN"/>
              </w:rPr>
            </w:pPr>
            <w:r>
              <w:rPr>
                <w:rFonts w:hint="eastAsia"/>
                <w:color w:val="auto"/>
                <w:szCs w:val="21"/>
                <w:highlight w:val="none"/>
                <w:lang w:val="en-US" w:eastAsia="zh-CN"/>
              </w:rPr>
              <w:t>+0.04t/a</w:t>
            </w:r>
          </w:p>
        </w:tc>
      </w:tr>
      <w:tr w14:paraId="48180B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29943A6C">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00AEDD74">
            <w:pPr>
              <w:pStyle w:val="94"/>
              <w:adjustRightInd w:val="0"/>
              <w:snapToGrid w:val="0"/>
              <w:spacing w:line="240" w:lineRule="atLeast"/>
              <w:ind w:firstLine="0" w:firstLineChars="0"/>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color w:val="auto"/>
                <w:szCs w:val="21"/>
                <w:highlight w:val="none"/>
              </w:rPr>
              <w:t>收尘灰</w:t>
            </w:r>
          </w:p>
        </w:tc>
        <w:tc>
          <w:tcPr>
            <w:tcW w:w="1700" w:type="dxa"/>
            <w:shd w:val="clear" w:color="auto" w:fill="auto"/>
            <w:noWrap w:val="0"/>
            <w:vAlign w:val="center"/>
          </w:tcPr>
          <w:p w14:paraId="72DEC18B">
            <w:pPr>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rPr>
              <w:t>/</w:t>
            </w:r>
          </w:p>
        </w:tc>
        <w:tc>
          <w:tcPr>
            <w:tcW w:w="1275" w:type="dxa"/>
            <w:shd w:val="clear" w:color="auto" w:fill="auto"/>
            <w:noWrap w:val="0"/>
            <w:vAlign w:val="center"/>
          </w:tcPr>
          <w:p w14:paraId="7829E668">
            <w:pPr>
              <w:jc w:val="center"/>
              <w:rPr>
                <w:rFonts w:ascii="Times New Roman" w:hAnsi="Times New Roman" w:eastAsia="宋体" w:cs="Times New Roman"/>
                <w:snapToGrid w:val="0"/>
                <w:color w:val="auto"/>
                <w:kern w:val="21"/>
                <w:sz w:val="21"/>
                <w:szCs w:val="21"/>
                <w:highlight w:val="none"/>
                <w:lang w:val="en-US" w:eastAsia="zh-CN" w:bidi="ar-SA"/>
              </w:rPr>
            </w:pPr>
          </w:p>
        </w:tc>
        <w:tc>
          <w:tcPr>
            <w:tcW w:w="1700" w:type="dxa"/>
            <w:shd w:val="clear" w:color="auto" w:fill="auto"/>
            <w:noWrap w:val="0"/>
            <w:vAlign w:val="center"/>
          </w:tcPr>
          <w:p w14:paraId="4B49C87A">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rPr>
              <w:t>/</w:t>
            </w:r>
          </w:p>
        </w:tc>
        <w:tc>
          <w:tcPr>
            <w:tcW w:w="1558" w:type="dxa"/>
            <w:shd w:val="clear" w:color="auto" w:fill="auto"/>
            <w:noWrap w:val="0"/>
            <w:vAlign w:val="center"/>
          </w:tcPr>
          <w:p w14:paraId="5EECCB17">
            <w:pPr>
              <w:adjustRightInd w:val="0"/>
              <w:snapToGrid w:val="0"/>
              <w:spacing w:line="24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1.97</w:t>
            </w:r>
            <w:r>
              <w:rPr>
                <w:rFonts w:hint="eastAsia"/>
                <w:color w:val="auto"/>
                <w:szCs w:val="21"/>
                <w:highlight w:val="none"/>
              </w:rPr>
              <w:t>t/a</w:t>
            </w:r>
          </w:p>
        </w:tc>
        <w:tc>
          <w:tcPr>
            <w:tcW w:w="1343" w:type="dxa"/>
            <w:shd w:val="clear" w:color="auto" w:fill="auto"/>
            <w:noWrap w:val="0"/>
            <w:vAlign w:val="center"/>
          </w:tcPr>
          <w:p w14:paraId="114F1A12">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rPr>
              <w:t>/</w:t>
            </w:r>
          </w:p>
        </w:tc>
        <w:tc>
          <w:tcPr>
            <w:tcW w:w="1767" w:type="dxa"/>
            <w:shd w:val="clear" w:color="auto" w:fill="auto"/>
            <w:noWrap w:val="0"/>
            <w:vAlign w:val="center"/>
          </w:tcPr>
          <w:p w14:paraId="0FD49D88">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1.97</w:t>
            </w:r>
            <w:r>
              <w:rPr>
                <w:rFonts w:hint="eastAsia"/>
                <w:color w:val="auto"/>
                <w:szCs w:val="21"/>
                <w:highlight w:val="none"/>
              </w:rPr>
              <w:t>t/a</w:t>
            </w:r>
          </w:p>
        </w:tc>
        <w:tc>
          <w:tcPr>
            <w:tcW w:w="1431" w:type="dxa"/>
            <w:shd w:val="clear" w:color="auto" w:fill="auto"/>
            <w:noWrap w:val="0"/>
            <w:vAlign w:val="center"/>
          </w:tcPr>
          <w:p w14:paraId="35D8D4A2">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+1.97</w:t>
            </w:r>
            <w:r>
              <w:rPr>
                <w:rFonts w:hint="eastAsia"/>
                <w:color w:val="auto"/>
                <w:szCs w:val="21"/>
                <w:highlight w:val="none"/>
              </w:rPr>
              <w:t>t/a</w:t>
            </w:r>
          </w:p>
        </w:tc>
      </w:tr>
      <w:tr w14:paraId="7FD54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4348B745">
            <w:pPr>
              <w:pStyle w:val="67"/>
              <w:spacing w:beforeLines="0" w:afterLines="0" w:line="240" w:lineRule="auto"/>
              <w:rPr>
                <w:rFonts w:ascii="Times New Roman"/>
                <w:snapToGrid w:val="0"/>
                <w:color w:val="auto"/>
                <w:kern w:val="21"/>
                <w:szCs w:val="21"/>
                <w:highlight w:val="none"/>
              </w:rPr>
            </w:pPr>
          </w:p>
        </w:tc>
        <w:tc>
          <w:tcPr>
            <w:tcW w:w="1605" w:type="dxa"/>
            <w:noWrap w:val="0"/>
            <w:vAlign w:val="center"/>
          </w:tcPr>
          <w:p w14:paraId="4EC962FE">
            <w:pPr>
              <w:pStyle w:val="94"/>
              <w:adjustRightInd w:val="0"/>
              <w:snapToGrid w:val="0"/>
              <w:spacing w:line="240" w:lineRule="atLeast"/>
              <w:ind w:firstLine="0" w:firstLineChars="0"/>
              <w:rPr>
                <w:rFonts w:hint="eastAsia" w:eastAsia="宋体"/>
                <w:color w:val="auto"/>
                <w:szCs w:val="21"/>
                <w:highlight w:val="none"/>
                <w:lang w:val="en-US" w:eastAsia="zh-CN"/>
              </w:rPr>
            </w:pPr>
            <w:r>
              <w:rPr>
                <w:rFonts w:hint="eastAsia" w:eastAsia="宋体"/>
                <w:color w:val="auto"/>
                <w:szCs w:val="21"/>
                <w:highlight w:val="none"/>
                <w:lang w:val="en-US" w:eastAsia="zh-CN"/>
              </w:rPr>
              <w:t>灭菌后的废培养基</w:t>
            </w:r>
          </w:p>
        </w:tc>
        <w:tc>
          <w:tcPr>
            <w:tcW w:w="1700" w:type="dxa"/>
            <w:noWrap w:val="0"/>
            <w:vAlign w:val="center"/>
          </w:tcPr>
          <w:p w14:paraId="68002D9A">
            <w:pPr>
              <w:jc w:val="center"/>
              <w:rPr>
                <w:rFonts w:hint="default"/>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275" w:type="dxa"/>
            <w:noWrap w:val="0"/>
            <w:vAlign w:val="center"/>
          </w:tcPr>
          <w:p w14:paraId="206A134F">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00" w:type="dxa"/>
            <w:noWrap w:val="0"/>
            <w:vAlign w:val="center"/>
          </w:tcPr>
          <w:p w14:paraId="77B3CB0F">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558" w:type="dxa"/>
            <w:noWrap w:val="0"/>
            <w:vAlign w:val="center"/>
          </w:tcPr>
          <w:p w14:paraId="24B5E7CD">
            <w:pPr>
              <w:adjustRightInd w:val="0"/>
              <w:snapToGrid w:val="0"/>
              <w:spacing w:line="240" w:lineRule="atLeast"/>
              <w:jc w:val="center"/>
              <w:rPr>
                <w:rFonts w:hint="eastAsia"/>
                <w:color w:val="auto"/>
                <w:szCs w:val="21"/>
                <w:highlight w:val="none"/>
                <w:lang w:val="en-US" w:eastAsia="zh-CN"/>
              </w:rPr>
            </w:pPr>
            <w:r>
              <w:rPr>
                <w:rFonts w:hint="eastAsia"/>
                <w:color w:val="auto"/>
                <w:szCs w:val="21"/>
                <w:highlight w:val="none"/>
                <w:lang w:val="en-US" w:eastAsia="zh-CN"/>
              </w:rPr>
              <w:t>0.01t/a</w:t>
            </w:r>
          </w:p>
        </w:tc>
        <w:tc>
          <w:tcPr>
            <w:tcW w:w="1343" w:type="dxa"/>
            <w:noWrap w:val="0"/>
            <w:vAlign w:val="center"/>
          </w:tcPr>
          <w:p w14:paraId="6C4E8A3F">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67" w:type="dxa"/>
            <w:noWrap w:val="0"/>
            <w:vAlign w:val="center"/>
          </w:tcPr>
          <w:p w14:paraId="0758413D">
            <w:pPr>
              <w:adjustRightInd w:val="0"/>
              <w:snapToGrid w:val="0"/>
              <w:spacing w:line="240" w:lineRule="atLeast"/>
              <w:jc w:val="center"/>
              <w:rPr>
                <w:rFonts w:hint="eastAsia"/>
                <w:color w:val="auto"/>
                <w:szCs w:val="21"/>
                <w:highlight w:val="none"/>
                <w:lang w:val="en-US" w:eastAsia="zh-CN"/>
              </w:rPr>
            </w:pPr>
            <w:r>
              <w:rPr>
                <w:rFonts w:hint="eastAsia"/>
                <w:color w:val="auto"/>
                <w:szCs w:val="21"/>
                <w:highlight w:val="none"/>
                <w:lang w:val="en-US" w:eastAsia="zh-CN"/>
              </w:rPr>
              <w:t>0.01t/a</w:t>
            </w:r>
          </w:p>
        </w:tc>
        <w:tc>
          <w:tcPr>
            <w:tcW w:w="1431" w:type="dxa"/>
            <w:noWrap w:val="0"/>
            <w:vAlign w:val="center"/>
          </w:tcPr>
          <w:p w14:paraId="14DD3F77">
            <w:pPr>
              <w:adjustRightInd w:val="0"/>
              <w:snapToGrid w:val="0"/>
              <w:spacing w:line="240" w:lineRule="atLeast"/>
              <w:jc w:val="center"/>
              <w:rPr>
                <w:rFonts w:hint="eastAsia"/>
                <w:color w:val="auto"/>
                <w:szCs w:val="21"/>
                <w:highlight w:val="none"/>
                <w:lang w:val="en-US" w:eastAsia="zh-CN"/>
              </w:rPr>
            </w:pPr>
            <w:r>
              <w:rPr>
                <w:rFonts w:hint="eastAsia"/>
                <w:color w:val="auto"/>
                <w:szCs w:val="21"/>
                <w:highlight w:val="none"/>
                <w:lang w:val="en-US" w:eastAsia="zh-CN"/>
              </w:rPr>
              <w:t>+0.01t/a</w:t>
            </w:r>
          </w:p>
        </w:tc>
      </w:tr>
      <w:tr w14:paraId="4BBE66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63C762E0">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506F149C">
            <w:pPr>
              <w:pStyle w:val="94"/>
              <w:adjustRightInd w:val="0"/>
              <w:snapToGrid w:val="0"/>
              <w:spacing w:line="240" w:lineRule="atLeast"/>
              <w:ind w:firstLine="0" w:firstLineChars="0"/>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cs="Times New Roman"/>
                <w:color w:val="auto"/>
                <w:szCs w:val="21"/>
                <w:highlight w:val="none"/>
                <w:lang w:val="en-US" w:eastAsia="zh-CN"/>
              </w:rPr>
              <w:t>污泥</w:t>
            </w:r>
          </w:p>
        </w:tc>
        <w:tc>
          <w:tcPr>
            <w:tcW w:w="1700" w:type="dxa"/>
            <w:shd w:val="clear" w:color="auto" w:fill="auto"/>
            <w:noWrap w:val="0"/>
            <w:vAlign w:val="center"/>
          </w:tcPr>
          <w:p w14:paraId="07FDCB5B">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0t/a</w:t>
            </w:r>
          </w:p>
        </w:tc>
        <w:tc>
          <w:tcPr>
            <w:tcW w:w="1275" w:type="dxa"/>
            <w:shd w:val="clear" w:color="auto" w:fill="auto"/>
            <w:noWrap w:val="0"/>
            <w:vAlign w:val="center"/>
          </w:tcPr>
          <w:p w14:paraId="2CC42415">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w:t>
            </w:r>
          </w:p>
        </w:tc>
        <w:tc>
          <w:tcPr>
            <w:tcW w:w="1700" w:type="dxa"/>
            <w:shd w:val="clear" w:color="auto" w:fill="auto"/>
            <w:noWrap w:val="0"/>
            <w:vAlign w:val="center"/>
          </w:tcPr>
          <w:p w14:paraId="30B8386A">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w:t>
            </w:r>
          </w:p>
        </w:tc>
        <w:tc>
          <w:tcPr>
            <w:tcW w:w="1558" w:type="dxa"/>
            <w:shd w:val="clear" w:color="auto" w:fill="auto"/>
            <w:noWrap w:val="0"/>
            <w:vAlign w:val="center"/>
          </w:tcPr>
          <w:p w14:paraId="13865EB4">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0.48t/a</w:t>
            </w:r>
          </w:p>
        </w:tc>
        <w:tc>
          <w:tcPr>
            <w:tcW w:w="1343" w:type="dxa"/>
            <w:shd w:val="clear" w:color="auto" w:fill="auto"/>
            <w:noWrap w:val="0"/>
            <w:vAlign w:val="center"/>
          </w:tcPr>
          <w:p w14:paraId="407D7514">
            <w:pPr>
              <w:jc w:val="center"/>
              <w:rPr>
                <w:rFonts w:hint="eastAsia" w:ascii="Times New Roman" w:hAnsi="Times New Roman" w:eastAsia="宋体" w:cs="Times New Roman"/>
                <w:snapToGrid w:val="0"/>
                <w:color w:val="auto"/>
                <w:kern w:val="21"/>
                <w:sz w:val="21"/>
                <w:szCs w:val="21"/>
                <w:highlight w:val="none"/>
                <w:lang w:val="en-US" w:eastAsia="zh-CN" w:bidi="ar-SA"/>
              </w:rPr>
            </w:pPr>
            <w:r>
              <w:rPr>
                <w:rFonts w:hint="eastAsia"/>
                <w:snapToGrid w:val="0"/>
                <w:color w:val="auto"/>
                <w:kern w:val="21"/>
                <w:szCs w:val="21"/>
                <w:highlight w:val="none"/>
                <w:lang w:val="en-US" w:eastAsia="zh-CN"/>
              </w:rPr>
              <w:t>/</w:t>
            </w:r>
          </w:p>
        </w:tc>
        <w:tc>
          <w:tcPr>
            <w:tcW w:w="1767" w:type="dxa"/>
            <w:shd w:val="clear" w:color="auto" w:fill="auto"/>
            <w:noWrap w:val="0"/>
            <w:vAlign w:val="center"/>
          </w:tcPr>
          <w:p w14:paraId="481D093A">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0.48t/a</w:t>
            </w:r>
          </w:p>
        </w:tc>
        <w:tc>
          <w:tcPr>
            <w:tcW w:w="1431" w:type="dxa"/>
            <w:shd w:val="clear" w:color="auto" w:fill="auto"/>
            <w:noWrap w:val="0"/>
            <w:vAlign w:val="center"/>
          </w:tcPr>
          <w:p w14:paraId="36747279">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+0.48t/a</w:t>
            </w:r>
          </w:p>
        </w:tc>
      </w:tr>
      <w:tr w14:paraId="16780B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restart"/>
            <w:noWrap w:val="0"/>
            <w:vAlign w:val="center"/>
          </w:tcPr>
          <w:p w14:paraId="47C56857">
            <w:pPr>
              <w:pStyle w:val="67"/>
              <w:spacing w:beforeLines="0" w:afterLines="0" w:line="240" w:lineRule="auto"/>
              <w:rPr>
                <w:rFonts w:ascii="Times New Roman"/>
                <w:snapToGrid w:val="0"/>
                <w:color w:val="auto"/>
                <w:kern w:val="21"/>
                <w:szCs w:val="21"/>
                <w:highlight w:val="none"/>
              </w:rPr>
            </w:pPr>
            <w:r>
              <w:rPr>
                <w:rFonts w:ascii="Times New Roman"/>
                <w:snapToGrid w:val="0"/>
                <w:color w:val="auto"/>
                <w:kern w:val="21"/>
                <w:szCs w:val="21"/>
                <w:highlight w:val="none"/>
              </w:rPr>
              <w:t>危险废物</w:t>
            </w:r>
          </w:p>
        </w:tc>
        <w:tc>
          <w:tcPr>
            <w:tcW w:w="1605" w:type="dxa"/>
            <w:shd w:val="clear" w:color="auto" w:fill="auto"/>
            <w:noWrap w:val="0"/>
            <w:vAlign w:val="center"/>
          </w:tcPr>
          <w:p w14:paraId="33625951">
            <w:pPr>
              <w:pStyle w:val="94"/>
              <w:adjustRightInd w:val="0"/>
              <w:snapToGrid w:val="0"/>
              <w:spacing w:line="240" w:lineRule="atLeast"/>
              <w:ind w:firstLine="0" w:firstLineChars="0"/>
              <w:rPr>
                <w:rFonts w:ascii="Times New Roman" w:hAnsi="Times New Roman" w:eastAsia="仿宋_GB2312" w:cs="Times New Roman"/>
                <w:bCs/>
                <w:snapToGrid w:val="0"/>
                <w:color w:val="auto"/>
                <w:kern w:val="21"/>
                <w:sz w:val="21"/>
                <w:szCs w:val="21"/>
                <w:highlight w:val="none"/>
                <w:lang w:val="en-US" w:eastAsia="zh-CN" w:bidi="ar-SA"/>
              </w:rPr>
            </w:pPr>
            <w:r>
              <w:rPr>
                <w:rFonts w:hint="eastAsia" w:ascii="宋体" w:hAnsi="宋体" w:eastAsia="宋体" w:cs="宋体"/>
                <w:snapToGrid w:val="0"/>
                <w:color w:val="auto"/>
                <w:kern w:val="21"/>
                <w:szCs w:val="21"/>
                <w:highlight w:val="none"/>
              </w:rPr>
              <w:t>实验室废液</w:t>
            </w:r>
          </w:p>
        </w:tc>
        <w:tc>
          <w:tcPr>
            <w:tcW w:w="1700" w:type="dxa"/>
            <w:noWrap w:val="0"/>
            <w:vAlign w:val="center"/>
          </w:tcPr>
          <w:p w14:paraId="4C3CE3F3">
            <w:pPr>
              <w:jc w:val="center"/>
              <w:rPr>
                <w:rFonts w:hint="eastAsia" w:eastAsia="宋体"/>
                <w:snapToGrid w:val="0"/>
                <w:color w:val="0000FF"/>
                <w:kern w:val="21"/>
                <w:szCs w:val="21"/>
                <w:highlight w:val="none"/>
                <w:lang w:eastAsia="zh-CN"/>
              </w:rPr>
            </w:pPr>
            <w:r>
              <w:rPr>
                <w:rFonts w:hint="eastAsia"/>
                <w:snapToGrid w:val="0"/>
                <w:color w:val="0000FF"/>
                <w:kern w:val="21"/>
                <w:szCs w:val="21"/>
                <w:highlight w:val="none"/>
                <w:lang w:val="en-US" w:eastAsia="zh-CN"/>
              </w:rPr>
              <w:t>1</w:t>
            </w:r>
            <w:r>
              <w:rPr>
                <w:rFonts w:hint="eastAsia"/>
                <w:color w:val="0000FF"/>
                <w:szCs w:val="21"/>
                <w:highlight w:val="none"/>
              </w:rPr>
              <w:t>t/a</w:t>
            </w:r>
          </w:p>
        </w:tc>
        <w:tc>
          <w:tcPr>
            <w:tcW w:w="1275" w:type="dxa"/>
            <w:noWrap w:val="0"/>
            <w:vAlign w:val="center"/>
          </w:tcPr>
          <w:p w14:paraId="375D7F8C">
            <w:pPr>
              <w:jc w:val="center"/>
              <w:rPr>
                <w:snapToGrid w:val="0"/>
                <w:color w:val="0000FF"/>
                <w:kern w:val="21"/>
                <w:szCs w:val="21"/>
                <w:highlight w:val="none"/>
              </w:rPr>
            </w:pPr>
            <w:r>
              <w:rPr>
                <w:rFonts w:hint="eastAsia"/>
                <w:snapToGrid w:val="0"/>
                <w:color w:val="0000FF"/>
                <w:kern w:val="21"/>
                <w:szCs w:val="21"/>
                <w:highlight w:val="none"/>
              </w:rPr>
              <w:t>/</w:t>
            </w:r>
          </w:p>
        </w:tc>
        <w:tc>
          <w:tcPr>
            <w:tcW w:w="1700" w:type="dxa"/>
            <w:noWrap w:val="0"/>
            <w:vAlign w:val="center"/>
          </w:tcPr>
          <w:p w14:paraId="40FDCC52">
            <w:pPr>
              <w:jc w:val="center"/>
              <w:rPr>
                <w:snapToGrid w:val="0"/>
                <w:color w:val="0000FF"/>
                <w:kern w:val="21"/>
                <w:szCs w:val="21"/>
                <w:highlight w:val="none"/>
              </w:rPr>
            </w:pPr>
            <w:r>
              <w:rPr>
                <w:rFonts w:hint="eastAsia"/>
                <w:snapToGrid w:val="0"/>
                <w:color w:val="0000FF"/>
                <w:kern w:val="21"/>
                <w:szCs w:val="21"/>
                <w:highlight w:val="none"/>
              </w:rPr>
              <w:t>/</w:t>
            </w:r>
          </w:p>
        </w:tc>
        <w:tc>
          <w:tcPr>
            <w:tcW w:w="1558" w:type="dxa"/>
            <w:noWrap w:val="0"/>
            <w:vAlign w:val="center"/>
          </w:tcPr>
          <w:p w14:paraId="2D0A5356">
            <w:pPr>
              <w:adjustRightInd w:val="0"/>
              <w:snapToGrid w:val="0"/>
              <w:spacing w:line="240" w:lineRule="atLeast"/>
              <w:jc w:val="center"/>
              <w:rPr>
                <w:color w:val="0000FF"/>
                <w:highlight w:val="none"/>
              </w:rPr>
            </w:pPr>
            <w:r>
              <w:rPr>
                <w:rFonts w:hint="eastAsia"/>
                <w:color w:val="0000FF"/>
                <w:szCs w:val="21"/>
                <w:highlight w:val="none"/>
                <w:lang w:val="en-US" w:eastAsia="zh-CN"/>
              </w:rPr>
              <w:t>52</w:t>
            </w:r>
            <w:r>
              <w:rPr>
                <w:rFonts w:hint="eastAsia"/>
                <w:color w:val="0000FF"/>
                <w:szCs w:val="21"/>
                <w:highlight w:val="none"/>
              </w:rPr>
              <w:t>t/a</w:t>
            </w:r>
          </w:p>
        </w:tc>
        <w:tc>
          <w:tcPr>
            <w:tcW w:w="1343" w:type="dxa"/>
            <w:noWrap w:val="0"/>
            <w:vAlign w:val="center"/>
          </w:tcPr>
          <w:p w14:paraId="66A26A13">
            <w:pPr>
              <w:jc w:val="center"/>
              <w:rPr>
                <w:snapToGrid w:val="0"/>
                <w:color w:val="0000FF"/>
                <w:kern w:val="21"/>
                <w:szCs w:val="21"/>
                <w:highlight w:val="none"/>
              </w:rPr>
            </w:pPr>
            <w:r>
              <w:rPr>
                <w:rFonts w:hint="eastAsia"/>
                <w:snapToGrid w:val="0"/>
                <w:color w:val="0000FF"/>
                <w:kern w:val="21"/>
                <w:szCs w:val="21"/>
                <w:highlight w:val="none"/>
              </w:rPr>
              <w:t>/</w:t>
            </w:r>
          </w:p>
        </w:tc>
        <w:tc>
          <w:tcPr>
            <w:tcW w:w="1767" w:type="dxa"/>
            <w:noWrap w:val="0"/>
            <w:vAlign w:val="center"/>
          </w:tcPr>
          <w:p w14:paraId="463DB85D">
            <w:pPr>
              <w:adjustRightInd w:val="0"/>
              <w:snapToGrid w:val="0"/>
              <w:spacing w:line="240" w:lineRule="atLeast"/>
              <w:jc w:val="center"/>
              <w:rPr>
                <w:snapToGrid w:val="0"/>
                <w:color w:val="0000FF"/>
                <w:kern w:val="21"/>
                <w:szCs w:val="21"/>
                <w:highlight w:val="none"/>
              </w:rPr>
            </w:pPr>
            <w:r>
              <w:rPr>
                <w:rFonts w:hint="eastAsia"/>
                <w:color w:val="0000FF"/>
                <w:highlight w:val="none"/>
                <w:lang w:val="en-US" w:eastAsia="zh-CN"/>
              </w:rPr>
              <w:t>53</w:t>
            </w:r>
            <w:r>
              <w:rPr>
                <w:rFonts w:hint="eastAsia"/>
                <w:color w:val="0000FF"/>
                <w:szCs w:val="21"/>
                <w:highlight w:val="none"/>
              </w:rPr>
              <w:t>t/a</w:t>
            </w:r>
          </w:p>
        </w:tc>
        <w:tc>
          <w:tcPr>
            <w:tcW w:w="1431" w:type="dxa"/>
            <w:noWrap w:val="0"/>
            <w:vAlign w:val="center"/>
          </w:tcPr>
          <w:p w14:paraId="11633FED">
            <w:pPr>
              <w:adjustRightInd w:val="0"/>
              <w:snapToGrid w:val="0"/>
              <w:spacing w:line="240" w:lineRule="atLeast"/>
              <w:jc w:val="center"/>
              <w:rPr>
                <w:snapToGrid w:val="0"/>
                <w:color w:val="0000FF"/>
                <w:kern w:val="21"/>
                <w:szCs w:val="21"/>
                <w:highlight w:val="none"/>
              </w:rPr>
            </w:pPr>
            <w:r>
              <w:rPr>
                <w:rFonts w:hint="eastAsia"/>
                <w:color w:val="0000FF"/>
                <w:highlight w:val="none"/>
                <w:lang w:val="en-US" w:eastAsia="zh-CN"/>
              </w:rPr>
              <w:t>+52</w:t>
            </w:r>
            <w:r>
              <w:rPr>
                <w:rFonts w:hint="eastAsia"/>
                <w:color w:val="0000FF"/>
                <w:szCs w:val="21"/>
                <w:highlight w:val="none"/>
              </w:rPr>
              <w:t>t/a</w:t>
            </w:r>
          </w:p>
        </w:tc>
      </w:tr>
      <w:tr w14:paraId="23EEBC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13501C9E">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261BDF36">
            <w:pPr>
              <w:pStyle w:val="94"/>
              <w:adjustRightInd w:val="0"/>
              <w:snapToGrid w:val="0"/>
              <w:spacing w:line="240" w:lineRule="atLeast"/>
              <w:ind w:firstLine="0" w:firstLineChars="0"/>
              <w:rPr>
                <w:rFonts w:ascii="Times New Roman" w:hAnsi="Times New Roman" w:eastAsia="宋体" w:cs="Times New Roman"/>
                <w:bCs/>
                <w:color w:val="auto"/>
                <w:kern w:val="2"/>
                <w:sz w:val="21"/>
                <w:szCs w:val="21"/>
                <w:highlight w:val="none"/>
                <w:lang w:val="en-US" w:eastAsia="zh-CN" w:bidi="ar-SA"/>
              </w:rPr>
            </w:pPr>
            <w:r>
              <w:rPr>
                <w:rFonts w:hint="eastAsia" w:eastAsia="宋体"/>
                <w:color w:val="auto"/>
                <w:szCs w:val="21"/>
                <w:highlight w:val="none"/>
              </w:rPr>
              <w:t>废试剂包装物等沾染物</w:t>
            </w:r>
          </w:p>
        </w:tc>
        <w:tc>
          <w:tcPr>
            <w:tcW w:w="1700" w:type="dxa"/>
            <w:noWrap w:val="0"/>
            <w:vAlign w:val="center"/>
          </w:tcPr>
          <w:p w14:paraId="26C4B95E">
            <w:pPr>
              <w:jc w:val="center"/>
              <w:rPr>
                <w:rFonts w:hint="default"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0.01</w:t>
            </w:r>
            <w:r>
              <w:rPr>
                <w:rFonts w:hint="eastAsia"/>
                <w:color w:val="auto"/>
                <w:szCs w:val="21"/>
                <w:highlight w:val="none"/>
              </w:rPr>
              <w:t>t/a</w:t>
            </w:r>
          </w:p>
        </w:tc>
        <w:tc>
          <w:tcPr>
            <w:tcW w:w="1275" w:type="dxa"/>
            <w:noWrap w:val="0"/>
            <w:vAlign w:val="center"/>
          </w:tcPr>
          <w:p w14:paraId="4954BF41">
            <w:pPr>
              <w:jc w:val="center"/>
              <w:rPr>
                <w:snapToGrid w:val="0"/>
                <w:color w:val="auto"/>
                <w:kern w:val="21"/>
                <w:szCs w:val="21"/>
                <w:highlight w:val="none"/>
              </w:rPr>
            </w:pPr>
            <w:r>
              <w:rPr>
                <w:rFonts w:hint="eastAsia"/>
                <w:snapToGrid w:val="0"/>
                <w:color w:val="auto"/>
                <w:kern w:val="21"/>
                <w:szCs w:val="21"/>
                <w:highlight w:val="none"/>
              </w:rPr>
              <w:t>/</w:t>
            </w:r>
          </w:p>
        </w:tc>
        <w:tc>
          <w:tcPr>
            <w:tcW w:w="1700" w:type="dxa"/>
            <w:noWrap w:val="0"/>
            <w:vAlign w:val="center"/>
          </w:tcPr>
          <w:p w14:paraId="4CD0296A">
            <w:pPr>
              <w:jc w:val="center"/>
              <w:rPr>
                <w:snapToGrid w:val="0"/>
                <w:color w:val="auto"/>
                <w:kern w:val="21"/>
                <w:szCs w:val="21"/>
                <w:highlight w:val="none"/>
              </w:rPr>
            </w:pPr>
            <w:r>
              <w:rPr>
                <w:rFonts w:hint="eastAsia"/>
                <w:snapToGrid w:val="0"/>
                <w:color w:val="auto"/>
                <w:kern w:val="21"/>
                <w:szCs w:val="21"/>
                <w:highlight w:val="none"/>
              </w:rPr>
              <w:t>/</w:t>
            </w:r>
          </w:p>
        </w:tc>
        <w:tc>
          <w:tcPr>
            <w:tcW w:w="1558" w:type="dxa"/>
            <w:noWrap w:val="0"/>
            <w:vAlign w:val="center"/>
          </w:tcPr>
          <w:p w14:paraId="1E82CA0F">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0.02</w:t>
            </w:r>
            <w:r>
              <w:rPr>
                <w:rFonts w:hint="eastAsia"/>
                <w:color w:val="auto"/>
                <w:szCs w:val="21"/>
                <w:highlight w:val="none"/>
              </w:rPr>
              <w:t>t/a</w:t>
            </w:r>
          </w:p>
        </w:tc>
        <w:tc>
          <w:tcPr>
            <w:tcW w:w="1343" w:type="dxa"/>
            <w:noWrap w:val="0"/>
            <w:vAlign w:val="center"/>
          </w:tcPr>
          <w:p w14:paraId="78382156">
            <w:pPr>
              <w:jc w:val="center"/>
              <w:rPr>
                <w:snapToGrid w:val="0"/>
                <w:color w:val="auto"/>
                <w:kern w:val="21"/>
                <w:szCs w:val="21"/>
                <w:highlight w:val="none"/>
              </w:rPr>
            </w:pPr>
            <w:r>
              <w:rPr>
                <w:rFonts w:hint="eastAsia"/>
                <w:snapToGrid w:val="0"/>
                <w:color w:val="auto"/>
                <w:kern w:val="21"/>
                <w:szCs w:val="21"/>
                <w:highlight w:val="none"/>
              </w:rPr>
              <w:t>/</w:t>
            </w:r>
          </w:p>
        </w:tc>
        <w:tc>
          <w:tcPr>
            <w:tcW w:w="1767" w:type="dxa"/>
            <w:noWrap w:val="0"/>
            <w:vAlign w:val="center"/>
          </w:tcPr>
          <w:p w14:paraId="2660353F">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0.03</w:t>
            </w:r>
            <w:r>
              <w:rPr>
                <w:rFonts w:hint="eastAsia"/>
                <w:color w:val="auto"/>
                <w:szCs w:val="21"/>
                <w:highlight w:val="none"/>
              </w:rPr>
              <w:t>t/a</w:t>
            </w:r>
          </w:p>
        </w:tc>
        <w:tc>
          <w:tcPr>
            <w:tcW w:w="1431" w:type="dxa"/>
            <w:noWrap w:val="0"/>
            <w:vAlign w:val="center"/>
          </w:tcPr>
          <w:p w14:paraId="05EA4EAC">
            <w:pPr>
              <w:adjustRightInd w:val="0"/>
              <w:snapToGrid w:val="0"/>
              <w:spacing w:line="240" w:lineRule="atLeast"/>
              <w:jc w:val="center"/>
              <w:rPr>
                <w:snapToGrid w:val="0"/>
                <w:color w:val="auto"/>
                <w:kern w:val="21"/>
                <w:szCs w:val="21"/>
                <w:highlight w:val="none"/>
              </w:rPr>
            </w:pPr>
            <w:r>
              <w:rPr>
                <w:rFonts w:hint="eastAsia"/>
                <w:color w:val="auto"/>
                <w:szCs w:val="21"/>
                <w:highlight w:val="none"/>
                <w:lang w:val="en-US" w:eastAsia="zh-CN"/>
              </w:rPr>
              <w:t>+0.02</w:t>
            </w:r>
            <w:r>
              <w:rPr>
                <w:rFonts w:hint="eastAsia"/>
                <w:color w:val="auto"/>
                <w:szCs w:val="21"/>
                <w:highlight w:val="none"/>
              </w:rPr>
              <w:t>t/a</w:t>
            </w:r>
          </w:p>
        </w:tc>
      </w:tr>
      <w:tr w14:paraId="6E2C9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3A933488">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5A011426">
            <w:pPr>
              <w:pStyle w:val="94"/>
              <w:adjustRightInd w:val="0"/>
              <w:snapToGrid w:val="0"/>
              <w:spacing w:line="240" w:lineRule="atLeast"/>
              <w:ind w:firstLine="0" w:firstLineChars="0"/>
              <w:rPr>
                <w:rFonts w:ascii="Times New Roman" w:hAnsi="Times New Roman" w:eastAsia="宋体" w:cs="Times New Roman"/>
                <w:bCs/>
                <w:color w:val="auto"/>
                <w:kern w:val="2"/>
                <w:sz w:val="21"/>
                <w:szCs w:val="21"/>
                <w:highlight w:val="none"/>
                <w:lang w:val="en-US" w:eastAsia="zh-CN" w:bidi="ar-SA"/>
              </w:rPr>
            </w:pPr>
            <w:r>
              <w:rPr>
                <w:rFonts w:hint="eastAsia" w:eastAsia="宋体"/>
                <w:color w:val="auto"/>
                <w:szCs w:val="21"/>
                <w:highlight w:val="none"/>
              </w:rPr>
              <w:t>废活性炭</w:t>
            </w:r>
          </w:p>
        </w:tc>
        <w:tc>
          <w:tcPr>
            <w:tcW w:w="1700" w:type="dxa"/>
            <w:noWrap w:val="0"/>
            <w:vAlign w:val="center"/>
          </w:tcPr>
          <w:p w14:paraId="496CEF4F">
            <w:pPr>
              <w:jc w:val="center"/>
              <w:rPr>
                <w:snapToGrid w:val="0"/>
                <w:color w:val="auto"/>
                <w:kern w:val="21"/>
                <w:szCs w:val="21"/>
                <w:highlight w:val="none"/>
              </w:rPr>
            </w:pPr>
            <w:r>
              <w:rPr>
                <w:rFonts w:hint="eastAsia"/>
                <w:snapToGrid w:val="0"/>
                <w:color w:val="0000FF"/>
                <w:kern w:val="21"/>
                <w:szCs w:val="21"/>
                <w:highlight w:val="none"/>
                <w:lang w:val="en-US" w:eastAsia="zh-CN"/>
              </w:rPr>
              <w:t>1.5</w:t>
            </w:r>
            <w:r>
              <w:rPr>
                <w:rFonts w:hint="eastAsia"/>
                <w:color w:val="0000FF"/>
                <w:szCs w:val="21"/>
                <w:highlight w:val="none"/>
              </w:rPr>
              <w:t>t/a</w:t>
            </w:r>
          </w:p>
        </w:tc>
        <w:tc>
          <w:tcPr>
            <w:tcW w:w="1275" w:type="dxa"/>
            <w:noWrap w:val="0"/>
            <w:vAlign w:val="center"/>
          </w:tcPr>
          <w:p w14:paraId="717CFE11">
            <w:pPr>
              <w:jc w:val="center"/>
              <w:rPr>
                <w:snapToGrid w:val="0"/>
                <w:color w:val="auto"/>
                <w:kern w:val="21"/>
                <w:szCs w:val="21"/>
                <w:highlight w:val="none"/>
              </w:rPr>
            </w:pPr>
            <w:r>
              <w:rPr>
                <w:rFonts w:hint="eastAsia"/>
                <w:snapToGrid w:val="0"/>
                <w:color w:val="auto"/>
                <w:kern w:val="21"/>
                <w:szCs w:val="21"/>
                <w:highlight w:val="none"/>
              </w:rPr>
              <w:t>/</w:t>
            </w:r>
          </w:p>
        </w:tc>
        <w:tc>
          <w:tcPr>
            <w:tcW w:w="1700" w:type="dxa"/>
            <w:noWrap w:val="0"/>
            <w:vAlign w:val="center"/>
          </w:tcPr>
          <w:p w14:paraId="1F2AF6F0">
            <w:pPr>
              <w:jc w:val="center"/>
              <w:rPr>
                <w:snapToGrid w:val="0"/>
                <w:color w:val="auto"/>
                <w:kern w:val="21"/>
                <w:szCs w:val="21"/>
                <w:highlight w:val="none"/>
              </w:rPr>
            </w:pPr>
            <w:r>
              <w:rPr>
                <w:rFonts w:hint="eastAsia"/>
                <w:snapToGrid w:val="0"/>
                <w:color w:val="auto"/>
                <w:kern w:val="21"/>
                <w:szCs w:val="21"/>
                <w:highlight w:val="none"/>
              </w:rPr>
              <w:t>/</w:t>
            </w:r>
          </w:p>
        </w:tc>
        <w:tc>
          <w:tcPr>
            <w:tcW w:w="1558" w:type="dxa"/>
            <w:noWrap w:val="0"/>
            <w:vAlign w:val="center"/>
          </w:tcPr>
          <w:p w14:paraId="63AE681C">
            <w:pPr>
              <w:adjustRightInd w:val="0"/>
              <w:snapToGrid w:val="0"/>
              <w:spacing w:line="240" w:lineRule="atLeast"/>
              <w:jc w:val="center"/>
              <w:rPr>
                <w:color w:val="0000FF"/>
                <w:szCs w:val="21"/>
                <w:highlight w:val="none"/>
              </w:rPr>
            </w:pPr>
            <w:r>
              <w:rPr>
                <w:rFonts w:hint="eastAsia"/>
                <w:color w:val="0000FF"/>
                <w:szCs w:val="21"/>
                <w:highlight w:val="none"/>
                <w:lang w:val="en-US" w:eastAsia="zh-CN"/>
              </w:rPr>
              <w:t>6</w:t>
            </w:r>
            <w:r>
              <w:rPr>
                <w:rFonts w:hint="eastAsia"/>
                <w:color w:val="0000FF"/>
                <w:szCs w:val="21"/>
                <w:highlight w:val="none"/>
              </w:rPr>
              <w:t>t/a</w:t>
            </w:r>
          </w:p>
        </w:tc>
        <w:tc>
          <w:tcPr>
            <w:tcW w:w="1343" w:type="dxa"/>
            <w:noWrap w:val="0"/>
            <w:vAlign w:val="center"/>
          </w:tcPr>
          <w:p w14:paraId="4A429F0F">
            <w:pPr>
              <w:jc w:val="center"/>
              <w:rPr>
                <w:snapToGrid w:val="0"/>
                <w:color w:val="0000FF"/>
                <w:kern w:val="21"/>
                <w:szCs w:val="21"/>
                <w:highlight w:val="none"/>
              </w:rPr>
            </w:pPr>
            <w:r>
              <w:rPr>
                <w:rFonts w:hint="eastAsia"/>
                <w:snapToGrid w:val="0"/>
                <w:color w:val="0000FF"/>
                <w:kern w:val="21"/>
                <w:szCs w:val="21"/>
                <w:highlight w:val="none"/>
              </w:rPr>
              <w:t>/</w:t>
            </w:r>
          </w:p>
        </w:tc>
        <w:tc>
          <w:tcPr>
            <w:tcW w:w="1767" w:type="dxa"/>
            <w:noWrap w:val="0"/>
            <w:vAlign w:val="center"/>
          </w:tcPr>
          <w:p w14:paraId="6FE1562C">
            <w:pPr>
              <w:adjustRightInd w:val="0"/>
              <w:snapToGrid w:val="0"/>
              <w:spacing w:line="240" w:lineRule="atLeast"/>
              <w:jc w:val="center"/>
              <w:rPr>
                <w:color w:val="0000FF"/>
                <w:szCs w:val="21"/>
                <w:highlight w:val="none"/>
              </w:rPr>
            </w:pPr>
            <w:r>
              <w:rPr>
                <w:rFonts w:hint="eastAsia"/>
                <w:color w:val="0000FF"/>
                <w:szCs w:val="21"/>
                <w:highlight w:val="none"/>
                <w:lang w:val="en-US" w:eastAsia="zh-CN"/>
              </w:rPr>
              <w:t>6</w:t>
            </w:r>
            <w:r>
              <w:rPr>
                <w:rFonts w:hint="eastAsia"/>
                <w:color w:val="0000FF"/>
                <w:szCs w:val="21"/>
                <w:highlight w:val="none"/>
              </w:rPr>
              <w:t>t/a</w:t>
            </w:r>
          </w:p>
        </w:tc>
        <w:tc>
          <w:tcPr>
            <w:tcW w:w="1431" w:type="dxa"/>
            <w:noWrap w:val="0"/>
            <w:vAlign w:val="center"/>
          </w:tcPr>
          <w:p w14:paraId="709ABB22">
            <w:pPr>
              <w:adjustRightInd w:val="0"/>
              <w:snapToGrid w:val="0"/>
              <w:spacing w:line="240" w:lineRule="atLeast"/>
              <w:jc w:val="center"/>
              <w:rPr>
                <w:color w:val="auto"/>
                <w:szCs w:val="21"/>
                <w:highlight w:val="none"/>
              </w:rPr>
            </w:pPr>
            <w:r>
              <w:rPr>
                <w:rFonts w:hint="eastAsia"/>
                <w:color w:val="0000FF"/>
                <w:szCs w:val="21"/>
                <w:highlight w:val="none"/>
                <w:lang w:val="en-US" w:eastAsia="zh-CN"/>
              </w:rPr>
              <w:t>+4.5</w:t>
            </w:r>
            <w:r>
              <w:rPr>
                <w:rFonts w:hint="eastAsia"/>
                <w:color w:val="0000FF"/>
                <w:szCs w:val="21"/>
                <w:highlight w:val="none"/>
              </w:rPr>
              <w:t>t/a</w:t>
            </w:r>
          </w:p>
        </w:tc>
      </w:tr>
      <w:tr w14:paraId="2D08C2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28167B76">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6190780B">
            <w:pPr>
              <w:pStyle w:val="94"/>
              <w:adjustRightInd w:val="0"/>
              <w:snapToGrid w:val="0"/>
              <w:spacing w:line="240" w:lineRule="atLeast"/>
              <w:ind w:firstLine="0" w:firstLine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废试剂</w:t>
            </w:r>
          </w:p>
        </w:tc>
        <w:tc>
          <w:tcPr>
            <w:tcW w:w="1700" w:type="dxa"/>
            <w:noWrap w:val="0"/>
            <w:vAlign w:val="center"/>
          </w:tcPr>
          <w:p w14:paraId="672382F5">
            <w:pPr>
              <w:jc w:val="center"/>
              <w:rPr>
                <w:rFonts w:hint="default"/>
                <w:snapToGrid w:val="0"/>
                <w:color w:val="auto"/>
                <w:kern w:val="21"/>
                <w:szCs w:val="21"/>
                <w:highlight w:val="none"/>
                <w:lang w:val="en-US" w:eastAsia="zh-CN"/>
              </w:rPr>
            </w:pPr>
            <w:r>
              <w:rPr>
                <w:rFonts w:hint="eastAsia"/>
                <w:snapToGrid w:val="0"/>
                <w:color w:val="auto"/>
                <w:kern w:val="21"/>
                <w:szCs w:val="21"/>
                <w:highlight w:val="none"/>
                <w:lang w:val="en-US" w:eastAsia="zh-CN"/>
              </w:rPr>
              <w:t>0.001t/a</w:t>
            </w:r>
          </w:p>
        </w:tc>
        <w:tc>
          <w:tcPr>
            <w:tcW w:w="1275" w:type="dxa"/>
            <w:noWrap w:val="0"/>
            <w:vAlign w:val="center"/>
          </w:tcPr>
          <w:p w14:paraId="08E2F99D">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00" w:type="dxa"/>
            <w:noWrap w:val="0"/>
            <w:vAlign w:val="center"/>
          </w:tcPr>
          <w:p w14:paraId="312A4671">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558" w:type="dxa"/>
            <w:noWrap w:val="0"/>
            <w:vAlign w:val="center"/>
          </w:tcPr>
          <w:p w14:paraId="6A458E28">
            <w:pPr>
              <w:adjustRightInd w:val="0"/>
              <w:snapToGrid w:val="0"/>
              <w:spacing w:line="240" w:lineRule="atLeast"/>
              <w:jc w:val="center"/>
              <w:rPr>
                <w:rFonts w:hint="default"/>
                <w:color w:val="auto"/>
                <w:szCs w:val="21"/>
                <w:highlight w:val="none"/>
                <w:lang w:val="en-US" w:eastAsia="zh-CN"/>
              </w:rPr>
            </w:pPr>
            <w:r>
              <w:rPr>
                <w:rFonts w:hint="eastAsia"/>
                <w:color w:val="auto"/>
                <w:szCs w:val="21"/>
                <w:highlight w:val="none"/>
                <w:lang w:val="en-US" w:eastAsia="zh-CN"/>
              </w:rPr>
              <w:t>0.01t/a</w:t>
            </w:r>
          </w:p>
        </w:tc>
        <w:tc>
          <w:tcPr>
            <w:tcW w:w="1343" w:type="dxa"/>
            <w:noWrap w:val="0"/>
            <w:vAlign w:val="center"/>
          </w:tcPr>
          <w:p w14:paraId="05CA4A4E">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67" w:type="dxa"/>
            <w:noWrap w:val="0"/>
            <w:vAlign w:val="center"/>
          </w:tcPr>
          <w:p w14:paraId="745BD81E">
            <w:pPr>
              <w:adjustRightInd w:val="0"/>
              <w:snapToGrid w:val="0"/>
              <w:spacing w:line="240" w:lineRule="atLeast"/>
              <w:jc w:val="center"/>
              <w:rPr>
                <w:rFonts w:hint="eastAsia"/>
                <w:color w:val="auto"/>
                <w:szCs w:val="21"/>
                <w:highlight w:val="none"/>
                <w:lang w:val="en-US" w:eastAsia="zh-CN"/>
              </w:rPr>
            </w:pPr>
            <w:r>
              <w:rPr>
                <w:rFonts w:hint="eastAsia"/>
                <w:color w:val="auto"/>
                <w:szCs w:val="21"/>
                <w:highlight w:val="none"/>
                <w:lang w:val="en-US" w:eastAsia="zh-CN"/>
              </w:rPr>
              <w:t>0.011t/a</w:t>
            </w:r>
          </w:p>
        </w:tc>
        <w:tc>
          <w:tcPr>
            <w:tcW w:w="1431" w:type="dxa"/>
            <w:shd w:val="clear" w:color="auto" w:fill="auto"/>
            <w:noWrap w:val="0"/>
            <w:vAlign w:val="center"/>
          </w:tcPr>
          <w:p w14:paraId="7357D811">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+0.01t/a</w:t>
            </w:r>
          </w:p>
        </w:tc>
      </w:tr>
      <w:tr w14:paraId="6B6448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Merge w:val="continue"/>
            <w:noWrap w:val="0"/>
            <w:vAlign w:val="center"/>
          </w:tcPr>
          <w:p w14:paraId="5077D55B">
            <w:pPr>
              <w:pStyle w:val="67"/>
              <w:spacing w:beforeLines="0" w:afterLines="0" w:line="240" w:lineRule="auto"/>
              <w:rPr>
                <w:rFonts w:ascii="Times New Roman"/>
                <w:snapToGrid w:val="0"/>
                <w:color w:val="auto"/>
                <w:kern w:val="21"/>
                <w:szCs w:val="21"/>
                <w:highlight w:val="none"/>
              </w:rPr>
            </w:pPr>
          </w:p>
        </w:tc>
        <w:tc>
          <w:tcPr>
            <w:tcW w:w="1605" w:type="dxa"/>
            <w:shd w:val="clear" w:color="auto" w:fill="auto"/>
            <w:noWrap w:val="0"/>
            <w:vAlign w:val="center"/>
          </w:tcPr>
          <w:p w14:paraId="2F5013F5">
            <w:pPr>
              <w:pStyle w:val="94"/>
              <w:adjustRightInd w:val="0"/>
              <w:snapToGrid w:val="0"/>
              <w:spacing w:line="240" w:lineRule="atLeast"/>
              <w:ind w:firstLine="0" w:firstLine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废过滤介质</w:t>
            </w:r>
          </w:p>
        </w:tc>
        <w:tc>
          <w:tcPr>
            <w:tcW w:w="1700" w:type="dxa"/>
            <w:noWrap w:val="0"/>
            <w:vAlign w:val="center"/>
          </w:tcPr>
          <w:p w14:paraId="64E774D6">
            <w:pPr>
              <w:jc w:val="center"/>
              <w:rPr>
                <w:rFonts w:hint="default"/>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275" w:type="dxa"/>
            <w:noWrap w:val="0"/>
            <w:vAlign w:val="center"/>
          </w:tcPr>
          <w:p w14:paraId="0914653D">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00" w:type="dxa"/>
            <w:noWrap w:val="0"/>
            <w:vAlign w:val="center"/>
          </w:tcPr>
          <w:p w14:paraId="6A266920">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558" w:type="dxa"/>
            <w:noWrap w:val="0"/>
            <w:vAlign w:val="center"/>
          </w:tcPr>
          <w:p w14:paraId="3EDD484E">
            <w:pPr>
              <w:adjustRightInd w:val="0"/>
              <w:snapToGrid w:val="0"/>
              <w:spacing w:line="240" w:lineRule="atLeast"/>
              <w:jc w:val="center"/>
              <w:rPr>
                <w:rFonts w:hint="default"/>
                <w:color w:val="auto"/>
                <w:szCs w:val="21"/>
                <w:highlight w:val="none"/>
                <w:lang w:val="en-US" w:eastAsia="zh-CN"/>
              </w:rPr>
            </w:pPr>
            <w:r>
              <w:rPr>
                <w:rFonts w:hint="eastAsia"/>
                <w:color w:val="auto"/>
                <w:szCs w:val="21"/>
                <w:highlight w:val="none"/>
                <w:lang w:val="en-US" w:eastAsia="zh-CN"/>
              </w:rPr>
              <w:t>0.02t/a</w:t>
            </w:r>
          </w:p>
        </w:tc>
        <w:tc>
          <w:tcPr>
            <w:tcW w:w="1343" w:type="dxa"/>
            <w:noWrap w:val="0"/>
            <w:vAlign w:val="center"/>
          </w:tcPr>
          <w:p w14:paraId="1920CA5F">
            <w:pPr>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w:t>
            </w:r>
          </w:p>
        </w:tc>
        <w:tc>
          <w:tcPr>
            <w:tcW w:w="1767" w:type="dxa"/>
            <w:noWrap w:val="0"/>
            <w:vAlign w:val="center"/>
          </w:tcPr>
          <w:p w14:paraId="33B9EFD3">
            <w:pPr>
              <w:adjustRightInd w:val="0"/>
              <w:snapToGrid w:val="0"/>
              <w:spacing w:line="240" w:lineRule="atLeast"/>
              <w:jc w:val="center"/>
              <w:rPr>
                <w:rFonts w:hint="eastAsia"/>
                <w:color w:val="auto"/>
                <w:szCs w:val="21"/>
                <w:highlight w:val="none"/>
                <w:lang w:val="en-US" w:eastAsia="zh-CN"/>
              </w:rPr>
            </w:pPr>
            <w:r>
              <w:rPr>
                <w:rFonts w:hint="eastAsia"/>
                <w:color w:val="auto"/>
                <w:szCs w:val="21"/>
                <w:highlight w:val="none"/>
                <w:lang w:val="en-US" w:eastAsia="zh-CN"/>
              </w:rPr>
              <w:t>0.02t/a</w:t>
            </w:r>
          </w:p>
        </w:tc>
        <w:tc>
          <w:tcPr>
            <w:tcW w:w="1431" w:type="dxa"/>
            <w:shd w:val="clear" w:color="auto" w:fill="auto"/>
            <w:noWrap w:val="0"/>
            <w:vAlign w:val="center"/>
          </w:tcPr>
          <w:p w14:paraId="352A860A">
            <w:pPr>
              <w:adjustRightInd w:val="0"/>
              <w:snapToGrid w:val="0"/>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+0.02t/a</w:t>
            </w:r>
          </w:p>
        </w:tc>
      </w:tr>
    </w:tbl>
    <w:p w14:paraId="36E02455">
      <w:pPr>
        <w:pStyle w:val="67"/>
        <w:spacing w:before="192" w:beforeLines="80" w:after="24"/>
        <w:jc w:val="left"/>
        <w:rPr>
          <w:rFonts w:hAnsi="宋体"/>
          <w:snapToGrid w:val="0"/>
          <w:color w:val="auto"/>
          <w:spacing w:val="-6"/>
          <w:kern w:val="21"/>
          <w:szCs w:val="21"/>
          <w:highlight w:val="none"/>
        </w:rPr>
      </w:pPr>
      <w:r>
        <w:rPr>
          <w:rFonts w:hAnsi="宋体"/>
          <w:snapToGrid w:val="0"/>
          <w:color w:val="auto"/>
          <w:kern w:val="21"/>
          <w:szCs w:val="21"/>
          <w:highlight w:val="none"/>
        </w:rPr>
        <w:t>注：</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3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③</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4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④</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5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⑤</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7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⑦</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p>
    <w:p w14:paraId="26EFD235">
      <w:pPr>
        <w:pStyle w:val="9"/>
        <w:ind w:left="0" w:leftChars="0"/>
        <w:rPr>
          <w:color w:val="auto"/>
          <w:kern w:val="0"/>
          <w:sz w:val="24"/>
          <w:szCs w:val="20"/>
          <w:highlight w:val="none"/>
        </w:rPr>
      </w:pPr>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Noto Sans CJK JP Regular">
    <w:altName w:val="Arial"/>
    <w:panose1 w:val="00000000000000000000"/>
    <w:charset w:val="00"/>
    <w:family w:val="swiss"/>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简体">
    <w:altName w:val="微软雅黑"/>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80"/>
    <w:family w:val="auto"/>
    <w:pitch w:val="default"/>
    <w:sig w:usb0="00000000" w:usb1="00000000" w:usb2="00000000" w:usb3="00000000" w:csb0="00020000" w:csb1="00000000"/>
  </w:font>
  <w:font w:name="Cambria Math">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0A2D8">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DEEF0">
    <w:pPr>
      <w:pStyle w:val="19"/>
      <w:framePr w:wrap="around" w:vAnchor="text" w:hAnchor="margin" w:xAlign="center" w:y="1"/>
      <w:rPr>
        <w:rStyle w:val="30"/>
      </w:rPr>
    </w:pPr>
    <w:r>
      <w:fldChar w:fldCharType="begin"/>
    </w:r>
    <w:r>
      <w:rPr>
        <w:rStyle w:val="30"/>
      </w:rPr>
      <w:instrText xml:space="preserve">PAGE  </w:instrText>
    </w:r>
    <w:r>
      <w:fldChar w:fldCharType="end"/>
    </w:r>
  </w:p>
  <w:p w14:paraId="0536F3C0">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76DAF">
    <w:pPr>
      <w:pStyle w:val="19"/>
      <w:framePr w:wrap="around" w:vAnchor="text" w:hAnchor="margin" w:xAlign="outside" w:y="1"/>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1C337B25">
    <w:pPr>
      <w:pStyle w:val="19"/>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81408">
    <w:pPr>
      <w:pStyle w:val="19"/>
      <w:framePr w:wrap="around" w:vAnchor="text" w:hAnchor="margin" w:xAlign="outside" w:y="1"/>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11</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5CDCF6AE">
    <w:pPr>
      <w:pStyle w:val="19"/>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42D402"/>
    <w:multiLevelType w:val="singleLevel"/>
    <w:tmpl w:val="1242D402"/>
    <w:lvl w:ilvl="0" w:tentative="0">
      <w:start w:val="1"/>
      <w:numFmt w:val="bullet"/>
      <w:pStyle w:val="14"/>
      <w:lvlText w:val=""/>
      <w:lvlJc w:val="left"/>
      <w:pPr>
        <w:tabs>
          <w:tab w:val="left" w:pos="780"/>
        </w:tabs>
        <w:ind w:left="780" w:hanging="360"/>
      </w:pPr>
      <w:rPr>
        <w:rFonts w:hint="default" w:ascii="Wingdings" w:hAnsi="Wingdings"/>
      </w:rPr>
    </w:lvl>
  </w:abstractNum>
  <w:abstractNum w:abstractNumId="1">
    <w:nsid w:val="22861FF0"/>
    <w:multiLevelType w:val="multilevel"/>
    <w:tmpl w:val="22861FF0"/>
    <w:lvl w:ilvl="0" w:tentative="0">
      <w:start w:val="1"/>
      <w:numFmt w:val="decimal"/>
      <w:pStyle w:val="110"/>
      <w:lvlText w:val="表%1"/>
      <w:lvlJc w:val="left"/>
      <w:pPr>
        <w:ind w:left="1837" w:hanging="420"/>
      </w:pPr>
      <w:rPr>
        <w:rFonts w:hint="default" w:ascii="Times New Roman" w:hAnsi="Times New Roman" w:eastAsia="宋体"/>
        <w:b/>
        <w:bCs/>
        <w:lang w:val="en-US"/>
      </w:rPr>
    </w:lvl>
    <w:lvl w:ilvl="1" w:tentative="0">
      <w:start w:val="1"/>
      <w:numFmt w:val="lowerLetter"/>
      <w:lvlText w:val="%2)"/>
      <w:lvlJc w:val="left"/>
      <w:pPr>
        <w:ind w:left="-3413" w:hanging="420"/>
      </w:pPr>
    </w:lvl>
    <w:lvl w:ilvl="2" w:tentative="0">
      <w:start w:val="1"/>
      <w:numFmt w:val="lowerRoman"/>
      <w:lvlText w:val="%3."/>
      <w:lvlJc w:val="right"/>
      <w:pPr>
        <w:ind w:left="-2993" w:hanging="420"/>
      </w:pPr>
    </w:lvl>
    <w:lvl w:ilvl="3" w:tentative="0">
      <w:start w:val="1"/>
      <w:numFmt w:val="decimal"/>
      <w:lvlText w:val="%4."/>
      <w:lvlJc w:val="left"/>
      <w:pPr>
        <w:ind w:left="-2573" w:hanging="420"/>
      </w:pPr>
    </w:lvl>
    <w:lvl w:ilvl="4" w:tentative="0">
      <w:start w:val="1"/>
      <w:numFmt w:val="lowerLetter"/>
      <w:lvlText w:val="%5)"/>
      <w:lvlJc w:val="left"/>
      <w:pPr>
        <w:ind w:left="-2153" w:hanging="420"/>
      </w:pPr>
    </w:lvl>
    <w:lvl w:ilvl="5" w:tentative="0">
      <w:start w:val="1"/>
      <w:numFmt w:val="lowerRoman"/>
      <w:lvlText w:val="%6."/>
      <w:lvlJc w:val="right"/>
      <w:pPr>
        <w:ind w:left="-1733" w:hanging="420"/>
      </w:pPr>
    </w:lvl>
    <w:lvl w:ilvl="6" w:tentative="0">
      <w:start w:val="1"/>
      <w:numFmt w:val="decimal"/>
      <w:lvlText w:val="%7."/>
      <w:lvlJc w:val="left"/>
      <w:pPr>
        <w:ind w:left="-1313" w:hanging="420"/>
      </w:pPr>
    </w:lvl>
    <w:lvl w:ilvl="7" w:tentative="0">
      <w:start w:val="1"/>
      <w:numFmt w:val="lowerLetter"/>
      <w:lvlText w:val="%8)"/>
      <w:lvlJc w:val="left"/>
      <w:pPr>
        <w:ind w:left="-893" w:hanging="420"/>
      </w:pPr>
    </w:lvl>
    <w:lvl w:ilvl="8" w:tentative="0">
      <w:start w:val="1"/>
      <w:numFmt w:val="lowerRoman"/>
      <w:lvlText w:val="%9."/>
      <w:lvlJc w:val="right"/>
      <w:pPr>
        <w:ind w:left="-47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YTIxMTU5NjIxOTNkN2U4NWEzZTMxMTMwYzNkYjAifQ=="/>
  </w:docVars>
  <w:rsids>
    <w:rsidRoot w:val="20AB606E"/>
    <w:rsid w:val="00183210"/>
    <w:rsid w:val="001B285D"/>
    <w:rsid w:val="002664F4"/>
    <w:rsid w:val="00296707"/>
    <w:rsid w:val="002A1554"/>
    <w:rsid w:val="002B0321"/>
    <w:rsid w:val="002C36EC"/>
    <w:rsid w:val="002F729F"/>
    <w:rsid w:val="0035435E"/>
    <w:rsid w:val="003D115B"/>
    <w:rsid w:val="00412921"/>
    <w:rsid w:val="004A6C81"/>
    <w:rsid w:val="004B0D73"/>
    <w:rsid w:val="004B620E"/>
    <w:rsid w:val="00561D37"/>
    <w:rsid w:val="005F52DA"/>
    <w:rsid w:val="00634A47"/>
    <w:rsid w:val="00647815"/>
    <w:rsid w:val="006836D3"/>
    <w:rsid w:val="006E4A62"/>
    <w:rsid w:val="007209E1"/>
    <w:rsid w:val="0089089B"/>
    <w:rsid w:val="008C41C2"/>
    <w:rsid w:val="008C64AA"/>
    <w:rsid w:val="008D16B0"/>
    <w:rsid w:val="008D4EE8"/>
    <w:rsid w:val="008E40C0"/>
    <w:rsid w:val="00924A51"/>
    <w:rsid w:val="0094131D"/>
    <w:rsid w:val="009444C8"/>
    <w:rsid w:val="00976270"/>
    <w:rsid w:val="009B6C51"/>
    <w:rsid w:val="00A2024C"/>
    <w:rsid w:val="00A2066B"/>
    <w:rsid w:val="00A235FC"/>
    <w:rsid w:val="00A2604C"/>
    <w:rsid w:val="00A659A2"/>
    <w:rsid w:val="00A71BD6"/>
    <w:rsid w:val="00AA2E93"/>
    <w:rsid w:val="00AE7583"/>
    <w:rsid w:val="00AF1302"/>
    <w:rsid w:val="00B07CB8"/>
    <w:rsid w:val="00B403CA"/>
    <w:rsid w:val="00B911B6"/>
    <w:rsid w:val="00BC1C7C"/>
    <w:rsid w:val="00C17FD5"/>
    <w:rsid w:val="00C2617F"/>
    <w:rsid w:val="00C37A7A"/>
    <w:rsid w:val="00C50D5E"/>
    <w:rsid w:val="00C5645A"/>
    <w:rsid w:val="00CF1955"/>
    <w:rsid w:val="00D0179F"/>
    <w:rsid w:val="00DC2284"/>
    <w:rsid w:val="00DD6525"/>
    <w:rsid w:val="00E32D5A"/>
    <w:rsid w:val="00E3592E"/>
    <w:rsid w:val="00E41D22"/>
    <w:rsid w:val="00EC39F8"/>
    <w:rsid w:val="00EE30D2"/>
    <w:rsid w:val="00EE7A81"/>
    <w:rsid w:val="00F4384F"/>
    <w:rsid w:val="010942AC"/>
    <w:rsid w:val="010A2ED7"/>
    <w:rsid w:val="013C246A"/>
    <w:rsid w:val="014F12F6"/>
    <w:rsid w:val="015E0632"/>
    <w:rsid w:val="017B785A"/>
    <w:rsid w:val="017D6BBC"/>
    <w:rsid w:val="018635A7"/>
    <w:rsid w:val="01AD28F6"/>
    <w:rsid w:val="01D6608B"/>
    <w:rsid w:val="01E12BBC"/>
    <w:rsid w:val="02201D8C"/>
    <w:rsid w:val="02223D56"/>
    <w:rsid w:val="022A4BCE"/>
    <w:rsid w:val="02365691"/>
    <w:rsid w:val="02435F99"/>
    <w:rsid w:val="024A7015"/>
    <w:rsid w:val="026C4FB7"/>
    <w:rsid w:val="02AD7AC3"/>
    <w:rsid w:val="02C41842"/>
    <w:rsid w:val="02C70C80"/>
    <w:rsid w:val="02CB619B"/>
    <w:rsid w:val="02E01C47"/>
    <w:rsid w:val="03135FA9"/>
    <w:rsid w:val="031B3727"/>
    <w:rsid w:val="03850700"/>
    <w:rsid w:val="03950013"/>
    <w:rsid w:val="03AE5642"/>
    <w:rsid w:val="03F679E1"/>
    <w:rsid w:val="04364D02"/>
    <w:rsid w:val="0437112A"/>
    <w:rsid w:val="043F2F66"/>
    <w:rsid w:val="04461F7D"/>
    <w:rsid w:val="045912DA"/>
    <w:rsid w:val="046F5681"/>
    <w:rsid w:val="048E48D4"/>
    <w:rsid w:val="0493198C"/>
    <w:rsid w:val="04952B38"/>
    <w:rsid w:val="04E1559D"/>
    <w:rsid w:val="04F24628"/>
    <w:rsid w:val="05232EBD"/>
    <w:rsid w:val="054B26A8"/>
    <w:rsid w:val="056D652D"/>
    <w:rsid w:val="057A6046"/>
    <w:rsid w:val="058D379B"/>
    <w:rsid w:val="05C304A7"/>
    <w:rsid w:val="05CF1260"/>
    <w:rsid w:val="05D11D1B"/>
    <w:rsid w:val="05E30C6D"/>
    <w:rsid w:val="0609470D"/>
    <w:rsid w:val="0613777F"/>
    <w:rsid w:val="069845E6"/>
    <w:rsid w:val="06990F64"/>
    <w:rsid w:val="06A25465"/>
    <w:rsid w:val="06F23A03"/>
    <w:rsid w:val="070F4F23"/>
    <w:rsid w:val="07117EF5"/>
    <w:rsid w:val="072D23B6"/>
    <w:rsid w:val="07464042"/>
    <w:rsid w:val="075376A6"/>
    <w:rsid w:val="07A15DA9"/>
    <w:rsid w:val="07AC57C1"/>
    <w:rsid w:val="07B216D8"/>
    <w:rsid w:val="07B53FE2"/>
    <w:rsid w:val="07BC167A"/>
    <w:rsid w:val="07BF4BC9"/>
    <w:rsid w:val="07EC1A37"/>
    <w:rsid w:val="07F506B8"/>
    <w:rsid w:val="08252ACC"/>
    <w:rsid w:val="08897318"/>
    <w:rsid w:val="089D5EE4"/>
    <w:rsid w:val="08D23F1B"/>
    <w:rsid w:val="08DB07BA"/>
    <w:rsid w:val="08F548C3"/>
    <w:rsid w:val="09075E7E"/>
    <w:rsid w:val="091324E2"/>
    <w:rsid w:val="091A7535"/>
    <w:rsid w:val="09304FAA"/>
    <w:rsid w:val="09336848"/>
    <w:rsid w:val="095C6015"/>
    <w:rsid w:val="095E2A92"/>
    <w:rsid w:val="097A4477"/>
    <w:rsid w:val="098809FB"/>
    <w:rsid w:val="09973AFD"/>
    <w:rsid w:val="09EF276F"/>
    <w:rsid w:val="0A31532B"/>
    <w:rsid w:val="0A4725AB"/>
    <w:rsid w:val="0A4C7BC2"/>
    <w:rsid w:val="0A7205A9"/>
    <w:rsid w:val="0A9F477B"/>
    <w:rsid w:val="0AC6250D"/>
    <w:rsid w:val="0B0D271D"/>
    <w:rsid w:val="0B21104E"/>
    <w:rsid w:val="0B5D6AF4"/>
    <w:rsid w:val="0B8B471A"/>
    <w:rsid w:val="0BA17A99"/>
    <w:rsid w:val="0BB65DB9"/>
    <w:rsid w:val="0BE34556"/>
    <w:rsid w:val="0C001D59"/>
    <w:rsid w:val="0C24766F"/>
    <w:rsid w:val="0C27068D"/>
    <w:rsid w:val="0C3C5A98"/>
    <w:rsid w:val="0C4274CE"/>
    <w:rsid w:val="0C4F364F"/>
    <w:rsid w:val="0C7D4058"/>
    <w:rsid w:val="0CBE5358"/>
    <w:rsid w:val="0D1D75F3"/>
    <w:rsid w:val="0D2643D0"/>
    <w:rsid w:val="0D303164"/>
    <w:rsid w:val="0D336E17"/>
    <w:rsid w:val="0D3B1B72"/>
    <w:rsid w:val="0D541BB4"/>
    <w:rsid w:val="0D605F0B"/>
    <w:rsid w:val="0D933D59"/>
    <w:rsid w:val="0D975E01"/>
    <w:rsid w:val="0DA675E9"/>
    <w:rsid w:val="0E120498"/>
    <w:rsid w:val="0E136B90"/>
    <w:rsid w:val="0E377FEA"/>
    <w:rsid w:val="0E4B66BE"/>
    <w:rsid w:val="0E503321"/>
    <w:rsid w:val="0E50628B"/>
    <w:rsid w:val="0E5A03D3"/>
    <w:rsid w:val="0E682AF0"/>
    <w:rsid w:val="0E686F94"/>
    <w:rsid w:val="0E6A38FD"/>
    <w:rsid w:val="0E6B51F6"/>
    <w:rsid w:val="0E6C0832"/>
    <w:rsid w:val="0E7035B7"/>
    <w:rsid w:val="0E7E2907"/>
    <w:rsid w:val="0E8A515C"/>
    <w:rsid w:val="0EAD4536"/>
    <w:rsid w:val="0F040A6B"/>
    <w:rsid w:val="0F08121B"/>
    <w:rsid w:val="0F2856D6"/>
    <w:rsid w:val="0F517A28"/>
    <w:rsid w:val="0F8B4CE8"/>
    <w:rsid w:val="0F9E16F8"/>
    <w:rsid w:val="0FA50714"/>
    <w:rsid w:val="0FD44FAC"/>
    <w:rsid w:val="0FEF4DD2"/>
    <w:rsid w:val="0FFD303C"/>
    <w:rsid w:val="10437371"/>
    <w:rsid w:val="104906FF"/>
    <w:rsid w:val="104F07C8"/>
    <w:rsid w:val="109A4F7A"/>
    <w:rsid w:val="10B03997"/>
    <w:rsid w:val="10C06C14"/>
    <w:rsid w:val="10E16B8A"/>
    <w:rsid w:val="110171F3"/>
    <w:rsid w:val="11407ADD"/>
    <w:rsid w:val="114B3E5E"/>
    <w:rsid w:val="1193257A"/>
    <w:rsid w:val="119D0050"/>
    <w:rsid w:val="11A46535"/>
    <w:rsid w:val="11C56C8A"/>
    <w:rsid w:val="11CD57C2"/>
    <w:rsid w:val="11F91EDE"/>
    <w:rsid w:val="120451FB"/>
    <w:rsid w:val="12227608"/>
    <w:rsid w:val="12413D84"/>
    <w:rsid w:val="125515AD"/>
    <w:rsid w:val="12B56C8E"/>
    <w:rsid w:val="12CD2063"/>
    <w:rsid w:val="1309467B"/>
    <w:rsid w:val="13223E3E"/>
    <w:rsid w:val="132D5DFD"/>
    <w:rsid w:val="13552F2D"/>
    <w:rsid w:val="13672613"/>
    <w:rsid w:val="137E583A"/>
    <w:rsid w:val="138C1BF6"/>
    <w:rsid w:val="1396715A"/>
    <w:rsid w:val="13A06B20"/>
    <w:rsid w:val="13B40E04"/>
    <w:rsid w:val="140E5EE8"/>
    <w:rsid w:val="14401F39"/>
    <w:rsid w:val="14583ECE"/>
    <w:rsid w:val="145E558F"/>
    <w:rsid w:val="14795A57"/>
    <w:rsid w:val="148A5109"/>
    <w:rsid w:val="14D13F72"/>
    <w:rsid w:val="14D964F6"/>
    <w:rsid w:val="14EA32C3"/>
    <w:rsid w:val="150B7CC7"/>
    <w:rsid w:val="159C0262"/>
    <w:rsid w:val="15A26EF9"/>
    <w:rsid w:val="15AD166E"/>
    <w:rsid w:val="15D548CC"/>
    <w:rsid w:val="15DF3F18"/>
    <w:rsid w:val="160E0421"/>
    <w:rsid w:val="164F6FA2"/>
    <w:rsid w:val="165559B8"/>
    <w:rsid w:val="16566FE7"/>
    <w:rsid w:val="16970417"/>
    <w:rsid w:val="169A5732"/>
    <w:rsid w:val="16CD7880"/>
    <w:rsid w:val="16E70106"/>
    <w:rsid w:val="16EE6D54"/>
    <w:rsid w:val="16F84300"/>
    <w:rsid w:val="1707652E"/>
    <w:rsid w:val="171A4BA4"/>
    <w:rsid w:val="17487963"/>
    <w:rsid w:val="174C7453"/>
    <w:rsid w:val="175F5A31"/>
    <w:rsid w:val="176302F9"/>
    <w:rsid w:val="17884203"/>
    <w:rsid w:val="1789062B"/>
    <w:rsid w:val="179C4E18"/>
    <w:rsid w:val="179E5424"/>
    <w:rsid w:val="17AC44F8"/>
    <w:rsid w:val="17AD77C6"/>
    <w:rsid w:val="17E07B9B"/>
    <w:rsid w:val="1821268E"/>
    <w:rsid w:val="18340E61"/>
    <w:rsid w:val="1839615F"/>
    <w:rsid w:val="18396F81"/>
    <w:rsid w:val="18550589"/>
    <w:rsid w:val="186F392B"/>
    <w:rsid w:val="1875452B"/>
    <w:rsid w:val="187629B3"/>
    <w:rsid w:val="1890776C"/>
    <w:rsid w:val="18D92F68"/>
    <w:rsid w:val="18DF16EF"/>
    <w:rsid w:val="18E567E4"/>
    <w:rsid w:val="18E627F6"/>
    <w:rsid w:val="18EB5022"/>
    <w:rsid w:val="190D3817"/>
    <w:rsid w:val="196547FC"/>
    <w:rsid w:val="197E58BE"/>
    <w:rsid w:val="19854D03"/>
    <w:rsid w:val="19A05834"/>
    <w:rsid w:val="19EE47F1"/>
    <w:rsid w:val="1A9D6217"/>
    <w:rsid w:val="1AA03612"/>
    <w:rsid w:val="1AA6263C"/>
    <w:rsid w:val="1B302BE8"/>
    <w:rsid w:val="1B304643"/>
    <w:rsid w:val="1BF105C9"/>
    <w:rsid w:val="1BF827A7"/>
    <w:rsid w:val="1C220858"/>
    <w:rsid w:val="1C3327AB"/>
    <w:rsid w:val="1C8651B5"/>
    <w:rsid w:val="1C8975D9"/>
    <w:rsid w:val="1CCB0E1A"/>
    <w:rsid w:val="1CCE4466"/>
    <w:rsid w:val="1CD30200"/>
    <w:rsid w:val="1D183933"/>
    <w:rsid w:val="1D326990"/>
    <w:rsid w:val="1D520A16"/>
    <w:rsid w:val="1D61679F"/>
    <w:rsid w:val="1D7A45EE"/>
    <w:rsid w:val="1DC67833"/>
    <w:rsid w:val="1DCF29C4"/>
    <w:rsid w:val="1DDD4649"/>
    <w:rsid w:val="1DE058DF"/>
    <w:rsid w:val="1DF15646"/>
    <w:rsid w:val="1E186A03"/>
    <w:rsid w:val="1E2A1B70"/>
    <w:rsid w:val="1E4623BE"/>
    <w:rsid w:val="1E480248"/>
    <w:rsid w:val="1E766B63"/>
    <w:rsid w:val="1E766C61"/>
    <w:rsid w:val="1E7E3C6A"/>
    <w:rsid w:val="1EA3040F"/>
    <w:rsid w:val="1EBD4792"/>
    <w:rsid w:val="1ED6721D"/>
    <w:rsid w:val="1EDD4E34"/>
    <w:rsid w:val="1EFA3C38"/>
    <w:rsid w:val="1F0D7C31"/>
    <w:rsid w:val="1F0E524E"/>
    <w:rsid w:val="1F4C2E7E"/>
    <w:rsid w:val="1F58270D"/>
    <w:rsid w:val="1F6D440A"/>
    <w:rsid w:val="1F8C32D3"/>
    <w:rsid w:val="1F995FAA"/>
    <w:rsid w:val="1FB4709A"/>
    <w:rsid w:val="1FB83F2F"/>
    <w:rsid w:val="1FC82A1E"/>
    <w:rsid w:val="1FD004F5"/>
    <w:rsid w:val="1FD50E33"/>
    <w:rsid w:val="1FD86C34"/>
    <w:rsid w:val="1FE3316F"/>
    <w:rsid w:val="1FE5125D"/>
    <w:rsid w:val="200A61BF"/>
    <w:rsid w:val="202A33D5"/>
    <w:rsid w:val="20631348"/>
    <w:rsid w:val="20805D9C"/>
    <w:rsid w:val="209918BD"/>
    <w:rsid w:val="20AB606E"/>
    <w:rsid w:val="20C20642"/>
    <w:rsid w:val="20EA55E7"/>
    <w:rsid w:val="20F5687C"/>
    <w:rsid w:val="21105259"/>
    <w:rsid w:val="216058A9"/>
    <w:rsid w:val="219709DB"/>
    <w:rsid w:val="21C11732"/>
    <w:rsid w:val="21C44EDD"/>
    <w:rsid w:val="21D00992"/>
    <w:rsid w:val="2221489A"/>
    <w:rsid w:val="222B4109"/>
    <w:rsid w:val="228A52D3"/>
    <w:rsid w:val="229B58D4"/>
    <w:rsid w:val="22A27D16"/>
    <w:rsid w:val="22B61C24"/>
    <w:rsid w:val="22BB36DF"/>
    <w:rsid w:val="22C60046"/>
    <w:rsid w:val="22CA0142"/>
    <w:rsid w:val="22CD2DDC"/>
    <w:rsid w:val="22E37DFB"/>
    <w:rsid w:val="22E7685F"/>
    <w:rsid w:val="231F416E"/>
    <w:rsid w:val="23641680"/>
    <w:rsid w:val="2376210F"/>
    <w:rsid w:val="23811E81"/>
    <w:rsid w:val="239A52CE"/>
    <w:rsid w:val="239D4B92"/>
    <w:rsid w:val="23AE2A82"/>
    <w:rsid w:val="23E47842"/>
    <w:rsid w:val="24052893"/>
    <w:rsid w:val="242F7EE0"/>
    <w:rsid w:val="24425663"/>
    <w:rsid w:val="246833F2"/>
    <w:rsid w:val="24765B0F"/>
    <w:rsid w:val="24AB7D68"/>
    <w:rsid w:val="24AD7057"/>
    <w:rsid w:val="24DC12A0"/>
    <w:rsid w:val="24E011DB"/>
    <w:rsid w:val="25304CEF"/>
    <w:rsid w:val="254E4FC8"/>
    <w:rsid w:val="2561302D"/>
    <w:rsid w:val="25853B30"/>
    <w:rsid w:val="259270E0"/>
    <w:rsid w:val="259C15A5"/>
    <w:rsid w:val="259D3570"/>
    <w:rsid w:val="25A84626"/>
    <w:rsid w:val="25B74631"/>
    <w:rsid w:val="25C21845"/>
    <w:rsid w:val="25C32FD6"/>
    <w:rsid w:val="25EB29ED"/>
    <w:rsid w:val="25F1225C"/>
    <w:rsid w:val="26037930"/>
    <w:rsid w:val="26062EC3"/>
    <w:rsid w:val="26834CC4"/>
    <w:rsid w:val="26882B2F"/>
    <w:rsid w:val="268A420B"/>
    <w:rsid w:val="26A761E0"/>
    <w:rsid w:val="26B172D2"/>
    <w:rsid w:val="26C15F88"/>
    <w:rsid w:val="26D22DA5"/>
    <w:rsid w:val="270F224B"/>
    <w:rsid w:val="27343A60"/>
    <w:rsid w:val="273A039A"/>
    <w:rsid w:val="27601DEB"/>
    <w:rsid w:val="27650EEF"/>
    <w:rsid w:val="27702CEA"/>
    <w:rsid w:val="27712D72"/>
    <w:rsid w:val="27721D25"/>
    <w:rsid w:val="27BF77CD"/>
    <w:rsid w:val="27E8625B"/>
    <w:rsid w:val="28094EEC"/>
    <w:rsid w:val="28132869"/>
    <w:rsid w:val="284C07C8"/>
    <w:rsid w:val="28950B22"/>
    <w:rsid w:val="28A349F9"/>
    <w:rsid w:val="28FB6140"/>
    <w:rsid w:val="290A0F1C"/>
    <w:rsid w:val="292233B5"/>
    <w:rsid w:val="292F09F1"/>
    <w:rsid w:val="294642EA"/>
    <w:rsid w:val="294A370F"/>
    <w:rsid w:val="29934A6D"/>
    <w:rsid w:val="299D58EC"/>
    <w:rsid w:val="29B01CD8"/>
    <w:rsid w:val="29B43E30"/>
    <w:rsid w:val="29D32151"/>
    <w:rsid w:val="29D4546E"/>
    <w:rsid w:val="29E214D1"/>
    <w:rsid w:val="29E706DC"/>
    <w:rsid w:val="29FF4B5C"/>
    <w:rsid w:val="2A164802"/>
    <w:rsid w:val="2A2109EC"/>
    <w:rsid w:val="2A254B80"/>
    <w:rsid w:val="2A44045E"/>
    <w:rsid w:val="2A616ADE"/>
    <w:rsid w:val="2A6571D9"/>
    <w:rsid w:val="2A660B98"/>
    <w:rsid w:val="2AA92287"/>
    <w:rsid w:val="2AAB1038"/>
    <w:rsid w:val="2AC46EA9"/>
    <w:rsid w:val="2AC63595"/>
    <w:rsid w:val="2AD4621C"/>
    <w:rsid w:val="2B275DB5"/>
    <w:rsid w:val="2B287437"/>
    <w:rsid w:val="2B3E2ACC"/>
    <w:rsid w:val="2B51698E"/>
    <w:rsid w:val="2B764716"/>
    <w:rsid w:val="2B82123D"/>
    <w:rsid w:val="2B857590"/>
    <w:rsid w:val="2BB533C1"/>
    <w:rsid w:val="2BC96E6C"/>
    <w:rsid w:val="2BCB46D2"/>
    <w:rsid w:val="2BDD24DE"/>
    <w:rsid w:val="2BDF20AB"/>
    <w:rsid w:val="2BE060E3"/>
    <w:rsid w:val="2BEB6DE3"/>
    <w:rsid w:val="2C0003B4"/>
    <w:rsid w:val="2C056A84"/>
    <w:rsid w:val="2C276767"/>
    <w:rsid w:val="2C5C027D"/>
    <w:rsid w:val="2C665373"/>
    <w:rsid w:val="2C9B6E8B"/>
    <w:rsid w:val="2CAE7E10"/>
    <w:rsid w:val="2CBD0633"/>
    <w:rsid w:val="2CF850BC"/>
    <w:rsid w:val="2D0A3299"/>
    <w:rsid w:val="2D3B78F6"/>
    <w:rsid w:val="2D4F15F3"/>
    <w:rsid w:val="2D522A0A"/>
    <w:rsid w:val="2D7824C2"/>
    <w:rsid w:val="2D7B75BF"/>
    <w:rsid w:val="2D8F379E"/>
    <w:rsid w:val="2DCC49F2"/>
    <w:rsid w:val="2DE514F2"/>
    <w:rsid w:val="2E195DAB"/>
    <w:rsid w:val="2ECD13AC"/>
    <w:rsid w:val="2ED0406E"/>
    <w:rsid w:val="2EDC69E1"/>
    <w:rsid w:val="2EE04033"/>
    <w:rsid w:val="2EE813AC"/>
    <w:rsid w:val="2EFE7AB8"/>
    <w:rsid w:val="2F095FA9"/>
    <w:rsid w:val="2F0E7AA2"/>
    <w:rsid w:val="2F604EE0"/>
    <w:rsid w:val="2F7744B4"/>
    <w:rsid w:val="2FA84FEB"/>
    <w:rsid w:val="2FC17E5A"/>
    <w:rsid w:val="2FDB05BB"/>
    <w:rsid w:val="2FF6144B"/>
    <w:rsid w:val="30247F3B"/>
    <w:rsid w:val="308869AD"/>
    <w:rsid w:val="30A22C59"/>
    <w:rsid w:val="31197F4E"/>
    <w:rsid w:val="311D1336"/>
    <w:rsid w:val="31226DD4"/>
    <w:rsid w:val="31232B7B"/>
    <w:rsid w:val="31273893"/>
    <w:rsid w:val="315E3BB3"/>
    <w:rsid w:val="31684A32"/>
    <w:rsid w:val="31685524"/>
    <w:rsid w:val="317600B7"/>
    <w:rsid w:val="317653A0"/>
    <w:rsid w:val="317E1A0E"/>
    <w:rsid w:val="318831F8"/>
    <w:rsid w:val="31B61C41"/>
    <w:rsid w:val="31BE4EFE"/>
    <w:rsid w:val="31C0486E"/>
    <w:rsid w:val="320C090E"/>
    <w:rsid w:val="3273368E"/>
    <w:rsid w:val="327D37D4"/>
    <w:rsid w:val="327D450D"/>
    <w:rsid w:val="328351A3"/>
    <w:rsid w:val="328E671A"/>
    <w:rsid w:val="32B10138"/>
    <w:rsid w:val="32BF2D77"/>
    <w:rsid w:val="32CE3BFF"/>
    <w:rsid w:val="32D20EA2"/>
    <w:rsid w:val="332C0509"/>
    <w:rsid w:val="33A15FD9"/>
    <w:rsid w:val="33A31D51"/>
    <w:rsid w:val="33E368EC"/>
    <w:rsid w:val="340D366E"/>
    <w:rsid w:val="34401C96"/>
    <w:rsid w:val="344D7F0F"/>
    <w:rsid w:val="344E6E2C"/>
    <w:rsid w:val="34A050C5"/>
    <w:rsid w:val="34AC5B47"/>
    <w:rsid w:val="34B80895"/>
    <w:rsid w:val="34E24210"/>
    <w:rsid w:val="34E72111"/>
    <w:rsid w:val="34EC3BCC"/>
    <w:rsid w:val="34F76B17"/>
    <w:rsid w:val="35262F02"/>
    <w:rsid w:val="353115DE"/>
    <w:rsid w:val="353C420B"/>
    <w:rsid w:val="35425091"/>
    <w:rsid w:val="35C92C42"/>
    <w:rsid w:val="35D8497A"/>
    <w:rsid w:val="35E46E9E"/>
    <w:rsid w:val="35F1616F"/>
    <w:rsid w:val="361C228F"/>
    <w:rsid w:val="36217094"/>
    <w:rsid w:val="36441756"/>
    <w:rsid w:val="36A80A5A"/>
    <w:rsid w:val="36BE50F4"/>
    <w:rsid w:val="36BF4142"/>
    <w:rsid w:val="36CE32A0"/>
    <w:rsid w:val="37497A2D"/>
    <w:rsid w:val="37A80E3D"/>
    <w:rsid w:val="37CE0E17"/>
    <w:rsid w:val="37E42F29"/>
    <w:rsid w:val="37E908F4"/>
    <w:rsid w:val="37ED5C91"/>
    <w:rsid w:val="38123949"/>
    <w:rsid w:val="381407DD"/>
    <w:rsid w:val="38372EC4"/>
    <w:rsid w:val="38425435"/>
    <w:rsid w:val="386C1A40"/>
    <w:rsid w:val="38742D72"/>
    <w:rsid w:val="38AA36A9"/>
    <w:rsid w:val="38F0089D"/>
    <w:rsid w:val="38F12E2B"/>
    <w:rsid w:val="391042C3"/>
    <w:rsid w:val="3940484E"/>
    <w:rsid w:val="394D210F"/>
    <w:rsid w:val="39A1380C"/>
    <w:rsid w:val="39AB195F"/>
    <w:rsid w:val="39AC16A8"/>
    <w:rsid w:val="3A0A7CB4"/>
    <w:rsid w:val="3A143823"/>
    <w:rsid w:val="3A18077C"/>
    <w:rsid w:val="3A555D6F"/>
    <w:rsid w:val="3A79380C"/>
    <w:rsid w:val="3A7A5333"/>
    <w:rsid w:val="3A7E3F93"/>
    <w:rsid w:val="3A9C23AB"/>
    <w:rsid w:val="3AB74334"/>
    <w:rsid w:val="3B0A0908"/>
    <w:rsid w:val="3B482963"/>
    <w:rsid w:val="3B8B3E2A"/>
    <w:rsid w:val="3BBF5B96"/>
    <w:rsid w:val="3BD42E4E"/>
    <w:rsid w:val="3BE21884"/>
    <w:rsid w:val="3BF87E38"/>
    <w:rsid w:val="3C12216A"/>
    <w:rsid w:val="3C5502A8"/>
    <w:rsid w:val="3C621437"/>
    <w:rsid w:val="3C677B59"/>
    <w:rsid w:val="3C94492D"/>
    <w:rsid w:val="3C9E39FD"/>
    <w:rsid w:val="3CBB3170"/>
    <w:rsid w:val="3CC7084A"/>
    <w:rsid w:val="3CD32D7B"/>
    <w:rsid w:val="3CD672B4"/>
    <w:rsid w:val="3CDE204C"/>
    <w:rsid w:val="3CF31AFB"/>
    <w:rsid w:val="3CF5156D"/>
    <w:rsid w:val="3D05582A"/>
    <w:rsid w:val="3D18483E"/>
    <w:rsid w:val="3D3C458E"/>
    <w:rsid w:val="3D6C7658"/>
    <w:rsid w:val="3D775B7A"/>
    <w:rsid w:val="3D7A2756"/>
    <w:rsid w:val="3D7C3859"/>
    <w:rsid w:val="3DA43295"/>
    <w:rsid w:val="3DB159B2"/>
    <w:rsid w:val="3DC54FBA"/>
    <w:rsid w:val="3DCC6348"/>
    <w:rsid w:val="3DE30D20"/>
    <w:rsid w:val="3E14141B"/>
    <w:rsid w:val="3E35637B"/>
    <w:rsid w:val="3E4568CA"/>
    <w:rsid w:val="3E4C37AA"/>
    <w:rsid w:val="3E581042"/>
    <w:rsid w:val="3E6A012A"/>
    <w:rsid w:val="3E6B6311"/>
    <w:rsid w:val="3E726EF0"/>
    <w:rsid w:val="3E952C33"/>
    <w:rsid w:val="3EBD658C"/>
    <w:rsid w:val="3EF70070"/>
    <w:rsid w:val="3F212971"/>
    <w:rsid w:val="3F2F67A6"/>
    <w:rsid w:val="3F890995"/>
    <w:rsid w:val="3F8E7D59"/>
    <w:rsid w:val="3F9661A7"/>
    <w:rsid w:val="3FA72BC9"/>
    <w:rsid w:val="3FB02563"/>
    <w:rsid w:val="3FF004C9"/>
    <w:rsid w:val="40040212"/>
    <w:rsid w:val="402B37FA"/>
    <w:rsid w:val="4064002A"/>
    <w:rsid w:val="407D272D"/>
    <w:rsid w:val="409372A9"/>
    <w:rsid w:val="40CD1B29"/>
    <w:rsid w:val="40E53E1E"/>
    <w:rsid w:val="40F16627"/>
    <w:rsid w:val="41004C87"/>
    <w:rsid w:val="4117308F"/>
    <w:rsid w:val="41362456"/>
    <w:rsid w:val="41770E47"/>
    <w:rsid w:val="41CA5CC4"/>
    <w:rsid w:val="41CC6195"/>
    <w:rsid w:val="41DB41B3"/>
    <w:rsid w:val="41F10EAD"/>
    <w:rsid w:val="42284E41"/>
    <w:rsid w:val="4246153A"/>
    <w:rsid w:val="424726D6"/>
    <w:rsid w:val="424C577A"/>
    <w:rsid w:val="42823CD1"/>
    <w:rsid w:val="42B15E05"/>
    <w:rsid w:val="42D77BC6"/>
    <w:rsid w:val="42FE51F6"/>
    <w:rsid w:val="43036368"/>
    <w:rsid w:val="43212404"/>
    <w:rsid w:val="4348021F"/>
    <w:rsid w:val="43593D36"/>
    <w:rsid w:val="4376558D"/>
    <w:rsid w:val="43B97ACB"/>
    <w:rsid w:val="43F519CA"/>
    <w:rsid w:val="43F73607"/>
    <w:rsid w:val="440651A1"/>
    <w:rsid w:val="440C5F7A"/>
    <w:rsid w:val="440E76BA"/>
    <w:rsid w:val="44275945"/>
    <w:rsid w:val="444E369B"/>
    <w:rsid w:val="44865766"/>
    <w:rsid w:val="448E4357"/>
    <w:rsid w:val="449B0E25"/>
    <w:rsid w:val="449D0A3E"/>
    <w:rsid w:val="44A713D6"/>
    <w:rsid w:val="44B33DBE"/>
    <w:rsid w:val="44BC2C73"/>
    <w:rsid w:val="44DC6A43"/>
    <w:rsid w:val="45153531"/>
    <w:rsid w:val="45157272"/>
    <w:rsid w:val="4532030A"/>
    <w:rsid w:val="454168BB"/>
    <w:rsid w:val="455C6204"/>
    <w:rsid w:val="45812A47"/>
    <w:rsid w:val="45882FA2"/>
    <w:rsid w:val="45AB0C2C"/>
    <w:rsid w:val="45C800D7"/>
    <w:rsid w:val="45D3296A"/>
    <w:rsid w:val="45F27FD7"/>
    <w:rsid w:val="460E7365"/>
    <w:rsid w:val="4618414C"/>
    <w:rsid w:val="46221C2F"/>
    <w:rsid w:val="463A53A1"/>
    <w:rsid w:val="46472A10"/>
    <w:rsid w:val="464C1B5B"/>
    <w:rsid w:val="465B295F"/>
    <w:rsid w:val="466D2C95"/>
    <w:rsid w:val="46794B93"/>
    <w:rsid w:val="469B2D5C"/>
    <w:rsid w:val="46AB7443"/>
    <w:rsid w:val="46C40504"/>
    <w:rsid w:val="46C944F9"/>
    <w:rsid w:val="46D5515C"/>
    <w:rsid w:val="46E11B42"/>
    <w:rsid w:val="46EB783F"/>
    <w:rsid w:val="47025EAF"/>
    <w:rsid w:val="47040901"/>
    <w:rsid w:val="470E2361"/>
    <w:rsid w:val="471240DB"/>
    <w:rsid w:val="47152B0E"/>
    <w:rsid w:val="47217705"/>
    <w:rsid w:val="472B2331"/>
    <w:rsid w:val="47360D01"/>
    <w:rsid w:val="4743767B"/>
    <w:rsid w:val="47462CC7"/>
    <w:rsid w:val="474A5C8A"/>
    <w:rsid w:val="475528CD"/>
    <w:rsid w:val="47597953"/>
    <w:rsid w:val="47707287"/>
    <w:rsid w:val="47B9188C"/>
    <w:rsid w:val="47B93254"/>
    <w:rsid w:val="47C02A7A"/>
    <w:rsid w:val="4821447A"/>
    <w:rsid w:val="4821710D"/>
    <w:rsid w:val="48295987"/>
    <w:rsid w:val="48433B6D"/>
    <w:rsid w:val="4856661B"/>
    <w:rsid w:val="488E0DCA"/>
    <w:rsid w:val="488E10A3"/>
    <w:rsid w:val="489C6E12"/>
    <w:rsid w:val="489E48D3"/>
    <w:rsid w:val="48FD1AAC"/>
    <w:rsid w:val="4924528A"/>
    <w:rsid w:val="492A3D21"/>
    <w:rsid w:val="49627B61"/>
    <w:rsid w:val="497A40B6"/>
    <w:rsid w:val="49867CF3"/>
    <w:rsid w:val="49A13C2F"/>
    <w:rsid w:val="49A7256A"/>
    <w:rsid w:val="49C51E16"/>
    <w:rsid w:val="49CB410E"/>
    <w:rsid w:val="49D10A9D"/>
    <w:rsid w:val="49DB1F32"/>
    <w:rsid w:val="49EE5A70"/>
    <w:rsid w:val="4A097E8C"/>
    <w:rsid w:val="4A0A42BA"/>
    <w:rsid w:val="4A3A68C5"/>
    <w:rsid w:val="4A7A4F3B"/>
    <w:rsid w:val="4A9C6E98"/>
    <w:rsid w:val="4AA162EA"/>
    <w:rsid w:val="4AA97395"/>
    <w:rsid w:val="4AAD6FAA"/>
    <w:rsid w:val="4AD72117"/>
    <w:rsid w:val="4B183DFE"/>
    <w:rsid w:val="4B1E1ECC"/>
    <w:rsid w:val="4B490FD8"/>
    <w:rsid w:val="4B5005B9"/>
    <w:rsid w:val="4B7411BA"/>
    <w:rsid w:val="4B8F7333"/>
    <w:rsid w:val="4B9A671C"/>
    <w:rsid w:val="4BB52F32"/>
    <w:rsid w:val="4BBF0AF9"/>
    <w:rsid w:val="4BC80EC9"/>
    <w:rsid w:val="4BDE0A8D"/>
    <w:rsid w:val="4C19348A"/>
    <w:rsid w:val="4C6E063B"/>
    <w:rsid w:val="4C7D6CC5"/>
    <w:rsid w:val="4C934C01"/>
    <w:rsid w:val="4CB12EC4"/>
    <w:rsid w:val="4CC21657"/>
    <w:rsid w:val="4CE3088A"/>
    <w:rsid w:val="4D0A2F51"/>
    <w:rsid w:val="4D167D67"/>
    <w:rsid w:val="4D2D2AF8"/>
    <w:rsid w:val="4D336C62"/>
    <w:rsid w:val="4D3763FF"/>
    <w:rsid w:val="4D3D3009"/>
    <w:rsid w:val="4D550108"/>
    <w:rsid w:val="4D64034B"/>
    <w:rsid w:val="4D673998"/>
    <w:rsid w:val="4DAE1633"/>
    <w:rsid w:val="4DB06FBC"/>
    <w:rsid w:val="4DD3102D"/>
    <w:rsid w:val="4DD41ED2"/>
    <w:rsid w:val="4DDE1EAC"/>
    <w:rsid w:val="4DE83632"/>
    <w:rsid w:val="4E086F29"/>
    <w:rsid w:val="4E1E352F"/>
    <w:rsid w:val="4E1E6556"/>
    <w:rsid w:val="4E2E56F3"/>
    <w:rsid w:val="4E41105D"/>
    <w:rsid w:val="4EA03C07"/>
    <w:rsid w:val="4EA60025"/>
    <w:rsid w:val="4EDD5C8B"/>
    <w:rsid w:val="4EF12987"/>
    <w:rsid w:val="4EF179BD"/>
    <w:rsid w:val="4F0E61D4"/>
    <w:rsid w:val="4F204746"/>
    <w:rsid w:val="4F252FDD"/>
    <w:rsid w:val="4F4E4E0F"/>
    <w:rsid w:val="4F62209A"/>
    <w:rsid w:val="4F622668"/>
    <w:rsid w:val="4F7F321A"/>
    <w:rsid w:val="4F80507E"/>
    <w:rsid w:val="4F944818"/>
    <w:rsid w:val="4FB14184"/>
    <w:rsid w:val="4FB81030"/>
    <w:rsid w:val="4FC00081"/>
    <w:rsid w:val="4FC450D1"/>
    <w:rsid w:val="4FCD1218"/>
    <w:rsid w:val="4FD6102E"/>
    <w:rsid w:val="4FF95C31"/>
    <w:rsid w:val="50167463"/>
    <w:rsid w:val="503475F1"/>
    <w:rsid w:val="503E7BB5"/>
    <w:rsid w:val="50403595"/>
    <w:rsid w:val="50466F6C"/>
    <w:rsid w:val="50610B72"/>
    <w:rsid w:val="5079671E"/>
    <w:rsid w:val="5082450F"/>
    <w:rsid w:val="50841ED8"/>
    <w:rsid w:val="50863682"/>
    <w:rsid w:val="50B12BDE"/>
    <w:rsid w:val="50B30038"/>
    <w:rsid w:val="50BF5B7E"/>
    <w:rsid w:val="50EE46AF"/>
    <w:rsid w:val="50F50450"/>
    <w:rsid w:val="519C2AF4"/>
    <w:rsid w:val="519F768A"/>
    <w:rsid w:val="51D90756"/>
    <w:rsid w:val="51E92897"/>
    <w:rsid w:val="524C5358"/>
    <w:rsid w:val="526B5CD8"/>
    <w:rsid w:val="52734B8D"/>
    <w:rsid w:val="52A55434"/>
    <w:rsid w:val="52CB49C9"/>
    <w:rsid w:val="52F1442F"/>
    <w:rsid w:val="52F14F3A"/>
    <w:rsid w:val="532351BC"/>
    <w:rsid w:val="533B38FC"/>
    <w:rsid w:val="534F426A"/>
    <w:rsid w:val="5353313C"/>
    <w:rsid w:val="536410A5"/>
    <w:rsid w:val="53901E9A"/>
    <w:rsid w:val="53A07C03"/>
    <w:rsid w:val="53B01CF2"/>
    <w:rsid w:val="53C17D69"/>
    <w:rsid w:val="53DB3635"/>
    <w:rsid w:val="540168F4"/>
    <w:rsid w:val="5426288A"/>
    <w:rsid w:val="542C28E9"/>
    <w:rsid w:val="54622DBD"/>
    <w:rsid w:val="546D70DB"/>
    <w:rsid w:val="54762B5A"/>
    <w:rsid w:val="549D263F"/>
    <w:rsid w:val="54A23567"/>
    <w:rsid w:val="54EF0E42"/>
    <w:rsid w:val="54FE1085"/>
    <w:rsid w:val="5503044A"/>
    <w:rsid w:val="551D2D8C"/>
    <w:rsid w:val="552A1E7A"/>
    <w:rsid w:val="55332D87"/>
    <w:rsid w:val="55385914"/>
    <w:rsid w:val="553F09BF"/>
    <w:rsid w:val="5556007B"/>
    <w:rsid w:val="556A0E78"/>
    <w:rsid w:val="557945D1"/>
    <w:rsid w:val="559D132D"/>
    <w:rsid w:val="55A82D9F"/>
    <w:rsid w:val="55CB540B"/>
    <w:rsid w:val="55CE4D84"/>
    <w:rsid w:val="55D50038"/>
    <w:rsid w:val="55F45FA5"/>
    <w:rsid w:val="55F53B68"/>
    <w:rsid w:val="55F67FAE"/>
    <w:rsid w:val="55F9333C"/>
    <w:rsid w:val="56130B60"/>
    <w:rsid w:val="5617137E"/>
    <w:rsid w:val="5630526E"/>
    <w:rsid w:val="563A433F"/>
    <w:rsid w:val="56A12A34"/>
    <w:rsid w:val="56B37C4E"/>
    <w:rsid w:val="56B8590D"/>
    <w:rsid w:val="572A43B4"/>
    <w:rsid w:val="575B593B"/>
    <w:rsid w:val="57610285"/>
    <w:rsid w:val="57C57C38"/>
    <w:rsid w:val="57E7243B"/>
    <w:rsid w:val="581A7F84"/>
    <w:rsid w:val="5825669F"/>
    <w:rsid w:val="58335AA3"/>
    <w:rsid w:val="58403763"/>
    <w:rsid w:val="58450D79"/>
    <w:rsid w:val="58550FBC"/>
    <w:rsid w:val="585D2623"/>
    <w:rsid w:val="587675D0"/>
    <w:rsid w:val="58B91E8B"/>
    <w:rsid w:val="58CE59D8"/>
    <w:rsid w:val="58D152D4"/>
    <w:rsid w:val="58E73667"/>
    <w:rsid w:val="59142C25"/>
    <w:rsid w:val="591B7986"/>
    <w:rsid w:val="591F4C9E"/>
    <w:rsid w:val="59423691"/>
    <w:rsid w:val="59543F1F"/>
    <w:rsid w:val="59861BDE"/>
    <w:rsid w:val="59956AC1"/>
    <w:rsid w:val="59E24D98"/>
    <w:rsid w:val="59F0085C"/>
    <w:rsid w:val="5A0013FC"/>
    <w:rsid w:val="5A084F09"/>
    <w:rsid w:val="5A2E41BB"/>
    <w:rsid w:val="5A3C564B"/>
    <w:rsid w:val="5A4B3113"/>
    <w:rsid w:val="5A4C3C6E"/>
    <w:rsid w:val="5A517EA9"/>
    <w:rsid w:val="5A5C1A01"/>
    <w:rsid w:val="5A5F787D"/>
    <w:rsid w:val="5A6B2D19"/>
    <w:rsid w:val="5A830AFB"/>
    <w:rsid w:val="5A9E3347"/>
    <w:rsid w:val="5ADE12BE"/>
    <w:rsid w:val="5AE21B54"/>
    <w:rsid w:val="5AE26D53"/>
    <w:rsid w:val="5AE67E70"/>
    <w:rsid w:val="5AFE3B8D"/>
    <w:rsid w:val="5B0F0370"/>
    <w:rsid w:val="5B3A51CB"/>
    <w:rsid w:val="5B42268F"/>
    <w:rsid w:val="5B8B215A"/>
    <w:rsid w:val="5BB52403"/>
    <w:rsid w:val="5BC85F49"/>
    <w:rsid w:val="5BD62414"/>
    <w:rsid w:val="5BEF1728"/>
    <w:rsid w:val="5BF44F90"/>
    <w:rsid w:val="5C1520B2"/>
    <w:rsid w:val="5C54167E"/>
    <w:rsid w:val="5C757E7F"/>
    <w:rsid w:val="5CB755A3"/>
    <w:rsid w:val="5CCA6732"/>
    <w:rsid w:val="5CEE378D"/>
    <w:rsid w:val="5CEE5E83"/>
    <w:rsid w:val="5D057255"/>
    <w:rsid w:val="5D2F352B"/>
    <w:rsid w:val="5D336FBF"/>
    <w:rsid w:val="5D484E2F"/>
    <w:rsid w:val="5D4930BA"/>
    <w:rsid w:val="5D9D527A"/>
    <w:rsid w:val="5DA54794"/>
    <w:rsid w:val="5DCD5B11"/>
    <w:rsid w:val="5DCD7847"/>
    <w:rsid w:val="5DE23EE3"/>
    <w:rsid w:val="5E021A74"/>
    <w:rsid w:val="5E0F1C0D"/>
    <w:rsid w:val="5E230459"/>
    <w:rsid w:val="5E3D2C1E"/>
    <w:rsid w:val="5E444205"/>
    <w:rsid w:val="5E4539F4"/>
    <w:rsid w:val="5E4A6AF2"/>
    <w:rsid w:val="5E4C3D8E"/>
    <w:rsid w:val="5E5D506F"/>
    <w:rsid w:val="5E604A71"/>
    <w:rsid w:val="5E8229D8"/>
    <w:rsid w:val="5E8374BB"/>
    <w:rsid w:val="5E9C364E"/>
    <w:rsid w:val="5EA70D92"/>
    <w:rsid w:val="5EAB5E7A"/>
    <w:rsid w:val="5EEF6C5A"/>
    <w:rsid w:val="5F3D5903"/>
    <w:rsid w:val="5F4955F3"/>
    <w:rsid w:val="5F6F3867"/>
    <w:rsid w:val="5F780FF4"/>
    <w:rsid w:val="5F9021EB"/>
    <w:rsid w:val="5FD80AD7"/>
    <w:rsid w:val="5FEA46E0"/>
    <w:rsid w:val="5FF612D7"/>
    <w:rsid w:val="6014413E"/>
    <w:rsid w:val="601F079F"/>
    <w:rsid w:val="604D40C8"/>
    <w:rsid w:val="604F6C39"/>
    <w:rsid w:val="60545FFD"/>
    <w:rsid w:val="606C77EB"/>
    <w:rsid w:val="60E37A02"/>
    <w:rsid w:val="6109503A"/>
    <w:rsid w:val="61156E84"/>
    <w:rsid w:val="61191464"/>
    <w:rsid w:val="61413752"/>
    <w:rsid w:val="61811074"/>
    <w:rsid w:val="618514E8"/>
    <w:rsid w:val="61950925"/>
    <w:rsid w:val="61BC16A4"/>
    <w:rsid w:val="61E454F5"/>
    <w:rsid w:val="61EC126A"/>
    <w:rsid w:val="621E68C3"/>
    <w:rsid w:val="626617A3"/>
    <w:rsid w:val="62815F09"/>
    <w:rsid w:val="628C1A7E"/>
    <w:rsid w:val="628F5A13"/>
    <w:rsid w:val="62995958"/>
    <w:rsid w:val="62B15989"/>
    <w:rsid w:val="62B46917"/>
    <w:rsid w:val="62BE0BAA"/>
    <w:rsid w:val="62E20B25"/>
    <w:rsid w:val="62F3669E"/>
    <w:rsid w:val="6305789A"/>
    <w:rsid w:val="630B6758"/>
    <w:rsid w:val="632472C6"/>
    <w:rsid w:val="63352116"/>
    <w:rsid w:val="63536A40"/>
    <w:rsid w:val="637F3391"/>
    <w:rsid w:val="638F69FE"/>
    <w:rsid w:val="63AD356C"/>
    <w:rsid w:val="63B3128D"/>
    <w:rsid w:val="63C45248"/>
    <w:rsid w:val="63E737FF"/>
    <w:rsid w:val="63F34A13"/>
    <w:rsid w:val="63FA510E"/>
    <w:rsid w:val="64300135"/>
    <w:rsid w:val="644665A5"/>
    <w:rsid w:val="64480F8B"/>
    <w:rsid w:val="64552A1C"/>
    <w:rsid w:val="647267C2"/>
    <w:rsid w:val="64794284"/>
    <w:rsid w:val="647F1F2B"/>
    <w:rsid w:val="64A60364"/>
    <w:rsid w:val="64A67398"/>
    <w:rsid w:val="64E060B2"/>
    <w:rsid w:val="65001657"/>
    <w:rsid w:val="65493C57"/>
    <w:rsid w:val="65604D87"/>
    <w:rsid w:val="656211BC"/>
    <w:rsid w:val="6575773A"/>
    <w:rsid w:val="65BD63F3"/>
    <w:rsid w:val="65DC4ACB"/>
    <w:rsid w:val="65E83806"/>
    <w:rsid w:val="65FC6758"/>
    <w:rsid w:val="661763A0"/>
    <w:rsid w:val="66334097"/>
    <w:rsid w:val="66455290"/>
    <w:rsid w:val="667440DC"/>
    <w:rsid w:val="66862C89"/>
    <w:rsid w:val="66DE2AC5"/>
    <w:rsid w:val="66F53BB1"/>
    <w:rsid w:val="670A2121"/>
    <w:rsid w:val="672E751E"/>
    <w:rsid w:val="67407898"/>
    <w:rsid w:val="67437052"/>
    <w:rsid w:val="67522BD2"/>
    <w:rsid w:val="675B4115"/>
    <w:rsid w:val="67A26E90"/>
    <w:rsid w:val="67B61F5B"/>
    <w:rsid w:val="67BD0905"/>
    <w:rsid w:val="67C021CA"/>
    <w:rsid w:val="67EA7AD4"/>
    <w:rsid w:val="67F626C3"/>
    <w:rsid w:val="681707D7"/>
    <w:rsid w:val="683C2DEC"/>
    <w:rsid w:val="685F3791"/>
    <w:rsid w:val="687F5BE1"/>
    <w:rsid w:val="68E54E95"/>
    <w:rsid w:val="68F505D1"/>
    <w:rsid w:val="69004F74"/>
    <w:rsid w:val="693E784B"/>
    <w:rsid w:val="694B76BF"/>
    <w:rsid w:val="69711424"/>
    <w:rsid w:val="697B2927"/>
    <w:rsid w:val="69912070"/>
    <w:rsid w:val="699173C5"/>
    <w:rsid w:val="69C12CB4"/>
    <w:rsid w:val="69EB1C6C"/>
    <w:rsid w:val="6A14338E"/>
    <w:rsid w:val="6A2001A3"/>
    <w:rsid w:val="6A226DB8"/>
    <w:rsid w:val="6A4B0471"/>
    <w:rsid w:val="6AB56897"/>
    <w:rsid w:val="6AC04037"/>
    <w:rsid w:val="6AE34B4E"/>
    <w:rsid w:val="6AF31323"/>
    <w:rsid w:val="6B121580"/>
    <w:rsid w:val="6B1736DB"/>
    <w:rsid w:val="6B2A62D8"/>
    <w:rsid w:val="6B4D1FC7"/>
    <w:rsid w:val="6B625A72"/>
    <w:rsid w:val="6B7F7A17"/>
    <w:rsid w:val="6BA13428"/>
    <w:rsid w:val="6BAE7B85"/>
    <w:rsid w:val="6BAF2CF6"/>
    <w:rsid w:val="6BBF04B2"/>
    <w:rsid w:val="6BC8641A"/>
    <w:rsid w:val="6C0E1756"/>
    <w:rsid w:val="6C0E5BFA"/>
    <w:rsid w:val="6C1827BE"/>
    <w:rsid w:val="6C2A4D95"/>
    <w:rsid w:val="6C432477"/>
    <w:rsid w:val="6C652BCB"/>
    <w:rsid w:val="6CAA294A"/>
    <w:rsid w:val="6CAF12FD"/>
    <w:rsid w:val="6CB93DB8"/>
    <w:rsid w:val="6CF61237"/>
    <w:rsid w:val="6CFB0CED"/>
    <w:rsid w:val="6D2A04C1"/>
    <w:rsid w:val="6D320B96"/>
    <w:rsid w:val="6D3B5B01"/>
    <w:rsid w:val="6D3C0E9B"/>
    <w:rsid w:val="6D4C41C3"/>
    <w:rsid w:val="6D721A02"/>
    <w:rsid w:val="6DBC59A3"/>
    <w:rsid w:val="6DD62748"/>
    <w:rsid w:val="6DE3342A"/>
    <w:rsid w:val="6DF36E56"/>
    <w:rsid w:val="6E096679"/>
    <w:rsid w:val="6E1E796B"/>
    <w:rsid w:val="6E705E80"/>
    <w:rsid w:val="6E8D5BA9"/>
    <w:rsid w:val="6E9128A6"/>
    <w:rsid w:val="6EBC4ABB"/>
    <w:rsid w:val="6ECD14E9"/>
    <w:rsid w:val="6ED63A46"/>
    <w:rsid w:val="6EDB6EBB"/>
    <w:rsid w:val="6F48664C"/>
    <w:rsid w:val="6F6B5112"/>
    <w:rsid w:val="6F9D4000"/>
    <w:rsid w:val="6FC018AC"/>
    <w:rsid w:val="6FDA2A55"/>
    <w:rsid w:val="6FE03E4D"/>
    <w:rsid w:val="6FEE538A"/>
    <w:rsid w:val="70041EA1"/>
    <w:rsid w:val="701709E9"/>
    <w:rsid w:val="70385739"/>
    <w:rsid w:val="704859B0"/>
    <w:rsid w:val="705339FC"/>
    <w:rsid w:val="708579BF"/>
    <w:rsid w:val="70881015"/>
    <w:rsid w:val="70AB3A18"/>
    <w:rsid w:val="70AD587E"/>
    <w:rsid w:val="70AE3508"/>
    <w:rsid w:val="70C364EC"/>
    <w:rsid w:val="70C7611C"/>
    <w:rsid w:val="70D44732"/>
    <w:rsid w:val="70DD1571"/>
    <w:rsid w:val="71076B0B"/>
    <w:rsid w:val="7137174F"/>
    <w:rsid w:val="71476B10"/>
    <w:rsid w:val="71532428"/>
    <w:rsid w:val="715E46E9"/>
    <w:rsid w:val="71743CB7"/>
    <w:rsid w:val="71864485"/>
    <w:rsid w:val="71C805F9"/>
    <w:rsid w:val="71E51D61"/>
    <w:rsid w:val="7218415A"/>
    <w:rsid w:val="722A6F89"/>
    <w:rsid w:val="722E363D"/>
    <w:rsid w:val="72513778"/>
    <w:rsid w:val="72616B76"/>
    <w:rsid w:val="72A54C01"/>
    <w:rsid w:val="72C36EB5"/>
    <w:rsid w:val="72D67BAB"/>
    <w:rsid w:val="72E47108"/>
    <w:rsid w:val="72F75C1A"/>
    <w:rsid w:val="73134D9A"/>
    <w:rsid w:val="731F16F4"/>
    <w:rsid w:val="73211C25"/>
    <w:rsid w:val="73593BFF"/>
    <w:rsid w:val="738D4E7B"/>
    <w:rsid w:val="73CF56DD"/>
    <w:rsid w:val="741144D9"/>
    <w:rsid w:val="741D149B"/>
    <w:rsid w:val="74406B6D"/>
    <w:rsid w:val="747E368E"/>
    <w:rsid w:val="74A854EB"/>
    <w:rsid w:val="74CA6436"/>
    <w:rsid w:val="751A73BE"/>
    <w:rsid w:val="752B2B24"/>
    <w:rsid w:val="75353C2E"/>
    <w:rsid w:val="755A5A0C"/>
    <w:rsid w:val="75705230"/>
    <w:rsid w:val="7584232E"/>
    <w:rsid w:val="75977167"/>
    <w:rsid w:val="75C5314A"/>
    <w:rsid w:val="75C95155"/>
    <w:rsid w:val="75CD3BF1"/>
    <w:rsid w:val="75D94A6A"/>
    <w:rsid w:val="75DE03EB"/>
    <w:rsid w:val="75FC285A"/>
    <w:rsid w:val="76013C57"/>
    <w:rsid w:val="76063D1E"/>
    <w:rsid w:val="763D6520"/>
    <w:rsid w:val="763F67C0"/>
    <w:rsid w:val="76453A6A"/>
    <w:rsid w:val="76595CC4"/>
    <w:rsid w:val="767A4721"/>
    <w:rsid w:val="76A50F09"/>
    <w:rsid w:val="76FC642A"/>
    <w:rsid w:val="772C6436"/>
    <w:rsid w:val="773F135E"/>
    <w:rsid w:val="779113DD"/>
    <w:rsid w:val="77950834"/>
    <w:rsid w:val="77C5724D"/>
    <w:rsid w:val="77FE619A"/>
    <w:rsid w:val="78040838"/>
    <w:rsid w:val="780D4FB8"/>
    <w:rsid w:val="78267E8E"/>
    <w:rsid w:val="78470990"/>
    <w:rsid w:val="785C0155"/>
    <w:rsid w:val="785E5813"/>
    <w:rsid w:val="7869405A"/>
    <w:rsid w:val="786B41BC"/>
    <w:rsid w:val="78830873"/>
    <w:rsid w:val="78941A5B"/>
    <w:rsid w:val="789B4B7D"/>
    <w:rsid w:val="78E0091E"/>
    <w:rsid w:val="791906D8"/>
    <w:rsid w:val="79625288"/>
    <w:rsid w:val="799A0EB8"/>
    <w:rsid w:val="79D12015"/>
    <w:rsid w:val="79D44B82"/>
    <w:rsid w:val="79DD09BA"/>
    <w:rsid w:val="79E61F64"/>
    <w:rsid w:val="79F44917"/>
    <w:rsid w:val="79FE4E02"/>
    <w:rsid w:val="7A08012D"/>
    <w:rsid w:val="7A27158C"/>
    <w:rsid w:val="7A82402B"/>
    <w:rsid w:val="7A861051"/>
    <w:rsid w:val="7AB54B52"/>
    <w:rsid w:val="7ACC41C4"/>
    <w:rsid w:val="7AD24297"/>
    <w:rsid w:val="7AD87AFF"/>
    <w:rsid w:val="7ADC7DA0"/>
    <w:rsid w:val="7AF1068F"/>
    <w:rsid w:val="7B1117C8"/>
    <w:rsid w:val="7B1D19B6"/>
    <w:rsid w:val="7B762E74"/>
    <w:rsid w:val="7B7A2964"/>
    <w:rsid w:val="7BA06A9E"/>
    <w:rsid w:val="7BCF251F"/>
    <w:rsid w:val="7BD056B1"/>
    <w:rsid w:val="7BF14809"/>
    <w:rsid w:val="7BFF730D"/>
    <w:rsid w:val="7C0178DE"/>
    <w:rsid w:val="7C091946"/>
    <w:rsid w:val="7C224549"/>
    <w:rsid w:val="7C235A79"/>
    <w:rsid w:val="7C2E7B41"/>
    <w:rsid w:val="7C492337"/>
    <w:rsid w:val="7C725D31"/>
    <w:rsid w:val="7CB43C54"/>
    <w:rsid w:val="7CB54845"/>
    <w:rsid w:val="7CCF6CE0"/>
    <w:rsid w:val="7CEA58C8"/>
    <w:rsid w:val="7CFA3D6A"/>
    <w:rsid w:val="7D0B460C"/>
    <w:rsid w:val="7D5F275D"/>
    <w:rsid w:val="7D5F62B6"/>
    <w:rsid w:val="7D907114"/>
    <w:rsid w:val="7DBD3E46"/>
    <w:rsid w:val="7DC31DF3"/>
    <w:rsid w:val="7E035F1C"/>
    <w:rsid w:val="7E0D5D12"/>
    <w:rsid w:val="7E231437"/>
    <w:rsid w:val="7E476D34"/>
    <w:rsid w:val="7E5B17A7"/>
    <w:rsid w:val="7E7643B0"/>
    <w:rsid w:val="7E7E5B40"/>
    <w:rsid w:val="7E932CEB"/>
    <w:rsid w:val="7E9C3BDF"/>
    <w:rsid w:val="7EC565EC"/>
    <w:rsid w:val="7ED82A94"/>
    <w:rsid w:val="7EDD513F"/>
    <w:rsid w:val="7EEF5016"/>
    <w:rsid w:val="7F1250D6"/>
    <w:rsid w:val="7F1B4D03"/>
    <w:rsid w:val="7F363046"/>
    <w:rsid w:val="7F9A64DA"/>
    <w:rsid w:val="7FAA75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37"/>
    <w:qFormat/>
    <w:uiPriority w:val="0"/>
    <w:pPr>
      <w:spacing w:beforeAutospacing="1" w:afterAutospacing="1"/>
      <w:jc w:val="left"/>
      <w:outlineLvl w:val="1"/>
    </w:pPr>
    <w:rPr>
      <w:rFonts w:hint="eastAsia" w:ascii="宋体" w:hAnsi="宋体"/>
      <w:b/>
      <w:kern w:val="0"/>
      <w:sz w:val="36"/>
      <w:szCs w:val="36"/>
    </w:rPr>
  </w:style>
  <w:style w:type="paragraph" w:styleId="5">
    <w:name w:val="heading 4"/>
    <w:basedOn w:val="1"/>
    <w:next w:val="1"/>
    <w:qFormat/>
    <w:uiPriority w:val="9"/>
    <w:pPr>
      <w:keepNext/>
      <w:keepLines/>
      <w:spacing w:line="580" w:lineRule="atLeast"/>
      <w:outlineLvl w:val="3"/>
    </w:pPr>
    <w:rPr>
      <w:rFonts w:ascii="仿宋_GB2312" w:hAnsi="仿宋_GB2312"/>
      <w:b/>
      <w:bCs/>
      <w:szCs w:val="28"/>
    </w:rPr>
  </w:style>
  <w:style w:type="character" w:default="1" w:styleId="29">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40"/>
    <w:qFormat/>
    <w:uiPriority w:val="0"/>
    <w:pPr>
      <w:widowControl/>
      <w:snapToGrid w:val="0"/>
      <w:spacing w:before="60" w:after="160" w:line="259" w:lineRule="auto"/>
      <w:ind w:right="113"/>
    </w:pPr>
    <w:rPr>
      <w:kern w:val="0"/>
      <w:sz w:val="18"/>
      <w:szCs w:val="20"/>
    </w:rPr>
  </w:style>
  <w:style w:type="paragraph" w:styleId="6">
    <w:name w:val="Note Heading"/>
    <w:basedOn w:val="1"/>
    <w:next w:val="1"/>
    <w:qFormat/>
    <w:uiPriority w:val="0"/>
    <w:pPr>
      <w:jc w:val="center"/>
    </w:pPr>
    <w:rPr>
      <w:szCs w:val="20"/>
    </w:rPr>
  </w:style>
  <w:style w:type="paragraph" w:styleId="7">
    <w:name w:val="Normal Indent"/>
    <w:basedOn w:val="1"/>
    <w:qFormat/>
    <w:uiPriority w:val="0"/>
    <w:pPr>
      <w:spacing w:line="360" w:lineRule="auto"/>
      <w:ind w:firstLine="420" w:firstLineChars="200"/>
    </w:pPr>
    <w:rPr>
      <w:sz w:val="24"/>
      <w:szCs w:val="20"/>
    </w:rPr>
  </w:style>
  <w:style w:type="paragraph" w:styleId="8">
    <w:name w:val="annotation text"/>
    <w:basedOn w:val="1"/>
    <w:link w:val="39"/>
    <w:semiHidden/>
    <w:qFormat/>
    <w:uiPriority w:val="0"/>
    <w:pPr>
      <w:jc w:val="left"/>
    </w:pPr>
    <w:rPr>
      <w:kern w:val="0"/>
      <w:sz w:val="24"/>
      <w:szCs w:val="20"/>
    </w:rPr>
  </w:style>
  <w:style w:type="paragraph" w:styleId="9">
    <w:name w:val="Body Text Indent"/>
    <w:basedOn w:val="1"/>
    <w:next w:val="10"/>
    <w:link w:val="41"/>
    <w:qFormat/>
    <w:uiPriority w:val="0"/>
    <w:pPr>
      <w:spacing w:after="120"/>
      <w:ind w:left="420" w:leftChars="200"/>
    </w:pPr>
    <w:rPr>
      <w:kern w:val="0"/>
      <w:sz w:val="24"/>
      <w:szCs w:val="20"/>
    </w:rPr>
  </w:style>
  <w:style w:type="paragraph" w:styleId="10">
    <w:name w:val="header"/>
    <w:basedOn w:val="1"/>
    <w:next w:val="11"/>
    <w:link w:val="46"/>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1">
    <w:name w:val="样式5"/>
    <w:basedOn w:val="12"/>
    <w:next w:val="1"/>
    <w:qFormat/>
    <w:uiPriority w:val="0"/>
    <w:pPr>
      <w:spacing w:line="380" w:lineRule="exact"/>
      <w:ind w:firstLine="566" w:firstLineChars="202"/>
    </w:pPr>
    <w:rPr>
      <w:rFonts w:eastAsia="华文行楷"/>
      <w:sz w:val="28"/>
    </w:rPr>
  </w:style>
  <w:style w:type="paragraph" w:customStyle="1" w:styleId="12">
    <w:name w:val="正文1"/>
    <w:basedOn w:val="1"/>
    <w:qFormat/>
    <w:uiPriority w:val="0"/>
  </w:style>
  <w:style w:type="paragraph" w:styleId="13">
    <w:name w:val="Block Text"/>
    <w:basedOn w:val="1"/>
    <w:unhideWhenUsed/>
    <w:qFormat/>
    <w:uiPriority w:val="0"/>
    <w:pPr>
      <w:autoSpaceDE w:val="0"/>
      <w:autoSpaceDN w:val="0"/>
      <w:adjustRightInd w:val="0"/>
      <w:spacing w:before="1" w:line="537" w:lineRule="exact"/>
      <w:ind w:left="88" w:right="6"/>
    </w:pPr>
    <w:rPr>
      <w:kern w:val="0"/>
      <w:sz w:val="28"/>
      <w:szCs w:val="28"/>
    </w:rPr>
  </w:style>
  <w:style w:type="paragraph" w:styleId="14">
    <w:name w:val="List Bullet 2"/>
    <w:basedOn w:val="1"/>
    <w:qFormat/>
    <w:uiPriority w:val="0"/>
    <w:pPr>
      <w:numPr>
        <w:ilvl w:val="0"/>
        <w:numId w:val="1"/>
      </w:numPr>
    </w:pPr>
  </w:style>
  <w:style w:type="paragraph" w:styleId="15">
    <w:name w:val="Plain Text"/>
    <w:basedOn w:val="1"/>
    <w:link w:val="42"/>
    <w:qFormat/>
    <w:uiPriority w:val="99"/>
    <w:rPr>
      <w:rFonts w:ascii="宋体" w:hAnsi="Courier New" w:cs="Courier New"/>
      <w:szCs w:val="21"/>
    </w:rPr>
  </w:style>
  <w:style w:type="paragraph" w:styleId="16">
    <w:name w:val="Date"/>
    <w:basedOn w:val="1"/>
    <w:next w:val="1"/>
    <w:link w:val="43"/>
    <w:qFormat/>
    <w:uiPriority w:val="0"/>
    <w:pPr>
      <w:ind w:left="100" w:leftChars="2500"/>
    </w:pPr>
    <w:rPr>
      <w:kern w:val="0"/>
      <w:sz w:val="24"/>
      <w:szCs w:val="20"/>
    </w:rPr>
  </w:style>
  <w:style w:type="paragraph" w:styleId="17">
    <w:name w:val="Body Text Indent 2"/>
    <w:basedOn w:val="1"/>
    <w:qFormat/>
    <w:uiPriority w:val="0"/>
    <w:pPr>
      <w:spacing w:line="360" w:lineRule="auto"/>
      <w:ind w:firstLine="560" w:firstLineChars="200"/>
    </w:pPr>
    <w:rPr>
      <w:sz w:val="28"/>
    </w:rPr>
  </w:style>
  <w:style w:type="paragraph" w:styleId="18">
    <w:name w:val="Balloon Text"/>
    <w:basedOn w:val="1"/>
    <w:link w:val="44"/>
    <w:qFormat/>
    <w:uiPriority w:val="0"/>
    <w:rPr>
      <w:kern w:val="0"/>
      <w:sz w:val="18"/>
      <w:szCs w:val="20"/>
    </w:rPr>
  </w:style>
  <w:style w:type="paragraph" w:styleId="19">
    <w:name w:val="footer"/>
    <w:basedOn w:val="1"/>
    <w:link w:val="45"/>
    <w:qFormat/>
    <w:uiPriority w:val="99"/>
    <w:pPr>
      <w:tabs>
        <w:tab w:val="center" w:pos="4153"/>
        <w:tab w:val="right" w:pos="8306"/>
      </w:tabs>
      <w:snapToGrid w:val="0"/>
      <w:jc w:val="left"/>
    </w:pPr>
    <w:rPr>
      <w:kern w:val="0"/>
      <w:sz w:val="18"/>
      <w:szCs w:val="20"/>
    </w:rPr>
  </w:style>
  <w:style w:type="paragraph" w:styleId="20">
    <w:name w:val="toc 1"/>
    <w:basedOn w:val="1"/>
    <w:next w:val="1"/>
    <w:qFormat/>
    <w:uiPriority w:val="39"/>
    <w:pPr>
      <w:tabs>
        <w:tab w:val="right" w:leader="dot" w:pos="8303"/>
      </w:tabs>
      <w:spacing w:line="360" w:lineRule="auto"/>
      <w:jc w:val="center"/>
    </w:pPr>
    <w:rPr>
      <w:rFonts w:hAnsi="宋体"/>
      <w:b/>
      <w:sz w:val="28"/>
      <w:szCs w:val="28"/>
    </w:rPr>
  </w:style>
  <w:style w:type="paragraph" w:styleId="21">
    <w:name w:val="table of figures"/>
    <w:basedOn w:val="1"/>
    <w:next w:val="1"/>
    <w:qFormat/>
    <w:uiPriority w:val="0"/>
  </w:style>
  <w:style w:type="paragraph" w:styleId="22">
    <w:name w:val="Normal (Web)"/>
    <w:basedOn w:val="1"/>
    <w:link w:val="47"/>
    <w:qFormat/>
    <w:uiPriority w:val="0"/>
    <w:pPr>
      <w:widowControl/>
      <w:spacing w:before="100" w:beforeAutospacing="1" w:after="100" w:afterAutospacing="1"/>
      <w:jc w:val="left"/>
    </w:pPr>
    <w:rPr>
      <w:rFonts w:ascii="宋体" w:hAnsi="宋体"/>
      <w:kern w:val="0"/>
      <w:sz w:val="24"/>
      <w:szCs w:val="20"/>
    </w:rPr>
  </w:style>
  <w:style w:type="paragraph" w:styleId="23">
    <w:name w:val="Title"/>
    <w:basedOn w:val="1"/>
    <w:next w:val="1"/>
    <w:link w:val="48"/>
    <w:qFormat/>
    <w:uiPriority w:val="0"/>
    <w:pPr>
      <w:spacing w:before="240" w:after="60"/>
      <w:jc w:val="center"/>
      <w:outlineLvl w:val="0"/>
    </w:pPr>
    <w:rPr>
      <w:rFonts w:ascii="等线 Light" w:hAnsi="等线 Light"/>
      <w:b/>
      <w:bCs/>
      <w:sz w:val="32"/>
      <w:szCs w:val="32"/>
    </w:rPr>
  </w:style>
  <w:style w:type="paragraph" w:styleId="24">
    <w:name w:val="annotation subject"/>
    <w:basedOn w:val="8"/>
    <w:next w:val="8"/>
    <w:link w:val="49"/>
    <w:qFormat/>
    <w:uiPriority w:val="0"/>
    <w:rPr>
      <w:b/>
    </w:rPr>
  </w:style>
  <w:style w:type="paragraph" w:styleId="25">
    <w:name w:val="Body Text First Indent"/>
    <w:basedOn w:val="2"/>
    <w:next w:val="1"/>
    <w:qFormat/>
    <w:uiPriority w:val="0"/>
    <w:pPr>
      <w:adjustRightInd w:val="0"/>
      <w:spacing w:after="0" w:line="360" w:lineRule="auto"/>
      <w:ind w:firstLine="200" w:firstLineChars="200"/>
    </w:pPr>
    <w:rPr>
      <w:rFonts w:ascii="宋体"/>
      <w:sz w:val="24"/>
    </w:rPr>
  </w:style>
  <w:style w:type="paragraph" w:styleId="26">
    <w:name w:val="Body Text First Indent 2"/>
    <w:basedOn w:val="9"/>
    <w:next w:val="25"/>
    <w:qFormat/>
    <w:uiPriority w:val="0"/>
    <w:pPr>
      <w:adjustRightInd w:val="0"/>
      <w:snapToGrid w:val="0"/>
      <w:spacing w:line="360" w:lineRule="auto"/>
      <w:ind w:firstLine="200" w:firstLineChars="200"/>
    </w:pPr>
    <w:rPr>
      <w:rFonts w:ascii="宋体"/>
      <w:sz w:val="24"/>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uiPriority w:val="0"/>
  </w:style>
  <w:style w:type="character" w:styleId="31">
    <w:name w:val="Emphasis"/>
    <w:qFormat/>
    <w:uiPriority w:val="20"/>
    <w:rPr>
      <w:i/>
      <w:iCs/>
    </w:rPr>
  </w:style>
  <w:style w:type="character" w:styleId="32">
    <w:name w:val="Hyperlink"/>
    <w:basedOn w:val="29"/>
    <w:qFormat/>
    <w:uiPriority w:val="99"/>
    <w:rPr>
      <w:color w:val="0000FF"/>
      <w:u w:val="single"/>
    </w:rPr>
  </w:style>
  <w:style w:type="character" w:styleId="33">
    <w:name w:val="annotation reference"/>
    <w:semiHidden/>
    <w:qFormat/>
    <w:uiPriority w:val="0"/>
    <w:rPr>
      <w:sz w:val="21"/>
    </w:rPr>
  </w:style>
  <w:style w:type="paragraph" w:customStyle="1" w:styleId="34">
    <w:name w:val="报告正文"/>
    <w:basedOn w:val="35"/>
    <w:qFormat/>
    <w:uiPriority w:val="0"/>
    <w:pPr>
      <w:adjustRightInd w:val="0"/>
      <w:snapToGrid w:val="0"/>
      <w:ind w:firstLine="200"/>
    </w:pPr>
    <w:rPr>
      <w:rFonts w:ascii="Times New Roman" w:cs="Times New Roman"/>
    </w:rPr>
  </w:style>
  <w:style w:type="paragraph" w:customStyle="1" w:styleId="35">
    <w:name w:val="环评正文"/>
    <w:basedOn w:val="1"/>
    <w:next w:val="1"/>
    <w:qFormat/>
    <w:uiPriority w:val="0"/>
    <w:pPr>
      <w:spacing w:line="360" w:lineRule="auto"/>
      <w:ind w:firstLine="484"/>
    </w:pPr>
    <w:rPr>
      <w:rFonts w:ascii="仿宋_GB2312" w:hAnsi="Calibri" w:cs="宋体"/>
      <w:snapToGrid w:val="0"/>
      <w:spacing w:val="1"/>
      <w:position w:val="-3"/>
      <w:sz w:val="24"/>
      <w:szCs w:val="22"/>
    </w:rPr>
  </w:style>
  <w:style w:type="paragraph" w:customStyle="1" w:styleId="36">
    <w:name w:val="样式3"/>
    <w:basedOn w:val="1"/>
    <w:qFormat/>
    <w:uiPriority w:val="0"/>
    <w:pPr>
      <w:snapToGrid w:val="0"/>
      <w:ind w:firstLine="539"/>
      <w:jc w:val="center"/>
    </w:pPr>
    <w:rPr>
      <w:rFonts w:ascii="黑体" w:hAnsi="宋体" w:eastAsia="黑体"/>
      <w:color w:val="000000"/>
    </w:rPr>
  </w:style>
  <w:style w:type="character" w:customStyle="1" w:styleId="37">
    <w:name w:val="标题 2 字符"/>
    <w:link w:val="4"/>
    <w:qFormat/>
    <w:uiPriority w:val="0"/>
    <w:rPr>
      <w:rFonts w:ascii="宋体" w:hAnsi="宋体"/>
      <w:b/>
      <w:sz w:val="36"/>
      <w:szCs w:val="36"/>
    </w:rPr>
  </w:style>
  <w:style w:type="character" w:customStyle="1" w:styleId="38">
    <w:name w:val="标题 1 字符"/>
    <w:basedOn w:val="29"/>
    <w:link w:val="3"/>
    <w:qFormat/>
    <w:uiPriority w:val="99"/>
    <w:rPr>
      <w:rFonts w:eastAsia="黑体"/>
      <w:b/>
      <w:bCs/>
      <w:color w:val="000000"/>
      <w:kern w:val="44"/>
      <w:sz w:val="30"/>
      <w:szCs w:val="30"/>
    </w:rPr>
  </w:style>
  <w:style w:type="character" w:customStyle="1" w:styleId="39">
    <w:name w:val="批注文字 字符1"/>
    <w:basedOn w:val="29"/>
    <w:link w:val="8"/>
    <w:semiHidden/>
    <w:qFormat/>
    <w:uiPriority w:val="0"/>
    <w:rPr>
      <w:sz w:val="24"/>
    </w:rPr>
  </w:style>
  <w:style w:type="character" w:customStyle="1" w:styleId="40">
    <w:name w:val="正文文本 字符"/>
    <w:link w:val="2"/>
    <w:qFormat/>
    <w:uiPriority w:val="0"/>
    <w:rPr>
      <w:sz w:val="18"/>
    </w:rPr>
  </w:style>
  <w:style w:type="character" w:customStyle="1" w:styleId="41">
    <w:name w:val="正文文本缩进 字符"/>
    <w:link w:val="9"/>
    <w:qFormat/>
    <w:uiPriority w:val="0"/>
    <w:rPr>
      <w:sz w:val="24"/>
    </w:rPr>
  </w:style>
  <w:style w:type="character" w:customStyle="1" w:styleId="42">
    <w:name w:val="纯文本 字符1"/>
    <w:link w:val="15"/>
    <w:qFormat/>
    <w:uiPriority w:val="0"/>
    <w:rPr>
      <w:rFonts w:ascii="宋体" w:hAnsi="Courier New" w:cs="Courier New"/>
      <w:kern w:val="2"/>
      <w:sz w:val="21"/>
      <w:szCs w:val="21"/>
    </w:rPr>
  </w:style>
  <w:style w:type="character" w:customStyle="1" w:styleId="43">
    <w:name w:val="日期 字符1"/>
    <w:link w:val="16"/>
    <w:qFormat/>
    <w:uiPriority w:val="0"/>
    <w:rPr>
      <w:sz w:val="24"/>
    </w:rPr>
  </w:style>
  <w:style w:type="character" w:customStyle="1" w:styleId="44">
    <w:name w:val="批注框文本 字符"/>
    <w:basedOn w:val="29"/>
    <w:link w:val="18"/>
    <w:qFormat/>
    <w:uiPriority w:val="0"/>
    <w:rPr>
      <w:sz w:val="18"/>
    </w:rPr>
  </w:style>
  <w:style w:type="character" w:customStyle="1" w:styleId="45">
    <w:name w:val="页脚 字符1"/>
    <w:link w:val="19"/>
    <w:qFormat/>
    <w:uiPriority w:val="99"/>
    <w:rPr>
      <w:sz w:val="18"/>
    </w:rPr>
  </w:style>
  <w:style w:type="character" w:customStyle="1" w:styleId="46">
    <w:name w:val="页眉 字符"/>
    <w:link w:val="10"/>
    <w:qFormat/>
    <w:uiPriority w:val="0"/>
    <w:rPr>
      <w:sz w:val="18"/>
    </w:rPr>
  </w:style>
  <w:style w:type="character" w:customStyle="1" w:styleId="47">
    <w:name w:val="普通(网站) 字符"/>
    <w:link w:val="22"/>
    <w:qFormat/>
    <w:uiPriority w:val="0"/>
    <w:rPr>
      <w:rFonts w:ascii="宋体" w:hAnsi="宋体"/>
      <w:sz w:val="24"/>
    </w:rPr>
  </w:style>
  <w:style w:type="character" w:customStyle="1" w:styleId="48">
    <w:name w:val="标题 字符"/>
    <w:basedOn w:val="29"/>
    <w:link w:val="23"/>
    <w:qFormat/>
    <w:uiPriority w:val="0"/>
    <w:rPr>
      <w:rFonts w:ascii="等线 Light" w:hAnsi="等线 Light"/>
      <w:b/>
      <w:bCs/>
      <w:kern w:val="2"/>
      <w:sz w:val="32"/>
      <w:szCs w:val="32"/>
    </w:rPr>
  </w:style>
  <w:style w:type="character" w:customStyle="1" w:styleId="49">
    <w:name w:val="批注主题 字符"/>
    <w:basedOn w:val="39"/>
    <w:link w:val="24"/>
    <w:qFormat/>
    <w:uiPriority w:val="0"/>
    <w:rPr>
      <w:b/>
      <w:sz w:val="24"/>
    </w:rPr>
  </w:style>
  <w:style w:type="character" w:customStyle="1" w:styleId="50">
    <w:name w:val="纯文本 字符"/>
    <w:qFormat/>
    <w:uiPriority w:val="99"/>
    <w:rPr>
      <w:rFonts w:ascii="宋体" w:hAnsi="Courier New" w:cs="Courier New"/>
      <w:kern w:val="2"/>
      <w:sz w:val="21"/>
      <w:szCs w:val="21"/>
    </w:rPr>
  </w:style>
  <w:style w:type="character" w:customStyle="1" w:styleId="51">
    <w:name w:val="正文文本 字符1"/>
    <w:semiHidden/>
    <w:qFormat/>
    <w:uiPriority w:val="0"/>
    <w:rPr>
      <w:rFonts w:ascii="Times New Roman" w:hAnsi="Times New Roman" w:eastAsia="宋体"/>
      <w:sz w:val="24"/>
    </w:rPr>
  </w:style>
  <w:style w:type="character" w:customStyle="1" w:styleId="52">
    <w:name w:val="表格文字 Char"/>
    <w:link w:val="53"/>
    <w:qFormat/>
    <w:uiPriority w:val="0"/>
    <w:rPr>
      <w:rFonts w:ascii="宋体" w:hAnsi="宋体"/>
      <w:sz w:val="21"/>
    </w:rPr>
  </w:style>
  <w:style w:type="paragraph" w:customStyle="1" w:styleId="53">
    <w:name w:val="表格文字"/>
    <w:link w:val="52"/>
    <w:qFormat/>
    <w:uiPriority w:val="0"/>
    <w:pPr>
      <w:snapToGrid w:val="0"/>
    </w:pPr>
    <w:rPr>
      <w:rFonts w:ascii="宋体" w:hAnsi="宋体" w:eastAsia="宋体" w:cs="Times New Roman"/>
      <w:sz w:val="21"/>
      <w:lang w:val="en-US" w:eastAsia="zh-CN" w:bidi="ar-SA"/>
    </w:rPr>
  </w:style>
  <w:style w:type="character" w:customStyle="1" w:styleId="54">
    <w:name w:val="日期 字符"/>
    <w:basedOn w:val="29"/>
    <w:qFormat/>
    <w:uiPriority w:val="0"/>
    <w:rPr>
      <w:kern w:val="2"/>
      <w:sz w:val="21"/>
      <w:szCs w:val="24"/>
    </w:rPr>
  </w:style>
  <w:style w:type="character" w:customStyle="1" w:styleId="55">
    <w:name w:val="10"/>
    <w:qFormat/>
    <w:uiPriority w:val="0"/>
    <w:rPr>
      <w:rFonts w:hint="default" w:ascii="Times New Roman" w:hAnsi="Times New Roman" w:cs="Times New Roman"/>
      <w:color w:val="000000"/>
    </w:rPr>
  </w:style>
  <w:style w:type="character" w:customStyle="1" w:styleId="56">
    <w:name w:val="标题1"/>
    <w:basedOn w:val="29"/>
    <w:qFormat/>
    <w:uiPriority w:val="0"/>
  </w:style>
  <w:style w:type="character" w:customStyle="1" w:styleId="57">
    <w:name w:val="font11"/>
    <w:basedOn w:val="29"/>
    <w:qFormat/>
    <w:uiPriority w:val="0"/>
    <w:rPr>
      <w:rFonts w:hint="eastAsia" w:ascii="宋体" w:hAnsi="宋体" w:eastAsia="宋体" w:cs="宋体"/>
      <w:color w:val="0000FF"/>
      <w:sz w:val="21"/>
      <w:szCs w:val="21"/>
      <w:u w:val="none"/>
    </w:rPr>
  </w:style>
  <w:style w:type="character" w:customStyle="1" w:styleId="58">
    <w:name w:val="表头 Char"/>
    <w:link w:val="59"/>
    <w:qFormat/>
    <w:uiPriority w:val="0"/>
    <w:rPr>
      <w:b/>
      <w:color w:val="000000"/>
      <w:kern w:val="2"/>
      <w:sz w:val="21"/>
      <w:szCs w:val="21"/>
    </w:rPr>
  </w:style>
  <w:style w:type="paragraph" w:customStyle="1" w:styleId="59">
    <w:name w:val="表头"/>
    <w:basedOn w:val="1"/>
    <w:link w:val="58"/>
    <w:qFormat/>
    <w:uiPriority w:val="0"/>
    <w:pPr>
      <w:adjustRightInd w:val="0"/>
      <w:snapToGrid w:val="0"/>
      <w:ind w:left="420" w:hanging="420"/>
      <w:jc w:val="center"/>
    </w:pPr>
    <w:rPr>
      <w:b/>
      <w:color w:val="000000"/>
      <w:szCs w:val="21"/>
    </w:rPr>
  </w:style>
  <w:style w:type="character" w:customStyle="1" w:styleId="60">
    <w:name w:val="font21"/>
    <w:basedOn w:val="29"/>
    <w:qFormat/>
    <w:uiPriority w:val="0"/>
    <w:rPr>
      <w:rFonts w:hint="default" w:ascii="Times New Roman" w:hAnsi="Times New Roman" w:cs="Times New Roman"/>
      <w:color w:val="0000FF"/>
      <w:sz w:val="21"/>
      <w:szCs w:val="21"/>
      <w:u w:val="none"/>
    </w:rPr>
  </w:style>
  <w:style w:type="character" w:customStyle="1" w:styleId="61">
    <w:name w:val="未处理的提及1"/>
    <w:unhideWhenUsed/>
    <w:qFormat/>
    <w:uiPriority w:val="99"/>
    <w:rPr>
      <w:color w:val="605E5C"/>
      <w:shd w:val="clear" w:color="auto" w:fill="E1DFDD"/>
    </w:rPr>
  </w:style>
  <w:style w:type="character" w:customStyle="1" w:styleId="62">
    <w:name w:val="批注文字 字符"/>
    <w:qFormat/>
    <w:uiPriority w:val="0"/>
    <w:rPr>
      <w:rFonts w:ascii="Times New Roman" w:hAnsi="Times New Roman" w:eastAsia="宋体"/>
      <w:sz w:val="24"/>
    </w:rPr>
  </w:style>
  <w:style w:type="character" w:customStyle="1" w:styleId="63">
    <w:name w:val="页脚 字符"/>
    <w:qFormat/>
    <w:uiPriority w:val="99"/>
  </w:style>
  <w:style w:type="character" w:customStyle="1" w:styleId="64">
    <w:name w:val="正文格式 Char"/>
    <w:link w:val="65"/>
    <w:qFormat/>
    <w:uiPriority w:val="0"/>
    <w:rPr>
      <w:rFonts w:cs="宋体"/>
      <w:kern w:val="2"/>
      <w:sz w:val="24"/>
      <w:szCs w:val="24"/>
    </w:rPr>
  </w:style>
  <w:style w:type="paragraph" w:customStyle="1" w:styleId="65">
    <w:name w:val="正文格式"/>
    <w:basedOn w:val="1"/>
    <w:link w:val="64"/>
    <w:qFormat/>
    <w:uiPriority w:val="0"/>
    <w:pPr>
      <w:spacing w:line="360" w:lineRule="auto"/>
      <w:ind w:firstLine="200" w:firstLineChars="200"/>
    </w:pPr>
    <w:rPr>
      <w:rFonts w:cs="宋体"/>
      <w:sz w:val="24"/>
    </w:rPr>
  </w:style>
  <w:style w:type="character" w:customStyle="1" w:styleId="66">
    <w:name w:val="表格 Char"/>
    <w:link w:val="67"/>
    <w:qFormat/>
    <w:uiPriority w:val="0"/>
    <w:rPr>
      <w:rFonts w:ascii="宋体"/>
      <w:sz w:val="21"/>
    </w:rPr>
  </w:style>
  <w:style w:type="paragraph" w:customStyle="1" w:styleId="67">
    <w:name w:val="表格"/>
    <w:basedOn w:val="1"/>
    <w:next w:val="1"/>
    <w:link w:val="66"/>
    <w:qFormat/>
    <w:uiPriority w:val="0"/>
    <w:pPr>
      <w:adjustRightInd w:val="0"/>
      <w:snapToGrid w:val="0"/>
      <w:spacing w:beforeLines="10" w:afterLines="10" w:line="259" w:lineRule="auto"/>
      <w:jc w:val="center"/>
    </w:pPr>
    <w:rPr>
      <w:rFonts w:ascii="宋体"/>
      <w:kern w:val="0"/>
      <w:szCs w:val="20"/>
    </w:rPr>
  </w:style>
  <w:style w:type="character" w:customStyle="1" w:styleId="68">
    <w:name w:val="font31"/>
    <w:basedOn w:val="29"/>
    <w:qFormat/>
    <w:uiPriority w:val="0"/>
    <w:rPr>
      <w:rFonts w:hint="default" w:ascii="Times New Roman" w:hAnsi="Times New Roman" w:cs="Times New Roman"/>
      <w:color w:val="0000FF"/>
      <w:sz w:val="21"/>
      <w:szCs w:val="21"/>
      <w:u w:val="none"/>
      <w:vertAlign w:val="subscript"/>
    </w:rPr>
  </w:style>
  <w:style w:type="paragraph" w:customStyle="1" w:styleId="69">
    <w:name w:val="【正文】"/>
    <w:basedOn w:val="1"/>
    <w:link w:val="70"/>
    <w:qFormat/>
    <w:uiPriority w:val="0"/>
    <w:pPr>
      <w:spacing w:line="360" w:lineRule="auto"/>
      <w:ind w:firstLine="200" w:firstLineChars="200"/>
    </w:pPr>
    <w:rPr>
      <w:kern w:val="0"/>
      <w:sz w:val="24"/>
    </w:rPr>
  </w:style>
  <w:style w:type="character" w:customStyle="1" w:styleId="70">
    <w:name w:val="【正文】 Char"/>
    <w:link w:val="69"/>
    <w:qFormat/>
    <w:uiPriority w:val="0"/>
    <w:rPr>
      <w:kern w:val="0"/>
      <w:sz w:val="24"/>
    </w:rPr>
  </w:style>
  <w:style w:type="paragraph" w:customStyle="1" w:styleId="71">
    <w:name w:val="妇幼正文"/>
    <w:basedOn w:val="1"/>
    <w:qFormat/>
    <w:uiPriority w:val="0"/>
    <w:pPr>
      <w:adjustRightInd w:val="0"/>
      <w:spacing w:line="360" w:lineRule="auto"/>
      <w:ind w:firstLine="480" w:firstLineChars="200"/>
    </w:pPr>
    <w:rPr>
      <w:color w:val="000000"/>
      <w:kern w:val="0"/>
      <w:sz w:val="24"/>
    </w:rPr>
  </w:style>
  <w:style w:type="paragraph" w:customStyle="1" w:styleId="72">
    <w:name w:val="图表文字"/>
    <w:basedOn w:val="2"/>
    <w:qFormat/>
    <w:uiPriority w:val="0"/>
    <w:pPr>
      <w:spacing w:after="0"/>
      <w:jc w:val="center"/>
    </w:pPr>
    <w:rPr>
      <w:rFonts w:ascii="仿宋_GB2312" w:eastAsia="仿宋_GB2312"/>
      <w:b/>
    </w:rPr>
  </w:style>
  <w:style w:type="paragraph" w:customStyle="1" w:styleId="73">
    <w:name w:val="+正文"/>
    <w:basedOn w:val="1"/>
    <w:qFormat/>
    <w:uiPriority w:val="0"/>
    <w:pPr>
      <w:adjustRightInd w:val="0"/>
      <w:snapToGrid w:val="0"/>
      <w:spacing w:line="360" w:lineRule="auto"/>
      <w:ind w:firstLine="200" w:firstLineChars="200"/>
    </w:pPr>
    <w:rPr>
      <w:sz w:val="24"/>
    </w:rPr>
  </w:style>
  <w:style w:type="paragraph" w:customStyle="1" w:styleId="74">
    <w:name w:val="T表格"/>
    <w:qFormat/>
    <w:uiPriority w:val="0"/>
    <w:pPr>
      <w:adjustRightInd w:val="0"/>
      <w:snapToGrid w:val="0"/>
      <w:spacing w:line="360" w:lineRule="auto"/>
      <w:jc w:val="center"/>
    </w:pPr>
    <w:rPr>
      <w:rFonts w:ascii="Times New Roman" w:hAnsi="Times New Roman" w:eastAsia="宋体" w:cs="Times New Roman"/>
      <w:color w:val="000000"/>
      <w:sz w:val="21"/>
      <w:lang w:val="en-US" w:eastAsia="zh-CN" w:bidi="ar-SA"/>
    </w:rPr>
  </w:style>
  <w:style w:type="paragraph" w:customStyle="1" w:styleId="75">
    <w:name w:val="Default"/>
    <w:basedOn w:val="76"/>
    <w:next w:val="1"/>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76">
    <w:name w:val="纯文本1"/>
    <w:basedOn w:val="1"/>
    <w:qFormat/>
    <w:uiPriority w:val="0"/>
    <w:pPr>
      <w:autoSpaceDE w:val="0"/>
      <w:autoSpaceDN w:val="0"/>
      <w:adjustRightInd w:val="0"/>
      <w:textAlignment w:val="baseline"/>
    </w:pPr>
    <w:rPr>
      <w:rFonts w:ascii="Courier New" w:hAnsi="Courier New"/>
      <w:sz w:val="15"/>
    </w:rPr>
  </w:style>
  <w:style w:type="paragraph" w:customStyle="1" w:styleId="77">
    <w:name w:val="表格标题--中祥"/>
    <w:basedOn w:val="1"/>
    <w:qFormat/>
    <w:uiPriority w:val="0"/>
    <w:pPr>
      <w:spacing w:line="320" w:lineRule="exact"/>
      <w:ind w:firstLine="482"/>
      <w:jc w:val="center"/>
    </w:pPr>
    <w:rPr>
      <w:rFonts w:ascii="宋体" w:hAnsi="宋体"/>
      <w:b/>
      <w:lang w:val="zh-CN"/>
    </w:rPr>
  </w:style>
  <w:style w:type="paragraph" w:customStyle="1" w:styleId="78">
    <w:name w:val="样式1"/>
    <w:basedOn w:val="14"/>
    <w:qFormat/>
    <w:uiPriority w:val="0"/>
    <w:pPr>
      <w:ind w:firstLine="462" w:firstLineChars="200"/>
    </w:pPr>
    <w:rPr>
      <w:rFonts w:ascii="宋体" w:hAnsi="宋体"/>
      <w:color w:val="000000"/>
    </w:rPr>
  </w:style>
  <w:style w:type="paragraph" w:customStyle="1" w:styleId="79">
    <w:name w:val="表号"/>
    <w:basedOn w:val="1"/>
    <w:qFormat/>
    <w:uiPriority w:val="0"/>
    <w:pPr>
      <w:tabs>
        <w:tab w:val="left" w:pos="277"/>
        <w:tab w:val="left" w:pos="600"/>
        <w:tab w:val="left" w:pos="780"/>
        <w:tab w:val="left" w:pos="2517"/>
      </w:tabs>
      <w:adjustRightInd w:val="0"/>
      <w:textAlignment w:val="baseline"/>
    </w:pPr>
    <w:rPr>
      <w:b/>
      <w:kern w:val="0"/>
      <w:sz w:val="20"/>
      <w:szCs w:val="20"/>
    </w:rPr>
  </w:style>
  <w:style w:type="paragraph" w:customStyle="1" w:styleId="80">
    <w:name w:val="项目正文，无格式"/>
    <w:basedOn w:val="1"/>
    <w:qFormat/>
    <w:uiPriority w:val="0"/>
    <w:pPr>
      <w:jc w:val="center"/>
    </w:pPr>
    <w:rPr>
      <w:kern w:val="0"/>
      <w:sz w:val="20"/>
      <w:szCs w:val="18"/>
    </w:rPr>
  </w:style>
  <w:style w:type="paragraph" w:customStyle="1" w:styleId="81">
    <w:name w:val="表内文字"/>
    <w:basedOn w:val="1"/>
    <w:qFormat/>
    <w:uiPriority w:val="0"/>
    <w:pPr>
      <w:spacing w:line="440" w:lineRule="exact"/>
      <w:jc w:val="center"/>
    </w:pPr>
    <w:rPr>
      <w:rFonts w:hAnsi="宋体" w:eastAsia="华文仿宋"/>
      <w:bCs/>
      <w:sz w:val="24"/>
    </w:rPr>
  </w:style>
  <w:style w:type="paragraph" w:customStyle="1" w:styleId="82">
    <w:name w:val="[1]正文"/>
    <w:basedOn w:val="1"/>
    <w:qFormat/>
    <w:uiPriority w:val="0"/>
    <w:pPr>
      <w:autoSpaceDE w:val="0"/>
      <w:autoSpaceDN w:val="0"/>
      <w:ind w:firstLine="200" w:firstLineChars="200"/>
    </w:pPr>
    <w:rPr>
      <w:rFonts w:ascii="Calibri" w:hAnsi="Calibri"/>
      <w:color w:val="000000"/>
      <w:kern w:val="0"/>
      <w:szCs w:val="21"/>
    </w:rPr>
  </w:style>
  <w:style w:type="paragraph" w:customStyle="1" w:styleId="83">
    <w:name w:val="﹢小四"/>
    <w:basedOn w:val="1"/>
    <w:qFormat/>
    <w:uiPriority w:val="0"/>
    <w:pPr>
      <w:widowControl/>
      <w:spacing w:line="360" w:lineRule="auto"/>
      <w:ind w:firstLine="200" w:firstLineChars="200"/>
    </w:pPr>
    <w:rPr>
      <w:rFonts w:ascii="Calibri" w:hAnsi="Calibri"/>
      <w:kern w:val="0"/>
      <w:sz w:val="24"/>
      <w:szCs w:val="21"/>
    </w:rPr>
  </w:style>
  <w:style w:type="paragraph" w:customStyle="1" w:styleId="84">
    <w:name w:val="表格内"/>
    <w:basedOn w:val="1"/>
    <w:qFormat/>
    <w:uiPriority w:val="0"/>
    <w:pPr>
      <w:jc w:val="center"/>
    </w:pPr>
    <w:rPr>
      <w:szCs w:val="20"/>
    </w:rPr>
  </w:style>
  <w:style w:type="paragraph" w:customStyle="1" w:styleId="85">
    <w:name w:val="1_正文"/>
    <w:basedOn w:val="1"/>
    <w:qFormat/>
    <w:uiPriority w:val="0"/>
    <w:pPr>
      <w:adjustRightInd w:val="0"/>
      <w:snapToGrid w:val="0"/>
      <w:spacing w:line="360" w:lineRule="auto"/>
      <w:ind w:firstLine="480" w:firstLineChars="200"/>
    </w:pPr>
    <w:rPr>
      <w:color w:val="000000"/>
      <w:sz w:val="24"/>
      <w:szCs w:val="21"/>
    </w:rPr>
  </w:style>
  <w:style w:type="paragraph" w:customStyle="1" w:styleId="86">
    <w:name w:val="0环评正文"/>
    <w:basedOn w:val="1"/>
    <w:qFormat/>
    <w:uiPriority w:val="0"/>
    <w:pPr>
      <w:spacing w:line="480" w:lineRule="exact"/>
      <w:ind w:firstLine="200" w:firstLineChars="200"/>
    </w:pPr>
    <w:rPr>
      <w:rFonts w:ascii="Calibri" w:hAnsi="Calibri"/>
      <w:sz w:val="26"/>
      <w:szCs w:val="22"/>
    </w:rPr>
  </w:style>
  <w:style w:type="paragraph" w:customStyle="1" w:styleId="87">
    <w:name w:val="_Style 16"/>
    <w:basedOn w:val="1"/>
    <w:qFormat/>
    <w:uiPriority w:val="0"/>
    <w:rPr>
      <w:rFonts w:eastAsia="Times New Roman"/>
      <w:color w:val="000000"/>
      <w:kern w:val="0"/>
      <w:sz w:val="20"/>
      <w:szCs w:val="20"/>
    </w:rPr>
  </w:style>
  <w:style w:type="paragraph" w:customStyle="1" w:styleId="88">
    <w:name w:val="钢--正文"/>
    <w:basedOn w:val="1"/>
    <w:qFormat/>
    <w:uiPriority w:val="0"/>
    <w:pPr>
      <w:spacing w:line="520" w:lineRule="exact"/>
      <w:ind w:firstLine="480" w:firstLineChars="200"/>
    </w:pPr>
    <w:rPr>
      <w:rFonts w:ascii="宋体" w:hAnsi="宋体"/>
      <w:sz w:val="24"/>
    </w:rPr>
  </w:style>
  <w:style w:type="paragraph" w:customStyle="1" w:styleId="89">
    <w:name w:val="正文2"/>
    <w:qFormat/>
    <w:uiPriority w:val="0"/>
    <w:pPr>
      <w:widowControl w:val="0"/>
      <w:adjustRightInd w:val="0"/>
      <w:spacing w:line="315" w:lineRule="atLeast"/>
      <w:jc w:val="both"/>
    </w:pPr>
    <w:rPr>
      <w:rFonts w:ascii="宋体" w:hAnsi="Times New Roman" w:eastAsia="宋体" w:cs="Times New Roman"/>
      <w:sz w:val="24"/>
      <w:lang w:val="en-US" w:eastAsia="zh-CN" w:bidi="ar-SA"/>
    </w:rPr>
  </w:style>
  <w:style w:type="paragraph" w:customStyle="1" w:styleId="90">
    <w:name w:val="正文（缩进）"/>
    <w:basedOn w:val="1"/>
    <w:qFormat/>
    <w:uiPriority w:val="99"/>
    <w:pPr>
      <w:spacing w:line="360" w:lineRule="auto"/>
      <w:ind w:firstLine="480" w:firstLineChars="200"/>
    </w:pPr>
    <w:rPr>
      <w:sz w:val="24"/>
    </w:rPr>
  </w:style>
  <w:style w:type="paragraph" w:customStyle="1" w:styleId="91">
    <w:name w:val="xl26"/>
    <w:basedOn w:val="1"/>
    <w:qFormat/>
    <w:uiPriority w:val="0"/>
    <w:pPr>
      <w:widowControl/>
      <w:spacing w:before="100" w:after="100"/>
      <w:jc w:val="center"/>
    </w:pPr>
    <w:rPr>
      <w:kern w:val="0"/>
      <w:szCs w:val="20"/>
    </w:rPr>
  </w:style>
  <w:style w:type="paragraph" w:styleId="92">
    <w:name w:val="List Paragraph"/>
    <w:basedOn w:val="2"/>
    <w:next w:val="2"/>
    <w:unhideWhenUsed/>
    <w:qFormat/>
    <w:uiPriority w:val="99"/>
    <w:pPr>
      <w:ind w:firstLine="420" w:firstLineChars="200"/>
    </w:pPr>
  </w:style>
  <w:style w:type="paragraph" w:customStyle="1" w:styleId="93">
    <w:name w:val="Char1 Char Char Char1 Char Char Char"/>
    <w:basedOn w:val="1"/>
    <w:qFormat/>
    <w:uiPriority w:val="0"/>
    <w:pPr>
      <w:snapToGrid w:val="0"/>
      <w:spacing w:line="360" w:lineRule="auto"/>
      <w:ind w:firstLine="200" w:firstLineChars="200"/>
    </w:pPr>
    <w:rPr>
      <w:rFonts w:ascii="宋体" w:hAnsi="宋体" w:cs="Arial"/>
      <w:kern w:val="0"/>
      <w:szCs w:val="21"/>
      <w:lang w:val="eu-ES"/>
    </w:rPr>
  </w:style>
  <w:style w:type="paragraph" w:customStyle="1" w:styleId="94">
    <w:name w:val="表格1"/>
    <w:basedOn w:val="1"/>
    <w:next w:val="1"/>
    <w:qFormat/>
    <w:uiPriority w:val="0"/>
    <w:pPr>
      <w:spacing w:line="360" w:lineRule="auto"/>
      <w:ind w:firstLine="562" w:firstLineChars="200"/>
      <w:jc w:val="center"/>
    </w:pPr>
    <w:rPr>
      <w:rFonts w:eastAsia="仿宋_GB2312"/>
      <w:bCs/>
      <w:szCs w:val="20"/>
    </w:rPr>
  </w:style>
  <w:style w:type="paragraph" w:customStyle="1" w:styleId="95">
    <w:name w:val="Table Paragraph"/>
    <w:basedOn w:val="1"/>
    <w:qFormat/>
    <w:uiPriority w:val="0"/>
    <w:pPr>
      <w:autoSpaceDE w:val="0"/>
      <w:autoSpaceDN w:val="0"/>
      <w:jc w:val="left"/>
    </w:pPr>
    <w:rPr>
      <w:rFonts w:ascii="Noto Sans CJK JP Regular" w:hAnsi="Noto Sans CJK JP Regular" w:cs="Noto Sans CJK JP Regular"/>
      <w:kern w:val="0"/>
      <w:sz w:val="22"/>
      <w:szCs w:val="22"/>
      <w:lang w:eastAsia="en-US"/>
    </w:rPr>
  </w:style>
  <w:style w:type="paragraph" w:customStyle="1" w:styleId="9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97">
    <w:name w:val="样式 样式 样式 首行缩进:  1 字符 + 首行缩进:  2 字符2 + 首行缩进:  2 字符"/>
    <w:basedOn w:val="1"/>
    <w:qFormat/>
    <w:uiPriority w:val="0"/>
    <w:pPr>
      <w:spacing w:line="360" w:lineRule="auto"/>
      <w:ind w:firstLine="480" w:firstLineChars="200"/>
    </w:pPr>
    <w:rPr>
      <w:rFonts w:ascii="宋体" w:hAnsi="宋体" w:cs="宋体"/>
      <w:sz w:val="24"/>
    </w:rPr>
  </w:style>
  <w:style w:type="paragraph" w:customStyle="1" w:styleId="98">
    <w:name w:val="正文文本缩进1"/>
    <w:basedOn w:val="1"/>
    <w:qFormat/>
    <w:uiPriority w:val="0"/>
    <w:pPr>
      <w:spacing w:line="360" w:lineRule="auto"/>
      <w:ind w:firstLine="480" w:firstLineChars="200"/>
    </w:pPr>
    <w:rPr>
      <w:kern w:val="0"/>
      <w:sz w:val="20"/>
    </w:rPr>
  </w:style>
  <w:style w:type="paragraph" w:customStyle="1" w:styleId="99">
    <w:name w:val="样式 样式 样式 样式 首行缩进:  1 字符 + 首行缩进:  2 字符2 + 首行缩进:  2 字符 +"/>
    <w:basedOn w:val="1"/>
    <w:qFormat/>
    <w:uiPriority w:val="0"/>
    <w:pPr>
      <w:spacing w:line="360" w:lineRule="auto"/>
      <w:ind w:firstLine="480" w:firstLineChars="200"/>
    </w:pPr>
    <w:rPr>
      <w:rFonts w:cs="宋体"/>
      <w:kern w:val="0"/>
      <w:sz w:val="24"/>
    </w:rPr>
  </w:style>
  <w:style w:type="paragraph" w:customStyle="1" w:styleId="100">
    <w:name w:val="Other|1"/>
    <w:basedOn w:val="1"/>
    <w:qFormat/>
    <w:uiPriority w:val="0"/>
    <w:pPr>
      <w:spacing w:line="274" w:lineRule="exact"/>
    </w:pPr>
    <w:rPr>
      <w:rFonts w:ascii="宋体" w:hAnsi="宋体" w:cs="宋体"/>
      <w:sz w:val="20"/>
      <w:szCs w:val="20"/>
      <w:lang w:val="zh-TW" w:eastAsia="zh-TW" w:bidi="zh-TW"/>
    </w:rPr>
  </w:style>
  <w:style w:type="paragraph" w:customStyle="1" w:styleId="10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中文报告书样式"/>
    <w:basedOn w:val="1"/>
    <w:qFormat/>
    <w:uiPriority w:val="0"/>
    <w:pPr>
      <w:adjustRightInd w:val="0"/>
      <w:spacing w:line="480" w:lineRule="atLeast"/>
      <w:ind w:firstLine="482"/>
    </w:pPr>
    <w:rPr>
      <w:kern w:val="24"/>
      <w:sz w:val="24"/>
      <w:szCs w:val="20"/>
    </w:rPr>
  </w:style>
  <w:style w:type="paragraph" w:customStyle="1" w:styleId="103">
    <w:name w:val="Default1"/>
    <w:qFormat/>
    <w:uiPriority w:val="0"/>
    <w:pPr>
      <w:widowControl w:val="0"/>
      <w:autoSpaceDE w:val="0"/>
      <w:autoSpaceDN w:val="0"/>
      <w:adjustRightInd w:val="0"/>
      <w:spacing w:line="360" w:lineRule="auto"/>
      <w:ind w:firstLine="200" w:firstLineChars="200"/>
      <w:jc w:val="both"/>
    </w:pPr>
    <w:rPr>
      <w:rFonts w:ascii="宋体" w:hAnsi="Times New Roman" w:eastAsia="宋体" w:cs="宋体"/>
      <w:color w:val="000000"/>
      <w:sz w:val="24"/>
      <w:szCs w:val="24"/>
      <w:lang w:val="en-US" w:eastAsia="zh-CN" w:bidi="ar-SA"/>
    </w:rPr>
  </w:style>
  <w:style w:type="paragraph" w:customStyle="1" w:styleId="104">
    <w:name w:val="三级标题"/>
    <w:basedOn w:val="1"/>
    <w:next w:val="1"/>
    <w:qFormat/>
    <w:uiPriority w:val="0"/>
    <w:pPr>
      <w:adjustRightInd w:val="0"/>
      <w:snapToGrid w:val="0"/>
      <w:spacing w:before="120" w:after="120"/>
      <w:jc w:val="center"/>
    </w:pPr>
    <w:rPr>
      <w:rFonts w:ascii="宋体" w:hAnsi="宋体"/>
      <w:bCs/>
      <w:sz w:val="18"/>
      <w:szCs w:val="18"/>
    </w:rPr>
  </w:style>
  <w:style w:type="paragraph" w:customStyle="1" w:styleId="105">
    <w:name w:val="样式 样式 样式 样式 首行缩进:  1 字符 + 首行缩进:  2 字符1 + 首行缩进:  2 字符 + Arial"/>
    <w:basedOn w:val="1"/>
    <w:qFormat/>
    <w:uiPriority w:val="0"/>
    <w:pPr>
      <w:spacing w:line="360" w:lineRule="auto"/>
      <w:ind w:firstLine="480" w:firstLineChars="200"/>
    </w:pPr>
    <w:rPr>
      <w:rFonts w:ascii="Arial" w:hAnsi="Arial" w:cs="宋体"/>
      <w:sz w:val="24"/>
    </w:rPr>
  </w:style>
  <w:style w:type="paragraph" w:styleId="106">
    <w:name w:val="No Spacing"/>
    <w:basedOn w:val="1"/>
    <w:qFormat/>
    <w:uiPriority w:val="0"/>
    <w:rPr>
      <w:kern w:val="0"/>
      <w:sz w:val="24"/>
      <w:szCs w:val="32"/>
    </w:rPr>
  </w:style>
  <w:style w:type="paragraph" w:customStyle="1" w:styleId="107">
    <w:name w:val="正文1111"/>
    <w:basedOn w:val="1"/>
    <w:qFormat/>
    <w:uiPriority w:val="0"/>
    <w:pPr>
      <w:ind w:firstLine="480"/>
    </w:pPr>
    <w:rPr>
      <w:kern w:val="0"/>
    </w:rPr>
  </w:style>
  <w:style w:type="table" w:customStyle="1" w:styleId="108">
    <w:name w:val="Table Normal"/>
    <w:unhideWhenUsed/>
    <w:qFormat/>
    <w:uiPriority w:val="0"/>
    <w:tblPr>
      <w:tblCellMar>
        <w:top w:w="0" w:type="dxa"/>
        <w:left w:w="0" w:type="dxa"/>
        <w:bottom w:w="0" w:type="dxa"/>
        <w:right w:w="0" w:type="dxa"/>
      </w:tblCellMar>
    </w:tblPr>
  </w:style>
  <w:style w:type="paragraph" w:customStyle="1" w:styleId="109">
    <w:name w:val="tubiaoneirong"/>
    <w:basedOn w:val="1"/>
    <w:qFormat/>
    <w:uiPriority w:val="0"/>
    <w:pPr>
      <w:widowControl/>
      <w:spacing w:line="240" w:lineRule="auto"/>
      <w:ind w:firstLine="0" w:firstLineChars="0"/>
      <w:jc w:val="center"/>
    </w:pPr>
    <w:rPr>
      <w:color w:val="000000"/>
      <w:kern w:val="0"/>
      <w:sz w:val="21"/>
      <w:szCs w:val="22"/>
    </w:rPr>
  </w:style>
  <w:style w:type="paragraph" w:customStyle="1" w:styleId="110">
    <w:name w:val="+表头"/>
    <w:basedOn w:val="1"/>
    <w:next w:val="73"/>
    <w:qFormat/>
    <w:uiPriority w:val="0"/>
    <w:pPr>
      <w:numPr>
        <w:ilvl w:val="0"/>
        <w:numId w:val="2"/>
      </w:numPr>
      <w:adjustRightInd w:val="0"/>
      <w:snapToGrid w:val="0"/>
      <w:spacing w:line="240" w:lineRule="auto"/>
      <w:jc w:val="center"/>
    </w:pPr>
    <w:rPr>
      <w:b/>
      <w:szCs w:val="21"/>
    </w:rPr>
  </w:style>
  <w:style w:type="paragraph" w:customStyle="1" w:styleId="111">
    <w:name w:val="Table Text"/>
    <w:basedOn w:val="1"/>
    <w:semiHidden/>
    <w:qFormat/>
    <w:uiPriority w:val="0"/>
    <w:rPr>
      <w:rFonts w:ascii="宋体" w:hAnsi="宋体" w:eastAsia="宋体" w:cs="宋体"/>
      <w:sz w:val="24"/>
      <w:szCs w:val="24"/>
      <w:lang w:val="en-US" w:eastAsia="en-US" w:bidi="ar-SA"/>
    </w:rPr>
  </w:style>
  <w:style w:type="paragraph" w:customStyle="1" w:styleId="112">
    <w:name w:val="表格表头"/>
    <w:basedOn w:val="1"/>
    <w:qFormat/>
    <w:uiPriority w:val="0"/>
    <w:pPr>
      <w:spacing w:line="240" w:lineRule="auto"/>
      <w:ind w:firstLine="420" w:firstLineChars="200"/>
      <w:jc w:val="center"/>
    </w:pPr>
    <w:rPr>
      <w:rFonts w:hint="eastAsia" w:ascii="Times New Roman" w:hAnsi="Times New Roman" w:eastAsia="宋体"/>
      <w:b/>
      <w:color w:val="000000"/>
      <w:szCs w:val="18"/>
    </w:rPr>
  </w:style>
  <w:style w:type="character" w:customStyle="1" w:styleId="113">
    <w:name w:val="font41"/>
    <w:basedOn w:val="29"/>
    <w:qFormat/>
    <w:uiPriority w:val="0"/>
    <w:rPr>
      <w:rFonts w:hint="eastAsia" w:ascii="宋体" w:hAnsi="宋体" w:eastAsia="宋体" w:cs="宋体"/>
      <w:color w:val="000000"/>
      <w:sz w:val="21"/>
      <w:szCs w:val="21"/>
      <w:u w:val="none"/>
    </w:rPr>
  </w:style>
  <w:style w:type="character" w:customStyle="1" w:styleId="114">
    <w:name w:val="font51"/>
    <w:basedOn w:val="29"/>
    <w:qFormat/>
    <w:uiPriority w:val="0"/>
    <w:rPr>
      <w:rFonts w:hint="default" w:ascii="Times New Roman" w:hAnsi="Times New Roman" w:cs="Times New Roman"/>
      <w:color w:val="0500FE"/>
      <w:sz w:val="21"/>
      <w:szCs w:val="21"/>
      <w:u w:val="none"/>
    </w:rPr>
  </w:style>
  <w:style w:type="character" w:customStyle="1" w:styleId="115">
    <w:name w:val="font61"/>
    <w:basedOn w:val="29"/>
    <w:qFormat/>
    <w:uiPriority w:val="0"/>
    <w:rPr>
      <w:rFonts w:hint="default" w:ascii="Times New Roman" w:hAnsi="Times New Roman" w:cs="Times New Roman"/>
      <w:color w:val="0500FE"/>
      <w:sz w:val="21"/>
      <w:szCs w:val="21"/>
      <w:u w:val="none"/>
      <w:vertAlign w:val="superscript"/>
    </w:rPr>
  </w:style>
  <w:style w:type="paragraph" w:customStyle="1" w:styleId="116">
    <w:name w:val="Normal (Web)"/>
    <w:basedOn w:val="1"/>
    <w:qFormat/>
    <w:uiPriority w:val="0"/>
    <w:pPr>
      <w:adjustRightInd/>
      <w:snapToGrid/>
      <w:spacing w:before="100" w:beforeLines="0" w:beforeAutospacing="1" w:after="100" w:afterLines="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2.wmf"/><Relationship Id="rId35" Type="http://schemas.openxmlformats.org/officeDocument/2006/relationships/image" Target="media/image21.wmf"/><Relationship Id="rId34" Type="http://schemas.openxmlformats.org/officeDocument/2006/relationships/image" Target="media/image20.wmf"/><Relationship Id="rId33" Type="http://schemas.openxmlformats.org/officeDocument/2006/relationships/image" Target="media/image19.wmf"/><Relationship Id="rId32" Type="http://schemas.openxmlformats.org/officeDocument/2006/relationships/image" Target="media/image18.wmf"/><Relationship Id="rId31" Type="http://schemas.openxmlformats.org/officeDocument/2006/relationships/image" Target="media/image17.wmf"/><Relationship Id="rId30" Type="http://schemas.openxmlformats.org/officeDocument/2006/relationships/image" Target="media/image16.wmf"/><Relationship Id="rId3" Type="http://schemas.openxmlformats.org/officeDocument/2006/relationships/footer" Target="footer1.xml"/><Relationship Id="rId29" Type="http://schemas.openxmlformats.org/officeDocument/2006/relationships/image" Target="media/image15.wmf"/><Relationship Id="rId28" Type="http://schemas.openxmlformats.org/officeDocument/2006/relationships/image" Target="media/image14.wmf"/><Relationship Id="rId27" Type="http://schemas.openxmlformats.org/officeDocument/2006/relationships/oleObject" Target="embeddings/oleObject7.bin"/><Relationship Id="rId26" Type="http://schemas.openxmlformats.org/officeDocument/2006/relationships/image" Target="media/image13.wmf"/><Relationship Id="rId25" Type="http://schemas.openxmlformats.org/officeDocument/2006/relationships/oleObject" Target="embeddings/oleObject6.bin"/><Relationship Id="rId24" Type="http://schemas.openxmlformats.org/officeDocument/2006/relationships/image" Target="media/image12.wmf"/><Relationship Id="rId23" Type="http://schemas.openxmlformats.org/officeDocument/2006/relationships/oleObject" Target="embeddings/oleObject5.bin"/><Relationship Id="rId22" Type="http://schemas.openxmlformats.org/officeDocument/2006/relationships/image" Target="media/image11.wmf"/><Relationship Id="rId21" Type="http://schemas.openxmlformats.org/officeDocument/2006/relationships/oleObject" Target="embeddings/oleObject4.bin"/><Relationship Id="rId20" Type="http://schemas.openxmlformats.org/officeDocument/2006/relationships/image" Target="media/image10.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YwMzgwNDg0NTAyIiwKCSJHcm91cElkIiA6ICIxMTQyMjczMDgiLAoJIkltYWdlIiA6ICJpVkJPUncwS0dnb0FBQUFOU1VoRVVnQUFBMW9BQUFHeENBWUFBQUI3dnNmMkFBQUFBWE5TUjBJQXJzNGM2UUFBSUFCSlJFRlVlSnpzM1hkWUZPZmFCdkI3WmhaWXFxRFlHMEVVc1ZCVWtzOXVMTkVZWTZJaDZqRnF4SmJZb2dHTlBRWmpiMUdQaWkyeEpHS2lSdEZZWW8yOXhJS2RJS2lFMkJWRmtMREE3c3ozQjdLSGxRVUJSeGZsL2wxWHJzUE92UFBPTXh5SDJXZmVCaEF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G52L0Q4dXByUlhodnRZekFBQUFBRWxGVGtTdVFtQ0MiLAoJIlRoZW1lIiA6ICIiLAoJIlR5cGUiIDogImZsb3ciLAoJIlVzZXJJZCIgOiAiIiwKCSJWZXJzaW9uIiA6ICI0NCIKfQo="/>
    </extobj>
    <extobj name="ECB019B1-382A-4266-B25C-5B523AA43C14-2">
      <extobjdata type="ECB019B1-382A-4266-B25C-5B523AA43C14" data="ewoJIkZpbGVJZCIgOiAiMzU3OTcxMjUyMzkzIiwKCSJHcm91cElkIiA6ICIxMTQyMjczMDgiLAoJIkltYWdlIiA6ICJpVkJPUncwS0dnb0FBQUFOU1VoRVVnQUFBeXdBQUFFbkNBWUFBQUJMMXNkM0FBQUFBWE5TUjBJQXJzNGM2UUFBSUFCSlJFRlVlSnpzM1hsNFROZi9CL0Qzblprc0pDSWhTZ2hpaWErZGFPM1VVbHNwOWFYMnBiVzBLRVZKWS90WmF0OWExTnBhcW9xcVZpbHFxZFJhUzJ5SnBHS0pKUWlKTFNLeVoyYnU3NC9wbk8vY3pDU1phQ1NYdmwvUDQzbm0zcmx6NTB4a1RzN25MSjhERU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Z4bC93L0o1VjNQVGJlRVBRQUFBQUJKUlU1RXJrSmdnZz09IiwKCSJUaGVtZSIgOiAiIiwKCSJUeXBlIiA6ICJmbG93IiwKCSJWZXJzaW9uIiA6ICI2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89</Pages>
  <Words>4744</Words>
  <Characters>4976</Characters>
  <Lines>330</Lines>
  <Paragraphs>93</Paragraphs>
  <TotalTime>4</TotalTime>
  <ScaleCrop>false</ScaleCrop>
  <LinksUpToDate>false</LinksUpToDate>
  <CharactersWithSpaces>5076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2023-07-11T09:57:00Z</dcterms:created>
  <dc:creator>Lancelot Rossi</dc:creator>
  <cp:lastModifiedBy>风</cp:lastModifiedBy>
  <cp:lastPrinted>2025-06-13T01:26:00Z</cp:lastPrinted>
  <dcterms:modified xsi:type="dcterms:W3CDTF">2025-06-18T03:28:23Z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1210766391D4476591DD0EA90CC8753E_13</vt:lpwstr>
  </property>
  <property fmtid="{D5CDD505-2E9C-101B-9397-08002B2CF9AE}" pid="4" name="KSOTemplateDocerSaveRecord">
    <vt:lpwstr>eyJoZGlkIjoiMjBjM2Y4MTQ0MDY4NGRkYjZjMjAyY2VmMDc2MmNhNjYiLCJ1c2VySWQiOiIzNTA1OTcxNTcifQ==</vt:lpwstr>
  </property>
</Properties>
</file>